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ind w:left="2820"/>
        <w:spacing w:after="0"/>
        <w:rPr>
          <w:sz w:val="20"/>
          <w:szCs w:val="20"/>
          <w:color w:val="auto"/>
        </w:rPr>
      </w:pPr>
      <w:r>
        <w:rPr>
          <w:rFonts w:ascii="Arial" w:cs="Arial" w:eastAsia="Arial" w:hAnsi="Arial"/>
          <w:sz w:val="18"/>
          <w:szCs w:val="18"/>
          <w:b w:val="1"/>
          <w:bCs w:val="1"/>
          <w:color w:val="auto"/>
        </w:rPr>
        <w:t>As filed with the Securities and Exchange Commission on March 1, 2019.</w:t>
      </w:r>
    </w:p>
    <w:p>
      <w:pPr>
        <w:spacing w:after="0" w:line="24"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Securities Act Registration No. 333-</w:t>
      </w:r>
    </w:p>
    <w:p>
      <w:pPr>
        <w:spacing w:after="0" w:line="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90170</wp:posOffset>
            </wp:positionV>
            <wp:extent cx="6653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353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132715</wp:posOffset>
            </wp:positionV>
            <wp:extent cx="6653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3530" cy="8255"/>
                    </a:xfrm>
                    <a:prstGeom prst="rect">
                      <a:avLst/>
                    </a:prstGeom>
                    <a:noFill/>
                  </pic:spPr>
                </pic:pic>
              </a:graphicData>
            </a:graphic>
          </wp:anchor>
        </w:drawing>
      </w:r>
    </w:p>
    <w:p>
      <w:pPr>
        <w:spacing w:after="0" w:line="2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175260</wp:posOffset>
            </wp:positionV>
            <wp:extent cx="6653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5353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339090</wp:posOffset>
            </wp:positionV>
            <wp:extent cx="6653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535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ind w:left="4580"/>
        <w:spacing w:after="0" w:line="207" w:lineRule="exact"/>
        <w:tabs>
          <w:tab w:leader="none" w:pos="684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4" w:lineRule="exact"/>
        <w:rPr>
          <w:sz w:val="24"/>
          <w:szCs w:val="24"/>
          <w:color w:val="auto"/>
        </w:rPr>
      </w:pPr>
    </w:p>
    <w:p>
      <w:pPr>
        <w:ind w:left="4640"/>
        <w:spacing w:after="0" w:line="207" w:lineRule="exact"/>
        <w:tabs>
          <w:tab w:leader="none" w:pos="6840" w:val="left"/>
        </w:tabs>
        <w:rPr>
          <w:sz w:val="20"/>
          <w:szCs w:val="20"/>
          <w:color w:val="auto"/>
        </w:rPr>
      </w:pPr>
      <w:r>
        <w:rPr>
          <w:rFonts w:ascii="Arial" w:cs="Arial" w:eastAsia="Arial" w:hAnsi="Arial"/>
          <w:sz w:val="18"/>
          <w:szCs w:val="18"/>
          <w:b w:val="1"/>
          <w:bCs w:val="1"/>
          <w:color w:val="auto"/>
        </w:rPr>
        <w:t>Pre-Effective Amendment</w:t>
      </w:r>
      <w:r>
        <w:rPr>
          <w:sz w:val="20"/>
          <w:szCs w:val="20"/>
          <w:color w:val="auto"/>
        </w:rPr>
        <w:tab/>
      </w:r>
      <w:r>
        <w:rPr>
          <w:rFonts w:ascii="MS PGothic" w:cs="MS PGothic" w:eastAsia="MS PGothic" w:hAnsi="MS PGothic"/>
          <w:sz w:val="16"/>
          <w:szCs w:val="16"/>
          <w:color w:val="auto"/>
        </w:rPr>
        <w:t>☐</w:t>
      </w:r>
    </w:p>
    <w:p>
      <w:pPr>
        <w:spacing w:after="0" w:line="28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PennantPark Investment Corporation</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165100</wp:posOffset>
            </wp:positionV>
            <wp:extent cx="6653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3530" cy="8255"/>
                    </a:xfrm>
                    <a:prstGeom prst="rect">
                      <a:avLst/>
                    </a:prstGeom>
                    <a:noFill/>
                  </pic:spPr>
                </pic:pic>
              </a:graphicData>
            </a:graphic>
          </wp:anchor>
        </w:drawing>
      </w:r>
    </w:p>
    <w:p>
      <w:pPr>
        <w:spacing w:after="0" w:line="34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590 Madison Avenue</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15th Floor</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New York, NY 10022</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(212) 905-1000</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Arthur H. Penn</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590 Madison Avenue</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15th Floor</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New York, NY 10022</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167005</wp:posOffset>
            </wp:positionV>
            <wp:extent cx="6653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3530" cy="8255"/>
                    </a:xfrm>
                    <a:prstGeom prst="rect">
                      <a:avLst/>
                    </a:prstGeom>
                    <a:noFill/>
                  </pic:spPr>
                </pic:pic>
              </a:graphicData>
            </a:graphic>
          </wp:anchor>
        </w:drawing>
      </w:r>
    </w:p>
    <w:p>
      <w:pPr>
        <w:spacing w:after="0" w:line="345"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i w:val="1"/>
          <w:iCs w:val="1"/>
          <w:color w:val="auto"/>
        </w:rPr>
        <w:t>Copies to:</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Thomas Friedmann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David Harris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Dechert LLP</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1900 K Street, N.W.</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20006-1110</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177800</wp:posOffset>
            </wp:positionV>
            <wp:extent cx="6653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53530" cy="8255"/>
                    </a:xfrm>
                    <a:prstGeom prst="rect">
                      <a:avLst/>
                    </a:prstGeom>
                    <a:noFill/>
                  </pic:spPr>
                </pic:pic>
              </a:graphicData>
            </a:graphic>
          </wp:anchor>
        </w:drawing>
      </w:r>
    </w:p>
    <w:p>
      <w:pPr>
        <w:spacing w:after="0" w:line="326" w:lineRule="exact"/>
        <w:rPr>
          <w:sz w:val="24"/>
          <w:szCs w:val="24"/>
          <w:color w:val="auto"/>
        </w:rPr>
      </w:pPr>
    </w:p>
    <w:p>
      <w:pPr>
        <w:ind w:left="140" w:firstLine="546"/>
        <w:spacing w:after="0" w:line="231"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48"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74" w:lineRule="exact"/>
        <w:rPr>
          <w:sz w:val="24"/>
          <w:szCs w:val="24"/>
          <w:color w:val="auto"/>
        </w:rPr>
      </w:pPr>
    </w:p>
    <w:p>
      <w:pPr>
        <w:ind w:left="880" w:hanging="200"/>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ectPr>
          <w:pgSz w:w="12240" w:h="15840" w:orient="portrait"/>
          <w:cols w:equalWidth="0" w:num="1">
            <w:col w:w="11040"/>
          </w:cols>
          <w:pgMar w:left="520" w:top="0" w:right="68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46" w:lineRule="exact"/>
        <w:rPr>
          <w:sz w:val="20"/>
          <w:szCs w:val="20"/>
          <w:color w:val="auto"/>
        </w:rPr>
      </w:pPr>
    </w:p>
    <w:tbl>
      <w:tblPr>
        <w:tblLayout w:type="fixed"/>
        <w:tblInd w:w="150" w:type="dxa"/>
        <w:tblCellMar>
          <w:top w:w="0" w:type="dxa"/>
          <w:left w:w="0" w:type="dxa"/>
          <w:bottom w:w="0" w:type="dxa"/>
          <w:right w:w="0" w:type="dxa"/>
        </w:tblCellMar>
      </w:tblPr>
      <w:tr>
        <w:trPr>
          <w:trHeight w:val="138"/>
        </w:trPr>
        <w:tc>
          <w:tcPr>
            <w:tcW w:w="3700" w:type="dxa"/>
            <w:vAlign w:val="bottom"/>
            <w:tcBorders>
              <w:top w:val="single" w:sz="8" w:color="auto"/>
              <w:left w:val="single" w:sz="8" w:color="auto"/>
              <w:right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spacing w:after="0"/>
              <w:rPr>
                <w:sz w:val="11"/>
                <w:szCs w:val="11"/>
                <w:color w:val="auto"/>
              </w:rPr>
            </w:pPr>
          </w:p>
        </w:tc>
        <w:tc>
          <w:tcPr>
            <w:tcW w:w="1520" w:type="dxa"/>
            <w:vAlign w:val="bottom"/>
            <w:tcBorders>
              <w:top w:val="single" w:sz="8" w:color="auto"/>
              <w:right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93"/>
              </w:rPr>
              <w:t>Proposed Maximum</w:t>
            </w:r>
          </w:p>
        </w:tc>
        <w:tc>
          <w:tcPr>
            <w:tcW w:w="140" w:type="dxa"/>
            <w:vAlign w:val="bottom"/>
            <w:tcBorders>
              <w:top w:val="single" w:sz="8" w:color="auto"/>
            </w:tcBorders>
          </w:tcPr>
          <w:p>
            <w:pPr>
              <w:spacing w:after="0"/>
              <w:rPr>
                <w:sz w:val="11"/>
                <w:szCs w:val="11"/>
                <w:color w:val="auto"/>
              </w:rPr>
            </w:pPr>
          </w:p>
        </w:tc>
        <w:tc>
          <w:tcPr>
            <w:tcW w:w="1780" w:type="dxa"/>
            <w:vAlign w:val="bottom"/>
            <w:tcBorders>
              <w:top w:val="single" w:sz="8" w:color="auto"/>
              <w:right w:val="single" w:sz="8" w:color="auto"/>
            </w:tcBorders>
          </w:tcPr>
          <w:p>
            <w:pPr>
              <w:jc w:val="center"/>
              <w:ind w:right="469"/>
              <w:spacing w:after="0" w:line="138" w:lineRule="exact"/>
              <w:rPr>
                <w:sz w:val="20"/>
                <w:szCs w:val="20"/>
                <w:color w:val="auto"/>
              </w:rPr>
            </w:pPr>
            <w:r>
              <w:rPr>
                <w:rFonts w:ascii="Arial" w:cs="Arial" w:eastAsia="Arial" w:hAnsi="Arial"/>
                <w:sz w:val="14"/>
                <w:szCs w:val="14"/>
                <w:b w:val="1"/>
                <w:bCs w:val="1"/>
                <w:color w:val="auto"/>
                <w:w w:val="93"/>
              </w:rPr>
              <w:t>Proposed Maximum</w:t>
            </w:r>
          </w:p>
        </w:tc>
        <w:tc>
          <w:tcPr>
            <w:tcW w:w="120" w:type="dxa"/>
            <w:vAlign w:val="bottom"/>
            <w:tcBorders>
              <w:top w:val="single" w:sz="8" w:color="auto"/>
            </w:tcBorders>
          </w:tcPr>
          <w:p>
            <w:pPr>
              <w:spacing w:after="0"/>
              <w:rPr>
                <w:sz w:val="11"/>
                <w:szCs w:val="11"/>
                <w:color w:val="auto"/>
              </w:rPr>
            </w:pPr>
          </w:p>
        </w:tc>
        <w:tc>
          <w:tcPr>
            <w:tcW w:w="166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700" w:type="dxa"/>
            <w:vAlign w:val="bottom"/>
            <w:tcBorders>
              <w:left w:val="single" w:sz="8" w:color="auto"/>
              <w:right w:val="single" w:sz="8" w:color="auto"/>
            </w:tcBorders>
            <w:vMerge w:val="restart"/>
          </w:tcPr>
          <w:p>
            <w:pPr>
              <w:ind w:left="840"/>
              <w:spacing w:after="0"/>
              <w:rPr>
                <w:sz w:val="20"/>
                <w:szCs w:val="20"/>
                <w:color w:val="auto"/>
              </w:rPr>
            </w:pPr>
            <w:r>
              <w:rPr>
                <w:rFonts w:ascii="Arial" w:cs="Arial" w:eastAsia="Arial" w:hAnsi="Arial"/>
                <w:sz w:val="14"/>
                <w:szCs w:val="14"/>
                <w:b w:val="1"/>
                <w:bCs w:val="1"/>
                <w:color w:val="auto"/>
              </w:rPr>
              <w:t>Title of Securities Being Registered</w:t>
            </w:r>
          </w:p>
        </w:tc>
        <w:tc>
          <w:tcPr>
            <w:tcW w:w="1140" w:type="dxa"/>
            <w:vAlign w:val="bottom"/>
            <w:tcBorders>
              <w:right w:val="single" w:sz="8" w:color="auto"/>
            </w:tcBorders>
          </w:tcPr>
          <w:p>
            <w:pPr>
              <w:jc w:val="right"/>
              <w:ind w:right="69"/>
              <w:spacing w:after="0" w:line="157" w:lineRule="exact"/>
              <w:rPr>
                <w:sz w:val="20"/>
                <w:szCs w:val="20"/>
                <w:color w:val="auto"/>
              </w:rPr>
            </w:pPr>
            <w:r>
              <w:rPr>
                <w:rFonts w:ascii="Arial" w:cs="Arial" w:eastAsia="Arial" w:hAnsi="Arial"/>
                <w:sz w:val="14"/>
                <w:szCs w:val="14"/>
                <w:b w:val="1"/>
                <w:bCs w:val="1"/>
                <w:color w:val="auto"/>
              </w:rPr>
              <w:t>Amount Being</w:t>
            </w:r>
          </w:p>
        </w:tc>
        <w:tc>
          <w:tcPr>
            <w:tcW w:w="15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4"/>
              </w:rPr>
              <w:t>Offering Price</w:t>
            </w:r>
          </w:p>
        </w:tc>
        <w:tc>
          <w:tcPr>
            <w:tcW w:w="140" w:type="dxa"/>
            <w:vAlign w:val="bottom"/>
          </w:tcPr>
          <w:p>
            <w:pPr>
              <w:spacing w:after="0"/>
              <w:rPr>
                <w:sz w:val="13"/>
                <w:szCs w:val="13"/>
                <w:color w:val="auto"/>
              </w:rPr>
            </w:pPr>
          </w:p>
        </w:tc>
        <w:tc>
          <w:tcPr>
            <w:tcW w:w="1780" w:type="dxa"/>
            <w:vAlign w:val="bottom"/>
            <w:tcBorders>
              <w:right w:val="single" w:sz="8" w:color="auto"/>
            </w:tcBorders>
          </w:tcPr>
          <w:p>
            <w:pPr>
              <w:jc w:val="center"/>
              <w:ind w:right="489"/>
              <w:spacing w:after="0" w:line="157" w:lineRule="exact"/>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13"/>
                <w:szCs w:val="13"/>
                <w:color w:val="auto"/>
              </w:rPr>
            </w:pPr>
          </w:p>
        </w:tc>
        <w:tc>
          <w:tcPr>
            <w:tcW w:w="1660" w:type="dxa"/>
            <w:vAlign w:val="bottom"/>
            <w:tcBorders>
              <w:right w:val="single" w:sz="8" w:color="auto"/>
            </w:tcBorders>
          </w:tcPr>
          <w:p>
            <w:pPr>
              <w:jc w:val="center"/>
              <w:ind w:right="429"/>
              <w:spacing w:after="0" w:line="157" w:lineRule="exact"/>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74"/>
        </w:trPr>
        <w:tc>
          <w:tcPr>
            <w:tcW w:w="37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140" w:type="dxa"/>
            <w:vAlign w:val="bottom"/>
            <w:tcBorders>
              <w:bottom w:val="single" w:sz="8" w:color="auto"/>
              <w:right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Registered</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jc w:val="center"/>
              <w:ind w:right="489"/>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w:t>
            </w: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jc w:val="center"/>
              <w:ind w:right="429"/>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34"/>
        </w:trPr>
        <w:tc>
          <w:tcPr>
            <w:tcW w:w="37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12"/>
                <w:szCs w:val="12"/>
                <w:color w:val="auto"/>
              </w:rPr>
              <w:t>(2)</w:t>
            </w:r>
          </w:p>
        </w:tc>
        <w:tc>
          <w:tcPr>
            <w:tcW w:w="1140" w:type="dxa"/>
            <w:vAlign w:val="bottom"/>
            <w:tcBorders>
              <w:bottom w:val="single" w:sz="8" w:color="auto"/>
              <w:right w:val="single" w:sz="8" w:color="auto"/>
            </w:tcBorders>
          </w:tcPr>
          <w:p>
            <w:pPr>
              <w:jc w:val="right"/>
              <w:ind w:right="909"/>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jc w:val="right"/>
              <w:ind w:right="130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Preferred Stock, $0.001 par value</w:t>
            </w:r>
            <w:r>
              <w:rPr>
                <w:rFonts w:ascii="Arial" w:cs="Arial" w:eastAsia="Arial" w:hAnsi="Arial"/>
                <w:sz w:val="12"/>
                <w:szCs w:val="12"/>
                <w:color w:val="auto"/>
              </w:rPr>
              <w:t>(2)</w:t>
            </w:r>
          </w:p>
        </w:tc>
        <w:tc>
          <w:tcPr>
            <w:tcW w:w="114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Warrants</w:t>
            </w:r>
            <w:r>
              <w:rPr>
                <w:rFonts w:ascii="Arial" w:cs="Arial" w:eastAsia="Arial" w:hAnsi="Arial"/>
                <w:sz w:val="12"/>
                <w:szCs w:val="12"/>
                <w:color w:val="auto"/>
              </w:rPr>
              <w:t>(2)</w:t>
            </w:r>
          </w:p>
        </w:tc>
        <w:tc>
          <w:tcPr>
            <w:tcW w:w="114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Subscription Rights</w:t>
            </w:r>
            <w:r>
              <w:rPr>
                <w:rFonts w:ascii="Arial" w:cs="Arial" w:eastAsia="Arial" w:hAnsi="Arial"/>
                <w:sz w:val="12"/>
                <w:szCs w:val="12"/>
                <w:color w:val="auto"/>
              </w:rPr>
              <w:t>(3)</w:t>
            </w:r>
          </w:p>
        </w:tc>
        <w:tc>
          <w:tcPr>
            <w:tcW w:w="114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Debt Securities</w:t>
            </w:r>
            <w:r>
              <w:rPr>
                <w:rFonts w:ascii="Arial" w:cs="Arial" w:eastAsia="Arial" w:hAnsi="Arial"/>
                <w:sz w:val="12"/>
                <w:szCs w:val="12"/>
                <w:color w:val="auto"/>
              </w:rPr>
              <w:t>(4)</w:t>
            </w:r>
          </w:p>
        </w:tc>
        <w:tc>
          <w:tcPr>
            <w:tcW w:w="114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Units</w:t>
            </w:r>
            <w:r>
              <w:rPr>
                <w:rFonts w:ascii="Arial" w:cs="Arial" w:eastAsia="Arial" w:hAnsi="Arial"/>
                <w:sz w:val="12"/>
                <w:szCs w:val="12"/>
                <w:color w:val="auto"/>
              </w:rPr>
              <w:t>(5)</w:t>
            </w:r>
          </w:p>
        </w:tc>
        <w:tc>
          <w:tcPr>
            <w:tcW w:w="114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3700" w:type="dxa"/>
            <w:vAlign w:val="bottom"/>
            <w:tcBorders>
              <w:left w:val="single" w:sz="8" w:color="auto"/>
              <w:bottom w:val="single" w:sz="8" w:color="auto"/>
              <w:right w:val="single" w:sz="8" w:color="auto"/>
            </w:tcBorders>
          </w:tcPr>
          <w:p>
            <w:pPr>
              <w:ind w:left="140"/>
              <w:spacing w:after="0" w:line="141" w:lineRule="exact"/>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right w:val="single" w:sz="8" w:color="auto"/>
            </w:tcBorders>
          </w:tcPr>
          <w:p>
            <w:pPr>
              <w:jc w:val="right"/>
              <w:ind w:right="909"/>
              <w:spacing w:after="0" w:line="141"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jc w:val="right"/>
              <w:ind w:right="1309"/>
              <w:spacing w:after="0" w:line="141"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jc w:val="right"/>
              <w:ind w:right="249"/>
              <w:spacing w:after="0" w:line="141" w:lineRule="exact"/>
              <w:rPr>
                <w:sz w:val="20"/>
                <w:szCs w:val="20"/>
                <w:color w:val="auto"/>
              </w:rPr>
            </w:pPr>
            <w:r>
              <w:rPr>
                <w:rFonts w:ascii="Arial" w:cs="Arial" w:eastAsia="Arial" w:hAnsi="Arial"/>
                <w:sz w:val="14"/>
                <w:szCs w:val="14"/>
                <w:color w:val="auto"/>
              </w:rPr>
              <w:t>750,000,000</w:t>
            </w:r>
            <w:r>
              <w:rPr>
                <w:rFonts w:ascii="Arial" w:cs="Arial" w:eastAsia="Arial" w:hAnsi="Arial"/>
                <w:sz w:val="12"/>
                <w:szCs w:val="12"/>
                <w:color w:val="auto"/>
              </w:rPr>
              <w:t>(6)</w:t>
            </w:r>
          </w:p>
        </w:tc>
        <w:tc>
          <w:tcPr>
            <w:tcW w:w="1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auto"/>
            </w:tcBorders>
          </w:tcPr>
          <w:p>
            <w:pPr>
              <w:jc w:val="right"/>
              <w:ind w:right="209"/>
              <w:spacing w:after="0" w:line="141" w:lineRule="exact"/>
              <w:rPr>
                <w:sz w:val="20"/>
                <w:szCs w:val="20"/>
                <w:color w:val="auto"/>
              </w:rPr>
            </w:pPr>
            <w:r>
              <w:rPr>
                <w:rFonts w:ascii="Arial" w:cs="Arial" w:eastAsia="Arial" w:hAnsi="Arial"/>
                <w:sz w:val="14"/>
                <w:szCs w:val="14"/>
                <w:color w:val="auto"/>
              </w:rPr>
              <w:t>86,925</w:t>
            </w:r>
            <w:r>
              <w:rPr>
                <w:rFonts w:ascii="Arial" w:cs="Arial" w:eastAsia="Arial" w:hAnsi="Arial"/>
                <w:sz w:val="12"/>
                <w:szCs w:val="12"/>
                <w:color w:val="auto"/>
              </w:rPr>
              <w:t>(7)</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000" w:right="320" w:hanging="438"/>
        <w:spacing w:after="0" w:line="259"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92" w:lineRule="exact"/>
        <w:rPr>
          <w:rFonts w:ascii="Arial" w:cs="Arial" w:eastAsia="Arial" w:hAnsi="Arial"/>
          <w:sz w:val="18"/>
          <w:szCs w:val="18"/>
          <w:color w:val="auto"/>
        </w:rPr>
      </w:pPr>
    </w:p>
    <w:p>
      <w:pPr>
        <w:ind w:left="1000" w:right="580" w:hanging="438"/>
        <w:spacing w:after="0" w:line="335"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Subject to Note 6 below, there is being registered hereunder an indeterminate number of shares of common stock, preferred stock, or warrants as may be sold, from time to time. Warrants represent rights to purchase common stock, preferred stock or debt securities.</w:t>
      </w:r>
    </w:p>
    <w:p>
      <w:pPr>
        <w:spacing w:after="0" w:line="35" w:lineRule="exact"/>
        <w:rPr>
          <w:rFonts w:ascii="Arial" w:cs="Arial" w:eastAsia="Arial" w:hAnsi="Arial"/>
          <w:sz w:val="16"/>
          <w:szCs w:val="16"/>
          <w:color w:val="auto"/>
        </w:rPr>
      </w:pPr>
    </w:p>
    <w:p>
      <w:pPr>
        <w:ind w:left="1000" w:right="320" w:hanging="438"/>
        <w:spacing w:after="0" w:line="271"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Note 6 below, there is being registered hereunder an indeterminate number of subscription rights as may be sold, from time to time, representing rights to purchase common stock.</w:t>
      </w:r>
    </w:p>
    <w:p>
      <w:pPr>
        <w:spacing w:after="0" w:line="81" w:lineRule="exact"/>
        <w:rPr>
          <w:rFonts w:ascii="Arial" w:cs="Arial" w:eastAsia="Arial" w:hAnsi="Arial"/>
          <w:sz w:val="18"/>
          <w:szCs w:val="18"/>
          <w:color w:val="auto"/>
        </w:rPr>
      </w:pPr>
    </w:p>
    <w:p>
      <w:pPr>
        <w:ind w:left="1000" w:right="120" w:hanging="438"/>
        <w:spacing w:after="0" w:line="259"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spacing w:after="0" w:line="92" w:lineRule="exact"/>
        <w:rPr>
          <w:rFonts w:ascii="Arial" w:cs="Arial" w:eastAsia="Arial" w:hAnsi="Arial"/>
          <w:sz w:val="18"/>
          <w:szCs w:val="18"/>
          <w:color w:val="auto"/>
        </w:rPr>
      </w:pPr>
    </w:p>
    <w:p>
      <w:pPr>
        <w:ind w:left="1000" w:right="320" w:hanging="438"/>
        <w:spacing w:after="0" w:line="335"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Subject to Note 6 below, there is being registered hereunder an indeterminate principal amount of units. Each unit may consist of a combination of any one or more of the securities being registered hereunder and may also include securities issued by the U.S. Treasury.</w:t>
      </w:r>
    </w:p>
    <w:p>
      <w:pPr>
        <w:spacing w:after="0" w:line="35" w:lineRule="exact"/>
        <w:rPr>
          <w:rFonts w:ascii="Arial" w:cs="Arial" w:eastAsia="Arial" w:hAnsi="Arial"/>
          <w:sz w:val="16"/>
          <w:szCs w:val="16"/>
          <w:color w:val="auto"/>
        </w:rPr>
      </w:pPr>
    </w:p>
    <w:p>
      <w:pPr>
        <w:ind w:left="1000" w:right="720" w:hanging="438"/>
        <w:spacing w:after="0" w:line="271"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no event will the aggregate offering price of all securities issued from time to time pursuant to this registration statement exceed $750,000,000.</w:t>
      </w:r>
    </w:p>
    <w:p>
      <w:pPr>
        <w:spacing w:after="0" w:line="81" w:lineRule="exact"/>
        <w:rPr>
          <w:rFonts w:ascii="Arial" w:cs="Arial" w:eastAsia="Arial" w:hAnsi="Arial"/>
          <w:sz w:val="18"/>
          <w:szCs w:val="18"/>
          <w:color w:val="auto"/>
        </w:rPr>
      </w:pPr>
    </w:p>
    <w:p>
      <w:pPr>
        <w:ind w:left="1000" w:hanging="438"/>
        <w:spacing w:after="0" w:line="269"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Calculated pursuant to Rule 457(o) under the Securities Act of 1933, as amended, or the Securities Act. Pursuant to Rule 415(a)(6) under the Securities Act, this registration statement includes $750,000,000 of unsold securities of the registrant that have been previously registered on the Registration Statement on Form N-2 (File No. 333-216852) originally filed by the registrant on March 21, 2017 and most recently declared effective on April 26, 2017 (the “prior registration statement”). Pursuant to Rule 415(a)(6) under the Securities Act, the registration fees in the amount of $86,925 previously paid with respect to such unsold securities will continue to be applied to such unsold securities. Pursuant to Rule 415(a)(6), the offering of the unsold securities registered under the prior registration statement will be deemed terminated as of the effective date of this Registration Statement.</w:t>
      </w:r>
    </w:p>
    <w:p>
      <w:pPr>
        <w:spacing w:after="0" w:line="68" w:lineRule="exact"/>
        <w:rPr>
          <w:sz w:val="20"/>
          <w:szCs w:val="20"/>
          <w:color w:val="auto"/>
        </w:rPr>
      </w:pPr>
    </w:p>
    <w:p>
      <w:pPr>
        <w:ind w:left="140" w:right="180" w:firstLine="437"/>
        <w:spacing w:after="0" w:line="27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ectPr>
          <w:pgSz w:w="12240" w:h="15840" w:orient="portrait"/>
          <w:cols w:equalWidth="0" w:num="1">
            <w:col w:w="11040"/>
          </w:cols>
          <w:pgMar w:left="520" w:top="316" w:right="68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40" w:right="20"/>
        <w:spacing w:after="0" w:line="282" w:lineRule="auto"/>
        <w:rPr>
          <w:sz w:val="20"/>
          <w:szCs w:val="20"/>
          <w:color w:val="auto"/>
        </w:rPr>
      </w:pPr>
      <w:r>
        <w:rPr>
          <w:rFonts w:ascii="Arial" w:cs="Arial" w:eastAsia="Arial" w:hAnsi="Arial"/>
          <w:sz w:val="17"/>
          <w:szCs w:val="17"/>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3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DE1A1E"/>
        </w:rPr>
        <w:t>Subject to Completion</w:t>
      </w:r>
    </w:p>
    <w:p>
      <w:pPr>
        <w:spacing w:after="0" w:line="99"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PRELIMINARY PROSPECTUS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110490</wp:posOffset>
            </wp:positionV>
            <wp:extent cx="1750695" cy="4248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0695"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Common Stock</w:t>
      </w:r>
    </w:p>
    <w:p>
      <w:pPr>
        <w:spacing w:after="0" w:line="4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Preferred Stock</w:t>
      </w:r>
    </w:p>
    <w:p>
      <w:pPr>
        <w:spacing w:after="0" w:line="4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Warrants</w:t>
      </w:r>
    </w:p>
    <w:p>
      <w:pPr>
        <w:spacing w:after="0" w:line="4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Subscription Rights</w:t>
      </w:r>
    </w:p>
    <w:p>
      <w:pPr>
        <w:spacing w:after="0" w:line="4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Debt Securities</w:t>
      </w:r>
    </w:p>
    <w:p>
      <w:pPr>
        <w:spacing w:after="0" w:line="4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Units</w:t>
      </w:r>
    </w:p>
    <w:p>
      <w:pPr>
        <w:spacing w:after="0" w:line="51" w:lineRule="exact"/>
        <w:rPr>
          <w:sz w:val="20"/>
          <w:szCs w:val="20"/>
          <w:color w:val="auto"/>
        </w:rPr>
      </w:pPr>
    </w:p>
    <w:p>
      <w:pPr>
        <w:ind w:left="140" w:right="280" w:firstLine="546"/>
        <w:spacing w:after="0" w:line="294" w:lineRule="auto"/>
        <w:rPr>
          <w:sz w:val="20"/>
          <w:szCs w:val="20"/>
          <w:color w:val="auto"/>
        </w:rPr>
      </w:pPr>
      <w:r>
        <w:rPr>
          <w:rFonts w:ascii="Arial" w:cs="Arial" w:eastAsia="Arial" w:hAnsi="Arial"/>
          <w:sz w:val="17"/>
          <w:szCs w:val="17"/>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30" w:lineRule="exact"/>
        <w:rPr>
          <w:sz w:val="20"/>
          <w:szCs w:val="20"/>
          <w:color w:val="auto"/>
        </w:rPr>
      </w:pPr>
    </w:p>
    <w:p>
      <w:pPr>
        <w:ind w:left="140" w:right="140" w:firstLine="546"/>
        <w:spacing w:after="0" w:line="278" w:lineRule="auto"/>
        <w:rPr>
          <w:sz w:val="20"/>
          <w:szCs w:val="20"/>
          <w:color w:val="auto"/>
        </w:rPr>
      </w:pPr>
      <w:r>
        <w:rPr>
          <w:rFonts w:ascii="Arial" w:cs="Arial" w:eastAsia="Arial" w:hAnsi="Arial"/>
          <w:sz w:val="17"/>
          <w:szCs w:val="17"/>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43" w:lineRule="exact"/>
        <w:rPr>
          <w:sz w:val="20"/>
          <w:szCs w:val="20"/>
          <w:color w:val="auto"/>
        </w:rPr>
      </w:pPr>
    </w:p>
    <w:p>
      <w:pPr>
        <w:ind w:left="140" w:right="340" w:firstLine="546"/>
        <w:spacing w:after="0" w:line="294" w:lineRule="auto"/>
        <w:rPr>
          <w:sz w:val="20"/>
          <w:szCs w:val="20"/>
          <w:color w:val="auto"/>
        </w:rPr>
      </w:pPr>
      <w:r>
        <w:rPr>
          <w:rFonts w:ascii="Arial" w:cs="Arial" w:eastAsia="Arial" w:hAnsi="Arial"/>
          <w:sz w:val="17"/>
          <w:szCs w:val="17"/>
          <w:color w:val="auto"/>
        </w:rPr>
        <w:t>We are managed by PennantPark Investment Advisers, LLC. PennantPark Investment Administration, LLC provides the administrative services necessary for us to operate.</w:t>
      </w:r>
    </w:p>
    <w:p>
      <w:pPr>
        <w:spacing w:after="0" w:line="30" w:lineRule="exact"/>
        <w:rPr>
          <w:sz w:val="20"/>
          <w:szCs w:val="20"/>
          <w:color w:val="auto"/>
        </w:rPr>
      </w:pPr>
    </w:p>
    <w:p>
      <w:pPr>
        <w:ind w:left="140" w:firstLine="546"/>
        <w:spacing w:after="0" w:line="305" w:lineRule="auto"/>
        <w:rPr>
          <w:rFonts w:ascii="Arial" w:cs="Arial" w:eastAsia="Arial" w:hAnsi="Arial"/>
          <w:sz w:val="15"/>
          <w:szCs w:val="15"/>
          <w:color w:val="auto"/>
        </w:rPr>
      </w:pPr>
      <w:r>
        <w:rPr>
          <w:rFonts w:ascii="Arial" w:cs="Arial" w:eastAsia="Arial" w:hAnsi="Arial"/>
          <w:sz w:val="15"/>
          <w:szCs w:val="15"/>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page14">
        <w:r>
          <w:rPr>
            <w:rFonts w:ascii="Arial" w:cs="Arial" w:eastAsia="Arial" w:hAnsi="Arial"/>
            <w:sz w:val="15"/>
            <w:szCs w:val="15"/>
            <w:u w:val="single" w:color="auto"/>
            <w:color w:val="0000EE"/>
          </w:rPr>
          <w:t>Risk Factors</w:t>
        </w:r>
      </w:hyperlink>
      <w:r>
        <w:rPr>
          <w:rFonts w:ascii="Arial" w:cs="Arial" w:eastAsia="Arial" w:hAnsi="Arial"/>
          <w:sz w:val="15"/>
          <w:szCs w:val="15"/>
          <w:color w:val="auto"/>
        </w:rPr>
        <w:t>” on page 9 and “</w:t>
      </w:r>
      <w:hyperlink w:anchor="page69">
        <w:r>
          <w:rPr>
            <w:rFonts w:ascii="Arial" w:cs="Arial" w:eastAsia="Arial" w:hAnsi="Arial"/>
            <w:sz w:val="15"/>
            <w:szCs w:val="15"/>
            <w:u w:val="single" w:color="auto"/>
            <w:color w:val="0000EE"/>
          </w:rPr>
          <w:t>Sales of Common Stock Below Net Asset Value</w:t>
        </w:r>
      </w:hyperlink>
      <w:r>
        <w:rPr>
          <w:rFonts w:ascii="Arial" w:cs="Arial" w:eastAsia="Arial" w:hAnsi="Arial"/>
          <w:sz w:val="15"/>
          <w:szCs w:val="15"/>
          <w:color w:val="auto"/>
        </w:rPr>
        <w:t>” on page 64 of this prospectus for more information.</w:t>
      </w:r>
    </w:p>
    <w:p>
      <w:pPr>
        <w:spacing w:after="0" w:line="30" w:lineRule="exact"/>
        <w:rPr>
          <w:sz w:val="20"/>
          <w:szCs w:val="20"/>
          <w:color w:val="auto"/>
        </w:rPr>
      </w:pPr>
    </w:p>
    <w:p>
      <w:pPr>
        <w:ind w:left="140" w:right="340" w:firstLine="546"/>
        <w:spacing w:after="0" w:line="294" w:lineRule="auto"/>
        <w:rPr>
          <w:sz w:val="20"/>
          <w:szCs w:val="20"/>
          <w:color w:val="auto"/>
        </w:rPr>
      </w:pPr>
      <w:r>
        <w:rPr>
          <w:rFonts w:ascii="Arial" w:cs="Arial" w:eastAsia="Arial" w:hAnsi="Arial"/>
          <w:sz w:val="17"/>
          <w:szCs w:val="17"/>
          <w:color w:val="auto"/>
        </w:rPr>
        <w:t>Our common stock is traded on the NASDAQ Global Select Market under the symbol “PNNT.” The last reported closing price for our common stock on February 28, 2019 was $7.13 per share, and our net asset value on December 31, 2018 was $9.05 per share.</w:t>
      </w:r>
    </w:p>
    <w:p>
      <w:pPr>
        <w:spacing w:after="0" w:line="30" w:lineRule="exact"/>
        <w:rPr>
          <w:sz w:val="20"/>
          <w:szCs w:val="20"/>
          <w:color w:val="auto"/>
        </w:rPr>
      </w:pPr>
    </w:p>
    <w:p>
      <w:pPr>
        <w:ind w:left="140" w:firstLine="546"/>
        <w:spacing w:after="0" w:line="269" w:lineRule="auto"/>
        <w:rPr>
          <w:sz w:val="20"/>
          <w:szCs w:val="20"/>
          <w:color w:val="auto"/>
        </w:rPr>
      </w:pPr>
      <w:r>
        <w:rPr>
          <w:rFonts w:ascii="Arial" w:cs="Arial" w:eastAsia="Arial" w:hAnsi="Arial"/>
          <w:sz w:val="17"/>
          <w:szCs w:val="17"/>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r>
        <w:rPr>
          <w:rFonts w:ascii="Arial" w:cs="Arial" w:eastAsia="Arial" w:hAnsi="Arial"/>
          <w:sz w:val="17"/>
          <w:szCs w:val="17"/>
          <w:color w:val="auto"/>
        </w:rPr>
        <w:t xml:space="preserve"> The information on our website is not incorporated by reference into this prospectus. The SEC also maintains a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45720</wp:posOffset>
            </wp:positionV>
            <wp:extent cx="6934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92" w:lineRule="exact"/>
        <w:rPr>
          <w:sz w:val="20"/>
          <w:szCs w:val="20"/>
          <w:color w:val="auto"/>
        </w:rPr>
      </w:pPr>
    </w:p>
    <w:p>
      <w:pPr>
        <w:ind w:left="140" w:right="60" w:firstLine="437"/>
        <w:spacing w:after="0" w:line="257"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4">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43180</wp:posOffset>
            </wp:positionV>
            <wp:extent cx="6934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127" w:lineRule="exact"/>
        <w:rPr>
          <w:sz w:val="20"/>
          <w:szCs w:val="20"/>
          <w:color w:val="auto"/>
        </w:rPr>
      </w:pPr>
    </w:p>
    <w:p>
      <w:pPr>
        <w:ind w:left="140" w:right="460" w:firstLine="437"/>
        <w:spacing w:after="0" w:line="301"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29210</wp:posOffset>
            </wp:positionV>
            <wp:extent cx="6934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This prospectus may not be used to consummate sales of securities unless accompanied by a prospectus supplement.</w:t>
      </w:r>
    </w:p>
    <w:p>
      <w:pPr>
        <w:spacing w:after="0" w:line="99" w:lineRule="exact"/>
        <w:rPr>
          <w:sz w:val="20"/>
          <w:szCs w:val="20"/>
          <w:color w:val="auto"/>
        </w:rPr>
      </w:pPr>
    </w:p>
    <w:tbl>
      <w:tblPr>
        <w:tblLayout w:type="fixed"/>
        <w:tblInd w:w="4280" w:type="dxa"/>
        <w:tblCellMar>
          <w:top w:w="0" w:type="dxa"/>
          <w:left w:w="0" w:type="dxa"/>
          <w:bottom w:w="0" w:type="dxa"/>
          <w:right w:w="0" w:type="dxa"/>
        </w:tblCellMar>
      </w:tblPr>
      <w:tr>
        <w:trPr>
          <w:trHeight w:val="227"/>
        </w:trPr>
        <w:tc>
          <w:tcPr>
            <w:tcW w:w="1740" w:type="dxa"/>
            <w:vAlign w:val="bottom"/>
          </w:tcPr>
          <w:p>
            <w:pPr>
              <w:spacing w:after="0"/>
              <w:rPr>
                <w:sz w:val="20"/>
                <w:szCs w:val="20"/>
                <w:color w:val="auto"/>
              </w:rPr>
            </w:pPr>
            <w:r>
              <w:rPr>
                <w:rFonts w:ascii="Arial" w:cs="Arial" w:eastAsia="Arial" w:hAnsi="Arial"/>
                <w:sz w:val="17"/>
                <w:szCs w:val="17"/>
                <w:b w:val="1"/>
                <w:bCs w:val="1"/>
                <w:color w:val="auto"/>
              </w:rPr>
              <w:t>Prospectus dated</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 2019</w:t>
            </w:r>
          </w:p>
        </w:tc>
      </w:tr>
    </w:tbl>
    <w:p>
      <w:pPr>
        <w:sectPr>
          <w:pgSz w:w="12240" w:h="15840" w:orient="portrait"/>
          <w:cols w:equalWidth="0" w:num="1">
            <w:col w:w="11040"/>
          </w:cols>
          <w:pgMar w:left="520" w:top="316" w:right="68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firstLine="546"/>
        <w:spacing w:after="0" w:line="268" w:lineRule="auto"/>
        <w:rPr>
          <w:sz w:val="20"/>
          <w:szCs w:val="20"/>
          <w:color w:val="auto"/>
        </w:rPr>
      </w:pPr>
      <w:r>
        <w:rPr>
          <w:rFonts w:ascii="Arial" w:cs="Arial" w:eastAsia="Arial" w:hAnsi="Arial"/>
          <w:sz w:val="17"/>
          <w:szCs w:val="17"/>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286"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6"/>
          </w:tcPr>
          <w:p>
            <w:pPr>
              <w:ind w:left="40"/>
              <w:spacing w:after="0"/>
              <w:rPr>
                <w:sz w:val="20"/>
                <w:szCs w:val="20"/>
                <w:color w:val="auto"/>
              </w:rPr>
            </w:pPr>
            <w:r>
              <w:rPr>
                <w:rFonts w:ascii="Arial" w:cs="Arial" w:eastAsia="Arial" w:hAnsi="Arial"/>
                <w:sz w:val="17"/>
                <w:szCs w:val="17"/>
                <w:b w:val="1"/>
                <w:bCs w:val="1"/>
                <w:color w:val="auto"/>
              </w:rPr>
              <w:t>TABLE OF CONTENTS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10540" w:type="dxa"/>
            <w:vAlign w:val="bottom"/>
            <w:gridSpan w:val="33"/>
            <w:vMerge w:val="restart"/>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PROSPECTUS SUMMARY</w:t>
              </w:r>
            </w:hyperlink>
          </w:p>
        </w:tc>
        <w:tc>
          <w:tcPr>
            <w:tcW w:w="3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67"/>
        </w:trPr>
        <w:tc>
          <w:tcPr>
            <w:tcW w:w="10540" w:type="dxa"/>
            <w:vAlign w:val="bottom"/>
            <w:gridSpan w:val="33"/>
            <w:vMerge w:val="continue"/>
          </w:tcPr>
          <w:p>
            <w:pPr>
              <w:spacing w:after="0"/>
              <w:rPr>
                <w:sz w:val="14"/>
                <w:szCs w:val="14"/>
                <w:color w:val="auto"/>
              </w:rPr>
            </w:pPr>
          </w:p>
        </w:tc>
        <w:tc>
          <w:tcPr>
            <w:tcW w:w="3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0" w:type="dxa"/>
            <w:vAlign w:val="bottom"/>
            <w:tcBorders>
              <w:top w:val="single" w:sz="8" w:color="0000EE"/>
            </w:tcBorders>
            <w:gridSpan w:val="11"/>
          </w:tcPr>
          <w:p>
            <w:pPr>
              <w:spacing w:after="0" w:line="194" w:lineRule="exact"/>
              <w:rPr>
                <w:rFonts w:ascii="Arial" w:cs="Arial" w:eastAsia="Arial" w:hAnsi="Arial"/>
                <w:sz w:val="17"/>
                <w:szCs w:val="17"/>
                <w:color w:val="0000EE"/>
              </w:rPr>
            </w:pPr>
            <w:hyperlink w:anchor="page12">
              <w:r>
                <w:rPr>
                  <w:rFonts w:ascii="Arial" w:cs="Arial" w:eastAsia="Arial" w:hAnsi="Arial"/>
                  <w:sz w:val="17"/>
                  <w:szCs w:val="17"/>
                  <w:color w:val="0000EE"/>
                </w:rPr>
                <w:t>FEES AND EXPENSES</w:t>
              </w:r>
            </w:hyperlink>
          </w:p>
        </w:tc>
        <w:tc>
          <w:tcPr>
            <w:tcW w:w="8540" w:type="dxa"/>
            <w:vAlign w:val="bottom"/>
            <w:gridSpan w:val="22"/>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94"/>
        </w:trPr>
        <w:tc>
          <w:tcPr>
            <w:tcW w:w="1720" w:type="dxa"/>
            <w:vAlign w:val="bottom"/>
            <w:tcBorders>
              <w:top w:val="single" w:sz="8" w:color="0000EE"/>
            </w:tcBorders>
            <w:gridSpan w:val="9"/>
          </w:tcPr>
          <w:p>
            <w:pPr>
              <w:spacing w:after="0" w:line="194" w:lineRule="exact"/>
              <w:rPr>
                <w:rFonts w:ascii="Arial" w:cs="Arial" w:eastAsia="Arial" w:hAnsi="Arial"/>
                <w:sz w:val="17"/>
                <w:szCs w:val="17"/>
                <w:color w:val="0000EE"/>
              </w:rPr>
            </w:pPr>
            <w:hyperlink w:anchor="page14">
              <w:r>
                <w:rPr>
                  <w:rFonts w:ascii="Arial" w:cs="Arial" w:eastAsia="Arial" w:hAnsi="Arial"/>
                  <w:sz w:val="17"/>
                  <w:szCs w:val="17"/>
                  <w:color w:val="0000EE"/>
                </w:rPr>
                <w:t>RISK FACTORS</w:t>
              </w:r>
            </w:hyperlink>
          </w:p>
        </w:tc>
        <w:tc>
          <w:tcPr>
            <w:tcW w:w="8820" w:type="dxa"/>
            <w:vAlign w:val="bottom"/>
            <w:gridSpan w:val="24"/>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33"/>
          </w:tcPr>
          <w:p>
            <w:pPr>
              <w:spacing w:after="0" w:line="194" w:lineRule="exact"/>
              <w:rPr>
                <w:rFonts w:ascii="Arial" w:cs="Arial" w:eastAsia="Arial" w:hAnsi="Arial"/>
                <w:sz w:val="17"/>
                <w:szCs w:val="17"/>
                <w:color w:val="0000EE"/>
              </w:rPr>
            </w:pPr>
            <w:hyperlink w:anchor="page44">
              <w:r>
                <w:rPr>
                  <w:rFonts w:ascii="Arial" w:cs="Arial" w:eastAsia="Arial" w:hAnsi="Arial"/>
                  <w:sz w:val="17"/>
                  <w:szCs w:val="17"/>
                  <w:color w:val="0000EE"/>
                </w:rPr>
                <w:t>FORWARD-LOOKING STATEMENTS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94"/>
        </w:trPr>
        <w:tc>
          <w:tcPr>
            <w:tcW w:w="2820" w:type="dxa"/>
            <w:vAlign w:val="bottom"/>
            <w:tcBorders>
              <w:top w:val="single" w:sz="8" w:color="0000EE"/>
            </w:tcBorders>
            <w:gridSpan w:val="16"/>
          </w:tcPr>
          <w:p>
            <w:pPr>
              <w:spacing w:after="0" w:line="194" w:lineRule="exact"/>
              <w:rPr>
                <w:rFonts w:ascii="Arial" w:cs="Arial" w:eastAsia="Arial" w:hAnsi="Arial"/>
                <w:sz w:val="17"/>
                <w:szCs w:val="17"/>
                <w:color w:val="0000EE"/>
              </w:rPr>
            </w:pPr>
            <w:hyperlink w:anchor="page46">
              <w:r>
                <w:rPr>
                  <w:rFonts w:ascii="Arial" w:cs="Arial" w:eastAsia="Arial" w:hAnsi="Arial"/>
                  <w:sz w:val="17"/>
                  <w:szCs w:val="17"/>
                  <w:color w:val="0000EE"/>
                </w:rPr>
                <w:t>USE OF PROCEEDS</w:t>
              </w:r>
            </w:hyperlink>
          </w:p>
        </w:tc>
        <w:tc>
          <w:tcPr>
            <w:tcW w:w="7720" w:type="dxa"/>
            <w:vAlign w:val="bottom"/>
            <w:gridSpan w:val="17"/>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340" w:type="dxa"/>
            <w:vAlign w:val="bottom"/>
            <w:tcBorders>
              <w:bottom w:val="single" w:sz="8" w:color="0000EE"/>
            </w:tcBorders>
            <w:gridSpan w:val="12"/>
          </w:tcPr>
          <w:p>
            <w:pPr>
              <w:spacing w:after="0" w:line="194" w:lineRule="exact"/>
              <w:rPr>
                <w:rFonts w:ascii="Arial" w:cs="Arial" w:eastAsia="Arial" w:hAnsi="Arial"/>
                <w:sz w:val="17"/>
                <w:szCs w:val="17"/>
                <w:color w:val="0000EE"/>
                <w:w w:val="99"/>
              </w:rPr>
            </w:pPr>
            <w:hyperlink w:anchor="page47">
              <w:r>
                <w:rPr>
                  <w:rFonts w:ascii="Arial" w:cs="Arial" w:eastAsia="Arial" w:hAnsi="Arial"/>
                  <w:sz w:val="17"/>
                  <w:szCs w:val="17"/>
                  <w:color w:val="0000EE"/>
                  <w:w w:val="99"/>
                </w:rPr>
                <w:t>SELECTED FINANCIAL DATA</w:t>
              </w:r>
            </w:hyperlink>
          </w:p>
        </w:tc>
        <w:tc>
          <w:tcPr>
            <w:tcW w:w="8200" w:type="dxa"/>
            <w:vAlign w:val="bottom"/>
            <w:gridSpan w:val="21"/>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94"/>
        </w:trPr>
        <w:tc>
          <w:tcPr>
            <w:tcW w:w="8620" w:type="dxa"/>
            <w:vAlign w:val="bottom"/>
            <w:tcBorders>
              <w:bottom w:val="single" w:sz="8" w:color="0000EE"/>
            </w:tcBorders>
            <w:gridSpan w:val="32"/>
          </w:tcPr>
          <w:p>
            <w:pPr>
              <w:spacing w:after="0" w:line="194" w:lineRule="exact"/>
              <w:rPr>
                <w:rFonts w:ascii="Arial" w:cs="Arial" w:eastAsia="Arial" w:hAnsi="Arial"/>
                <w:sz w:val="17"/>
                <w:szCs w:val="17"/>
                <w:color w:val="0000EE"/>
                <w:w w:val="99"/>
              </w:rPr>
            </w:pPr>
            <w:hyperlink w:anchor="page49">
              <w:r>
                <w:rPr>
                  <w:rFonts w:ascii="Arial" w:cs="Arial" w:eastAsia="Arial" w:hAnsi="Arial"/>
                  <w:sz w:val="17"/>
                  <w:szCs w:val="17"/>
                  <w:color w:val="0000EE"/>
                  <w:w w:val="99"/>
                </w:rPr>
                <w:t>MANAGEMENT’S DISCUSSION AND ANALYSIS OF FINANCIAL CONDITION AND RESULTS OF OPERATIONS</w:t>
              </w:r>
            </w:hyperlink>
          </w:p>
        </w:tc>
        <w:tc>
          <w:tcPr>
            <w:tcW w:w="1920" w:type="dxa"/>
            <w:vAlign w:val="bottom"/>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94"/>
        </w:trPr>
        <w:tc>
          <w:tcPr>
            <w:tcW w:w="1660" w:type="dxa"/>
            <w:vAlign w:val="bottom"/>
            <w:tcBorders>
              <w:bottom w:val="single" w:sz="8" w:color="0000EE"/>
            </w:tcBorders>
            <w:gridSpan w:val="8"/>
          </w:tcPr>
          <w:p>
            <w:pPr>
              <w:spacing w:after="0" w:line="194" w:lineRule="exact"/>
              <w:rPr>
                <w:rFonts w:ascii="Arial" w:cs="Arial" w:eastAsia="Arial" w:hAnsi="Arial"/>
                <w:sz w:val="17"/>
                <w:szCs w:val="17"/>
                <w:color w:val="0000EE"/>
                <w:w w:val="95"/>
              </w:rPr>
            </w:pPr>
            <w:hyperlink w:anchor="page67">
              <w:r>
                <w:rPr>
                  <w:rFonts w:ascii="Arial" w:cs="Arial" w:eastAsia="Arial" w:hAnsi="Arial"/>
                  <w:sz w:val="17"/>
                  <w:szCs w:val="17"/>
                  <w:color w:val="0000EE"/>
                  <w:w w:val="95"/>
                </w:rPr>
                <w:t>SENIOR SECURITIES</w:t>
              </w:r>
            </w:hyperlink>
          </w:p>
        </w:tc>
        <w:tc>
          <w:tcPr>
            <w:tcW w:w="8880" w:type="dxa"/>
            <w:vAlign w:val="bottom"/>
            <w:gridSpan w:val="25"/>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94"/>
        </w:trPr>
        <w:tc>
          <w:tcPr>
            <w:tcW w:w="2860" w:type="dxa"/>
            <w:vAlign w:val="bottom"/>
            <w:tcBorders>
              <w:bottom w:val="single" w:sz="8" w:color="0000EE"/>
            </w:tcBorders>
            <w:gridSpan w:val="17"/>
          </w:tcPr>
          <w:p>
            <w:pPr>
              <w:spacing w:after="0" w:line="194" w:lineRule="exact"/>
              <w:rPr>
                <w:rFonts w:ascii="Arial" w:cs="Arial" w:eastAsia="Arial" w:hAnsi="Arial"/>
                <w:sz w:val="17"/>
                <w:szCs w:val="17"/>
                <w:color w:val="0000EE"/>
                <w:w w:val="96"/>
              </w:rPr>
            </w:pPr>
            <w:hyperlink w:anchor="page68">
              <w:r>
                <w:rPr>
                  <w:rFonts w:ascii="Arial" w:cs="Arial" w:eastAsia="Arial" w:hAnsi="Arial"/>
                  <w:sz w:val="17"/>
                  <w:szCs w:val="17"/>
                  <w:color w:val="0000EE"/>
                  <w:w w:val="96"/>
                </w:rPr>
                <w:t>PRICE RANGE OF COMMON STOCK</w:t>
              </w:r>
            </w:hyperlink>
          </w:p>
        </w:tc>
        <w:tc>
          <w:tcPr>
            <w:tcW w:w="7680" w:type="dxa"/>
            <w:vAlign w:val="bottom"/>
            <w:gridSpan w:val="16"/>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94"/>
        </w:trPr>
        <w:tc>
          <w:tcPr>
            <w:tcW w:w="4480" w:type="dxa"/>
            <w:vAlign w:val="bottom"/>
            <w:tcBorders>
              <w:bottom w:val="single" w:sz="8" w:color="0000EE"/>
            </w:tcBorders>
            <w:gridSpan w:val="27"/>
          </w:tcPr>
          <w:p>
            <w:pPr>
              <w:spacing w:after="0" w:line="194" w:lineRule="exact"/>
              <w:rPr>
                <w:rFonts w:ascii="Arial" w:cs="Arial" w:eastAsia="Arial" w:hAnsi="Arial"/>
                <w:sz w:val="17"/>
                <w:szCs w:val="17"/>
                <w:color w:val="0000EE"/>
                <w:w w:val="97"/>
              </w:rPr>
            </w:pPr>
            <w:hyperlink w:anchor="page69">
              <w:r>
                <w:rPr>
                  <w:rFonts w:ascii="Arial" w:cs="Arial" w:eastAsia="Arial" w:hAnsi="Arial"/>
                  <w:sz w:val="17"/>
                  <w:szCs w:val="17"/>
                  <w:color w:val="0000EE"/>
                  <w:w w:val="97"/>
                </w:rPr>
                <w:t>SALES OF COMMON STOCK BELOW NET ASSET VALUE</w:t>
              </w:r>
            </w:hyperlink>
          </w:p>
        </w:tc>
        <w:tc>
          <w:tcPr>
            <w:tcW w:w="6060" w:type="dxa"/>
            <w:vAlign w:val="bottom"/>
            <w:gridSpan w:val="6"/>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94"/>
        </w:trPr>
        <w:tc>
          <w:tcPr>
            <w:tcW w:w="10540" w:type="dxa"/>
            <w:vAlign w:val="bottom"/>
            <w:gridSpan w:val="33"/>
          </w:tcPr>
          <w:p>
            <w:pPr>
              <w:spacing w:after="0" w:line="194" w:lineRule="exact"/>
              <w:rPr>
                <w:rFonts w:ascii="Arial" w:cs="Arial" w:eastAsia="Arial" w:hAnsi="Arial"/>
                <w:sz w:val="17"/>
                <w:szCs w:val="17"/>
                <w:color w:val="0000EE"/>
              </w:rPr>
            </w:pPr>
            <w:hyperlink w:anchor="page74">
              <w:r>
                <w:rPr>
                  <w:rFonts w:ascii="Arial" w:cs="Arial" w:eastAsia="Arial" w:hAnsi="Arial"/>
                  <w:sz w:val="17"/>
                  <w:szCs w:val="17"/>
                  <w:color w:val="0000EE"/>
                </w:rPr>
                <w:t>DISTRIBUTIONS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94"/>
        </w:trPr>
        <w:tc>
          <w:tcPr>
            <w:tcW w:w="820" w:type="dxa"/>
            <w:vAlign w:val="bottom"/>
            <w:tcBorders>
              <w:top w:val="single" w:sz="8" w:color="0000EE"/>
              <w:bottom w:val="single" w:sz="8" w:color="0000EE"/>
            </w:tcBorders>
          </w:tcPr>
          <w:p>
            <w:pPr>
              <w:spacing w:after="0" w:line="194" w:lineRule="exact"/>
              <w:rPr>
                <w:rFonts w:ascii="Arial" w:cs="Arial" w:eastAsia="Arial" w:hAnsi="Arial"/>
                <w:sz w:val="17"/>
                <w:szCs w:val="17"/>
                <w:color w:val="0000EE"/>
                <w:w w:val="92"/>
              </w:rPr>
            </w:pPr>
            <w:hyperlink w:anchor="page75">
              <w:r>
                <w:rPr>
                  <w:rFonts w:ascii="Arial" w:cs="Arial" w:eastAsia="Arial" w:hAnsi="Arial"/>
                  <w:sz w:val="17"/>
                  <w:szCs w:val="17"/>
                  <w:color w:val="0000EE"/>
                  <w:w w:val="92"/>
                </w:rPr>
                <w:t>BUSINESS</w:t>
              </w:r>
            </w:hyperlink>
          </w:p>
        </w:tc>
        <w:tc>
          <w:tcPr>
            <w:tcW w:w="480" w:type="dxa"/>
            <w:vAlign w:val="bottom"/>
            <w:tcBorders>
              <w:top w:val="single" w:sz="8" w:color="0000EE"/>
            </w:tcBorders>
            <w:gridSpan w:val="4"/>
          </w:tcPr>
          <w:p>
            <w:pPr>
              <w:spacing w:after="0"/>
              <w:rPr>
                <w:sz w:val="16"/>
                <w:szCs w:val="16"/>
                <w:color w:val="auto"/>
              </w:rPr>
            </w:pPr>
          </w:p>
        </w:tc>
        <w:tc>
          <w:tcPr>
            <w:tcW w:w="9240" w:type="dxa"/>
            <w:vAlign w:val="bottom"/>
            <w:gridSpan w:val="28"/>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94"/>
        </w:trPr>
        <w:tc>
          <w:tcPr>
            <w:tcW w:w="10540" w:type="dxa"/>
            <w:vAlign w:val="bottom"/>
            <w:gridSpan w:val="33"/>
          </w:tcPr>
          <w:p>
            <w:pPr>
              <w:spacing w:after="0" w:line="194" w:lineRule="exact"/>
              <w:rPr>
                <w:rFonts w:ascii="Arial" w:cs="Arial" w:eastAsia="Arial" w:hAnsi="Arial"/>
                <w:sz w:val="17"/>
                <w:szCs w:val="17"/>
                <w:color w:val="0000EE"/>
              </w:rPr>
            </w:pPr>
            <w:hyperlink w:anchor="page79">
              <w:r>
                <w:rPr>
                  <w:rFonts w:ascii="Arial" w:cs="Arial" w:eastAsia="Arial" w:hAnsi="Arial"/>
                  <w:sz w:val="17"/>
                  <w:szCs w:val="17"/>
                  <w:color w:val="0000EE"/>
                </w:rPr>
                <w:t>INVESTMENT OBJECTIVES AND POLICIES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194"/>
        </w:trPr>
        <w:tc>
          <w:tcPr>
            <w:tcW w:w="1980" w:type="dxa"/>
            <w:vAlign w:val="bottom"/>
            <w:tcBorders>
              <w:top w:val="single" w:sz="8" w:color="0000EE"/>
              <w:bottom w:val="single" w:sz="8" w:color="0000EE"/>
            </w:tcBorders>
            <w:gridSpan w:val="10"/>
          </w:tcPr>
          <w:p>
            <w:pPr>
              <w:spacing w:after="0" w:line="194" w:lineRule="exact"/>
              <w:rPr>
                <w:rFonts w:ascii="Arial" w:cs="Arial" w:eastAsia="Arial" w:hAnsi="Arial"/>
                <w:sz w:val="17"/>
                <w:szCs w:val="17"/>
                <w:color w:val="0000EE"/>
                <w:w w:val="95"/>
              </w:rPr>
            </w:pPr>
            <w:hyperlink w:anchor="page86">
              <w:r>
                <w:rPr>
                  <w:rFonts w:ascii="Arial" w:cs="Arial" w:eastAsia="Arial" w:hAnsi="Arial"/>
                  <w:sz w:val="17"/>
                  <w:szCs w:val="17"/>
                  <w:color w:val="0000EE"/>
                  <w:w w:val="95"/>
                </w:rPr>
                <w:t>PORTFOLIO COMPANIES</w:t>
              </w:r>
            </w:hyperlink>
          </w:p>
        </w:tc>
        <w:tc>
          <w:tcPr>
            <w:tcW w:w="1420" w:type="dxa"/>
            <w:vAlign w:val="bottom"/>
            <w:tcBorders>
              <w:top w:val="single" w:sz="8" w:color="0000EE"/>
            </w:tcBorders>
            <w:gridSpan w:val="11"/>
          </w:tcPr>
          <w:p>
            <w:pPr>
              <w:spacing w:after="0"/>
              <w:rPr>
                <w:sz w:val="16"/>
                <w:szCs w:val="16"/>
                <w:color w:val="auto"/>
              </w:rPr>
            </w:pPr>
          </w:p>
        </w:tc>
        <w:tc>
          <w:tcPr>
            <w:tcW w:w="7140" w:type="dxa"/>
            <w:vAlign w:val="bottom"/>
            <w:gridSpan w:val="12"/>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94"/>
        </w:trPr>
        <w:tc>
          <w:tcPr>
            <w:tcW w:w="1260" w:type="dxa"/>
            <w:vAlign w:val="bottom"/>
            <w:tcBorders>
              <w:bottom w:val="single" w:sz="8" w:color="0000EE"/>
            </w:tcBorders>
            <w:gridSpan w:val="4"/>
          </w:tcPr>
          <w:p>
            <w:pPr>
              <w:spacing w:after="0" w:line="194" w:lineRule="exact"/>
              <w:rPr>
                <w:rFonts w:ascii="Arial" w:cs="Arial" w:eastAsia="Arial" w:hAnsi="Arial"/>
                <w:sz w:val="17"/>
                <w:szCs w:val="17"/>
                <w:color w:val="0000EE"/>
              </w:rPr>
            </w:pPr>
            <w:hyperlink w:anchor="page92">
              <w:r>
                <w:rPr>
                  <w:rFonts w:ascii="Arial" w:cs="Arial" w:eastAsia="Arial" w:hAnsi="Arial"/>
                  <w:sz w:val="17"/>
                  <w:szCs w:val="17"/>
                  <w:color w:val="0000EE"/>
                </w:rPr>
                <w:t>MANAGEMENT</w:t>
              </w:r>
            </w:hyperlink>
          </w:p>
        </w:tc>
        <w:tc>
          <w:tcPr>
            <w:tcW w:w="9280" w:type="dxa"/>
            <w:vAlign w:val="bottom"/>
            <w:gridSpan w:val="29"/>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94"/>
        </w:trPr>
        <w:tc>
          <w:tcPr>
            <w:tcW w:w="10540" w:type="dxa"/>
            <w:vAlign w:val="bottom"/>
            <w:gridSpan w:val="33"/>
          </w:tcPr>
          <w:p>
            <w:pPr>
              <w:spacing w:after="0" w:line="194" w:lineRule="exact"/>
              <w:rPr>
                <w:rFonts w:ascii="Arial" w:cs="Arial" w:eastAsia="Arial" w:hAnsi="Arial"/>
                <w:sz w:val="17"/>
                <w:szCs w:val="17"/>
                <w:color w:val="0000EE"/>
              </w:rPr>
            </w:pPr>
            <w:hyperlink w:anchor="page99">
              <w:r>
                <w:rPr>
                  <w:rFonts w:ascii="Arial" w:cs="Arial" w:eastAsia="Arial" w:hAnsi="Arial"/>
                  <w:sz w:val="17"/>
                  <w:szCs w:val="17"/>
                  <w:color w:val="0000EE"/>
                </w:rPr>
                <w:t>CONTROL PERSONS AND PRINCIPAL STOCKHOLDERS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194"/>
        </w:trPr>
        <w:tc>
          <w:tcPr>
            <w:tcW w:w="3880" w:type="dxa"/>
            <w:vAlign w:val="bottom"/>
            <w:tcBorders>
              <w:top w:val="single" w:sz="8" w:color="0000EE"/>
              <w:bottom w:val="single" w:sz="8" w:color="0000EE"/>
            </w:tcBorders>
            <w:gridSpan w:val="24"/>
          </w:tcPr>
          <w:p>
            <w:pPr>
              <w:spacing w:after="0" w:line="194" w:lineRule="exact"/>
              <w:rPr>
                <w:rFonts w:ascii="Arial" w:cs="Arial" w:eastAsia="Arial" w:hAnsi="Arial"/>
                <w:sz w:val="17"/>
                <w:szCs w:val="17"/>
                <w:color w:val="0000EE"/>
                <w:w w:val="97"/>
              </w:rPr>
            </w:pPr>
            <w:hyperlink w:anchor="page100">
              <w:r>
                <w:rPr>
                  <w:rFonts w:ascii="Arial" w:cs="Arial" w:eastAsia="Arial" w:hAnsi="Arial"/>
                  <w:sz w:val="17"/>
                  <w:szCs w:val="17"/>
                  <w:color w:val="0000EE"/>
                  <w:w w:val="97"/>
                </w:rPr>
                <w:t>CERTAIN RELATIONSHIPS AND TRANSACTIONS</w:t>
              </w:r>
            </w:hyperlink>
          </w:p>
        </w:tc>
        <w:tc>
          <w:tcPr>
            <w:tcW w:w="500" w:type="dxa"/>
            <w:vAlign w:val="bottom"/>
            <w:tcBorders>
              <w:top w:val="single" w:sz="8" w:color="0000EE"/>
            </w:tcBorders>
            <w:gridSpan w:val="2"/>
          </w:tcPr>
          <w:p>
            <w:pPr>
              <w:spacing w:after="0"/>
              <w:rPr>
                <w:sz w:val="16"/>
                <w:szCs w:val="16"/>
                <w:color w:val="auto"/>
              </w:rPr>
            </w:pPr>
          </w:p>
        </w:tc>
        <w:tc>
          <w:tcPr>
            <w:tcW w:w="6160" w:type="dxa"/>
            <w:vAlign w:val="bottom"/>
            <w:gridSpan w:val="7"/>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4"/>
        </w:trPr>
        <w:tc>
          <w:tcPr>
            <w:tcW w:w="10540" w:type="dxa"/>
            <w:vAlign w:val="bottom"/>
            <w:gridSpan w:val="33"/>
          </w:tcPr>
          <w:p>
            <w:pPr>
              <w:spacing w:after="0" w:line="194" w:lineRule="exact"/>
              <w:rPr>
                <w:rFonts w:ascii="Arial" w:cs="Arial" w:eastAsia="Arial" w:hAnsi="Arial"/>
                <w:sz w:val="17"/>
                <w:szCs w:val="17"/>
                <w:color w:val="0000EE"/>
              </w:rPr>
            </w:pPr>
            <w:hyperlink w:anchor="page106">
              <w:r>
                <w:rPr>
                  <w:rFonts w:ascii="Arial" w:cs="Arial" w:eastAsia="Arial" w:hAnsi="Arial"/>
                  <w:sz w:val="17"/>
                  <w:szCs w:val="17"/>
                  <w:color w:val="0000EE"/>
                </w:rPr>
                <w:t>DETERMINATION OF NET ASSET VALUE</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4"/>
        </w:trPr>
        <w:tc>
          <w:tcPr>
            <w:tcW w:w="2720" w:type="dxa"/>
            <w:vAlign w:val="bottom"/>
            <w:tcBorders>
              <w:top w:val="single" w:sz="8" w:color="0000EE"/>
              <w:bottom w:val="single" w:sz="8" w:color="0000EE"/>
            </w:tcBorders>
            <w:gridSpan w:val="14"/>
          </w:tcPr>
          <w:p>
            <w:pPr>
              <w:spacing w:after="0" w:line="194" w:lineRule="exact"/>
              <w:rPr>
                <w:rFonts w:ascii="Arial" w:cs="Arial" w:eastAsia="Arial" w:hAnsi="Arial"/>
                <w:sz w:val="17"/>
                <w:szCs w:val="17"/>
                <w:color w:val="0000EE"/>
              </w:rPr>
            </w:pPr>
            <w:hyperlink w:anchor="page109">
              <w:r>
                <w:rPr>
                  <w:rFonts w:ascii="Arial" w:cs="Arial" w:eastAsia="Arial" w:hAnsi="Arial"/>
                  <w:sz w:val="17"/>
                  <w:szCs w:val="17"/>
                  <w:color w:val="0000EE"/>
                </w:rPr>
                <w:t>DIVIDEND REINVESTMENT PLAN</w:t>
              </w:r>
            </w:hyperlink>
          </w:p>
        </w:tc>
        <w:tc>
          <w:tcPr>
            <w:tcW w:w="520" w:type="dxa"/>
            <w:vAlign w:val="bottom"/>
            <w:tcBorders>
              <w:top w:val="single" w:sz="8" w:color="0000EE"/>
            </w:tcBorders>
            <w:gridSpan w:val="5"/>
          </w:tcPr>
          <w:p>
            <w:pPr>
              <w:spacing w:after="0"/>
              <w:rPr>
                <w:sz w:val="16"/>
                <w:szCs w:val="16"/>
                <w:color w:val="auto"/>
              </w:rPr>
            </w:pPr>
          </w:p>
        </w:tc>
        <w:tc>
          <w:tcPr>
            <w:tcW w:w="7300" w:type="dxa"/>
            <w:vAlign w:val="bottom"/>
            <w:gridSpan w:val="14"/>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94"/>
        </w:trPr>
        <w:tc>
          <w:tcPr>
            <w:tcW w:w="3180" w:type="dxa"/>
            <w:vAlign w:val="bottom"/>
            <w:tcBorders>
              <w:bottom w:val="single" w:sz="8" w:color="0000EE"/>
            </w:tcBorders>
            <w:gridSpan w:val="18"/>
          </w:tcPr>
          <w:p>
            <w:pPr>
              <w:spacing w:after="0" w:line="194" w:lineRule="exact"/>
              <w:rPr>
                <w:rFonts w:ascii="Arial" w:cs="Arial" w:eastAsia="Arial" w:hAnsi="Arial"/>
                <w:sz w:val="17"/>
                <w:szCs w:val="17"/>
                <w:color w:val="0000EE"/>
                <w:w w:val="96"/>
              </w:rPr>
            </w:pPr>
            <w:hyperlink w:anchor="page111">
              <w:r>
                <w:rPr>
                  <w:rFonts w:ascii="Arial" w:cs="Arial" w:eastAsia="Arial" w:hAnsi="Arial"/>
                  <w:sz w:val="17"/>
                  <w:szCs w:val="17"/>
                  <w:color w:val="0000EE"/>
                  <w:w w:val="96"/>
                </w:rPr>
                <w:t>DESCRIPTION OF OUR CAPITAL STOCK</w:t>
              </w:r>
            </w:hyperlink>
          </w:p>
        </w:tc>
        <w:tc>
          <w:tcPr>
            <w:tcW w:w="7360" w:type="dxa"/>
            <w:vAlign w:val="bottom"/>
            <w:gridSpan w:val="15"/>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94"/>
        </w:trPr>
        <w:tc>
          <w:tcPr>
            <w:tcW w:w="10540" w:type="dxa"/>
            <w:vAlign w:val="bottom"/>
            <w:gridSpan w:val="33"/>
          </w:tcPr>
          <w:p>
            <w:pPr>
              <w:spacing w:after="0" w:line="194" w:lineRule="exact"/>
              <w:rPr>
                <w:rFonts w:ascii="Arial" w:cs="Arial" w:eastAsia="Arial" w:hAnsi="Arial"/>
                <w:sz w:val="17"/>
                <w:szCs w:val="17"/>
                <w:color w:val="0000EE"/>
              </w:rPr>
            </w:pPr>
            <w:hyperlink w:anchor="page117">
              <w:r>
                <w:rPr>
                  <w:rFonts w:ascii="Arial" w:cs="Arial" w:eastAsia="Arial" w:hAnsi="Arial"/>
                  <w:sz w:val="17"/>
                  <w:szCs w:val="17"/>
                  <w:color w:val="0000EE"/>
                </w:rPr>
                <w:t>DESCRIPTION OF OUR PREFERRED STOCK</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94"/>
        </w:trPr>
        <w:tc>
          <w:tcPr>
            <w:tcW w:w="3440" w:type="dxa"/>
            <w:vAlign w:val="bottom"/>
            <w:tcBorders>
              <w:top w:val="single" w:sz="8" w:color="0000EE"/>
            </w:tcBorders>
            <w:gridSpan w:val="22"/>
          </w:tcPr>
          <w:p>
            <w:pPr>
              <w:spacing w:after="0" w:line="194" w:lineRule="exact"/>
              <w:rPr>
                <w:rFonts w:ascii="Arial" w:cs="Arial" w:eastAsia="Arial" w:hAnsi="Arial"/>
                <w:sz w:val="17"/>
                <w:szCs w:val="17"/>
                <w:color w:val="0000EE"/>
              </w:rPr>
            </w:pPr>
            <w:hyperlink w:anchor="page118">
              <w:r>
                <w:rPr>
                  <w:rFonts w:ascii="Arial" w:cs="Arial" w:eastAsia="Arial" w:hAnsi="Arial"/>
                  <w:sz w:val="17"/>
                  <w:szCs w:val="17"/>
                  <w:color w:val="0000EE"/>
                </w:rPr>
                <w:t>DESCRIPTION OF OUR WARRANTS</w:t>
              </w:r>
            </w:hyperlink>
          </w:p>
        </w:tc>
        <w:tc>
          <w:tcPr>
            <w:tcW w:w="7100" w:type="dxa"/>
            <w:vAlign w:val="bottom"/>
            <w:gridSpan w:val="11"/>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760" w:type="dxa"/>
            <w:vAlign w:val="bottom"/>
            <w:tcBorders>
              <w:bottom w:val="single" w:sz="8" w:color="0000EE"/>
            </w:tcBorders>
            <w:gridSpan w:val="23"/>
          </w:tcPr>
          <w:p>
            <w:pPr>
              <w:spacing w:after="0" w:line="194" w:lineRule="exact"/>
              <w:rPr>
                <w:rFonts w:ascii="Arial" w:cs="Arial" w:eastAsia="Arial" w:hAnsi="Arial"/>
                <w:sz w:val="17"/>
                <w:szCs w:val="17"/>
                <w:color w:val="0000EE"/>
                <w:w w:val="96"/>
              </w:rPr>
            </w:pPr>
            <w:hyperlink w:anchor="page120">
              <w:r>
                <w:rPr>
                  <w:rFonts w:ascii="Arial" w:cs="Arial" w:eastAsia="Arial" w:hAnsi="Arial"/>
                  <w:sz w:val="17"/>
                  <w:szCs w:val="17"/>
                  <w:color w:val="0000EE"/>
                  <w:w w:val="96"/>
                </w:rPr>
                <w:t>DESCRIPTION OF OUR SUBSCRIPTION RIGHTS</w:t>
              </w:r>
            </w:hyperlink>
          </w:p>
        </w:tc>
        <w:tc>
          <w:tcPr>
            <w:tcW w:w="6780" w:type="dxa"/>
            <w:vAlign w:val="bottom"/>
            <w:gridSpan w:val="10"/>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194"/>
        </w:trPr>
        <w:tc>
          <w:tcPr>
            <w:tcW w:w="10540" w:type="dxa"/>
            <w:vAlign w:val="bottom"/>
            <w:gridSpan w:val="33"/>
          </w:tcPr>
          <w:p>
            <w:pPr>
              <w:spacing w:after="0" w:line="194" w:lineRule="exact"/>
              <w:rPr>
                <w:rFonts w:ascii="Arial" w:cs="Arial" w:eastAsia="Arial" w:hAnsi="Arial"/>
                <w:sz w:val="17"/>
                <w:szCs w:val="17"/>
                <w:color w:val="0000EE"/>
              </w:rPr>
            </w:pPr>
            <w:hyperlink w:anchor="page122">
              <w:r>
                <w:rPr>
                  <w:rFonts w:ascii="Arial" w:cs="Arial" w:eastAsia="Arial" w:hAnsi="Arial"/>
                  <w:sz w:val="17"/>
                  <w:szCs w:val="17"/>
                  <w:color w:val="0000EE"/>
                </w:rPr>
                <w:t>DESCRIPTION OF OUR DEBT SECURITIES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194"/>
        </w:trPr>
        <w:tc>
          <w:tcPr>
            <w:tcW w:w="2360" w:type="dxa"/>
            <w:vAlign w:val="bottom"/>
            <w:tcBorders>
              <w:top w:val="single" w:sz="8" w:color="0000EE"/>
              <w:bottom w:val="single" w:sz="8" w:color="0000EE"/>
            </w:tcBorders>
            <w:gridSpan w:val="13"/>
          </w:tcPr>
          <w:p>
            <w:pPr>
              <w:spacing w:after="0" w:line="194" w:lineRule="exact"/>
              <w:rPr>
                <w:rFonts w:ascii="Arial" w:cs="Arial" w:eastAsia="Arial" w:hAnsi="Arial"/>
                <w:sz w:val="17"/>
                <w:szCs w:val="17"/>
                <w:color w:val="0000EE"/>
                <w:w w:val="96"/>
              </w:rPr>
            </w:pPr>
            <w:hyperlink w:anchor="page136">
              <w:r>
                <w:rPr>
                  <w:rFonts w:ascii="Arial" w:cs="Arial" w:eastAsia="Arial" w:hAnsi="Arial"/>
                  <w:sz w:val="17"/>
                  <w:szCs w:val="17"/>
                  <w:color w:val="0000EE"/>
                  <w:w w:val="96"/>
                </w:rPr>
                <w:t>DESCRIPTION OF OUR UNITS</w:t>
              </w:r>
            </w:hyperlink>
          </w:p>
        </w:tc>
        <w:tc>
          <w:tcPr>
            <w:tcW w:w="960" w:type="dxa"/>
            <w:vAlign w:val="bottom"/>
            <w:tcBorders>
              <w:top w:val="single" w:sz="8" w:color="0000EE"/>
            </w:tcBorders>
            <w:gridSpan w:val="7"/>
          </w:tcPr>
          <w:p>
            <w:pPr>
              <w:spacing w:after="0"/>
              <w:rPr>
                <w:sz w:val="16"/>
                <w:szCs w:val="16"/>
                <w:color w:val="auto"/>
              </w:rPr>
            </w:pPr>
          </w:p>
        </w:tc>
        <w:tc>
          <w:tcPr>
            <w:tcW w:w="7220" w:type="dxa"/>
            <w:vAlign w:val="bottom"/>
            <w:gridSpan w:val="13"/>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194"/>
        </w:trPr>
        <w:tc>
          <w:tcPr>
            <w:tcW w:w="1100" w:type="dxa"/>
            <w:vAlign w:val="bottom"/>
            <w:tcBorders>
              <w:bottom w:val="single" w:sz="8" w:color="0000EE"/>
            </w:tcBorders>
            <w:gridSpan w:val="2"/>
          </w:tcPr>
          <w:p>
            <w:pPr>
              <w:spacing w:after="0" w:line="194" w:lineRule="exact"/>
              <w:rPr>
                <w:rFonts w:ascii="Arial" w:cs="Arial" w:eastAsia="Arial" w:hAnsi="Arial"/>
                <w:sz w:val="17"/>
                <w:szCs w:val="17"/>
                <w:color w:val="0000EE"/>
                <w:w w:val="97"/>
              </w:rPr>
            </w:pPr>
            <w:hyperlink w:anchor="page137">
              <w:r>
                <w:rPr>
                  <w:rFonts w:ascii="Arial" w:cs="Arial" w:eastAsia="Arial" w:hAnsi="Arial"/>
                  <w:sz w:val="17"/>
                  <w:szCs w:val="17"/>
                  <w:color w:val="0000EE"/>
                  <w:w w:val="97"/>
                </w:rPr>
                <w:t>REGULATION</w:t>
              </w:r>
            </w:hyperlink>
          </w:p>
        </w:tc>
        <w:tc>
          <w:tcPr>
            <w:tcW w:w="9440" w:type="dxa"/>
            <w:vAlign w:val="bottom"/>
            <w:gridSpan w:val="31"/>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194"/>
        </w:trPr>
        <w:tc>
          <w:tcPr>
            <w:tcW w:w="10540" w:type="dxa"/>
            <w:vAlign w:val="bottom"/>
            <w:gridSpan w:val="33"/>
          </w:tcPr>
          <w:p>
            <w:pPr>
              <w:spacing w:after="0" w:line="194" w:lineRule="exact"/>
              <w:rPr>
                <w:rFonts w:ascii="Arial" w:cs="Arial" w:eastAsia="Arial" w:hAnsi="Arial"/>
                <w:sz w:val="17"/>
                <w:szCs w:val="17"/>
                <w:color w:val="0000EE"/>
              </w:rPr>
            </w:pPr>
            <w:hyperlink w:anchor="page143">
              <w:r>
                <w:rPr>
                  <w:rFonts w:ascii="Arial" w:cs="Arial" w:eastAsia="Arial" w:hAnsi="Arial"/>
                  <w:sz w:val="17"/>
                  <w:szCs w:val="17"/>
                  <w:color w:val="0000EE"/>
                </w:rPr>
                <w:t>BROKERAGE ALLOCATIONS AND OTHER PRACTICES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40" w:type="dxa"/>
            <w:vAlign w:val="bottom"/>
            <w:tcBorders>
              <w:right w:val="single" w:sz="8" w:color="0000EE"/>
            </w:tcBorders>
            <w:gridSpan w:val="15"/>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33"/>
          </w:tcPr>
          <w:p>
            <w:pPr>
              <w:spacing w:after="0" w:line="194" w:lineRule="exact"/>
              <w:rPr>
                <w:rFonts w:ascii="Arial" w:cs="Arial" w:eastAsia="Arial" w:hAnsi="Arial"/>
                <w:sz w:val="17"/>
                <w:szCs w:val="17"/>
                <w:color w:val="0000EE"/>
              </w:rPr>
            </w:pPr>
            <w:hyperlink w:anchor="page144">
              <w:r>
                <w:rPr>
                  <w:rFonts w:ascii="Arial" w:cs="Arial" w:eastAsia="Arial" w:hAnsi="Arial"/>
                  <w:sz w:val="17"/>
                  <w:szCs w:val="17"/>
                  <w:color w:val="0000EE"/>
                </w:rPr>
                <w:t>MATERIAL U.S. FEDERAL INCOME TAX CONSIDERATIONS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194"/>
        </w:trPr>
        <w:tc>
          <w:tcPr>
            <w:tcW w:w="1980" w:type="dxa"/>
            <w:vAlign w:val="bottom"/>
            <w:tcBorders>
              <w:top w:val="single" w:sz="8" w:color="0000EE"/>
              <w:bottom w:val="single" w:sz="8" w:color="0000EE"/>
            </w:tcBorders>
            <w:gridSpan w:val="10"/>
          </w:tcPr>
          <w:p>
            <w:pPr>
              <w:spacing w:after="0" w:line="194" w:lineRule="exact"/>
              <w:rPr>
                <w:rFonts w:ascii="Arial" w:cs="Arial" w:eastAsia="Arial" w:hAnsi="Arial"/>
                <w:sz w:val="17"/>
                <w:szCs w:val="17"/>
                <w:color w:val="0000EE"/>
                <w:w w:val="99"/>
              </w:rPr>
            </w:pPr>
            <w:hyperlink w:anchor="page151">
              <w:r>
                <w:rPr>
                  <w:rFonts w:ascii="Arial" w:cs="Arial" w:eastAsia="Arial" w:hAnsi="Arial"/>
                  <w:sz w:val="17"/>
                  <w:szCs w:val="17"/>
                  <w:color w:val="0000EE"/>
                  <w:w w:val="99"/>
                </w:rPr>
                <w:t>PLAN OF DISTRIBUTION</w:t>
              </w:r>
            </w:hyperlink>
          </w:p>
        </w:tc>
        <w:tc>
          <w:tcPr>
            <w:tcW w:w="2720" w:type="dxa"/>
            <w:vAlign w:val="bottom"/>
            <w:tcBorders>
              <w:top w:val="single" w:sz="8" w:color="0000EE"/>
            </w:tcBorders>
            <w:gridSpan w:val="18"/>
          </w:tcPr>
          <w:p>
            <w:pPr>
              <w:spacing w:after="0"/>
              <w:rPr>
                <w:sz w:val="16"/>
                <w:szCs w:val="16"/>
                <w:color w:val="auto"/>
              </w:rPr>
            </w:pPr>
          </w:p>
        </w:tc>
        <w:tc>
          <w:tcPr>
            <w:tcW w:w="5840" w:type="dxa"/>
            <w:vAlign w:val="bottom"/>
            <w:gridSpan w:val="5"/>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194"/>
        </w:trPr>
        <w:tc>
          <w:tcPr>
            <w:tcW w:w="10540" w:type="dxa"/>
            <w:vAlign w:val="bottom"/>
            <w:gridSpan w:val="33"/>
          </w:tcPr>
          <w:p>
            <w:pPr>
              <w:spacing w:after="0" w:line="194" w:lineRule="exact"/>
              <w:rPr>
                <w:rFonts w:ascii="Arial" w:cs="Arial" w:eastAsia="Arial" w:hAnsi="Arial"/>
                <w:sz w:val="17"/>
                <w:szCs w:val="17"/>
                <w:color w:val="0000EE"/>
              </w:rPr>
            </w:pPr>
            <w:hyperlink w:anchor="page153">
              <w:r>
                <w:rPr>
                  <w:rFonts w:ascii="Arial" w:cs="Arial" w:eastAsia="Arial" w:hAnsi="Arial"/>
                  <w:sz w:val="17"/>
                  <w:szCs w:val="17"/>
                  <w:color w:val="0000EE"/>
                </w:rPr>
                <w:t>INCORPORATION OF CERTAIN INFORMATION BY REFERENCE</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2920" w:type="dxa"/>
            <w:vAlign w:val="bottom"/>
            <w:tcBorders>
              <w:right w:val="single" w:sz="8" w:color="0000EE"/>
            </w:tcBorders>
            <w:gridSpan w:val="19"/>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40" w:type="dxa"/>
            <w:vAlign w:val="bottom"/>
            <w:tcBorders>
              <w:bottom w:val="single" w:sz="8" w:color="0000EE"/>
            </w:tcBorders>
            <w:gridSpan w:val="30"/>
          </w:tcPr>
          <w:p>
            <w:pPr>
              <w:spacing w:after="0" w:line="194" w:lineRule="exact"/>
              <w:rPr>
                <w:rFonts w:ascii="Arial" w:cs="Arial" w:eastAsia="Arial" w:hAnsi="Arial"/>
                <w:sz w:val="17"/>
                <w:szCs w:val="17"/>
                <w:color w:val="0000EE"/>
                <w:w w:val="98"/>
              </w:rPr>
            </w:pPr>
            <w:hyperlink w:anchor="page154">
              <w:r>
                <w:rPr>
                  <w:rFonts w:ascii="Arial" w:cs="Arial" w:eastAsia="Arial" w:hAnsi="Arial"/>
                  <w:sz w:val="17"/>
                  <w:szCs w:val="17"/>
                  <w:color w:val="0000EE"/>
                  <w:w w:val="98"/>
                </w:rPr>
                <w:t>SUB-ADMINISTRATOR, CUSTODIAN, TRANSFER AGENT AND TRUSTEE</w:t>
              </w:r>
            </w:hyperlink>
          </w:p>
        </w:tc>
        <w:tc>
          <w:tcPr>
            <w:tcW w:w="4800" w:type="dxa"/>
            <w:vAlign w:val="bottom"/>
            <w:gridSpan w:val="3"/>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194"/>
        </w:trPr>
        <w:tc>
          <w:tcPr>
            <w:tcW w:w="1400" w:type="dxa"/>
            <w:vAlign w:val="bottom"/>
            <w:tcBorders>
              <w:bottom w:val="single" w:sz="8" w:color="0000EE"/>
            </w:tcBorders>
            <w:gridSpan w:val="6"/>
          </w:tcPr>
          <w:p>
            <w:pPr>
              <w:spacing w:after="0" w:line="194" w:lineRule="exact"/>
              <w:rPr>
                <w:rFonts w:ascii="Arial" w:cs="Arial" w:eastAsia="Arial" w:hAnsi="Arial"/>
                <w:sz w:val="17"/>
                <w:szCs w:val="17"/>
                <w:color w:val="0000EE"/>
                <w:w w:val="98"/>
              </w:rPr>
            </w:pPr>
            <w:hyperlink w:anchor="page154">
              <w:r>
                <w:rPr>
                  <w:rFonts w:ascii="Arial" w:cs="Arial" w:eastAsia="Arial" w:hAnsi="Arial"/>
                  <w:sz w:val="17"/>
                  <w:szCs w:val="17"/>
                  <w:color w:val="0000EE"/>
                  <w:w w:val="98"/>
                </w:rPr>
                <w:t>LEGAL MATTERS</w:t>
              </w:r>
            </w:hyperlink>
          </w:p>
        </w:tc>
        <w:tc>
          <w:tcPr>
            <w:tcW w:w="9140" w:type="dxa"/>
            <w:vAlign w:val="bottom"/>
            <w:gridSpan w:val="27"/>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194"/>
        </w:trPr>
        <w:tc>
          <w:tcPr>
            <w:tcW w:w="6720" w:type="dxa"/>
            <w:vAlign w:val="bottom"/>
            <w:tcBorders>
              <w:bottom w:val="single" w:sz="8" w:color="0000EE"/>
            </w:tcBorders>
            <w:gridSpan w:val="31"/>
          </w:tcPr>
          <w:p>
            <w:pPr>
              <w:spacing w:after="0" w:line="194" w:lineRule="exact"/>
              <w:rPr>
                <w:rFonts w:ascii="Arial" w:cs="Arial" w:eastAsia="Arial" w:hAnsi="Arial"/>
                <w:sz w:val="17"/>
                <w:szCs w:val="17"/>
                <w:color w:val="0000EE"/>
                <w:w w:val="99"/>
              </w:rPr>
            </w:pPr>
            <w:hyperlink w:anchor="page154">
              <w:r>
                <w:rPr>
                  <w:rFonts w:ascii="Arial" w:cs="Arial" w:eastAsia="Arial" w:hAnsi="Arial"/>
                  <w:sz w:val="17"/>
                  <w:szCs w:val="17"/>
                  <w:color w:val="0000EE"/>
                  <w:w w:val="99"/>
                </w:rPr>
                <w:t>INDEPENDENT REGISTERED PUBLIC ACCOUNTING FIRM/INDEPENDENT AUDITOR</w:t>
              </w:r>
            </w:hyperlink>
          </w:p>
        </w:tc>
        <w:tc>
          <w:tcPr>
            <w:tcW w:w="3820" w:type="dxa"/>
            <w:vAlign w:val="bottom"/>
            <w:gridSpan w:val="2"/>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194"/>
        </w:trPr>
        <w:tc>
          <w:tcPr>
            <w:tcW w:w="4320" w:type="dxa"/>
            <w:vAlign w:val="bottom"/>
            <w:tcBorders>
              <w:bottom w:val="single" w:sz="8" w:color="0000EE"/>
            </w:tcBorders>
            <w:gridSpan w:val="25"/>
          </w:tcPr>
          <w:p>
            <w:pPr>
              <w:spacing w:after="0" w:line="194" w:lineRule="exact"/>
              <w:rPr>
                <w:rFonts w:ascii="Arial" w:cs="Arial" w:eastAsia="Arial" w:hAnsi="Arial"/>
                <w:sz w:val="17"/>
                <w:szCs w:val="17"/>
                <w:color w:val="0000EE"/>
                <w:w w:val="99"/>
              </w:rPr>
            </w:pPr>
            <w:hyperlink w:anchor="page155">
              <w:r>
                <w:rPr>
                  <w:rFonts w:ascii="Arial" w:cs="Arial" w:eastAsia="Arial" w:hAnsi="Arial"/>
                  <w:sz w:val="17"/>
                  <w:szCs w:val="17"/>
                  <w:color w:val="0000EE"/>
                  <w:w w:val="99"/>
                </w:rPr>
                <w:t>INDEX TO CONSOLIDATED FINANCIAL STATEMENTS</w:t>
              </w:r>
            </w:hyperlink>
          </w:p>
        </w:tc>
        <w:tc>
          <w:tcPr>
            <w:tcW w:w="6220" w:type="dxa"/>
            <w:vAlign w:val="bottom"/>
            <w:gridSpan w:val="8"/>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w:t>
      </w:r>
    </w:p>
    <w:p>
      <w:pPr>
        <w:sectPr>
          <w:pgSz w:w="12240" w:h="15840" w:orient="portrait"/>
          <w:cols w:equalWidth="0" w:num="1">
            <w:col w:w="11000"/>
          </w:cols>
          <w:pgMar w:left="520" w:top="316" w:right="72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ABOUT THIS PROSPECTUS</w:t>
      </w:r>
    </w:p>
    <w:p>
      <w:pPr>
        <w:spacing w:after="0" w:line="185" w:lineRule="exact"/>
        <w:rPr>
          <w:sz w:val="20"/>
          <w:szCs w:val="20"/>
          <w:color w:val="auto"/>
        </w:rPr>
      </w:pPr>
    </w:p>
    <w:p>
      <w:pPr>
        <w:ind w:left="140" w:firstLine="546"/>
        <w:spacing w:after="0" w:line="304"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ii</w:t>
      </w:r>
    </w:p>
    <w:p>
      <w:pPr>
        <w:sectPr>
          <w:pgSz w:w="12240" w:h="15840" w:orient="portrait"/>
          <w:cols w:equalWidth="0" w:num="1">
            <w:col w:w="11020"/>
          </w:cols>
          <w:pgMar w:left="520" w:top="316" w:right="70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200660</wp:posOffset>
            </wp:positionV>
            <wp:extent cx="6938645" cy="5638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8645" cy="563816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320" w:firstLine="422"/>
        <w:spacing w:after="0" w:line="282"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all of which are consolidated with PennantPark Investment for financial reporting purposes; “PennantPark Investment Advisers” or “Investment Adviser” refers to PennantPark Investment Advisers, LLC; “PennantPark Investment Administration” or “Administrator” refers to PennantPark Investment Administration, LLC; “SBA” refers to the Small Business Administration; “Credit Facility” refers to our multi-currency, senior secured revolving credit facility, as amended and restated; “2025 Notes” refers to our 6.25% notes due 2025; “2019 Notes” refers to our 4.50% notes due 2019; “our Notes” refers, collectively, to our 2025 Notes and our 2019 Notes;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18" w:lineRule="exact"/>
        <w:rPr>
          <w:sz w:val="20"/>
          <w:szCs w:val="20"/>
          <w:color w:val="auto"/>
        </w:rPr>
      </w:pPr>
    </w:p>
    <w:p>
      <w:pPr>
        <w:ind w:left="320" w:right="160" w:firstLine="422"/>
        <w:spacing w:after="0" w:line="259"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46" w:lineRule="exact"/>
        <w:rPr>
          <w:sz w:val="20"/>
          <w:szCs w:val="20"/>
          <w:color w:val="auto"/>
        </w:rPr>
      </w:pPr>
    </w:p>
    <w:p>
      <w:pPr>
        <w:ind w:left="320" w:right="40" w:firstLine="422"/>
        <w:spacing w:after="0" w:line="266" w:lineRule="auto"/>
        <w:rPr>
          <w:sz w:val="20"/>
          <w:szCs w:val="20"/>
          <w:color w:val="auto"/>
        </w:rPr>
      </w:pPr>
      <w:r>
        <w:rPr>
          <w:rFonts w:ascii="Arial" w:cs="Arial" w:eastAsia="Arial" w:hAnsi="Arial"/>
          <w:sz w:val="17"/>
          <w:szCs w:val="17"/>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2240" w:h="15840" w:orient="portrait"/>
          <w:cols w:equalWidth="0" w:num="1">
            <w:col w:w="10860"/>
          </w:cols>
          <w:pgMar w:left="520" w:top="316" w:right="86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200660</wp:posOffset>
            </wp:positionV>
            <wp:extent cx="6938645" cy="5587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8645" cy="55873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20" w:firstLine="422"/>
        <w:spacing w:after="0" w:line="293"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 For a description of our Credit Facility, please see “Management’s Discussion and Analysis of Financial Condition and Results of Operations—Liquidity and Capital Resources.”</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18" w:lineRule="exact"/>
        <w:rPr>
          <w:sz w:val="20"/>
          <w:szCs w:val="20"/>
          <w:color w:val="auto"/>
        </w:rPr>
      </w:pPr>
    </w:p>
    <w:p>
      <w:pPr>
        <w:ind w:left="320" w:right="240" w:firstLine="422"/>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6" w:lineRule="exact"/>
        <w:rPr>
          <w:sz w:val="20"/>
          <w:szCs w:val="20"/>
          <w:color w:val="auto"/>
        </w:rPr>
      </w:pPr>
    </w:p>
    <w:p>
      <w:pPr>
        <w:ind w:left="320" w:right="20" w:firstLine="422"/>
        <w:spacing w:after="0" w:line="270" w:lineRule="auto"/>
        <w:rPr>
          <w:sz w:val="20"/>
          <w:szCs w:val="20"/>
          <w:color w:val="auto"/>
        </w:rPr>
      </w:pPr>
      <w:r>
        <w:rPr>
          <w:rFonts w:ascii="Arial" w:cs="Arial" w:eastAsia="Arial" w:hAnsi="Arial"/>
          <w:sz w:val="17"/>
          <w:szCs w:val="17"/>
          <w:color w:val="auto"/>
        </w:rPr>
        <w:t>Our wholly owned subsidiaries, SBIC LP and SBIC II, were organized in Delaware as limited partnerships in May 2010 and July 2012, respectively. SBIC LP and SBIC II received licenses from the SBA to operate as SBICs under Section 301(c) of the Small Business Investment Act of 1958, as amended, or the 1958 Act, in 2010 and 2013, respectively. As of December 31, 2018, SBIC LP and SBIC II held approximately $80.5 million and $226.6 million in assets, respectively, which accounted for 6.6% and 18.5% of our total assets.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18" w:lineRule="exact"/>
        <w:rPr>
          <w:sz w:val="20"/>
          <w:szCs w:val="20"/>
          <w:color w:val="auto"/>
        </w:rPr>
      </w:pPr>
    </w:p>
    <w:p>
      <w:pPr>
        <w:ind w:left="320" w:firstLine="422"/>
        <w:spacing w:after="0" w:line="286"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$8.8 billion in 507 companies with approximately 180 different financial sponsors through its managed funds.</w:t>
      </w:r>
    </w:p>
    <w:p>
      <w:pPr>
        <w:spacing w:after="0" w:line="168" w:lineRule="exact"/>
        <w:rPr>
          <w:sz w:val="20"/>
          <w:szCs w:val="20"/>
          <w:color w:val="auto"/>
        </w:rPr>
      </w:pPr>
    </w:p>
    <w:p>
      <w:pPr>
        <w:ind w:left="320" w:right="240" w:firstLine="422"/>
        <w:spacing w:after="0" w:line="268"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2240" w:h="15840" w:orient="portrait"/>
          <w:cols w:equalWidth="0" w:num="1">
            <w:col w:w="10860"/>
          </w:cols>
          <w:pgMar w:left="520" w:top="316" w:right="86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200660</wp:posOffset>
            </wp:positionV>
            <wp:extent cx="6938645" cy="6335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8645" cy="633539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Market Opportunity</w:t>
      </w:r>
    </w:p>
    <w:p>
      <w:pPr>
        <w:spacing w:after="0" w:line="118" w:lineRule="exact"/>
        <w:rPr>
          <w:sz w:val="20"/>
          <w:szCs w:val="20"/>
          <w:color w:val="auto"/>
        </w:rPr>
      </w:pPr>
    </w:p>
    <w:p>
      <w:pPr>
        <w:ind w:left="320" w:right="20" w:firstLine="422"/>
        <w:spacing w:after="0" w:line="290"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for more information.</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Competitive Advantages</w:t>
      </w:r>
    </w:p>
    <w:p>
      <w:pPr>
        <w:spacing w:after="0" w:line="118" w:lineRule="exact"/>
        <w:rPr>
          <w:sz w:val="20"/>
          <w:szCs w:val="20"/>
          <w:color w:val="auto"/>
        </w:rPr>
      </w:pPr>
    </w:p>
    <w:p>
      <w:pPr>
        <w:ind w:left="320" w:right="100" w:firstLine="422"/>
        <w:spacing w:after="0" w:line="254"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left="320" w:right="40" w:firstLine="422"/>
        <w:spacing w:after="0" w:line="252"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95" w:lineRule="exact"/>
        <w:rPr>
          <w:sz w:val="20"/>
          <w:szCs w:val="20"/>
          <w:color w:val="auto"/>
        </w:rPr>
      </w:pPr>
    </w:p>
    <w:p>
      <w:pPr>
        <w:ind w:left="320" w:right="120" w:firstLine="422"/>
        <w:spacing w:after="0" w:line="252"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Leverage</w:t>
      </w:r>
    </w:p>
    <w:p>
      <w:pPr>
        <w:spacing w:after="0" w:line="118" w:lineRule="exact"/>
        <w:rPr>
          <w:sz w:val="20"/>
          <w:szCs w:val="20"/>
          <w:color w:val="auto"/>
        </w:rPr>
      </w:pPr>
    </w:p>
    <w:p>
      <w:pPr>
        <w:ind w:left="320" w:firstLine="422"/>
        <w:spacing w:after="0" w:line="252" w:lineRule="auto"/>
        <w:rPr>
          <w:sz w:val="20"/>
          <w:szCs w:val="20"/>
          <w:color w:val="auto"/>
        </w:rPr>
      </w:pPr>
      <w:r>
        <w:rPr>
          <w:rFonts w:ascii="Arial" w:cs="Arial" w:eastAsia="Arial" w:hAnsi="Arial"/>
          <w:sz w:val="18"/>
          <w:szCs w:val="18"/>
          <w:color w:val="auto"/>
        </w:rPr>
        <w:t>We currently use and expect to continue to use leverage to make investments. As a result, we may continue to be exposed to the risks associated with leverage. See “Risk Factors—Risks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110% and 150% of our net assets. We cannot assure investors that our leverage will remain within that range. The amount of leverage that we employ will depend on our assessment of the market and other factors at the time of any proposed borrowing.</w:t>
      </w:r>
    </w:p>
    <w:p>
      <w:pPr>
        <w:spacing w:after="0" w:line="195" w:lineRule="exact"/>
        <w:rPr>
          <w:sz w:val="20"/>
          <w:szCs w:val="20"/>
          <w:color w:val="auto"/>
        </w:rPr>
      </w:pPr>
    </w:p>
    <w:p>
      <w:pPr>
        <w:ind w:left="320" w:right="40" w:firstLine="422"/>
        <w:spacing w:after="0" w:line="259" w:lineRule="auto"/>
        <w:rPr>
          <w:sz w:val="20"/>
          <w:szCs w:val="20"/>
          <w:color w:val="auto"/>
        </w:rPr>
      </w:pPr>
      <w:r>
        <w:rPr>
          <w:rFonts w:ascii="Arial" w:cs="Arial" w:eastAsia="Arial" w:hAnsi="Arial"/>
          <w:sz w:val="18"/>
          <w:szCs w:val="18"/>
          <w:color w:val="auto"/>
        </w:rPr>
        <w:t>On November 13, 2018 and February 5, 2019, our board of directors and stockholders, respectively, approved the application of the modified asset coverage requirements set forth in Section 61(a)(2) of the 1940 Act, as amended by the Consolidated Appropriations Act of 2018 (which includes the Small Business Credit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2240" w:h="15840" w:orient="portrait"/>
          <w:cols w:equalWidth="0" w:num="1">
            <w:col w:w="10860"/>
          </w:cols>
          <w:pgMar w:left="520" w:top="316" w:right="86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200660</wp:posOffset>
            </wp:positionV>
            <wp:extent cx="6938645" cy="5995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8645" cy="59950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20" w:right="500"/>
        <w:spacing w:after="0" w:line="282" w:lineRule="auto"/>
        <w:rPr>
          <w:sz w:val="20"/>
          <w:szCs w:val="20"/>
          <w:color w:val="auto"/>
        </w:rPr>
      </w:pPr>
      <w:r>
        <w:rPr>
          <w:rFonts w:ascii="Arial" w:cs="Arial" w:eastAsia="Arial" w:hAnsi="Arial"/>
          <w:sz w:val="17"/>
          <w:szCs w:val="17"/>
          <w:color w:val="auto"/>
        </w:rPr>
        <w:t>Availability Act, or SBCAA). As a result, the asset coverage requirements applicable to us for senior securities reduced from 200% to 150% effective as of February 5, 2019, subject to compliance with certain disclosure requirements. See “Management’s Discussion and Analysis of Financial Condition and Results of Operations—Liquidity and Capital Resources” for more information.</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Operating and Regulatory Structure</w:t>
      </w:r>
    </w:p>
    <w:p>
      <w:pPr>
        <w:spacing w:after="0" w:line="118" w:lineRule="exact"/>
        <w:rPr>
          <w:sz w:val="20"/>
          <w:szCs w:val="20"/>
          <w:color w:val="auto"/>
        </w:rPr>
      </w:pPr>
    </w:p>
    <w:p>
      <w:pPr>
        <w:ind w:left="320" w:right="20" w:firstLine="422"/>
        <w:spacing w:after="0" w:line="297"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60" w:lineRule="exact"/>
        <w:rPr>
          <w:sz w:val="20"/>
          <w:szCs w:val="20"/>
          <w:color w:val="auto"/>
        </w:rPr>
      </w:pPr>
    </w:p>
    <w:p>
      <w:pPr>
        <w:ind w:left="320" w:firstLine="422"/>
        <w:spacing w:after="0" w:line="270" w:lineRule="auto"/>
        <w:rPr>
          <w:sz w:val="20"/>
          <w:szCs w:val="20"/>
          <w:color w:val="auto"/>
        </w:rPr>
      </w:pPr>
      <w:r>
        <w:rPr>
          <w:rFonts w:ascii="Arial" w:cs="Arial" w:eastAsia="Arial" w:hAnsi="Arial"/>
          <w:sz w:val="17"/>
          <w:szCs w:val="17"/>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 See “Certain Relationships and Transactions—Administration Agreement” for more information.</w:t>
      </w:r>
    </w:p>
    <w:p>
      <w:pPr>
        <w:spacing w:after="0" w:line="179" w:lineRule="exact"/>
        <w:rPr>
          <w:sz w:val="20"/>
          <w:szCs w:val="20"/>
          <w:color w:val="auto"/>
        </w:rPr>
      </w:pPr>
    </w:p>
    <w:p>
      <w:pPr>
        <w:ind w:left="320" w:right="140" w:firstLine="422"/>
        <w:spacing w:after="0" w:line="255"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91" w:lineRule="exact"/>
        <w:rPr>
          <w:sz w:val="20"/>
          <w:szCs w:val="20"/>
          <w:color w:val="auto"/>
        </w:rPr>
      </w:pPr>
    </w:p>
    <w:p>
      <w:pPr>
        <w:jc w:val="both"/>
        <w:ind w:left="320" w:right="140" w:firstLine="422"/>
        <w:spacing w:after="0" w:line="282" w:lineRule="auto"/>
        <w:rPr>
          <w:sz w:val="20"/>
          <w:szCs w:val="20"/>
          <w:color w:val="auto"/>
        </w:rPr>
      </w:pPr>
      <w:r>
        <w:rPr>
          <w:rFonts w:ascii="Arial" w:cs="Arial" w:eastAsia="Arial" w:hAnsi="Arial"/>
          <w:sz w:val="17"/>
          <w:szCs w:val="17"/>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Proceeds</w:t>
      </w:r>
    </w:p>
    <w:p>
      <w:pPr>
        <w:spacing w:after="0" w:line="118" w:lineRule="exact"/>
        <w:rPr>
          <w:sz w:val="20"/>
          <w:szCs w:val="20"/>
          <w:color w:val="auto"/>
        </w:rPr>
      </w:pPr>
    </w:p>
    <w:p>
      <w:pPr>
        <w:ind w:left="320" w:right="120" w:firstLine="422"/>
        <w:spacing w:after="0" w:line="307"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Distributions on Common Stock</w:t>
      </w:r>
    </w:p>
    <w:p>
      <w:pPr>
        <w:spacing w:after="0" w:line="118" w:lineRule="exact"/>
        <w:rPr>
          <w:sz w:val="20"/>
          <w:szCs w:val="20"/>
          <w:color w:val="auto"/>
        </w:rPr>
      </w:pPr>
    </w:p>
    <w:p>
      <w:pPr>
        <w:ind w:left="320" w:right="160" w:firstLine="422"/>
        <w:spacing w:after="0" w:line="271"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Dividends on Preferred Stock</w:t>
      </w:r>
    </w:p>
    <w:p>
      <w:pPr>
        <w:spacing w:after="0" w:line="118" w:lineRule="exact"/>
        <w:rPr>
          <w:sz w:val="20"/>
          <w:szCs w:val="20"/>
          <w:color w:val="auto"/>
        </w:rPr>
      </w:pPr>
    </w:p>
    <w:p>
      <w:pPr>
        <w:ind w:left="320" w:right="60" w:firstLine="422"/>
        <w:spacing w:after="0" w:line="271" w:lineRule="auto"/>
        <w:rPr>
          <w:sz w:val="20"/>
          <w:szCs w:val="20"/>
          <w:color w:val="auto"/>
        </w:rPr>
      </w:pPr>
      <w:r>
        <w:rPr>
          <w:rFonts w:ascii="Arial" w:cs="Arial" w:eastAsia="Arial" w:hAnsi="Arial"/>
          <w:sz w:val="18"/>
          <w:szCs w:val="18"/>
          <w:color w:val="auto"/>
        </w:rPr>
        <w:t>We may issue preferred stock from time to time, although we have no immediate intention to do so. Any such preferred stock will be a senior security for purposes of the 1940 Act and, accordingly, subject to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2240" w:h="15840" w:orient="portrait"/>
          <w:cols w:equalWidth="0" w:num="1">
            <w:col w:w="10880"/>
          </w:cols>
          <w:pgMar w:left="520" w:top="316" w:right="8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200660</wp:posOffset>
            </wp:positionV>
            <wp:extent cx="6938645" cy="5995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8645" cy="59950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20" w:right="140"/>
        <w:spacing w:after="0" w:line="255" w:lineRule="auto"/>
        <w:rPr>
          <w:sz w:val="20"/>
          <w:szCs w:val="20"/>
          <w:color w:val="auto"/>
        </w:rPr>
      </w:pPr>
      <w:r>
        <w:rPr>
          <w:rFonts w:ascii="Arial" w:cs="Arial" w:eastAsia="Arial" w:hAnsi="Arial"/>
          <w:sz w:val="18"/>
          <w:szCs w:val="18"/>
          <w:color w:val="auto"/>
        </w:rPr>
        <w:t>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Dividend Reinvestment Plan</w:t>
      </w:r>
    </w:p>
    <w:p>
      <w:pPr>
        <w:spacing w:after="0" w:line="118" w:lineRule="exact"/>
        <w:rPr>
          <w:sz w:val="20"/>
          <w:szCs w:val="20"/>
          <w:color w:val="auto"/>
        </w:rPr>
      </w:pPr>
    </w:p>
    <w:p>
      <w:pPr>
        <w:ind w:left="320" w:right="140" w:firstLine="528"/>
        <w:spacing w:after="0" w:line="272"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Plan of Distribution</w:t>
      </w:r>
    </w:p>
    <w:p>
      <w:pPr>
        <w:spacing w:after="0" w:line="118" w:lineRule="exact"/>
        <w:rPr>
          <w:sz w:val="20"/>
          <w:szCs w:val="20"/>
          <w:color w:val="auto"/>
        </w:rPr>
      </w:pPr>
    </w:p>
    <w:p>
      <w:pPr>
        <w:ind w:left="320" w:right="360" w:firstLine="422"/>
        <w:spacing w:after="0" w:line="271"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175" w:lineRule="exact"/>
        <w:rPr>
          <w:sz w:val="20"/>
          <w:szCs w:val="20"/>
          <w:color w:val="auto"/>
        </w:rPr>
      </w:pPr>
    </w:p>
    <w:p>
      <w:pPr>
        <w:ind w:left="320" w:firstLine="422"/>
        <w:spacing w:after="0" w:line="268" w:lineRule="auto"/>
        <w:rPr>
          <w:sz w:val="20"/>
          <w:szCs w:val="20"/>
          <w:color w:val="auto"/>
        </w:rPr>
      </w:pPr>
      <w:r>
        <w:rPr>
          <w:rFonts w:ascii="Arial" w:cs="Arial" w:eastAsia="Arial" w:hAnsi="Arial"/>
          <w:sz w:val="17"/>
          <w:szCs w:val="17"/>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81" w:lineRule="exact"/>
        <w:rPr>
          <w:sz w:val="20"/>
          <w:szCs w:val="20"/>
          <w:color w:val="auto"/>
        </w:rPr>
      </w:pPr>
    </w:p>
    <w:p>
      <w:pPr>
        <w:ind w:left="320" w:right="480" w:firstLine="422"/>
        <w:spacing w:after="0" w:line="301"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1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On February 5, 2019, our stockholders approved the adoption of the modified asset coverage requirements set forth in Section 61(a)(2) of the</w:t>
      </w:r>
    </w:p>
    <w:p>
      <w:pPr>
        <w:spacing w:after="0" w:line="43" w:lineRule="exact"/>
        <w:rPr>
          <w:sz w:val="20"/>
          <w:szCs w:val="20"/>
          <w:color w:val="auto"/>
        </w:rPr>
      </w:pPr>
    </w:p>
    <w:p>
      <w:pPr>
        <w:ind w:left="320" w:right="240"/>
        <w:spacing w:after="0" w:line="250" w:lineRule="auto"/>
        <w:rPr>
          <w:sz w:val="20"/>
          <w:szCs w:val="20"/>
          <w:color w:val="auto"/>
        </w:rPr>
      </w:pPr>
      <w:r>
        <w:rPr>
          <w:rFonts w:ascii="Arial" w:cs="Arial" w:eastAsia="Arial" w:hAnsi="Arial"/>
          <w:sz w:val="18"/>
          <w:szCs w:val="18"/>
          <w:color w:val="auto"/>
        </w:rPr>
        <w:t>1940 Act, as amended by the Consolidated Appropriations Act of 2018 (which includes the SBCAA) as approved by our board of directors on November 13, 2018. As a result, the minimum asset coverage requirements applicable to us for senior securities has been reduced from 200% to 150%,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94" w:lineRule="exact"/>
        <w:rPr>
          <w:sz w:val="20"/>
          <w:szCs w:val="20"/>
          <w:color w:val="auto"/>
        </w:rPr>
      </w:pPr>
    </w:p>
    <w:p>
      <w:pPr>
        <w:jc w:val="both"/>
        <w:ind w:left="320" w:right="140" w:firstLine="422"/>
        <w:spacing w:after="0" w:line="259" w:lineRule="auto"/>
        <w:rPr>
          <w:sz w:val="20"/>
          <w:szCs w:val="20"/>
          <w:color w:val="auto"/>
        </w:rPr>
      </w:pPr>
      <w:r>
        <w:rPr>
          <w:rFonts w:ascii="Arial" w:cs="Arial" w:eastAsia="Arial" w:hAnsi="Arial"/>
          <w:sz w:val="18"/>
          <w:szCs w:val="18"/>
          <w:color w:val="auto"/>
        </w:rPr>
        <w:t>On January 31, 2019, the Company announced the redemption of $250.0 million outstanding aggregate principal amount of its 2019 Notes due October 1, 2019. The 2019 Notes will be prepaid at 100% of the principal amount, plus accrued and unpaid interest through the payment date of March 4, 2019, as well as a make-whole premium.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2240" w:h="15840" w:orient="portrait"/>
          <w:cols w:equalWidth="0" w:num="1">
            <w:col w:w="10860"/>
          </w:cols>
          <w:pgMar w:left="520" w:top="316" w:right="86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200660</wp:posOffset>
            </wp:positionV>
            <wp:extent cx="6938645" cy="381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8645" cy="38195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20" w:firstLine="422"/>
        <w:spacing w:after="0" w:line="286" w:lineRule="auto"/>
        <w:rPr>
          <w:sz w:val="20"/>
          <w:szCs w:val="20"/>
          <w:color w:val="auto"/>
        </w:rPr>
      </w:pPr>
      <w:r>
        <w:rPr>
          <w:rFonts w:ascii="Arial" w:cs="Arial" w:eastAsia="Arial" w:hAnsi="Arial"/>
          <w:sz w:val="16"/>
          <w:szCs w:val="16"/>
          <w:color w:val="auto"/>
        </w:rPr>
        <w:t>On February 22, 2019, PennantPark Investment Funding I, LLC (the “</w:t>
      </w:r>
      <w:r>
        <w:rPr>
          <w:rFonts w:ascii="Arial" w:cs="Arial" w:eastAsia="Arial" w:hAnsi="Arial"/>
          <w:sz w:val="16"/>
          <w:szCs w:val="16"/>
          <w:u w:val="single" w:color="auto"/>
          <w:color w:val="auto"/>
        </w:rPr>
        <w:t>Borrower</w:t>
      </w:r>
      <w:r>
        <w:rPr>
          <w:rFonts w:ascii="Arial" w:cs="Arial" w:eastAsia="Arial" w:hAnsi="Arial"/>
          <w:sz w:val="16"/>
          <w:szCs w:val="16"/>
          <w:color w:val="auto"/>
        </w:rPr>
        <w:t>”), a wholly-owned subsidiary of the Company, entered into a credit facility (the “</w:t>
      </w:r>
      <w:r>
        <w:rPr>
          <w:rFonts w:ascii="Arial" w:cs="Arial" w:eastAsia="Arial" w:hAnsi="Arial"/>
          <w:sz w:val="16"/>
          <w:szCs w:val="16"/>
          <w:u w:val="single" w:color="auto"/>
          <w:color w:val="auto"/>
        </w:rPr>
        <w:t>BNP Credit Facility</w:t>
      </w:r>
      <w:r>
        <w:rPr>
          <w:rFonts w:ascii="Arial" w:cs="Arial" w:eastAsia="Arial" w:hAnsi="Arial"/>
          <w:sz w:val="16"/>
          <w:szCs w:val="16"/>
          <w:color w:val="auto"/>
        </w:rPr>
        <w:t>”, together with the Credit Facility, the “Credit Facilities”). In connection with the BNP Credit Facility, the Borrower entered into, among other agreements, (i) the revolving credit and security agreement (the “</w:t>
      </w:r>
      <w:r>
        <w:rPr>
          <w:rFonts w:ascii="Arial" w:cs="Arial" w:eastAsia="Arial" w:hAnsi="Arial"/>
          <w:sz w:val="16"/>
          <w:szCs w:val="16"/>
          <w:u w:val="single" w:color="auto"/>
          <w:color w:val="auto"/>
        </w:rPr>
        <w:t>BNP Credit Agreement</w:t>
      </w:r>
      <w:r>
        <w:rPr>
          <w:rFonts w:ascii="Arial" w:cs="Arial" w:eastAsia="Arial" w:hAnsi="Arial"/>
          <w:sz w:val="16"/>
          <w:szCs w:val="16"/>
          <w:color w:val="auto"/>
        </w:rPr>
        <w:t>”) with the lenders from time to time parties thereto, BNP Paribas, as administrative agent, the Company, as equityholder, PennantPark Investment Advisers, LLC, as servicer (in such capacity, the “</w:t>
      </w:r>
      <w:r>
        <w:rPr>
          <w:rFonts w:ascii="Arial" w:cs="Arial" w:eastAsia="Arial" w:hAnsi="Arial"/>
          <w:sz w:val="16"/>
          <w:szCs w:val="16"/>
          <w:u w:val="single" w:color="auto"/>
          <w:color w:val="auto"/>
        </w:rPr>
        <w:t>Servicer</w:t>
      </w:r>
      <w:r>
        <w:rPr>
          <w:rFonts w:ascii="Arial" w:cs="Arial" w:eastAsia="Arial" w:hAnsi="Arial"/>
          <w:sz w:val="16"/>
          <w:szCs w:val="16"/>
          <w:color w:val="auto"/>
        </w:rPr>
        <w:t>”), and The Bank of New York Mellon Trust Company, National Association (the “</w:t>
      </w:r>
      <w:r>
        <w:rPr>
          <w:rFonts w:ascii="Arial" w:cs="Arial" w:eastAsia="Arial" w:hAnsi="Arial"/>
          <w:sz w:val="16"/>
          <w:szCs w:val="16"/>
          <w:u w:val="single" w:color="auto"/>
          <w:color w:val="auto"/>
        </w:rPr>
        <w:t>Bank</w:t>
      </w:r>
      <w:r>
        <w:rPr>
          <w:rFonts w:ascii="Arial" w:cs="Arial" w:eastAsia="Arial" w:hAnsi="Arial"/>
          <w:sz w:val="16"/>
          <w:szCs w:val="16"/>
          <w:color w:val="auto"/>
        </w:rPr>
        <w:t>”),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(ii) the account control agreement (the “</w:t>
      </w:r>
      <w:r>
        <w:rPr>
          <w:rFonts w:ascii="Arial" w:cs="Arial" w:eastAsia="Arial" w:hAnsi="Arial"/>
          <w:sz w:val="16"/>
          <w:szCs w:val="16"/>
          <w:u w:val="single" w:color="auto"/>
          <w:color w:val="auto"/>
        </w:rPr>
        <w:t>Control Agreement</w:t>
      </w:r>
      <w:r>
        <w:rPr>
          <w:rFonts w:ascii="Arial" w:cs="Arial" w:eastAsia="Arial" w:hAnsi="Arial"/>
          <w:sz w:val="16"/>
          <w:szCs w:val="16"/>
          <w:color w:val="auto"/>
        </w:rPr>
        <w:t>”), by and among the Borrower, the Bank, as secured party (in such capacity, the “</w:t>
      </w:r>
      <w:r>
        <w:rPr>
          <w:rFonts w:ascii="Arial" w:cs="Arial" w:eastAsia="Arial" w:hAnsi="Arial"/>
          <w:sz w:val="16"/>
          <w:szCs w:val="16"/>
          <w:u w:val="single" w:color="auto"/>
          <w:color w:val="auto"/>
        </w:rPr>
        <w:t>Secured Party</w:t>
      </w:r>
      <w:r>
        <w:rPr>
          <w:rFonts w:ascii="Arial" w:cs="Arial" w:eastAsia="Arial" w:hAnsi="Arial"/>
          <w:sz w:val="16"/>
          <w:szCs w:val="16"/>
          <w:color w:val="auto"/>
        </w:rPr>
        <w:t>”), the Servicer, and the Bank, as securities intermediary, (iii) the custodian agreement (the “</w:t>
      </w:r>
      <w:r>
        <w:rPr>
          <w:rFonts w:ascii="Arial" w:cs="Arial" w:eastAsia="Arial" w:hAnsi="Arial"/>
          <w:sz w:val="16"/>
          <w:szCs w:val="16"/>
          <w:u w:val="single" w:color="auto"/>
          <w:color w:val="auto"/>
        </w:rPr>
        <w:t>Custodian Agreement</w:t>
      </w:r>
      <w:r>
        <w:rPr>
          <w:rFonts w:ascii="Arial" w:cs="Arial" w:eastAsia="Arial" w:hAnsi="Arial"/>
          <w:sz w:val="16"/>
          <w:szCs w:val="16"/>
          <w:color w:val="auto"/>
        </w:rPr>
        <w:t>”), by and among the Borrower, the Bank, as custodian (in such capacity, the “</w:t>
      </w:r>
      <w:r>
        <w:rPr>
          <w:rFonts w:ascii="Arial" w:cs="Arial" w:eastAsia="Arial" w:hAnsi="Arial"/>
          <w:sz w:val="16"/>
          <w:szCs w:val="16"/>
          <w:u w:val="single" w:color="auto"/>
          <w:color w:val="auto"/>
        </w:rPr>
        <w:t>Custodian</w:t>
      </w:r>
      <w:r>
        <w:rPr>
          <w:rFonts w:ascii="Arial" w:cs="Arial" w:eastAsia="Arial" w:hAnsi="Arial"/>
          <w:sz w:val="16"/>
          <w:szCs w:val="16"/>
          <w:color w:val="auto"/>
        </w:rPr>
        <w:t>”), and the Collateral Agent, and (iv) the purchase and sale agreement (the “</w:t>
      </w:r>
      <w:r>
        <w:rPr>
          <w:rFonts w:ascii="Arial" w:cs="Arial" w:eastAsia="Arial" w:hAnsi="Arial"/>
          <w:sz w:val="16"/>
          <w:szCs w:val="16"/>
          <w:u w:val="single" w:color="auto"/>
          <w:color w:val="auto"/>
        </w:rPr>
        <w:t>Purchase and Sale Agreement</w:t>
      </w:r>
      <w:r>
        <w:rPr>
          <w:rFonts w:ascii="Arial" w:cs="Arial" w:eastAsia="Arial" w:hAnsi="Arial"/>
          <w:sz w:val="16"/>
          <w:szCs w:val="16"/>
          <w:color w:val="auto"/>
        </w:rPr>
        <w:t>”), by and between the Borrower and the Company, as seller.</w:t>
      </w:r>
    </w:p>
    <w:p>
      <w:pPr>
        <w:spacing w:after="0" w:line="168" w:lineRule="exact"/>
        <w:rPr>
          <w:sz w:val="20"/>
          <w:szCs w:val="20"/>
          <w:color w:val="auto"/>
        </w:rPr>
      </w:pPr>
    </w:p>
    <w:p>
      <w:pPr>
        <w:ind w:left="320" w:right="20" w:firstLine="422"/>
        <w:spacing w:after="0" w:line="290" w:lineRule="auto"/>
        <w:rPr>
          <w:sz w:val="20"/>
          <w:szCs w:val="20"/>
          <w:color w:val="auto"/>
        </w:rPr>
      </w:pPr>
      <w:r>
        <w:rPr>
          <w:rFonts w:ascii="Arial" w:cs="Arial" w:eastAsia="Arial" w:hAnsi="Arial"/>
          <w:sz w:val="16"/>
          <w:szCs w:val="16"/>
          <w:color w:val="auto"/>
        </w:rPr>
        <w:t>The BNP Credit Agreement provides for borrowings in an aggregate amount up to $250,000,000. Borrowings under the BNP Credit Agreement will bear interest based on an annual adjusted London interbank offered rate for the relevant interest period, plus an applicable spread. Interest is payable quarterly in arrears. Any amounts borrowed under the BNP Credit Agreement will mature, and all accrued and unpaid interest thereunder will be due and payable, on the earlier of (i) February 22, 2024 or (ii) upon certain other events which result in accelerated maturity under the BNP Credit Facility. Borrowing under the BNP Credit Facility is subject to certain restrictions contained in the Investment Company Act of 1940, as amended. Borrowings under the BNP Credit Agreement are secured by all of the assets held by the Borrower.</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Corporate Information</w:t>
      </w:r>
    </w:p>
    <w:p>
      <w:pPr>
        <w:spacing w:after="0" w:line="118" w:lineRule="exact"/>
        <w:rPr>
          <w:sz w:val="20"/>
          <w:szCs w:val="20"/>
          <w:color w:val="auto"/>
        </w:rPr>
      </w:pPr>
    </w:p>
    <w:p>
      <w:pPr>
        <w:ind w:left="320" w:right="20" w:firstLine="422"/>
        <w:spacing w:after="0" w:line="269"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2240" w:h="15840" w:orient="portrait"/>
          <w:cols w:equalWidth="0" w:num="1">
            <w:col w:w="10840"/>
          </w:cols>
          <w:pgMar w:left="520" w:top="316" w:right="88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FEES AND EXPENSES</w:t>
      </w:r>
    </w:p>
    <w:p>
      <w:pPr>
        <w:spacing w:after="0" w:line="225" w:lineRule="exact"/>
        <w:rPr>
          <w:sz w:val="20"/>
          <w:szCs w:val="20"/>
          <w:color w:val="auto"/>
        </w:rPr>
      </w:pPr>
    </w:p>
    <w:p>
      <w:pPr>
        <w:ind w:left="140" w:right="60" w:firstLine="546"/>
        <w:spacing w:after="0" w:line="293" w:lineRule="auto"/>
        <w:rPr>
          <w:sz w:val="20"/>
          <w:szCs w:val="20"/>
          <w:color w:val="auto"/>
        </w:rPr>
      </w:pPr>
      <w:r>
        <w:rPr>
          <w:rFonts w:ascii="Arial" w:cs="Arial" w:eastAsia="Arial" w:hAnsi="Arial"/>
          <w:sz w:val="16"/>
          <w:szCs w:val="16"/>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03"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10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0" w:type="dxa"/>
            <w:vAlign w:val="bottom"/>
          </w:tcPr>
          <w:p>
            <w:pPr>
              <w:spacing w:after="0"/>
              <w:rPr>
                <w:sz w:val="20"/>
                <w:szCs w:val="20"/>
                <w:color w:val="auto"/>
              </w:rPr>
            </w:pPr>
            <w:r>
              <w:rPr>
                <w:rFonts w:ascii="Arial" w:cs="Arial" w:eastAsia="Arial" w:hAnsi="Arial"/>
                <w:sz w:val="18"/>
                <w:szCs w:val="18"/>
                <w:color w:val="auto"/>
              </w:rPr>
              <w:t>Sales load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4"/>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4"/>
        </w:trPr>
        <w:tc>
          <w:tcPr>
            <w:tcW w:w="1020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0200" w:type="dxa"/>
            <w:vAlign w:val="bottom"/>
            <w:shd w:val="clear" w:color="auto" w:fill="CCEEFF"/>
          </w:tcPr>
          <w:p>
            <w:pPr>
              <w:spacing w:after="0" w:line="214" w:lineRule="exact"/>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0" w:type="dxa"/>
            <w:vAlign w:val="bottom"/>
          </w:tcPr>
          <w:p>
            <w:pPr>
              <w:spacing w:after="0"/>
              <w:rPr>
                <w:sz w:val="20"/>
                <w:szCs w:val="20"/>
                <w:color w:val="auto"/>
              </w:rPr>
            </w:pPr>
            <w:r>
              <w:rPr>
                <w:rFonts w:ascii="Arial" w:cs="Arial" w:eastAsia="Arial" w:hAnsi="Arial"/>
                <w:sz w:val="18"/>
                <w:szCs w:val="18"/>
                <w:color w:val="auto"/>
              </w:rPr>
              <w:t>Management fees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2.73%</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4"/>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1.70%</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4"/>
        </w:trPr>
        <w:tc>
          <w:tcPr>
            <w:tcW w:w="1020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4.00%</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14"/>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0.92%</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r>
        <w:trPr>
          <w:trHeight w:val="20"/>
        </w:trPr>
        <w:tc>
          <w:tcPr>
            <w:tcW w:w="10200" w:type="dxa"/>
            <w:vAlign w:val="bottom"/>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200" w:type="dxa"/>
            <w:vAlign w:val="bottom"/>
            <w:vMerge w:val="continue"/>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9.35%</w:t>
            </w:r>
            <w:r>
              <w:rPr>
                <w:rFonts w:ascii="Arial" w:cs="Arial" w:eastAsia="Arial" w:hAnsi="Arial"/>
                <w:sz w:val="15"/>
                <w:szCs w:val="15"/>
                <w:color w:val="auto"/>
                <w:w w:val="97"/>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85090</wp:posOffset>
            </wp:positionV>
            <wp:extent cx="6965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54" w:lineRule="exact"/>
        <w:rPr>
          <w:sz w:val="20"/>
          <w:szCs w:val="20"/>
          <w:color w:val="auto"/>
        </w:rPr>
      </w:pPr>
    </w:p>
    <w:p>
      <w:pPr>
        <w:ind w:left="560" w:right="820" w:hanging="426"/>
        <w:spacing w:after="0" w:line="255"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560" w:right="140" w:hanging="426"/>
        <w:spacing w:after="0" w:line="248"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560" w:hanging="42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December 31, 2018.</w:t>
      </w:r>
    </w:p>
    <w:p>
      <w:pPr>
        <w:spacing w:after="0" w:line="7" w:lineRule="exact"/>
        <w:rPr>
          <w:rFonts w:ascii="Arial" w:cs="Arial" w:eastAsia="Arial" w:hAnsi="Arial"/>
          <w:sz w:val="18"/>
          <w:szCs w:val="18"/>
          <w:color w:val="auto"/>
        </w:rPr>
      </w:pPr>
    </w:p>
    <w:p>
      <w:pPr>
        <w:ind w:left="560" w:right="60" w:hanging="426"/>
        <w:spacing w:after="0" w:line="248"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1.50% of our average adjusted gross assets on December 31, 2018. See “Certain Relationships and Transactions—Investment Management Agreement” for more information.</w:t>
      </w:r>
    </w:p>
    <w:p>
      <w:pPr>
        <w:ind w:left="560" w:right="80" w:hanging="426"/>
        <w:spacing w:after="0" w:line="262" w:lineRule="auto"/>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three months ended December 31, 2018,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three months ended December 31, 2018. For more detailed information about the incentive fee, please see “Certain Relationships and Transactions—Investment Management Agreement” for more information.</w:t>
      </w:r>
    </w:p>
    <w:p>
      <w:pPr>
        <w:spacing w:after="0" w:line="8" w:lineRule="exact"/>
        <w:rPr>
          <w:rFonts w:ascii="Arial" w:cs="Arial" w:eastAsia="Arial" w:hAnsi="Arial"/>
          <w:sz w:val="17"/>
          <w:szCs w:val="17"/>
          <w:color w:val="auto"/>
        </w:rPr>
      </w:pPr>
    </w:p>
    <w:p>
      <w:pPr>
        <w:ind w:left="560" w:right="20" w:hanging="426"/>
        <w:spacing w:after="0" w:line="279"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December 31, 2018, we had $270.9 million of unused borrowing capacity, subject to maintenance of the applicable total assets to debt ratio, under the 1940 Act. As of such date, we had $174.1 million in borrowings outstanding under our $445.0 million Credit Facility and $250.0 million in aggregate principal of 2019 Notes at an annual interest rate of 4.50%. As of December 31, 2018, our SBIC Funds had debenture commitments from the SBA in the amount of $150.0 million, all of which were outstanding with a weighted average interest rate of 3.11%, exclusive of the</w:t>
      </w:r>
    </w:p>
    <w:p>
      <w:pPr>
        <w:ind w:left="560" w:right="240"/>
        <w:spacing w:after="0" w:line="256" w:lineRule="auto"/>
        <w:rPr>
          <w:rFonts w:ascii="Arial" w:cs="Arial" w:eastAsia="Arial" w:hAnsi="Arial"/>
          <w:sz w:val="16"/>
          <w:szCs w:val="16"/>
          <w:color w:val="auto"/>
        </w:rPr>
      </w:pPr>
      <w:r>
        <w:rPr>
          <w:rFonts w:ascii="Arial" w:cs="Arial" w:eastAsia="Arial" w:hAnsi="Arial"/>
          <w:sz w:val="18"/>
          <w:szCs w:val="18"/>
          <w:color w:val="auto"/>
        </w:rPr>
        <w:t>3.43% of upfront fees. We may use proceeds of an offering of securities under this registration statement to repay outstanding obligations under our Credit Facility.</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2240" w:h="15840" w:orient="portrait"/>
          <w:cols w:equalWidth="0" w:num="1">
            <w:col w:w="11060"/>
          </w:cols>
          <w:pgMar w:left="520" w:top="316" w:right="66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40"/>
        <w:spacing w:after="0" w:line="282" w:lineRule="auto"/>
        <w:rPr>
          <w:sz w:val="20"/>
          <w:szCs w:val="20"/>
          <w:color w:val="auto"/>
        </w:rPr>
      </w:pPr>
      <w:r>
        <w:rPr>
          <w:rFonts w:ascii="Arial" w:cs="Arial" w:eastAsia="Arial" w:hAnsi="Arial"/>
          <w:sz w:val="16"/>
          <w:szCs w:val="16"/>
          <w:color w:val="auto"/>
        </w:rPr>
        <w:t>After completing any such offering, we may continue to borrow under our Credit Facility to finance our investment objectives. Annual interest expense on borrowed funds represents actual interest expense incurred for the quarter ended December 31, 2018 annualized for a full year and amendment costs, if any, and we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 w:lineRule="exact"/>
        <w:rPr>
          <w:sz w:val="20"/>
          <w:szCs w:val="20"/>
          <w:color w:val="auto"/>
        </w:rPr>
      </w:pPr>
    </w:p>
    <w:p>
      <w:pPr>
        <w:ind w:left="560" w:right="200" w:hanging="426"/>
        <w:spacing w:after="0" w:line="279"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ind w:left="560" w:right="20" w:hanging="426"/>
        <w:spacing w:after="0" w:line="338" w:lineRule="auto"/>
        <w:tabs>
          <w:tab w:leader="none" w:pos="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46 of this prospectus.</w:t>
      </w: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Example</w:t>
      </w:r>
    </w:p>
    <w:p>
      <w:pPr>
        <w:spacing w:after="0" w:line="118" w:lineRule="exact"/>
        <w:rPr>
          <w:sz w:val="20"/>
          <w:szCs w:val="20"/>
          <w:color w:val="auto"/>
        </w:rPr>
      </w:pPr>
    </w:p>
    <w:p>
      <w:pPr>
        <w:ind w:left="140" w:right="280" w:firstLine="437"/>
        <w:spacing w:after="0" w:line="255"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7.65% of average net assets attributable to common shares as set forth in the table above (other than performance-based incentive fees) and (3) a 5% annual return.</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 stock</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w:t>
            </w:r>
          </w:p>
        </w:tc>
        <w:tc>
          <w:tcPr>
            <w:tcW w:w="254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300" w:type="dxa"/>
            <w:vAlign w:val="bottom"/>
          </w:tcPr>
          <w:p>
            <w:pPr>
              <w:spacing w:after="0"/>
              <w:rPr>
                <w:sz w:val="16"/>
                <w:szCs w:val="16"/>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7"/>
              </w:rPr>
              <w:t>10 Years</w:t>
            </w:r>
          </w:p>
        </w:tc>
      </w:tr>
      <w:tr>
        <w:trPr>
          <w:trHeight w:val="173"/>
        </w:trPr>
        <w:tc>
          <w:tcPr>
            <w:tcW w:w="6460" w:type="dxa"/>
            <w:vAlign w:val="bottom"/>
            <w:tcBorders>
              <w:top w:val="single" w:sz="8" w:color="CCEEFF"/>
            </w:tcBorders>
            <w:gridSpan w:val="2"/>
            <w:shd w:val="clear" w:color="auto" w:fill="CCEEFF"/>
          </w:tcPr>
          <w:p>
            <w:pPr>
              <w:spacing w:after="0" w:line="173" w:lineRule="exact"/>
              <w:rPr>
                <w:sz w:val="20"/>
                <w:szCs w:val="20"/>
                <w:color w:val="auto"/>
              </w:rPr>
            </w:pPr>
            <w:r>
              <w:rPr>
                <w:rFonts w:ascii="Arial" w:cs="Arial" w:eastAsia="Arial" w:hAnsi="Arial"/>
                <w:sz w:val="18"/>
                <w:szCs w:val="18"/>
                <w:color w:val="auto"/>
                <w:w w:val="97"/>
              </w:rPr>
              <w:t>Assuming a 5% annual return (assumes no return from net realized capital gains or</w:t>
            </w:r>
          </w:p>
        </w:tc>
        <w:tc>
          <w:tcPr>
            <w:tcW w:w="3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42"/>
        </w:trPr>
        <w:tc>
          <w:tcPr>
            <w:tcW w:w="6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capital appreciation)</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248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380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w:t>
            </w:r>
          </w:p>
        </w:tc>
      </w:tr>
      <w:tr>
        <w:trPr>
          <w:trHeight w:val="200"/>
        </w:trPr>
        <w:tc>
          <w:tcPr>
            <w:tcW w:w="6460" w:type="dxa"/>
            <w:vAlign w:val="bottom"/>
            <w:gridSpan w:val="2"/>
          </w:tcPr>
          <w:p>
            <w:pPr>
              <w:spacing w:after="0" w:line="200" w:lineRule="exact"/>
              <w:rPr>
                <w:sz w:val="20"/>
                <w:szCs w:val="20"/>
                <w:color w:val="auto"/>
              </w:rPr>
            </w:pPr>
            <w:r>
              <w:rPr>
                <w:rFonts w:ascii="Arial" w:cs="Arial" w:eastAsia="Arial" w:hAnsi="Arial"/>
                <w:sz w:val="18"/>
                <w:szCs w:val="18"/>
                <w:color w:val="auto"/>
                <w:w w:val="97"/>
              </w:rPr>
              <w:t>Assuming a 5% annual return (assumes return from only realized capital gains and</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0"/>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thus subject to the capital gains incentive fee)</w:t>
            </w:r>
          </w:p>
        </w:tc>
        <w:tc>
          <w:tcPr>
            <w:tcW w:w="940" w:type="dxa"/>
            <w:vAlign w:val="bottom"/>
            <w:gridSpan w:val="2"/>
          </w:tcPr>
          <w:p>
            <w:pPr>
              <w:spacing w:after="0"/>
              <w:rPr>
                <w:sz w:val="20"/>
                <w:szCs w:val="20"/>
                <w:color w:val="auto"/>
              </w:rPr>
            </w:pPr>
            <w:r>
              <w:rPr>
                <w:rFonts w:ascii="Arial" w:cs="Arial" w:eastAsia="Arial" w:hAnsi="Arial"/>
                <w:sz w:val="18"/>
                <w:szCs w:val="18"/>
                <w:color w:val="auto"/>
              </w:rPr>
              <w:t>$ 116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269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412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726</w:t>
            </w:r>
          </w:p>
        </w:tc>
      </w:tr>
    </w:tbl>
    <w:p>
      <w:pPr>
        <w:spacing w:after="0" w:line="201" w:lineRule="exact"/>
        <w:rPr>
          <w:sz w:val="20"/>
          <w:szCs w:val="20"/>
          <w:color w:val="auto"/>
        </w:rPr>
      </w:pPr>
    </w:p>
    <w:p>
      <w:pPr>
        <w:ind w:left="140" w:firstLine="437"/>
        <w:spacing w:after="0" w:line="251"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2240" w:h="15840" w:orient="portrait"/>
          <w:cols w:equalWidth="0" w:num="1">
            <w:col w:w="11000"/>
          </w:cols>
          <w:pgMar w:left="520" w:top="316" w:right="72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40" w:right="220" w:firstLine="546"/>
        <w:spacing w:after="0" w:line="290"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Notes or any securities we may issue, may decline, and you may lose all or part of your investment.</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18" w:lineRule="exact"/>
        <w:rPr>
          <w:sz w:val="20"/>
          <w:szCs w:val="20"/>
          <w:color w:val="auto"/>
        </w:rPr>
      </w:pPr>
    </w:p>
    <w:p>
      <w:pPr>
        <w:jc w:val="both"/>
        <w:ind w:left="140" w:right="240"/>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9" w:lineRule="exact"/>
        <w:rPr>
          <w:sz w:val="20"/>
          <w:szCs w:val="20"/>
          <w:color w:val="auto"/>
        </w:rPr>
      </w:pPr>
    </w:p>
    <w:p>
      <w:pPr>
        <w:ind w:left="140" w:right="20" w:firstLine="437"/>
        <w:spacing w:after="0" w:line="284" w:lineRule="auto"/>
        <w:rPr>
          <w:sz w:val="20"/>
          <w:szCs w:val="20"/>
          <w:color w:val="auto"/>
        </w:rPr>
      </w:pPr>
      <w:r>
        <w:rPr>
          <w:rFonts w:ascii="Arial" w:cs="Arial" w:eastAsia="Arial" w:hAnsi="Arial"/>
          <w:sz w:val="16"/>
          <w:szCs w:val="16"/>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continuing uncertainty arising from the United Kingdom’s decision to leave the European Union (the so called “Brexit”) could lead to further market disruptions and currency volatility, potentially weakening consumer, corporate and financial confidence and resulting in lower economic growth for companies that rely significantly on Europe for their business activities and revenues. We may in the future have difficulty accessing debt and equity capital markets, and a severe disruption in the global financial markets, deterioration in credit and financing conditions or uncertainty regarding U.S. government spending and deficit levels, Brexit or other global economic conditions could have a material adverse effect on our business, financial condition and results of operations.</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4" w:lineRule="exact"/>
        <w:rPr>
          <w:sz w:val="20"/>
          <w:szCs w:val="20"/>
          <w:color w:val="auto"/>
        </w:rPr>
      </w:pPr>
    </w:p>
    <w:p>
      <w:pPr>
        <w:ind w:left="140" w:right="40" w:firstLine="437"/>
        <w:spacing w:after="0" w:line="266" w:lineRule="auto"/>
        <w:rPr>
          <w:sz w:val="20"/>
          <w:szCs w:val="20"/>
          <w:color w:val="auto"/>
        </w:rPr>
      </w:pPr>
      <w:r>
        <w:rPr>
          <w:rFonts w:ascii="Arial" w:cs="Arial" w:eastAsia="Arial" w:hAnsi="Arial"/>
          <w:sz w:val="17"/>
          <w:szCs w:val="17"/>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Credit Facilities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86" w:lineRule="exact"/>
        <w:rPr>
          <w:sz w:val="20"/>
          <w:szCs w:val="20"/>
          <w:color w:val="auto"/>
        </w:rPr>
      </w:pPr>
    </w:p>
    <w:p>
      <w:pPr>
        <w:ind w:left="140" w:firstLine="437"/>
        <w:spacing w:after="0" w:line="271" w:lineRule="auto"/>
        <w:rPr>
          <w:sz w:val="20"/>
          <w:szCs w:val="20"/>
          <w:color w:val="auto"/>
        </w:rPr>
      </w:pPr>
      <w:r>
        <w:rPr>
          <w:rFonts w:ascii="Arial" w:cs="Arial" w:eastAsia="Arial" w:hAnsi="Arial"/>
          <w:sz w:val="18"/>
          <w:szCs w:val="18"/>
          <w:color w:val="auto"/>
        </w:rPr>
        <w:t>The significant disruptions in the capital markets experienced in the past has had, and may in the future have, a negative effect on the valuations of our investments and on the potential for liquidity events involving our</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2240" w:h="15840" w:orient="portrait"/>
          <w:cols w:equalWidth="0" w:num="1">
            <w:col w:w="11040"/>
          </w:cols>
          <w:pgMar w:left="520" w:top="316" w:right="68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80"/>
        <w:spacing w:after="0" w:line="269" w:lineRule="auto"/>
        <w:rPr>
          <w:sz w:val="20"/>
          <w:szCs w:val="20"/>
          <w:color w:val="auto"/>
        </w:rPr>
      </w:pPr>
      <w:r>
        <w:rPr>
          <w:rFonts w:ascii="Arial" w:cs="Arial" w:eastAsia="Arial" w:hAnsi="Arial"/>
          <w:sz w:val="17"/>
          <w:szCs w:val="17"/>
          <w:color w:val="auto"/>
        </w:rPr>
        <w:t>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our Credit Facilities and SBA debentures.</w:t>
      </w:r>
    </w:p>
    <w:p>
      <w:pPr>
        <w:spacing w:after="0" w:line="114" w:lineRule="exact"/>
        <w:rPr>
          <w:sz w:val="20"/>
          <w:szCs w:val="20"/>
          <w:color w:val="auto"/>
        </w:rPr>
      </w:pPr>
    </w:p>
    <w:p>
      <w:pPr>
        <w:ind w:left="140" w:right="120" w:firstLine="437"/>
        <w:spacing w:after="0" w:line="254" w:lineRule="auto"/>
        <w:rPr>
          <w:sz w:val="20"/>
          <w:szCs w:val="20"/>
          <w:color w:val="auto"/>
        </w:rPr>
      </w:pPr>
      <w:r>
        <w:rPr>
          <w:rFonts w:ascii="Arial" w:cs="Arial" w:eastAsia="Arial" w:hAnsi="Arial"/>
          <w:sz w:val="18"/>
          <w:szCs w:val="18"/>
          <w:color w:val="auto"/>
        </w:rPr>
        <w:t>In addition to the asset coverage ratio requirements, our Credit Facilities contain various covenants which, if not complied with, could accelerate repayment under the Credit Facilities. This could have a material adverse effect on our business, financial condition and results of operations. Our borrowings under our Credit Facilities are collateralized by the assets in our investment portfolio, excluding those portfolio investments held by our SBIC Funds. The agreements governing the Credit Facilities require us to comply with certain financial and operational covenants. These covenants include:</w:t>
      </w:r>
    </w:p>
    <w:p>
      <w:pPr>
        <w:spacing w:after="0" w:line="96" w:lineRule="exact"/>
        <w:rPr>
          <w:sz w:val="20"/>
          <w:szCs w:val="20"/>
          <w:color w:val="auto"/>
        </w:rPr>
      </w:pPr>
    </w:p>
    <w:p>
      <w:pPr>
        <w:ind w:left="1000" w:hanging="331"/>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Facilities not exceed a certain percentage of the value of our portfolio.</w:t>
      </w:r>
    </w:p>
    <w:p>
      <w:pPr>
        <w:spacing w:after="0" w:line="244" w:lineRule="exact"/>
        <w:rPr>
          <w:sz w:val="20"/>
          <w:szCs w:val="20"/>
          <w:color w:val="auto"/>
        </w:rPr>
      </w:pPr>
    </w:p>
    <w:p>
      <w:pPr>
        <w:ind w:left="140" w:right="80" w:firstLine="437"/>
        <w:spacing w:after="0" w:line="255" w:lineRule="auto"/>
        <w:rPr>
          <w:sz w:val="20"/>
          <w:szCs w:val="20"/>
          <w:color w:val="auto"/>
        </w:rPr>
      </w:pPr>
      <w:r>
        <w:rPr>
          <w:rFonts w:ascii="Arial" w:cs="Arial" w:eastAsia="Arial" w:hAnsi="Arial"/>
          <w:sz w:val="18"/>
          <w:szCs w:val="18"/>
          <w:color w:val="auto"/>
        </w:rPr>
        <w:t>In addition to the Credit Facilities, our SBIC Funds have issued SBA debentures that require us and our SBIC Funds to generate sufficient cash flow to make required interest payments. Further, our SBIC Funds must maintain a minimum capitalization that, if impaired, could materially and adversely affect our liquidity, financial condition and results of operations by accelerating repayment under the SBA debentures. Our borrowings under the SBA debentures are secured by the assets of our SBIC Funds.</w:t>
      </w:r>
    </w:p>
    <w:p>
      <w:pPr>
        <w:spacing w:after="0" w:line="191" w:lineRule="exact"/>
        <w:rPr>
          <w:sz w:val="20"/>
          <w:szCs w:val="20"/>
          <w:color w:val="auto"/>
        </w:rPr>
      </w:pPr>
    </w:p>
    <w:p>
      <w:pPr>
        <w:ind w:left="140" w:right="20" w:firstLine="437"/>
        <w:spacing w:after="0" w:line="254"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Facilities and could trigger mandatory prepayment obligations under the terms of the Credit Facilities.</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4" w:lineRule="exact"/>
        <w:rPr>
          <w:sz w:val="20"/>
          <w:szCs w:val="20"/>
          <w:color w:val="auto"/>
        </w:rPr>
      </w:pPr>
    </w:p>
    <w:p>
      <w:pPr>
        <w:ind w:left="140" w:firstLine="437"/>
        <w:spacing w:after="0" w:line="267" w:lineRule="auto"/>
        <w:rPr>
          <w:sz w:val="20"/>
          <w:szCs w:val="20"/>
          <w:color w:val="auto"/>
        </w:rPr>
      </w:pPr>
      <w:r>
        <w:rPr>
          <w:rFonts w:ascii="Arial" w:cs="Arial" w:eastAsia="Arial" w:hAnsi="Arial"/>
          <w:sz w:val="17"/>
          <w:szCs w:val="17"/>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2240" w:h="15840" w:orient="portrait"/>
          <w:cols w:equalWidth="0" w:num="1">
            <w:col w:w="11020"/>
          </w:cols>
          <w:pgMar w:left="520" w:top="316" w:right="70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40"/>
        <w:spacing w:after="0" w:line="259" w:lineRule="auto"/>
        <w:rPr>
          <w:sz w:val="20"/>
          <w:szCs w:val="20"/>
          <w:color w:val="auto"/>
        </w:rPr>
      </w:pPr>
      <w:r>
        <w:rPr>
          <w:rFonts w:ascii="Arial" w:cs="Arial" w:eastAsia="Arial" w:hAnsi="Arial"/>
          <w:sz w:val="18"/>
          <w:szCs w:val="18"/>
          <w:color w:val="auto"/>
        </w:rPr>
        <w:t>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86" w:lineRule="exact"/>
        <w:rPr>
          <w:sz w:val="20"/>
          <w:szCs w:val="20"/>
          <w:color w:val="auto"/>
        </w:rPr>
      </w:pPr>
    </w:p>
    <w:p>
      <w:pPr>
        <w:ind w:left="140" w:right="40" w:firstLine="437"/>
        <w:spacing w:after="0" w:line="254"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4" w:lineRule="exact"/>
        <w:rPr>
          <w:sz w:val="20"/>
          <w:szCs w:val="20"/>
          <w:color w:val="auto"/>
        </w:rPr>
      </w:pPr>
    </w:p>
    <w:p>
      <w:pPr>
        <w:ind w:left="140" w:firstLine="437"/>
        <w:spacing w:after="0" w:line="335"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29" w:lineRule="exact"/>
        <w:rPr>
          <w:sz w:val="20"/>
          <w:szCs w:val="20"/>
          <w:color w:val="auto"/>
        </w:rPr>
      </w:pPr>
    </w:p>
    <w:p>
      <w:pPr>
        <w:ind w:left="140" w:right="180" w:firstLine="437"/>
        <w:spacing w:after="0" w:line="275" w:lineRule="auto"/>
        <w:rPr>
          <w:sz w:val="20"/>
          <w:szCs w:val="20"/>
          <w:color w:val="auto"/>
        </w:rPr>
      </w:pPr>
      <w:r>
        <w:rPr>
          <w:rFonts w:ascii="Arial" w:cs="Arial" w:eastAsia="Arial" w:hAnsi="Arial"/>
          <w:sz w:val="17"/>
          <w:szCs w:val="17"/>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75" w:lineRule="exact"/>
        <w:rPr>
          <w:sz w:val="20"/>
          <w:szCs w:val="20"/>
          <w:color w:val="auto"/>
        </w:rPr>
      </w:pPr>
    </w:p>
    <w:p>
      <w:pPr>
        <w:ind w:left="140" w:right="60" w:firstLine="437"/>
        <w:spacing w:after="0" w:line="284"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78" w:lineRule="exact"/>
        <w:rPr>
          <w:sz w:val="20"/>
          <w:szCs w:val="20"/>
          <w:color w:val="auto"/>
        </w:rPr>
      </w:pPr>
    </w:p>
    <w:p>
      <w:pPr>
        <w:ind w:left="140" w:right="400"/>
        <w:spacing w:after="0" w:line="271"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8" w:lineRule="exact"/>
        <w:rPr>
          <w:sz w:val="20"/>
          <w:szCs w:val="20"/>
          <w:color w:val="auto"/>
        </w:rPr>
      </w:pPr>
    </w:p>
    <w:p>
      <w:pPr>
        <w:ind w:left="140" w:right="20" w:firstLine="437"/>
        <w:spacing w:after="0" w:line="254"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2240" w:h="15840" w:orient="portrait"/>
          <w:cols w:equalWidth="0" w:num="1">
            <w:col w:w="11020"/>
          </w:cols>
          <w:pgMar w:left="520" w:top="316" w:right="70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40" w:firstLine="437"/>
        <w:spacing w:after="0" w:line="259"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114" w:lineRule="exact"/>
        <w:rPr>
          <w:sz w:val="20"/>
          <w:szCs w:val="20"/>
          <w:color w:val="auto"/>
        </w:rPr>
      </w:pPr>
    </w:p>
    <w:p>
      <w:pPr>
        <w:ind w:left="140" w:right="180" w:firstLine="437"/>
        <w:spacing w:after="0" w:line="255" w:lineRule="auto"/>
        <w:rPr>
          <w:sz w:val="20"/>
          <w:szCs w:val="20"/>
          <w:color w:val="auto"/>
        </w:rPr>
      </w:pPr>
      <w:r>
        <w:rPr>
          <w:rFonts w:ascii="Arial" w:cs="Arial" w:eastAsia="Arial" w:hAnsi="Arial"/>
          <w:sz w:val="18"/>
          <w:szCs w:val="18"/>
          <w:color w:val="auto"/>
        </w:rPr>
        <w:t>We may be the target of securities litigation in the future, particularly if the trading price of our common stock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298" w:lineRule="exact"/>
        <w:rPr>
          <w:sz w:val="20"/>
          <w:szCs w:val="20"/>
          <w:color w:val="auto"/>
        </w:rPr>
      </w:pPr>
    </w:p>
    <w:p>
      <w:pPr>
        <w:ind w:left="140" w:right="20"/>
        <w:spacing w:after="0" w:line="259"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9" w:lineRule="exact"/>
        <w:rPr>
          <w:sz w:val="20"/>
          <w:szCs w:val="20"/>
          <w:color w:val="auto"/>
        </w:rPr>
      </w:pPr>
    </w:p>
    <w:p>
      <w:pPr>
        <w:ind w:left="140" w:firstLine="437"/>
        <w:spacing w:after="0" w:line="287"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67" w:lineRule="exact"/>
        <w:rPr>
          <w:sz w:val="20"/>
          <w:szCs w:val="20"/>
          <w:color w:val="auto"/>
        </w:rPr>
      </w:pPr>
    </w:p>
    <w:p>
      <w:pPr>
        <w:ind w:left="140" w:right="180" w:firstLine="437"/>
        <w:spacing w:after="0" w:line="282" w:lineRule="auto"/>
        <w:rPr>
          <w:sz w:val="20"/>
          <w:szCs w:val="20"/>
          <w:color w:val="auto"/>
        </w:rPr>
      </w:pPr>
      <w:r>
        <w:rPr>
          <w:rFonts w:ascii="Arial" w:cs="Arial" w:eastAsia="Arial" w:hAnsi="Arial"/>
          <w:sz w:val="17"/>
          <w:szCs w:val="17"/>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We are exposed to risks associated with changes in interest rates that may affect our cost of capital and net investment income.</w:t>
      </w:r>
    </w:p>
    <w:p>
      <w:pPr>
        <w:spacing w:after="0" w:line="126" w:lineRule="exact"/>
        <w:rPr>
          <w:sz w:val="20"/>
          <w:szCs w:val="20"/>
          <w:color w:val="auto"/>
        </w:rPr>
      </w:pPr>
    </w:p>
    <w:p>
      <w:pPr>
        <w:ind w:left="140" w:firstLine="437"/>
        <w:spacing w:after="0" w:line="284"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2240" w:h="15840" w:orient="portrait"/>
          <w:cols w:equalWidth="0" w:num="1">
            <w:col w:w="11040"/>
          </w:cols>
          <w:pgMar w:left="520" w:top="316" w:right="68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140" w:firstLine="437"/>
        <w:spacing w:after="0" w:line="255" w:lineRule="auto"/>
        <w:rPr>
          <w:sz w:val="20"/>
          <w:szCs w:val="20"/>
          <w:color w:val="auto"/>
        </w:rPr>
      </w:pPr>
      <w:r>
        <w:rPr>
          <w:rFonts w:ascii="Arial" w:cs="Arial" w:eastAsia="Arial" w:hAnsi="Arial"/>
          <w:sz w:val="18"/>
          <w:szCs w:val="18"/>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91" w:lineRule="exact"/>
        <w:rPr>
          <w:sz w:val="20"/>
          <w:szCs w:val="20"/>
          <w:color w:val="auto"/>
        </w:rPr>
      </w:pPr>
    </w:p>
    <w:p>
      <w:pPr>
        <w:ind w:left="140" w:right="20" w:firstLine="437"/>
        <w:spacing w:after="0" w:line="290"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Facilities,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65" w:lineRule="exact"/>
        <w:rPr>
          <w:sz w:val="20"/>
          <w:szCs w:val="20"/>
          <w:color w:val="auto"/>
        </w:rPr>
      </w:pPr>
    </w:p>
    <w:p>
      <w:pPr>
        <w:ind w:left="140" w:right="200" w:firstLine="437"/>
        <w:spacing w:after="0" w:line="252" w:lineRule="auto"/>
        <w:rPr>
          <w:sz w:val="20"/>
          <w:szCs w:val="20"/>
          <w:color w:val="auto"/>
        </w:rPr>
      </w:pPr>
      <w:r>
        <w:rPr>
          <w:rFonts w:ascii="Arial" w:cs="Arial" w:eastAsia="Arial" w:hAnsi="Arial"/>
          <w:sz w:val="18"/>
          <w:szCs w:val="18"/>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95" w:lineRule="exact"/>
        <w:rPr>
          <w:sz w:val="20"/>
          <w:szCs w:val="20"/>
          <w:color w:val="auto"/>
        </w:rPr>
      </w:pPr>
    </w:p>
    <w:p>
      <w:pPr>
        <w:ind w:left="140" w:right="20" w:firstLine="437"/>
        <w:spacing w:after="0" w:line="255" w:lineRule="auto"/>
        <w:rPr>
          <w:sz w:val="20"/>
          <w:szCs w:val="20"/>
          <w:color w:val="auto"/>
        </w:rPr>
      </w:pPr>
      <w:r>
        <w:rPr>
          <w:rFonts w:ascii="Arial" w:cs="Arial" w:eastAsia="Arial" w:hAnsi="Arial"/>
          <w:sz w:val="18"/>
          <w:szCs w:val="18"/>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114" w:lineRule="exact"/>
        <w:rPr>
          <w:sz w:val="20"/>
          <w:szCs w:val="20"/>
          <w:color w:val="auto"/>
        </w:rPr>
      </w:pPr>
    </w:p>
    <w:p>
      <w:pPr>
        <w:ind w:left="140" w:right="60" w:firstLine="437"/>
        <w:spacing w:after="0" w:line="285"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78" w:lineRule="exact"/>
        <w:rPr>
          <w:sz w:val="20"/>
          <w:szCs w:val="20"/>
          <w:color w:val="auto"/>
        </w:rPr>
      </w:pPr>
    </w:p>
    <w:p>
      <w:pPr>
        <w:ind w:left="140" w:right="120"/>
        <w:spacing w:after="0" w:line="271"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8" w:lineRule="exact"/>
        <w:rPr>
          <w:sz w:val="20"/>
          <w:szCs w:val="20"/>
          <w:color w:val="auto"/>
        </w:rPr>
      </w:pPr>
    </w:p>
    <w:p>
      <w:pPr>
        <w:ind w:left="140" w:firstLine="437"/>
        <w:spacing w:after="0" w:line="271"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2240" w:h="15840" w:orient="portrait"/>
          <w:cols w:equalWidth="0" w:num="1">
            <w:col w:w="11060"/>
          </w:cols>
          <w:pgMar w:left="520" w:top="316" w:right="66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660"/>
        <w:spacing w:after="0" w:line="271" w:lineRule="auto"/>
        <w:rPr>
          <w:sz w:val="20"/>
          <w:szCs w:val="20"/>
          <w:color w:val="auto"/>
        </w:rPr>
      </w:pPr>
      <w:r>
        <w:rPr>
          <w:rFonts w:ascii="Arial" w:cs="Arial" w:eastAsia="Arial" w:hAnsi="Arial"/>
          <w:sz w:val="18"/>
          <w:szCs w:val="18"/>
          <w:color w:val="auto"/>
        </w:rPr>
        <w:t>such systems could cause delays or other problems in our activities. This, in turn, could have a material adverse effect on our business, financial condition and results of operations.</w:t>
      </w:r>
    </w:p>
    <w:p>
      <w:pPr>
        <w:spacing w:after="0" w:line="282" w:lineRule="exact"/>
        <w:rPr>
          <w:sz w:val="20"/>
          <w:szCs w:val="20"/>
          <w:color w:val="auto"/>
        </w:rPr>
      </w:pPr>
    </w:p>
    <w:p>
      <w:pPr>
        <w:ind w:left="140" w:right="60"/>
        <w:spacing w:after="0" w:line="271"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68" w:lineRule="exact"/>
        <w:rPr>
          <w:sz w:val="20"/>
          <w:szCs w:val="20"/>
          <w:color w:val="auto"/>
        </w:rPr>
      </w:pPr>
    </w:p>
    <w:p>
      <w:pPr>
        <w:ind w:left="140" w:right="20" w:firstLine="437"/>
        <w:spacing w:after="0" w:line="268" w:lineRule="auto"/>
        <w:rPr>
          <w:sz w:val="20"/>
          <w:szCs w:val="20"/>
          <w:color w:val="auto"/>
        </w:rPr>
      </w:pPr>
      <w:r>
        <w:rPr>
          <w:rFonts w:ascii="Arial" w:cs="Arial" w:eastAsia="Arial" w:hAnsi="Arial"/>
          <w:sz w:val="17"/>
          <w:szCs w:val="17"/>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4" w:lineRule="exact"/>
        <w:rPr>
          <w:sz w:val="20"/>
          <w:szCs w:val="20"/>
          <w:color w:val="auto"/>
        </w:rPr>
      </w:pPr>
    </w:p>
    <w:p>
      <w:pPr>
        <w:ind w:left="140" w:right="580" w:firstLine="437"/>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114" w:lineRule="exact"/>
        <w:rPr>
          <w:sz w:val="20"/>
          <w:szCs w:val="20"/>
          <w:color w:val="auto"/>
        </w:rPr>
      </w:pPr>
    </w:p>
    <w:p>
      <w:pPr>
        <w:ind w:left="140" w:firstLine="437"/>
        <w:spacing w:after="0" w:line="266" w:lineRule="auto"/>
        <w:rPr>
          <w:sz w:val="20"/>
          <w:szCs w:val="20"/>
          <w:color w:val="auto"/>
        </w:rPr>
      </w:pPr>
      <w:r>
        <w:rPr>
          <w:rFonts w:ascii="Arial" w:cs="Arial" w:eastAsia="Arial" w:hAnsi="Arial"/>
          <w:sz w:val="17"/>
          <w:szCs w:val="17"/>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w:t>
      </w:r>
    </w:p>
    <w:p>
      <w:pPr>
        <w:spacing w:after="0" w:line="288" w:lineRule="exact"/>
        <w:rPr>
          <w:sz w:val="20"/>
          <w:szCs w:val="20"/>
          <w:color w:val="auto"/>
        </w:rPr>
      </w:pPr>
    </w:p>
    <w:p>
      <w:pPr>
        <w:ind w:left="140" w:right="380"/>
        <w:spacing w:after="0" w:line="271" w:lineRule="auto"/>
        <w:rPr>
          <w:sz w:val="20"/>
          <w:szCs w:val="20"/>
          <w:color w:val="auto"/>
        </w:rPr>
      </w:pPr>
      <w:r>
        <w:rPr>
          <w:rFonts w:ascii="Arial" w:cs="Arial" w:eastAsia="Arial" w:hAnsi="Arial"/>
          <w:sz w:val="18"/>
          <w:szCs w:val="18"/>
          <w:b w:val="1"/>
          <w:bCs w:val="1"/>
          <w:i w:val="1"/>
          <w:iCs w:val="1"/>
          <w:color w:val="auto"/>
        </w:rPr>
        <w:t>We may have difficulty paying our Annual Distribution Requirement if we recognize income before or without receiving cash representing such income.</w:t>
      </w:r>
    </w:p>
    <w:p>
      <w:pPr>
        <w:spacing w:after="0" w:line="68" w:lineRule="exact"/>
        <w:rPr>
          <w:sz w:val="20"/>
          <w:szCs w:val="20"/>
          <w:color w:val="auto"/>
        </w:rPr>
      </w:pPr>
    </w:p>
    <w:p>
      <w:pPr>
        <w:ind w:left="140" w:right="20" w:firstLine="437"/>
        <w:spacing w:after="0" w:line="259"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2240" w:h="15840" w:orient="portrait"/>
          <w:cols w:equalWidth="0" w:num="1">
            <w:col w:w="11060"/>
          </w:cols>
          <w:pgMar w:left="520" w:top="316" w:right="66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color w:val="auto"/>
        </w:rPr>
        <w:t>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89" w:lineRule="exact"/>
        <w:rPr>
          <w:sz w:val="20"/>
          <w:szCs w:val="20"/>
          <w:color w:val="auto"/>
        </w:rPr>
      </w:pPr>
    </w:p>
    <w:p>
      <w:pPr>
        <w:ind w:left="140" w:firstLine="437"/>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86" w:lineRule="exact"/>
        <w:rPr>
          <w:sz w:val="20"/>
          <w:szCs w:val="20"/>
          <w:color w:val="auto"/>
        </w:rPr>
      </w:pPr>
    </w:p>
    <w:p>
      <w:pPr>
        <w:ind w:left="140" w:right="160" w:firstLine="437"/>
        <w:spacing w:after="0" w:line="275" w:lineRule="auto"/>
        <w:rPr>
          <w:sz w:val="20"/>
          <w:szCs w:val="20"/>
          <w:color w:val="auto"/>
        </w:rPr>
      </w:pPr>
      <w:r>
        <w:rPr>
          <w:rFonts w:ascii="Arial" w:cs="Arial" w:eastAsia="Arial" w:hAnsi="Arial"/>
          <w:sz w:val="17"/>
          <w:szCs w:val="17"/>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Recently passed legislation will allow us to incur additional leverage.</w:t>
      </w:r>
    </w:p>
    <w:p>
      <w:pPr>
        <w:spacing w:after="0" w:line="114" w:lineRule="exact"/>
        <w:rPr>
          <w:sz w:val="20"/>
          <w:szCs w:val="20"/>
          <w:color w:val="auto"/>
        </w:rPr>
      </w:pPr>
    </w:p>
    <w:p>
      <w:pPr>
        <w:ind w:left="140" w:firstLine="437"/>
        <w:spacing w:after="0" w:line="265" w:lineRule="auto"/>
        <w:rPr>
          <w:sz w:val="20"/>
          <w:szCs w:val="20"/>
          <w:color w:val="auto"/>
        </w:rPr>
      </w:pPr>
      <w:r>
        <w:rPr>
          <w:rFonts w:ascii="Arial" w:cs="Arial" w:eastAsia="Arial" w:hAnsi="Arial"/>
          <w:sz w:val="17"/>
          <w:szCs w:val="17"/>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If we comply with the applicable disclosure requirements, we will be able to incur additional indebtedness, which may increase the risk of investing in us. Under the 200% minimum asset coverage ratio, the Company is permitted to borrow up to one dollar for investment purposes for every one dollar of investor equity and, under the 150% minimum asset coverage ratio, the Company will be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have been reduced from 1.50% to 1.00% on gross assets that exceed 200% of the Company’s total net assets as of the immediately preceding quarter-end.</w:t>
      </w:r>
    </w:p>
    <w:p>
      <w:pPr>
        <w:spacing w:after="0" w:line="297" w:lineRule="exact"/>
        <w:rPr>
          <w:sz w:val="20"/>
          <w:szCs w:val="20"/>
          <w:color w:val="auto"/>
        </w:rPr>
      </w:pPr>
    </w:p>
    <w:p>
      <w:pPr>
        <w:ind w:left="140" w:right="100"/>
        <w:spacing w:after="0" w:line="259" w:lineRule="auto"/>
        <w:rPr>
          <w:sz w:val="20"/>
          <w:szCs w:val="20"/>
          <w:color w:val="auto"/>
        </w:rPr>
      </w:pPr>
      <w:r>
        <w:rPr>
          <w:rFonts w:ascii="Arial" w:cs="Arial" w:eastAsia="Arial" w:hAnsi="Arial"/>
          <w:sz w:val="18"/>
          <w:szCs w:val="18"/>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79" w:lineRule="exact"/>
        <w:rPr>
          <w:sz w:val="20"/>
          <w:szCs w:val="20"/>
          <w:color w:val="auto"/>
        </w:rPr>
      </w:pPr>
    </w:p>
    <w:p>
      <w:pPr>
        <w:ind w:left="140" w:right="40" w:firstLine="437"/>
        <w:spacing w:after="0" w:line="255" w:lineRule="auto"/>
        <w:rPr>
          <w:sz w:val="20"/>
          <w:szCs w:val="20"/>
          <w:color w:val="auto"/>
        </w:rPr>
      </w:pPr>
      <w:r>
        <w:rPr>
          <w:rFonts w:ascii="Arial" w:cs="Arial" w:eastAsia="Arial" w:hAnsi="Arial"/>
          <w:sz w:val="18"/>
          <w:szCs w:val="18"/>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91" w:lineRule="exact"/>
        <w:rPr>
          <w:sz w:val="20"/>
          <w:szCs w:val="20"/>
          <w:color w:val="auto"/>
        </w:rPr>
      </w:pPr>
    </w:p>
    <w:p>
      <w:pPr>
        <w:jc w:val="both"/>
        <w:ind w:left="140" w:right="60" w:firstLine="437"/>
        <w:spacing w:after="0" w:line="259" w:lineRule="auto"/>
        <w:rPr>
          <w:sz w:val="20"/>
          <w:szCs w:val="20"/>
          <w:color w:val="auto"/>
        </w:rPr>
      </w:pPr>
      <w:r>
        <w:rPr>
          <w:rFonts w:ascii="Arial" w:cs="Arial" w:eastAsia="Arial" w:hAnsi="Arial"/>
          <w:sz w:val="18"/>
          <w:szCs w:val="18"/>
          <w:color w:val="auto"/>
        </w:rPr>
        <w:t>Until February 5, 2019, as a BDC, under the 1940 Act, we were not permitted to incur indebtedness unless immediately after such borrowing we had an asset coverage for total borrowings of at least 200% (i.e., the amount of debt may not exceed 50% of the value of our assets). In March 2018, the Consolidated Appropriations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2240" w:h="15840" w:orient="portrait"/>
          <w:cols w:equalWidth="0" w:num="1">
            <w:col w:w="11040"/>
          </w:cols>
          <w:pgMar w:left="520" w:top="316" w:right="68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80"/>
        <w:spacing w:after="0" w:line="267" w:lineRule="auto"/>
        <w:rPr>
          <w:sz w:val="20"/>
          <w:szCs w:val="20"/>
          <w:color w:val="auto"/>
        </w:rPr>
      </w:pPr>
      <w:r>
        <w:rPr>
          <w:rFonts w:ascii="Arial" w:cs="Arial" w:eastAsia="Arial" w:hAnsi="Arial"/>
          <w:sz w:val="17"/>
          <w:szCs w:val="17"/>
          <w:color w:val="auto"/>
        </w:rPr>
        <w:t>Act of 2018 (which includes the SBCAA)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On November 13, 2018 and February 5, 2019, our board of directors, including a “required majority” (as such term is defined in Section 57(o) of the 1940 Act), and our stockholders, respectively, approved such reduction. As a result, as of February 6, 2019, the asset coverage requirements applicable to us for senior securities was reduced from 200% to 150%. As of such date, if we comply with the applicable disclosure requirements, we are able to incur additional indebtedness, which may increase the risk of investing in us.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81" w:lineRule="exact"/>
        <w:rPr>
          <w:sz w:val="20"/>
          <w:szCs w:val="20"/>
          <w:color w:val="auto"/>
        </w:rPr>
      </w:pPr>
    </w:p>
    <w:p>
      <w:pPr>
        <w:ind w:left="140" w:firstLine="437"/>
        <w:spacing w:after="0" w:line="272" w:lineRule="auto"/>
        <w:rPr>
          <w:sz w:val="20"/>
          <w:szCs w:val="20"/>
          <w:color w:val="auto"/>
        </w:rPr>
      </w:pPr>
      <w:r>
        <w:rPr>
          <w:rFonts w:ascii="Arial" w:cs="Arial" w:eastAsia="Arial" w:hAnsi="Arial"/>
          <w:sz w:val="17"/>
          <w:szCs w:val="17"/>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fulfill our requirements to be treated as a RIC for federal income tax purposes. We may have to request a waiver of the SBA’s restrictions for our SBIC Funds to make certain distributions to enable us to be subject to tax as a RIC. We cannot assure you that the SBA will grant such waiver, and if our SBIC Funds are unable to obtain a waiver, compliance with the SBA regulations may cause us to incur a corporate-level income tax.</w:t>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114" w:lineRule="exact"/>
        <w:rPr>
          <w:sz w:val="20"/>
          <w:szCs w:val="20"/>
          <w:color w:val="auto"/>
        </w:rPr>
      </w:pPr>
    </w:p>
    <w:p>
      <w:pPr>
        <w:ind w:left="140" w:firstLine="437"/>
        <w:spacing w:after="0" w:line="267" w:lineRule="auto"/>
        <w:rPr>
          <w:sz w:val="20"/>
          <w:szCs w:val="20"/>
          <w:color w:val="auto"/>
        </w:rPr>
      </w:pPr>
      <w:r>
        <w:rPr>
          <w:rFonts w:ascii="Arial" w:cs="Arial" w:eastAsia="Arial" w:hAnsi="Arial"/>
          <w:sz w:val="17"/>
          <w:szCs w:val="17"/>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87" w:lineRule="exact"/>
        <w:rPr>
          <w:sz w:val="20"/>
          <w:szCs w:val="20"/>
          <w:color w:val="auto"/>
        </w:rPr>
      </w:pPr>
    </w:p>
    <w:p>
      <w:pPr>
        <w:ind w:left="1000" w:hanging="331"/>
        <w:spacing w:after="0" w:line="290"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71" w:lineRule="exact"/>
        <w:rPr>
          <w:rFonts w:ascii="Arial" w:cs="Arial" w:eastAsia="Arial" w:hAnsi="Arial"/>
          <w:sz w:val="16"/>
          <w:szCs w:val="16"/>
          <w:color w:val="auto"/>
        </w:rPr>
      </w:pPr>
    </w:p>
    <w:p>
      <w:pPr>
        <w:ind w:left="1000" w:right="140" w:hanging="331"/>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Common Stock. </w:t>
      </w:r>
      <w:r>
        <w:rPr>
          <w:rFonts w:ascii="Arial" w:cs="Arial" w:eastAsia="Arial" w:hAnsi="Arial"/>
          <w:sz w:val="18"/>
          <w:szCs w:val="18"/>
          <w:color w:val="auto"/>
        </w:rPr>
        <w:t>Our board of directors may decide to issue common stock to finance our operations rather than issuing debt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senior securities. As a BDC, we are generally not able to issue our common stock at a price below NAV per share without first obtaining certain approvals from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2240" w:h="15840" w:orient="portrait"/>
          <w:cols w:equalWidth="0" w:num="1">
            <w:col w:w="11020"/>
          </w:cols>
          <w:pgMar w:left="520" w:top="316" w:right="70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spacing w:after="0" w:line="282" w:lineRule="auto"/>
        <w:rPr>
          <w:sz w:val="20"/>
          <w:szCs w:val="20"/>
          <w:color w:val="auto"/>
        </w:rPr>
      </w:pPr>
      <w:r>
        <w:rPr>
          <w:rFonts w:ascii="Arial" w:cs="Arial" w:eastAsia="Arial" w:hAnsi="Arial"/>
          <w:sz w:val="16"/>
          <w:szCs w:val="16"/>
          <w:color w:val="auto"/>
        </w:rPr>
        <w:t>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83" w:lineRule="exact"/>
        <w:rPr>
          <w:sz w:val="20"/>
          <w:szCs w:val="20"/>
          <w:color w:val="auto"/>
        </w:rPr>
      </w:pPr>
    </w:p>
    <w:p>
      <w:pPr>
        <w:ind w:left="1000" w:hanging="331"/>
        <w:spacing w:after="0" w:line="282"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rules and regulations of the SEC 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83" w:lineRule="exact"/>
        <w:rPr>
          <w:rFonts w:ascii="Arial" w:cs="Arial" w:eastAsia="Arial" w:hAnsi="Arial"/>
          <w:sz w:val="16"/>
          <w:szCs w:val="16"/>
          <w:color w:val="auto"/>
        </w:rPr>
      </w:pPr>
    </w:p>
    <w:p>
      <w:pPr>
        <w:ind w:left="1000" w:right="200" w:hanging="331"/>
        <w:spacing w:after="0" w:line="25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future issue, as permitted under SBA regulations and through our wholly owned subsidiaries, SBIC LP, SBIC II and any future SBIC subsidiary, SBA debentures to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2240" w:h="15840" w:orient="portrait"/>
          <w:cols w:equalWidth="0" w:num="1">
            <w:col w:w="11020"/>
          </w:cols>
          <w:pgMar w:left="520" w:top="316" w:right="70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320"/>
        <w:spacing w:after="0" w:line="259" w:lineRule="auto"/>
        <w:rPr>
          <w:sz w:val="20"/>
          <w:szCs w:val="20"/>
          <w:color w:val="auto"/>
        </w:rPr>
      </w:pPr>
      <w:r>
        <w:rPr>
          <w:rFonts w:ascii="Arial" w:cs="Arial" w:eastAsia="Arial" w:hAnsi="Arial"/>
          <w:sz w:val="18"/>
          <w:szCs w:val="18"/>
          <w:color w:val="auto"/>
        </w:rPr>
        <w:t>generate cash for funding new investments. To issue SBA debentures, we may request commitments for debt capital from the SBA. Our SBIC Funds are and any future SBIC subsidiary may be exposed to any losses on its portfolio of loans, however, such debentures are non-recourse to us.</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tax status.</w:t>
      </w:r>
    </w:p>
    <w:p>
      <w:pPr>
        <w:spacing w:after="0" w:line="114" w:lineRule="exact"/>
        <w:rPr>
          <w:sz w:val="20"/>
          <w:szCs w:val="20"/>
          <w:color w:val="auto"/>
        </w:rPr>
      </w:pPr>
    </w:p>
    <w:p>
      <w:pPr>
        <w:ind w:left="140" w:firstLine="437"/>
        <w:spacing w:after="0" w:line="269" w:lineRule="auto"/>
        <w:rPr>
          <w:sz w:val="20"/>
          <w:szCs w:val="20"/>
          <w:color w:val="auto"/>
        </w:rPr>
      </w:pPr>
      <w:r>
        <w:rPr>
          <w:rFonts w:ascii="Arial" w:cs="Arial" w:eastAsia="Arial" w:hAnsi="Arial"/>
          <w:sz w:val="17"/>
          <w:szCs w:val="17"/>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our SBIC Funds, each taxable year as dividends to our stockholders.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tax status. We cannot assure you that the SBA will grant such waiver and if our SBIC Funds are unable to obtain a waiver, compliance with the SBA regulations may result in corporate level income tax on us.</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114" w:lineRule="exact"/>
        <w:rPr>
          <w:sz w:val="20"/>
          <w:szCs w:val="20"/>
          <w:color w:val="auto"/>
        </w:rPr>
      </w:pPr>
    </w:p>
    <w:p>
      <w:pPr>
        <w:ind w:left="140" w:right="80" w:firstLine="437"/>
        <w:spacing w:after="0" w:line="255"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make investments at lower rates in order to qualify investments under the SBA regulations.</w:t>
      </w:r>
    </w:p>
    <w:p>
      <w:pPr>
        <w:spacing w:after="0" w:line="191" w:lineRule="exact"/>
        <w:rPr>
          <w:sz w:val="20"/>
          <w:szCs w:val="20"/>
          <w:color w:val="auto"/>
        </w:rPr>
      </w:pPr>
    </w:p>
    <w:p>
      <w:pPr>
        <w:ind w:left="140" w:right="160" w:firstLine="437"/>
        <w:spacing w:after="0" w:line="252" w:lineRule="auto"/>
        <w:rPr>
          <w:sz w:val="20"/>
          <w:szCs w:val="20"/>
          <w:color w:val="auto"/>
        </w:rPr>
      </w:pPr>
      <w:r>
        <w:rPr>
          <w:rFonts w:ascii="Arial" w:cs="Arial" w:eastAsia="Arial" w:hAnsi="Arial"/>
          <w:sz w:val="18"/>
          <w:szCs w:val="18"/>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95" w:lineRule="exact"/>
        <w:rPr>
          <w:sz w:val="20"/>
          <w:szCs w:val="20"/>
          <w:color w:val="auto"/>
        </w:rPr>
      </w:pPr>
    </w:p>
    <w:p>
      <w:pPr>
        <w:ind w:left="140" w:right="40" w:firstLine="437"/>
        <w:spacing w:after="0" w:line="254"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$175.0 million, which is up to twice its regulatory capital, and a maximum of $350.0 million as part of a group of SBICs under common control.</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4" w:lineRule="exact"/>
        <w:rPr>
          <w:sz w:val="20"/>
          <w:szCs w:val="20"/>
          <w:color w:val="auto"/>
        </w:rPr>
      </w:pPr>
    </w:p>
    <w:p>
      <w:pPr>
        <w:ind w:left="140" w:firstLine="437"/>
        <w:spacing w:after="0" w:line="297"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160" w:lineRule="exact"/>
        <w:rPr>
          <w:sz w:val="20"/>
          <w:szCs w:val="20"/>
          <w:color w:val="auto"/>
        </w:rPr>
      </w:pPr>
    </w:p>
    <w:p>
      <w:pPr>
        <w:ind w:left="140" w:right="300" w:firstLine="437"/>
        <w:spacing w:after="0" w:line="271" w:lineRule="auto"/>
        <w:rPr>
          <w:sz w:val="20"/>
          <w:szCs w:val="20"/>
          <w:color w:val="auto"/>
        </w:rPr>
      </w:pPr>
      <w:r>
        <w:rPr>
          <w:rFonts w:ascii="Arial" w:cs="Arial" w:eastAsia="Arial" w:hAnsi="Arial"/>
          <w:sz w:val="18"/>
          <w:szCs w:val="18"/>
          <w:color w:val="auto"/>
        </w:rPr>
        <w:t>Our current debt is governed by the terms of our Credit Facilities and the SBA debentures and future debt may be governed by an indenture or other instrument containing covenants restricting our operating flexibility.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2240" w:h="15840" w:orient="portrait"/>
          <w:cols w:equalWidth="0" w:num="1">
            <w:col w:w="11020"/>
          </w:cols>
          <w:pgMar w:left="520" w:top="316" w:right="70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240"/>
        <w:spacing w:after="0" w:line="259" w:lineRule="auto"/>
        <w:rPr>
          <w:sz w:val="20"/>
          <w:szCs w:val="20"/>
          <w:color w:val="auto"/>
        </w:rPr>
      </w:pPr>
      <w:r>
        <w:rPr>
          <w:rFonts w:ascii="Arial" w:cs="Arial" w:eastAsia="Arial" w:hAnsi="Arial"/>
          <w:sz w:val="18"/>
          <w:szCs w:val="18"/>
          <w:color w:val="auto"/>
        </w:rPr>
        <w:t>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86" w:lineRule="exact"/>
        <w:rPr>
          <w:sz w:val="20"/>
          <w:szCs w:val="20"/>
          <w:color w:val="auto"/>
        </w:rPr>
      </w:pPr>
    </w:p>
    <w:p>
      <w:pPr>
        <w:ind w:left="140" w:right="60" w:firstLine="437"/>
        <w:spacing w:after="0" w:line="254" w:lineRule="auto"/>
        <w:rPr>
          <w:sz w:val="20"/>
          <w:szCs w:val="20"/>
          <w:color w:val="auto"/>
        </w:rPr>
      </w:pPr>
      <w:r>
        <w:rPr>
          <w:rFonts w:ascii="Arial" w:cs="Arial" w:eastAsia="Arial" w:hAnsi="Arial"/>
          <w:sz w:val="18"/>
          <w:szCs w:val="18"/>
          <w:color w:val="auto"/>
        </w:rPr>
        <w:t>Additionally, our SBIC Funds have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4" w:lineRule="exact"/>
        <w:rPr>
          <w:sz w:val="20"/>
          <w:szCs w:val="20"/>
          <w:color w:val="auto"/>
        </w:rPr>
      </w:pPr>
    </w:p>
    <w:p>
      <w:pPr>
        <w:ind w:left="140" w:firstLine="437"/>
        <w:spacing w:after="0" w:line="283" w:lineRule="auto"/>
        <w:rPr>
          <w:sz w:val="20"/>
          <w:szCs w:val="20"/>
          <w:color w:val="auto"/>
        </w:rPr>
      </w:pPr>
      <w:r>
        <w:rPr>
          <w:rFonts w:ascii="Arial" w:cs="Arial" w:eastAsia="Arial" w:hAnsi="Arial"/>
          <w:sz w:val="16"/>
          <w:szCs w:val="16"/>
          <w:color w:val="auto"/>
        </w:rPr>
        <w:t>We have indebtedness outstanding pursuant to our Credit Facilities and SBA debentures and expect in the future to borrow additional amounts under our Credit Facilities or other debt securities, subject to market availability, and, may increase the size of our Credit Facilities.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Facilities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Facilities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74" w:lineRule="exact"/>
        <w:rPr>
          <w:sz w:val="20"/>
          <w:szCs w:val="20"/>
          <w:color w:val="auto"/>
        </w:rPr>
      </w:pPr>
    </w:p>
    <w:p>
      <w:pPr>
        <w:ind w:left="140" w:right="40" w:firstLine="437"/>
        <w:spacing w:after="0" w:line="272" w:lineRule="auto"/>
        <w:rPr>
          <w:sz w:val="20"/>
          <w:szCs w:val="20"/>
          <w:color w:val="auto"/>
        </w:rPr>
      </w:pPr>
      <w:r>
        <w:rPr>
          <w:rFonts w:ascii="Arial" w:cs="Arial" w:eastAsia="Arial" w:hAnsi="Arial"/>
          <w:sz w:val="17"/>
          <w:szCs w:val="17"/>
          <w:color w:val="auto"/>
        </w:rPr>
        <w:t>Until February 5, 2019, as a BDC, under the 1940 Act, we were not permitted to incur indebtedness unless immediately after such borrowing we had an asset coverage for total borrowings of at least 200% (i.e., the amount of debt may not exceed 50% of the value of our assets). In March 2018, the Consolidated Appropriations Act of 2018 (which includes the SBCAA)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w:t>
      </w:r>
    </w:p>
    <w:p>
      <w:pPr>
        <w:spacing w:after="0" w:line="177" w:lineRule="exact"/>
        <w:rPr>
          <w:sz w:val="20"/>
          <w:szCs w:val="20"/>
          <w:color w:val="auto"/>
        </w:rPr>
      </w:pPr>
    </w:p>
    <w:p>
      <w:pPr>
        <w:ind w:left="140" w:right="120" w:firstLine="437"/>
        <w:spacing w:after="0" w:line="255" w:lineRule="auto"/>
        <w:rPr>
          <w:sz w:val="20"/>
          <w:szCs w:val="20"/>
          <w:color w:val="auto"/>
        </w:rPr>
      </w:pPr>
      <w:r>
        <w:rPr>
          <w:rFonts w:ascii="Arial" w:cs="Arial" w:eastAsia="Arial" w:hAnsi="Arial"/>
          <w:sz w:val="18"/>
          <w:szCs w:val="18"/>
          <w:color w:val="auto"/>
        </w:rPr>
        <w:t>On November 13, 2018 and February 5, 2019, our board of directors, including a “required majority” (as such term is defined in Section 57(o) of the 1940 Act), and our stockholders, respectively, approved such reduction. As a result, as of February 6, 2019, the asset coverage requirements applicable to us for senior securities was reduced from 200% to 150%. As of such date, if we comply with the applicable disclosure requirements, we are able to incur additional indebtedness, which may increase the risk of investing in us.</w:t>
      </w:r>
    </w:p>
    <w:p>
      <w:pPr>
        <w:spacing w:after="0" w:line="191" w:lineRule="exact"/>
        <w:rPr>
          <w:sz w:val="20"/>
          <w:szCs w:val="20"/>
          <w:color w:val="auto"/>
        </w:rPr>
      </w:pPr>
    </w:p>
    <w:p>
      <w:pPr>
        <w:ind w:left="140" w:right="100" w:firstLine="437"/>
        <w:spacing w:after="0" w:line="255" w:lineRule="auto"/>
        <w:rPr>
          <w:sz w:val="20"/>
          <w:szCs w:val="20"/>
          <w:color w:val="auto"/>
        </w:rPr>
      </w:pPr>
      <w:r>
        <w:rPr>
          <w:rFonts w:ascii="Arial" w:cs="Arial" w:eastAsia="Arial" w:hAnsi="Arial"/>
          <w:sz w:val="18"/>
          <w:szCs w:val="18"/>
          <w:color w:val="auto"/>
        </w:rPr>
        <w:t>As of December 31, 2018 and September 30, 2018, our asset coverage ratio, as computed in accordance with the 1940 Act, was 248% and 291%, respectively. Since our leverage, including SBA debentures outstanding, was 91% and 80% of our net assets as of December 31, 2018 and September 30, 2018, respectively, we would have to receive an annual return of at least 1.98% and 1.75%, respectively, to cover annual interest payments.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2240" w:h="15840" w:orient="portrait"/>
          <w:cols w:equalWidth="0" w:num="1">
            <w:col w:w="11040"/>
          </w:cols>
          <w:pgMar w:left="520" w:top="316" w:right="68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80" w:firstLine="437"/>
        <w:spacing w:after="0" w:line="288" w:lineRule="auto"/>
        <w:rPr>
          <w:sz w:val="20"/>
          <w:szCs w:val="20"/>
          <w:color w:val="auto"/>
        </w:rPr>
      </w:pPr>
      <w:r>
        <w:rPr>
          <w:rFonts w:ascii="Arial" w:cs="Arial" w:eastAsia="Arial" w:hAnsi="Arial"/>
          <w:sz w:val="16"/>
          <w:szCs w:val="16"/>
          <w:color w:val="auto"/>
        </w:rPr>
        <w:t>As of December 31, 2018, we had outstanding borrowings of $174.1 million under our Credit Facility, $250.0 million outstanding under our 2019 Notes and $150.0 million outstanding under the SBA debentures. Our consolidated debt outstanding was $574.1 million and had a weighted average annual interest rate at the time of 4.10%, exclusive of the fee on undrawn commitment on our Credit Facility and 3.43% of upfront fees on the SBA debentures. To cover the annual interest on our borrowings of $574.1 million outstanding as of December 31, 2018, at the weighted average annual rate of 4.10%, we would have to receive an annual yield of at least 1.98%.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67" w:lineRule="exact"/>
        <w:rPr>
          <w:sz w:val="20"/>
          <w:szCs w:val="20"/>
          <w:color w:val="auto"/>
        </w:rPr>
      </w:pPr>
    </w:p>
    <w:p>
      <w:pPr>
        <w:ind w:left="140" w:right="260" w:firstLine="437"/>
        <w:spacing w:after="0" w:line="270" w:lineRule="auto"/>
        <w:rPr>
          <w:sz w:val="20"/>
          <w:szCs w:val="20"/>
          <w:color w:val="auto"/>
        </w:rPr>
      </w:pPr>
      <w:r>
        <w:rPr>
          <w:rFonts w:ascii="Arial" w:cs="Arial" w:eastAsia="Arial" w:hAnsi="Arial"/>
          <w:sz w:val="17"/>
          <w:szCs w:val="17"/>
          <w:color w:val="auto"/>
        </w:rPr>
        <w:t>The following table is designed to illustrate the effect on the return to a holder of our common stock of the leverage created by our use of borrowing as of December 31, 2018 of 46% of total assets (including such borrowed funds), at the current interest rate at the time of 4.10%,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19"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5"/>
                <w:szCs w:val="15"/>
                <w:color w:val="auto"/>
              </w:rPr>
              <w:t>(1)</w:t>
            </w:r>
          </w:p>
        </w:tc>
        <w:tc>
          <w:tcPr>
            <w:tcW w:w="2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7"/>
        </w:trPr>
        <w:tc>
          <w:tcPr>
            <w:tcW w:w="504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5"/>
                <w:szCs w:val="15"/>
                <w:color w:val="auto"/>
              </w:rPr>
              <w:t>(2)</w:t>
            </w:r>
          </w:p>
        </w:tc>
        <w:tc>
          <w:tcPr>
            <w:tcW w:w="2300" w:type="dxa"/>
            <w:vAlign w:val="bottom"/>
          </w:tcPr>
          <w:p>
            <w:pPr>
              <w:jc w:val="right"/>
              <w:ind w:right="131"/>
              <w:spacing w:after="0"/>
              <w:rPr>
                <w:sz w:val="20"/>
                <w:szCs w:val="20"/>
                <w:color w:val="auto"/>
              </w:rPr>
            </w:pPr>
            <w:r>
              <w:rPr>
                <w:rFonts w:ascii="Arial" w:cs="Arial" w:eastAsia="Arial" w:hAnsi="Arial"/>
                <w:sz w:val="18"/>
                <w:szCs w:val="18"/>
                <w:color w:val="auto"/>
              </w:rPr>
              <w:t>(23.7)%</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(13.7)%</w:t>
            </w:r>
          </w:p>
        </w:tc>
        <w:tc>
          <w:tcPr>
            <w:tcW w:w="940" w:type="dxa"/>
            <w:vAlign w:val="bottom"/>
          </w:tcPr>
          <w:p>
            <w:pPr>
              <w:ind w:left="240"/>
              <w:spacing w:after="0"/>
              <w:rPr>
                <w:sz w:val="20"/>
                <w:szCs w:val="20"/>
                <w:color w:val="auto"/>
              </w:rPr>
            </w:pPr>
            <w:r>
              <w:rPr>
                <w:rFonts w:ascii="Arial" w:cs="Arial" w:eastAsia="Arial" w:hAnsi="Arial"/>
                <w:sz w:val="18"/>
                <w:szCs w:val="18"/>
                <w:color w:val="auto"/>
              </w:rPr>
              <w:t>(3.8)%</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6.1%</w:t>
            </w: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76835</wp:posOffset>
            </wp:positionV>
            <wp:extent cx="6965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40" w:lineRule="exact"/>
        <w:rPr>
          <w:sz w:val="20"/>
          <w:szCs w:val="20"/>
          <w:color w:val="auto"/>
        </w:rPr>
      </w:pPr>
    </w:p>
    <w:p>
      <w:pPr>
        <w:ind w:left="560" w:right="600" w:hanging="426"/>
        <w:spacing w:after="0" w:line="255" w:lineRule="auto"/>
        <w:tabs>
          <w:tab w:leader="none" w:pos="5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5"/>
          <w:szCs w:val="15"/>
          <w:color w:val="auto"/>
        </w:rPr>
      </w:pPr>
    </w:p>
    <w:p>
      <w:pPr>
        <w:ind w:left="560" w:right="100" w:hanging="426"/>
        <w:spacing w:after="0" w:line="292" w:lineRule="auto"/>
        <w:tabs>
          <w:tab w:leader="none" w:pos="560" w:val="left"/>
        </w:tabs>
        <w:numPr>
          <w:ilvl w:val="0"/>
          <w:numId w:val="8"/>
        </w:numPr>
        <w:rPr>
          <w:rFonts w:ascii="Arial" w:cs="Arial" w:eastAsia="Arial" w:hAnsi="Arial"/>
          <w:sz w:val="13"/>
          <w:szCs w:val="13"/>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69" w:lineRule="exact"/>
        <w:rPr>
          <w:sz w:val="20"/>
          <w:szCs w:val="20"/>
          <w:color w:val="auto"/>
        </w:rPr>
      </w:pPr>
    </w:p>
    <w:p>
      <w:pPr>
        <w:ind w:left="140" w:right="100"/>
        <w:spacing w:after="0" w:line="271"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8" w:lineRule="exact"/>
        <w:rPr>
          <w:sz w:val="20"/>
          <w:szCs w:val="20"/>
          <w:color w:val="auto"/>
        </w:rPr>
      </w:pPr>
    </w:p>
    <w:p>
      <w:pPr>
        <w:ind w:left="140" w:right="60" w:firstLine="437"/>
        <w:spacing w:after="0" w:line="268" w:lineRule="auto"/>
        <w:rPr>
          <w:sz w:val="20"/>
          <w:szCs w:val="20"/>
          <w:color w:val="auto"/>
        </w:rPr>
      </w:pPr>
      <w:r>
        <w:rPr>
          <w:rFonts w:ascii="Arial" w:cs="Arial" w:eastAsia="Arial" w:hAnsi="Arial"/>
          <w:sz w:val="17"/>
          <w:szCs w:val="17"/>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288" w:lineRule="exact"/>
        <w:rPr>
          <w:sz w:val="20"/>
          <w:szCs w:val="20"/>
          <w:color w:val="auto"/>
        </w:rPr>
      </w:pPr>
    </w:p>
    <w:p>
      <w:pPr>
        <w:ind w:left="140" w:right="60"/>
        <w:spacing w:after="0" w:line="271"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68" w:lineRule="exact"/>
        <w:rPr>
          <w:sz w:val="20"/>
          <w:szCs w:val="20"/>
          <w:color w:val="auto"/>
        </w:rPr>
      </w:pPr>
    </w:p>
    <w:p>
      <w:pPr>
        <w:ind w:left="140" w:right="460" w:firstLine="437"/>
        <w:spacing w:after="0" w:line="271" w:lineRule="auto"/>
        <w:rPr>
          <w:sz w:val="20"/>
          <w:szCs w:val="20"/>
          <w:color w:val="auto"/>
        </w:rPr>
      </w:pPr>
      <w:r>
        <w:rPr>
          <w:rFonts w:ascii="Arial" w:cs="Arial" w:eastAsia="Arial" w:hAnsi="Arial"/>
          <w:sz w:val="18"/>
          <w:szCs w:val="18"/>
          <w:color w:val="auto"/>
        </w:rPr>
        <w:t>As a result of the issuance of the SBA debentures and borrowings under our Credit Facilities, we are exposed to typical risks associated with leverage, including an increased risk of loss and an increase in expenses,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2240" w:h="15840" w:orient="portrait"/>
          <w:cols w:equalWidth="0" w:num="1">
            <w:col w:w="11060"/>
          </w:cols>
          <w:pgMar w:left="520" w:top="316" w:right="66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line="252" w:lineRule="auto"/>
        <w:rPr>
          <w:sz w:val="20"/>
          <w:szCs w:val="20"/>
          <w:color w:val="auto"/>
        </w:rPr>
      </w:pPr>
      <w:r>
        <w:rPr>
          <w:rFonts w:ascii="Arial" w:cs="Arial" w:eastAsia="Arial" w:hAnsi="Arial"/>
          <w:sz w:val="18"/>
          <w:szCs w:val="18"/>
          <w:color w:val="auto"/>
        </w:rPr>
        <w:t>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4" w:lineRule="exact"/>
        <w:rPr>
          <w:sz w:val="20"/>
          <w:szCs w:val="20"/>
          <w:color w:val="auto"/>
        </w:rPr>
      </w:pPr>
    </w:p>
    <w:p>
      <w:pPr>
        <w:ind w:left="140" w:right="140" w:firstLine="437"/>
        <w:spacing w:after="0" w:line="293"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BDCs in light of the SBCAA as well as any corresponding changes to asset coverage ratios and, in certain cases, downgrade such ratings. Such a downgrade in our credit ratings may adversely affect our securities.</w:t>
      </w:r>
    </w:p>
    <w:p>
      <w:pPr>
        <w:spacing w:after="0" w:line="269" w:lineRule="exact"/>
        <w:rPr>
          <w:sz w:val="20"/>
          <w:szCs w:val="20"/>
          <w:color w:val="auto"/>
        </w:rPr>
      </w:pPr>
    </w:p>
    <w:p>
      <w:pPr>
        <w:ind w:left="140" w:right="540"/>
        <w:spacing w:after="0" w:line="271"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68" w:lineRule="exact"/>
        <w:rPr>
          <w:sz w:val="20"/>
          <w:szCs w:val="20"/>
          <w:color w:val="auto"/>
        </w:rPr>
      </w:pPr>
    </w:p>
    <w:p>
      <w:pPr>
        <w:ind w:left="140" w:right="60" w:firstLine="437"/>
        <w:spacing w:after="0" w:line="284" w:lineRule="auto"/>
        <w:rPr>
          <w:sz w:val="20"/>
          <w:szCs w:val="20"/>
          <w:color w:val="auto"/>
        </w:rPr>
      </w:pPr>
      <w:r>
        <w:rPr>
          <w:rFonts w:ascii="Arial" w:cs="Arial" w:eastAsia="Arial" w:hAnsi="Arial"/>
          <w:sz w:val="16"/>
          <w:szCs w:val="16"/>
          <w:color w:val="auto"/>
        </w:rPr>
        <w:t>Our Credit Facility and the BNP Credit Facility mature in May 2022 and February 2024, respectively. Additionally, our SBA debentures mature between March 2026 and March 2028. We utilize proceeds from the Credit Facilities and our SBA debentures to make investments in our portfolio companies. The duration of many of our investments exceeds the duration of our indebtedness under our Credit Facilities and certain of our SBA debentures. This means that we will have to extend the maturity of our Credit Facilities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renew or refinance our Credit Facilities and our SBA debentures on terms as favorable as those in our existing indebtedness. If we fail to extend or refinance the indebtedness by the time it becomes due and payable, holders of the debt and/or the administrative agent may elect to exercise various remedies, including the sale of all or a portion of the collateral securing such indebtedness,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2240" w:h="15840" w:orient="portrait"/>
          <w:cols w:equalWidth="0" w:num="1">
            <w:col w:w="11040"/>
          </w:cols>
          <w:pgMar w:left="520" w:top="316" w:right="68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4" w:lineRule="exact"/>
        <w:rPr>
          <w:sz w:val="20"/>
          <w:szCs w:val="20"/>
          <w:color w:val="auto"/>
        </w:rPr>
      </w:pPr>
    </w:p>
    <w:p>
      <w:pPr>
        <w:ind w:left="140" w:firstLine="437"/>
        <w:spacing w:after="0" w:line="283"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74" w:lineRule="exact"/>
        <w:rPr>
          <w:sz w:val="20"/>
          <w:szCs w:val="20"/>
          <w:color w:val="auto"/>
        </w:rPr>
      </w:pPr>
    </w:p>
    <w:p>
      <w:pPr>
        <w:ind w:left="140" w:right="20" w:firstLine="437"/>
        <w:spacing w:after="0" w:line="252"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95" w:lineRule="exact"/>
        <w:rPr>
          <w:sz w:val="20"/>
          <w:szCs w:val="20"/>
          <w:color w:val="auto"/>
        </w:rPr>
      </w:pPr>
    </w:p>
    <w:p>
      <w:pPr>
        <w:ind w:left="140" w:right="80" w:firstLine="437"/>
        <w:spacing w:after="0" w:line="270" w:lineRule="auto"/>
        <w:rPr>
          <w:sz w:val="20"/>
          <w:szCs w:val="20"/>
          <w:color w:val="auto"/>
        </w:rPr>
      </w:pPr>
      <w:r>
        <w:rPr>
          <w:rFonts w:ascii="Arial" w:cs="Arial" w:eastAsia="Arial" w:hAnsi="Arial"/>
          <w:sz w:val="17"/>
          <w:szCs w:val="17"/>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79" w:lineRule="exact"/>
        <w:rPr>
          <w:sz w:val="20"/>
          <w:szCs w:val="20"/>
          <w:color w:val="auto"/>
        </w:rPr>
      </w:pPr>
    </w:p>
    <w:p>
      <w:pPr>
        <w:ind w:left="140" w:right="40" w:firstLine="437"/>
        <w:spacing w:after="0" w:line="255"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2240" w:h="15840" w:orient="portrait"/>
          <w:cols w:equalWidth="0" w:num="1">
            <w:col w:w="11020"/>
          </w:cols>
          <w:pgMar w:left="520" w:top="316" w:right="70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114" w:lineRule="exact"/>
        <w:rPr>
          <w:sz w:val="20"/>
          <w:szCs w:val="20"/>
          <w:color w:val="auto"/>
        </w:rPr>
      </w:pPr>
    </w:p>
    <w:p>
      <w:pPr>
        <w:ind w:left="140" w:right="300" w:firstLine="437"/>
        <w:spacing w:after="0" w:line="283" w:lineRule="auto"/>
        <w:rPr>
          <w:sz w:val="20"/>
          <w:szCs w:val="20"/>
          <w:color w:val="auto"/>
        </w:rPr>
      </w:pPr>
      <w:r>
        <w:rPr>
          <w:rFonts w:ascii="Arial" w:cs="Arial" w:eastAsia="Arial" w:hAnsi="Arial"/>
          <w:sz w:val="16"/>
          <w:szCs w:val="16"/>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w:t>
      </w:r>
    </w:p>
    <w:p>
      <w:pPr>
        <w:spacing w:after="0" w:line="2" w:lineRule="exact"/>
        <w:rPr>
          <w:sz w:val="20"/>
          <w:szCs w:val="20"/>
          <w:color w:val="auto"/>
        </w:rPr>
      </w:pPr>
    </w:p>
    <w:p>
      <w:pPr>
        <w:ind w:left="140"/>
        <w:spacing w:after="0" w:line="287" w:lineRule="auto"/>
        <w:rPr>
          <w:sz w:val="20"/>
          <w:szCs w:val="20"/>
          <w:color w:val="auto"/>
        </w:rPr>
      </w:pPr>
      <w:r>
        <w:rPr>
          <w:rFonts w:ascii="Arial" w:cs="Arial" w:eastAsia="Arial" w:hAnsi="Arial"/>
          <w:sz w:val="16"/>
          <w:szCs w:val="16"/>
          <w:color w:val="auto"/>
        </w:rPr>
        <w:t>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4" w:lineRule="exact"/>
        <w:rPr>
          <w:sz w:val="20"/>
          <w:szCs w:val="20"/>
          <w:color w:val="auto"/>
        </w:rPr>
      </w:pPr>
    </w:p>
    <w:p>
      <w:pPr>
        <w:ind w:left="140" w:right="60" w:firstLine="437"/>
        <w:spacing w:after="0" w:line="288"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Facilities,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Facilities. This is expected to mitigate volatility in our earnings and NAV. As a result of these factors, results for any period should not be relied upon as being indicative of performance in future periods.</w:t>
      </w:r>
    </w:p>
    <w:p>
      <w:pPr>
        <w:spacing w:after="0" w:line="275" w:lineRule="exact"/>
        <w:rPr>
          <w:sz w:val="20"/>
          <w:szCs w:val="20"/>
          <w:color w:val="auto"/>
        </w:rPr>
      </w:pPr>
    </w:p>
    <w:p>
      <w:pPr>
        <w:ind w:left="140" w:right="560"/>
        <w:spacing w:after="0" w:line="271"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8" w:lineRule="exact"/>
        <w:rPr>
          <w:sz w:val="20"/>
          <w:szCs w:val="20"/>
          <w:color w:val="auto"/>
        </w:rPr>
      </w:pPr>
    </w:p>
    <w:p>
      <w:pPr>
        <w:ind w:left="140" w:right="40" w:firstLine="437"/>
        <w:spacing w:after="0" w:line="288"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114" w:lineRule="exact"/>
        <w:rPr>
          <w:sz w:val="20"/>
          <w:szCs w:val="20"/>
          <w:color w:val="auto"/>
        </w:rPr>
      </w:pPr>
    </w:p>
    <w:p>
      <w:pPr>
        <w:ind w:left="140" w:right="80" w:firstLine="437"/>
        <w:spacing w:after="0" w:line="275" w:lineRule="auto"/>
        <w:rPr>
          <w:sz w:val="20"/>
          <w:szCs w:val="20"/>
          <w:color w:val="auto"/>
        </w:rPr>
      </w:pPr>
      <w:r>
        <w:rPr>
          <w:rFonts w:ascii="Arial" w:cs="Arial" w:eastAsia="Arial" w:hAnsi="Arial"/>
          <w:sz w:val="17"/>
          <w:szCs w:val="17"/>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2240" w:h="15840" w:orient="portrait"/>
          <w:cols w:equalWidth="0" w:num="1">
            <w:col w:w="11060"/>
          </w:cols>
          <w:pgMar w:left="520" w:top="316" w:right="66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40" w:right="600"/>
        <w:spacing w:after="0" w:line="259" w:lineRule="auto"/>
        <w:rPr>
          <w:sz w:val="20"/>
          <w:szCs w:val="20"/>
          <w:color w:val="auto"/>
        </w:rPr>
      </w:pPr>
      <w:r>
        <w:rPr>
          <w:rFonts w:ascii="Arial" w:cs="Arial" w:eastAsia="Arial" w:hAnsi="Arial"/>
          <w:sz w:val="18"/>
          <w:szCs w:val="18"/>
          <w:color w:val="auto"/>
        </w:rPr>
        <w:t>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NAV and market value of our common stock may become more volatile.</w:t>
      </w:r>
    </w:p>
    <w:p>
      <w:pPr>
        <w:spacing w:after="0" w:line="160" w:lineRule="exact"/>
        <w:rPr>
          <w:sz w:val="20"/>
          <w:szCs w:val="20"/>
          <w:color w:val="auto"/>
        </w:rPr>
      </w:pPr>
    </w:p>
    <w:p>
      <w:pPr>
        <w:ind w:left="140" w:firstLine="437"/>
        <w:spacing w:after="0" w:line="286"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68" w:lineRule="exact"/>
        <w:rPr>
          <w:sz w:val="20"/>
          <w:szCs w:val="20"/>
          <w:color w:val="auto"/>
        </w:rPr>
      </w:pPr>
    </w:p>
    <w:p>
      <w:pPr>
        <w:ind w:left="140" w:firstLine="437"/>
        <w:spacing w:after="0" w:line="287"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4" w:lineRule="exact"/>
        <w:rPr>
          <w:sz w:val="20"/>
          <w:szCs w:val="20"/>
          <w:color w:val="auto"/>
        </w:rPr>
      </w:pPr>
    </w:p>
    <w:p>
      <w:pPr>
        <w:ind w:left="140" w:right="20" w:firstLine="437"/>
        <w:spacing w:after="0" w:line="255" w:lineRule="auto"/>
        <w:rPr>
          <w:sz w:val="20"/>
          <w:szCs w:val="20"/>
          <w:color w:val="auto"/>
        </w:rPr>
      </w:pPr>
      <w:r>
        <w:rPr>
          <w:rFonts w:ascii="Arial" w:cs="Arial" w:eastAsia="Arial" w:hAnsi="Arial"/>
          <w:sz w:val="18"/>
          <w:szCs w:val="18"/>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factors include the following:</w:t>
      </w:r>
    </w:p>
    <w:p>
      <w:pPr>
        <w:spacing w:after="0" w:line="128" w:lineRule="exact"/>
        <w:rPr>
          <w:sz w:val="20"/>
          <w:szCs w:val="20"/>
          <w:color w:val="auto"/>
        </w:rPr>
      </w:pPr>
    </w:p>
    <w:p>
      <w:pPr>
        <w:ind w:left="1000" w:hanging="33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2240" w:h="15840" w:orient="portrait"/>
          <w:cols w:equalWidth="0" w:num="1">
            <w:col w:w="11040"/>
          </w:cols>
          <w:pgMar w:left="520" w:top="316" w:right="68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100" w:firstLine="437"/>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114" w:lineRule="exact"/>
        <w:rPr>
          <w:sz w:val="20"/>
          <w:szCs w:val="20"/>
          <w:color w:val="auto"/>
        </w:rPr>
      </w:pPr>
    </w:p>
    <w:p>
      <w:pPr>
        <w:ind w:left="140" w:right="20" w:firstLine="437"/>
        <w:spacing w:after="0" w:line="254"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160" w:lineRule="exact"/>
        <w:rPr>
          <w:sz w:val="20"/>
          <w:szCs w:val="20"/>
          <w:color w:val="auto"/>
        </w:rPr>
      </w:pPr>
    </w:p>
    <w:p>
      <w:pPr>
        <w:ind w:left="140" w:right="40" w:firstLine="437"/>
        <w:spacing w:after="0" w:line="255"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91" w:lineRule="exact"/>
        <w:rPr>
          <w:sz w:val="20"/>
          <w:szCs w:val="20"/>
          <w:color w:val="auto"/>
        </w:rPr>
      </w:pPr>
    </w:p>
    <w:p>
      <w:pPr>
        <w:ind w:left="140" w:right="80" w:firstLine="437"/>
        <w:spacing w:after="0" w:line="297" w:lineRule="auto"/>
        <w:rPr>
          <w:sz w:val="20"/>
          <w:szCs w:val="20"/>
          <w:color w:val="auto"/>
        </w:rPr>
      </w:pPr>
      <w:r>
        <w:rPr>
          <w:rFonts w:ascii="Arial" w:cs="Arial" w:eastAsia="Arial" w:hAnsi="Arial"/>
          <w:sz w:val="16"/>
          <w:szCs w:val="16"/>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4" w:lineRule="exact"/>
        <w:rPr>
          <w:sz w:val="20"/>
          <w:szCs w:val="20"/>
          <w:color w:val="auto"/>
        </w:rPr>
      </w:pPr>
    </w:p>
    <w:p>
      <w:pPr>
        <w:ind w:left="140" w:right="40" w:firstLine="437"/>
        <w:spacing w:after="0" w:line="250" w:lineRule="auto"/>
        <w:rPr>
          <w:sz w:val="20"/>
          <w:szCs w:val="20"/>
          <w:color w:val="auto"/>
        </w:rPr>
      </w:pPr>
      <w:r>
        <w:rPr>
          <w:rFonts w:ascii="Arial" w:cs="Arial" w:eastAsia="Arial" w:hAnsi="Arial"/>
          <w:sz w:val="18"/>
          <w:szCs w:val="18"/>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306"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Changes in laws or regulations governing our operations or those of our portfolio companies may adversely affect our business.</w:t>
      </w:r>
    </w:p>
    <w:p>
      <w:pPr>
        <w:spacing w:after="0" w:line="126" w:lineRule="exact"/>
        <w:rPr>
          <w:sz w:val="20"/>
          <w:szCs w:val="20"/>
          <w:color w:val="auto"/>
        </w:rPr>
      </w:pPr>
    </w:p>
    <w:p>
      <w:pPr>
        <w:ind w:left="140" w:firstLine="437"/>
        <w:spacing w:after="0" w:line="259" w:lineRule="auto"/>
        <w:rPr>
          <w:sz w:val="20"/>
          <w:szCs w:val="20"/>
          <w:color w:val="auto"/>
        </w:rPr>
      </w:pPr>
      <w:r>
        <w:rPr>
          <w:rFonts w:ascii="Arial" w:cs="Arial" w:eastAsia="Arial" w:hAnsi="Arial"/>
          <w:sz w:val="18"/>
          <w:szCs w:val="18"/>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2240" w:h="15840" w:orient="portrait"/>
          <w:cols w:equalWidth="0" w:num="1">
            <w:col w:w="11020"/>
          </w:cols>
          <w:pgMar w:left="520" w:top="316" w:right="70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line="286" w:lineRule="auto"/>
        <w:rPr>
          <w:sz w:val="20"/>
          <w:szCs w:val="20"/>
          <w:color w:val="auto"/>
        </w:rPr>
      </w:pPr>
      <w:r>
        <w:rPr>
          <w:rFonts w:ascii="Arial" w:cs="Arial" w:eastAsia="Arial" w:hAnsi="Arial"/>
          <w:sz w:val="16"/>
          <w:szCs w:val="16"/>
          <w:color w:val="auto"/>
        </w:rPr>
        <w:t>material adverse effect on our business, financial condition and results of operations. In particular, on December 22, 2017, the Tax Cuts and Jobs Act was signed into law. This tax legislation lowers the general corporate income tax rate from 35 percent to 21 percent, makes changes regarding the use of net operating losses, repeals the corporate alternative minimum tax and makes significant changes with respect to the U.S. international tax rules. In addition, the legislation generally requires a holder that uses the accrual method of accounting for U.S. tax purposes to include certain amounts in income no later than the time such amounts are reflected on certain financial statements, which therefore if applicable would require us to accrue income earlier than under prior law, although the precise application of this rule is unclear at this time. The legislation also limits the amount or value of interest deductions of borrowers and in that way may potentially affect the loan market and our and our portfolio companies’ use of leverage. For individual taxpayers, the legislation reduces the maximum individual income tax rate and eliminates the deductibility of miscellaneous itemized deductions for taxable years 2018 through 2025. The impact of this new legislation is uncertain. See “Business—Regulation” for more information.</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Uncertainty about presidential administration initiatives could negatively impact our business, financial condition and results of operations.</w:t>
      </w:r>
    </w:p>
    <w:p>
      <w:pPr>
        <w:spacing w:after="0" w:line="137" w:lineRule="exact"/>
        <w:rPr>
          <w:sz w:val="20"/>
          <w:szCs w:val="20"/>
          <w:color w:val="auto"/>
        </w:rPr>
      </w:pPr>
    </w:p>
    <w:p>
      <w:pPr>
        <w:ind w:left="140" w:right="20" w:firstLine="437"/>
        <w:spacing w:after="0" w:line="267" w:lineRule="auto"/>
        <w:rPr>
          <w:sz w:val="20"/>
          <w:szCs w:val="20"/>
          <w:color w:val="auto"/>
        </w:rPr>
      </w:pPr>
      <w:r>
        <w:rPr>
          <w:rFonts w:ascii="Arial" w:cs="Arial" w:eastAsia="Arial" w:hAnsi="Arial"/>
          <w:sz w:val="17"/>
          <w:szCs w:val="17"/>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37" w:lineRule="exact"/>
        <w:rPr>
          <w:sz w:val="20"/>
          <w:szCs w:val="20"/>
          <w:color w:val="auto"/>
        </w:rPr>
      </w:pPr>
    </w:p>
    <w:p>
      <w:pPr>
        <w:ind w:left="140" w:right="40" w:firstLine="437"/>
        <w:spacing w:after="0" w:line="254"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ind w:left="140" w:right="320"/>
        <w:spacing w:after="0" w:line="271"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68" w:lineRule="exact"/>
        <w:rPr>
          <w:sz w:val="20"/>
          <w:szCs w:val="20"/>
          <w:color w:val="auto"/>
        </w:rPr>
      </w:pPr>
    </w:p>
    <w:p>
      <w:pPr>
        <w:ind w:left="140" w:right="60" w:firstLine="437"/>
        <w:spacing w:after="0" w:line="252" w:lineRule="auto"/>
        <w:rPr>
          <w:sz w:val="20"/>
          <w:szCs w:val="20"/>
          <w:color w:val="auto"/>
        </w:rPr>
      </w:pPr>
      <w:r>
        <w:rPr>
          <w:rFonts w:ascii="Arial" w:cs="Arial" w:eastAsia="Arial" w:hAnsi="Arial"/>
          <w:sz w:val="18"/>
          <w:szCs w:val="18"/>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2240" w:h="15840" w:orient="portrait"/>
          <w:cols w:equalWidth="0" w:num="1">
            <w:col w:w="11040"/>
          </w:cols>
          <w:pgMar w:left="520" w:top="316" w:right="68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260"/>
        <w:spacing w:after="0" w:line="255" w:lineRule="auto"/>
        <w:rPr>
          <w:sz w:val="20"/>
          <w:szCs w:val="20"/>
          <w:color w:val="auto"/>
        </w:rPr>
      </w:pPr>
      <w:r>
        <w:rPr>
          <w:rFonts w:ascii="Arial" w:cs="Arial" w:eastAsia="Arial" w:hAnsi="Arial"/>
          <w:sz w:val="18"/>
          <w:szCs w:val="18"/>
          <w:color w:val="auto"/>
        </w:rPr>
        <w:t>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18" w:lineRule="exact"/>
        <w:rPr>
          <w:sz w:val="20"/>
          <w:szCs w:val="20"/>
          <w:color w:val="auto"/>
        </w:rPr>
      </w:pPr>
    </w:p>
    <w:p>
      <w:pPr>
        <w:ind w:left="140"/>
        <w:spacing w:after="0" w:line="271"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8" w:lineRule="exact"/>
        <w:rPr>
          <w:sz w:val="20"/>
          <w:szCs w:val="20"/>
          <w:color w:val="auto"/>
        </w:rPr>
      </w:pPr>
    </w:p>
    <w:p>
      <w:pPr>
        <w:ind w:left="140" w:right="60" w:firstLine="437"/>
        <w:spacing w:after="0" w:line="286" w:lineRule="auto"/>
        <w:rPr>
          <w:sz w:val="20"/>
          <w:szCs w:val="20"/>
          <w:color w:val="auto"/>
        </w:rPr>
      </w:pPr>
      <w:r>
        <w:rPr>
          <w:rFonts w:ascii="Arial" w:cs="Arial" w:eastAsia="Arial" w:hAnsi="Arial"/>
          <w:sz w:val="16"/>
          <w:szCs w:val="16"/>
          <w:color w:val="auto"/>
        </w:rPr>
        <w:t>All of our investments are recorded using broker or dealer quotes, if available, or at fair value as determined in good faith by our board of directors. We expect that most, if not all, of our investments (other than cash and cash equivalents) and the fair values of the Credit Facilities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Facilities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68" w:lineRule="exact"/>
        <w:rPr>
          <w:sz w:val="20"/>
          <w:szCs w:val="20"/>
          <w:color w:val="auto"/>
        </w:rPr>
      </w:pPr>
    </w:p>
    <w:p>
      <w:pPr>
        <w:ind w:left="140" w:right="60" w:firstLine="437"/>
        <w:spacing w:after="0" w:line="268" w:lineRule="auto"/>
        <w:rPr>
          <w:sz w:val="20"/>
          <w:szCs w:val="20"/>
          <w:color w:val="auto"/>
        </w:rPr>
      </w:pPr>
      <w:r>
        <w:rPr>
          <w:rFonts w:ascii="Arial" w:cs="Arial" w:eastAsia="Arial" w:hAnsi="Arial"/>
          <w:sz w:val="17"/>
          <w:szCs w:val="17"/>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81" w:lineRule="exact"/>
        <w:rPr>
          <w:sz w:val="20"/>
          <w:szCs w:val="20"/>
          <w:color w:val="auto"/>
        </w:rPr>
      </w:pPr>
    </w:p>
    <w:p>
      <w:pPr>
        <w:ind w:left="140" w:firstLine="437"/>
        <w:spacing w:after="0" w:line="268" w:lineRule="auto"/>
        <w:rPr>
          <w:sz w:val="20"/>
          <w:szCs w:val="20"/>
          <w:color w:val="auto"/>
        </w:rPr>
      </w:pPr>
      <w:r>
        <w:rPr>
          <w:rFonts w:ascii="Arial" w:cs="Arial" w:eastAsia="Arial" w:hAnsi="Arial"/>
          <w:sz w:val="17"/>
          <w:szCs w:val="17"/>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4" w:lineRule="exact"/>
        <w:rPr>
          <w:sz w:val="20"/>
          <w:szCs w:val="20"/>
          <w:color w:val="auto"/>
        </w:rPr>
      </w:pPr>
    </w:p>
    <w:p>
      <w:pPr>
        <w:jc w:val="both"/>
        <w:ind w:left="140" w:right="300" w:firstLine="437"/>
        <w:spacing w:after="0" w:line="307"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2240" w:h="15840" w:orient="portrait"/>
          <w:cols w:equalWidth="0" w:num="1">
            <w:col w:w="11020"/>
          </w:cols>
          <w:pgMar w:left="520" w:top="316" w:right="70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80" w:firstLine="437"/>
        <w:spacing w:after="0" w:line="272" w:lineRule="auto"/>
        <w:rPr>
          <w:sz w:val="20"/>
          <w:szCs w:val="20"/>
          <w:color w:val="auto"/>
        </w:rPr>
      </w:pPr>
      <w:r>
        <w:rPr>
          <w:rFonts w:ascii="Arial" w:cs="Arial" w:eastAsia="Arial" w:hAnsi="Arial"/>
          <w:sz w:val="17"/>
          <w:szCs w:val="17"/>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77" w:lineRule="exact"/>
        <w:rPr>
          <w:sz w:val="20"/>
          <w:szCs w:val="20"/>
          <w:color w:val="auto"/>
        </w:rPr>
      </w:pPr>
    </w:p>
    <w:p>
      <w:pPr>
        <w:ind w:left="140" w:firstLine="437"/>
        <w:spacing w:after="0" w:line="297" w:lineRule="auto"/>
        <w:rPr>
          <w:sz w:val="20"/>
          <w:szCs w:val="20"/>
          <w:color w:val="auto"/>
        </w:rPr>
      </w:pPr>
      <w:r>
        <w:rPr>
          <w:rFonts w:ascii="Arial" w:cs="Arial" w:eastAsia="Arial" w:hAnsi="Arial"/>
          <w:sz w:val="16"/>
          <w:szCs w:val="16"/>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4" w:lineRule="exact"/>
        <w:rPr>
          <w:sz w:val="20"/>
          <w:szCs w:val="20"/>
          <w:color w:val="auto"/>
        </w:rPr>
      </w:pPr>
    </w:p>
    <w:p>
      <w:pPr>
        <w:ind w:left="140" w:firstLine="437"/>
        <w:spacing w:after="0" w:line="254" w:lineRule="auto"/>
        <w:rPr>
          <w:sz w:val="20"/>
          <w:szCs w:val="20"/>
          <w:color w:val="auto"/>
        </w:rPr>
      </w:pPr>
      <w:r>
        <w:rPr>
          <w:rFonts w:ascii="Arial" w:cs="Arial" w:eastAsia="Arial" w:hAnsi="Arial"/>
          <w:sz w:val="18"/>
          <w:szCs w:val="18"/>
          <w:color w:val="auto"/>
        </w:rPr>
        <w:t>We are susceptible to the risk of significant loss if we are forced to discount the value of our investments in order to provide liquidity to meet our debt maturities. Our borrowings under our Credit Facilities are collateralized by the assets in our investment portfolio (excluding assets held by our SBIC Funds).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89" w:lineRule="exact"/>
        <w:rPr>
          <w:sz w:val="20"/>
          <w:szCs w:val="20"/>
          <w:color w:val="auto"/>
        </w:rPr>
      </w:pPr>
    </w:p>
    <w:p>
      <w:pPr>
        <w:ind w:left="140" w:firstLine="437"/>
        <w:spacing w:after="0" w:line="272" w:lineRule="auto"/>
        <w:rPr>
          <w:sz w:val="20"/>
          <w:szCs w:val="20"/>
          <w:color w:val="auto"/>
        </w:rPr>
      </w:pPr>
      <w:r>
        <w:rPr>
          <w:rFonts w:ascii="Arial" w:cs="Arial" w:eastAsia="Arial" w:hAnsi="Arial"/>
          <w:sz w:val="17"/>
          <w:szCs w:val="17"/>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Facilities.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We may invest in over-the-counter securities, which have and may continue to face liquidity constraints, to provide us with liquidity.</w:t>
      </w:r>
    </w:p>
    <w:p>
      <w:pPr>
        <w:spacing w:after="0" w:line="126" w:lineRule="exact"/>
        <w:rPr>
          <w:sz w:val="20"/>
          <w:szCs w:val="20"/>
          <w:color w:val="auto"/>
        </w:rPr>
      </w:pPr>
    </w:p>
    <w:p>
      <w:pPr>
        <w:ind w:left="140" w:right="120" w:firstLine="437"/>
        <w:spacing w:after="0" w:line="301" w:lineRule="auto"/>
        <w:rPr>
          <w:sz w:val="20"/>
          <w:szCs w:val="20"/>
          <w:color w:val="auto"/>
        </w:rPr>
      </w:pPr>
      <w:r>
        <w:rPr>
          <w:rFonts w:ascii="Arial" w:cs="Arial" w:eastAsia="Arial" w:hAnsi="Arial"/>
          <w:sz w:val="17"/>
          <w:szCs w:val="17"/>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RISKS RELATED TO OUR INVESTMENTS</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intend to invest primarily in first lien secured debt, second lien secured debt, subordinated debt and selected equity investments issued by U.S.</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and foreign middle-market companies.</w:t>
      </w:r>
    </w:p>
    <w:p>
      <w:pPr>
        <w:spacing w:after="0" w:line="115" w:lineRule="exact"/>
        <w:rPr>
          <w:sz w:val="20"/>
          <w:szCs w:val="20"/>
          <w:color w:val="auto"/>
        </w:rPr>
      </w:pPr>
    </w:p>
    <w:p>
      <w:pPr>
        <w:ind w:left="1000" w:right="160" w:hanging="438"/>
        <w:spacing w:after="0" w:line="254"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Lien Secured Debt: </w:t>
      </w:r>
      <w:r>
        <w:rPr>
          <w:rFonts w:ascii="Arial" w:cs="Arial" w:eastAsia="Arial" w:hAnsi="Arial"/>
          <w:sz w:val="18"/>
          <w:szCs w:val="18"/>
          <w:color w:val="auto"/>
        </w:rPr>
        <w:t>When we extend first lien secured debt, we will generally take a security interest in the available assets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2240" w:h="15840" w:orient="portrait"/>
          <w:cols w:equalWidth="0" w:num="1">
            <w:col w:w="11020"/>
          </w:cols>
          <w:pgMar w:left="520" w:top="316" w:right="70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100"/>
        <w:spacing w:after="0" w:line="293" w:lineRule="auto"/>
        <w:rPr>
          <w:sz w:val="20"/>
          <w:szCs w:val="20"/>
          <w:color w:val="auto"/>
        </w:rPr>
      </w:pPr>
      <w:r>
        <w:rPr>
          <w:rFonts w:ascii="Arial" w:cs="Arial" w:eastAsia="Arial" w:hAnsi="Arial"/>
          <w:sz w:val="16"/>
          <w:szCs w:val="16"/>
          <w:color w:val="auto"/>
        </w:rPr>
        <w:t>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68" w:lineRule="exact"/>
        <w:rPr>
          <w:sz w:val="20"/>
          <w:szCs w:val="20"/>
          <w:color w:val="auto"/>
        </w:rPr>
      </w:pPr>
    </w:p>
    <w:p>
      <w:pPr>
        <w:ind w:left="1000" w:hanging="438"/>
        <w:spacing w:after="0" w:line="288"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Second Lien Secured Debt: </w:t>
      </w:r>
      <w:r>
        <w:rPr>
          <w:rFonts w:ascii="Arial" w:cs="Arial" w:eastAsia="Arial" w:hAnsi="Arial"/>
          <w:sz w:val="16"/>
          <w:szCs w:val="16"/>
          <w:color w:val="auto"/>
        </w:rPr>
        <w:t>Our second lien secured debt usually ranks junior in priority of payment to first lien secured debt. Second lien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secured debt holds a second priority 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73" w:lineRule="exact"/>
        <w:rPr>
          <w:rFonts w:ascii="Arial" w:cs="Arial" w:eastAsia="Arial" w:hAnsi="Arial"/>
          <w:sz w:val="16"/>
          <w:szCs w:val="16"/>
          <w:color w:val="auto"/>
        </w:rPr>
      </w:pPr>
    </w:p>
    <w:p>
      <w:pPr>
        <w:ind w:left="1000" w:right="20" w:hanging="438"/>
        <w:spacing w:after="0" w:line="269"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Subordinated Debt: </w:t>
      </w:r>
      <w:r>
        <w:rPr>
          <w:rFonts w:ascii="Arial" w:cs="Arial" w:eastAsia="Arial" w:hAnsi="Arial"/>
          <w:sz w:val="17"/>
          <w:szCs w:val="17"/>
          <w:color w:val="auto"/>
        </w:rPr>
        <w:t>Our subordinated debt usually ranks junior in priority of payment to first lien secured debt and second lien secured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and are often unsecured. As such, 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85" w:lineRule="exact"/>
        <w:rPr>
          <w:rFonts w:ascii="Arial" w:cs="Arial" w:eastAsia="Arial" w:hAnsi="Arial"/>
          <w:sz w:val="17"/>
          <w:szCs w:val="17"/>
          <w:color w:val="auto"/>
        </w:rPr>
      </w:pPr>
    </w:p>
    <w:p>
      <w:pPr>
        <w:ind w:left="1000" w:right="20" w:hanging="438"/>
        <w:spacing w:after="0" w:line="267"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Equity Investments: </w:t>
      </w:r>
      <w:r>
        <w:rPr>
          <w:rFonts w:ascii="Arial" w:cs="Arial" w:eastAsia="Arial" w:hAnsi="Arial"/>
          <w:sz w:val="17"/>
          <w:szCs w:val="17"/>
          <w:color w:val="auto"/>
        </w:rPr>
        <w:t>We have made and expect to continue to make select equity investments, all of which are subordinated to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In addition, when we invest in 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28" w:lineRule="exact"/>
        <w:rPr>
          <w:sz w:val="20"/>
          <w:szCs w:val="20"/>
          <w:color w:val="auto"/>
        </w:rPr>
      </w:pPr>
    </w:p>
    <w:p>
      <w:pPr>
        <w:ind w:left="1000" w:right="60" w:hanging="331"/>
        <w:spacing w:after="0" w:line="259"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92" w:lineRule="exact"/>
        <w:rPr>
          <w:rFonts w:ascii="Arial" w:cs="Arial" w:eastAsia="Arial" w:hAnsi="Arial"/>
          <w:sz w:val="18"/>
          <w:szCs w:val="18"/>
          <w:color w:val="auto"/>
        </w:rPr>
      </w:pPr>
    </w:p>
    <w:p>
      <w:pPr>
        <w:ind w:left="1000" w:right="200" w:hanging="331"/>
        <w:spacing w:after="0" w:line="259"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2240" w:h="15840" w:orient="portrait"/>
          <w:cols w:equalWidth="0" w:num="1">
            <w:col w:w="11040"/>
          </w:cols>
          <w:pgMar w:left="520" w:top="316" w:right="68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40" w:hanging="331"/>
        <w:spacing w:after="0" w:line="335"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35" w:lineRule="exact"/>
        <w:rPr>
          <w:rFonts w:ascii="Arial" w:cs="Arial" w:eastAsia="Arial" w:hAnsi="Arial"/>
          <w:sz w:val="16"/>
          <w:szCs w:val="16"/>
          <w:color w:val="auto"/>
        </w:rPr>
      </w:pPr>
    </w:p>
    <w:p>
      <w:pPr>
        <w:ind w:left="1000" w:right="320" w:hanging="331"/>
        <w:spacing w:after="0" w:line="275"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80" w:lineRule="exact"/>
        <w:rPr>
          <w:rFonts w:ascii="Arial" w:cs="Arial" w:eastAsia="Arial" w:hAnsi="Arial"/>
          <w:sz w:val="17"/>
          <w:szCs w:val="17"/>
          <w:color w:val="auto"/>
        </w:rPr>
      </w:pPr>
    </w:p>
    <w:p>
      <w:pPr>
        <w:ind w:left="1000" w:hanging="331"/>
        <w:spacing w:after="0" w:line="27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82" w:lineRule="exact"/>
        <w:rPr>
          <w:sz w:val="20"/>
          <w:szCs w:val="20"/>
          <w:color w:val="auto"/>
        </w:rPr>
      </w:pPr>
    </w:p>
    <w:p>
      <w:pPr>
        <w:ind w:left="140" w:right="360"/>
        <w:spacing w:after="0" w:line="335" w:lineRule="auto"/>
        <w:rPr>
          <w:sz w:val="20"/>
          <w:szCs w:val="20"/>
          <w:color w:val="auto"/>
        </w:rPr>
      </w:pPr>
      <w:r>
        <w:rPr>
          <w:rFonts w:ascii="Arial" w:cs="Arial" w:eastAsia="Arial" w:hAnsi="Arial"/>
          <w:sz w:val="16"/>
          <w:szCs w:val="16"/>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22" w:lineRule="exact"/>
        <w:rPr>
          <w:sz w:val="20"/>
          <w:szCs w:val="20"/>
          <w:color w:val="auto"/>
        </w:rPr>
      </w:pPr>
    </w:p>
    <w:p>
      <w:pPr>
        <w:ind w:left="140" w:right="160" w:firstLine="437"/>
        <w:spacing w:after="0" w:line="254"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89" w:lineRule="exact"/>
        <w:rPr>
          <w:sz w:val="20"/>
          <w:szCs w:val="20"/>
          <w:color w:val="auto"/>
        </w:rPr>
      </w:pPr>
    </w:p>
    <w:p>
      <w:pPr>
        <w:ind w:left="140" w:right="20" w:firstLine="437"/>
        <w:spacing w:after="0" w:line="251" w:lineRule="auto"/>
        <w:rPr>
          <w:sz w:val="20"/>
          <w:szCs w:val="20"/>
          <w:color w:val="auto"/>
        </w:rPr>
      </w:pPr>
      <w:r>
        <w:rPr>
          <w:rFonts w:ascii="Arial" w:cs="Arial" w:eastAsia="Arial" w:hAnsi="Arial"/>
          <w:sz w:val="18"/>
          <w:szCs w:val="18"/>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302" w:lineRule="exact"/>
        <w:rPr>
          <w:sz w:val="20"/>
          <w:szCs w:val="20"/>
          <w:color w:val="auto"/>
        </w:rPr>
      </w:pPr>
    </w:p>
    <w:p>
      <w:pPr>
        <w:ind w:left="140" w:right="400"/>
        <w:spacing w:after="0" w:line="271"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8" w:lineRule="exact"/>
        <w:rPr>
          <w:sz w:val="20"/>
          <w:szCs w:val="20"/>
          <w:color w:val="auto"/>
        </w:rPr>
      </w:pPr>
    </w:p>
    <w:p>
      <w:pPr>
        <w:ind w:left="140" w:right="40" w:firstLine="437"/>
        <w:spacing w:after="0" w:line="267" w:lineRule="auto"/>
        <w:rPr>
          <w:sz w:val="20"/>
          <w:szCs w:val="20"/>
          <w:color w:val="auto"/>
        </w:rPr>
      </w:pPr>
      <w:r>
        <w:rPr>
          <w:rFonts w:ascii="Arial" w:cs="Arial" w:eastAsia="Arial" w:hAnsi="Arial"/>
          <w:sz w:val="17"/>
          <w:szCs w:val="17"/>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or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2240" w:h="15840" w:orient="portrait"/>
          <w:cols w:equalWidth="0" w:num="1">
            <w:col w:w="11060"/>
          </w:cols>
          <w:pgMar w:left="520" w:top="316" w:right="66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4" w:lineRule="exact"/>
        <w:rPr>
          <w:sz w:val="20"/>
          <w:szCs w:val="20"/>
          <w:color w:val="auto"/>
        </w:rPr>
      </w:pPr>
    </w:p>
    <w:p>
      <w:pPr>
        <w:ind w:left="140" w:right="140" w:firstLine="437"/>
        <w:spacing w:after="0" w:line="290"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65" w:lineRule="exact"/>
        <w:rPr>
          <w:sz w:val="20"/>
          <w:szCs w:val="20"/>
          <w:color w:val="auto"/>
        </w:rPr>
      </w:pPr>
    </w:p>
    <w:p>
      <w:pPr>
        <w:ind w:left="140" w:firstLine="437"/>
        <w:spacing w:after="0" w:line="268"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4" w:lineRule="exact"/>
        <w:rPr>
          <w:sz w:val="20"/>
          <w:szCs w:val="20"/>
          <w:color w:val="auto"/>
        </w:rPr>
      </w:pPr>
    </w:p>
    <w:p>
      <w:pPr>
        <w:ind w:left="140" w:right="860" w:firstLine="437"/>
        <w:spacing w:after="0" w:line="271"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81" w:lineRule="exact"/>
        <w:rPr>
          <w:sz w:val="20"/>
          <w:szCs w:val="20"/>
          <w:color w:val="auto"/>
        </w:rPr>
      </w:pPr>
    </w:p>
    <w:p>
      <w:pPr>
        <w:ind w:left="1000" w:hanging="331"/>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1" w:lineRule="exact"/>
        <w:rPr>
          <w:sz w:val="20"/>
          <w:szCs w:val="20"/>
          <w:color w:val="auto"/>
        </w:rPr>
      </w:pPr>
    </w:p>
    <w:p>
      <w:pPr>
        <w:ind w:left="140" w:right="20" w:firstLine="437"/>
        <w:spacing w:after="0" w:line="290"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72" w:lineRule="exact"/>
        <w:rPr>
          <w:sz w:val="20"/>
          <w:szCs w:val="20"/>
          <w:color w:val="auto"/>
        </w:rPr>
      </w:pPr>
    </w:p>
    <w:p>
      <w:pPr>
        <w:ind w:left="140" w:right="560"/>
        <w:spacing w:after="0" w:line="398"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left="140" w:right="40" w:firstLine="437"/>
        <w:spacing w:after="0" w:line="254"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2240" w:h="15840" w:orient="portrait"/>
          <w:cols w:equalWidth="0" w:num="1">
            <w:col w:w="11020"/>
          </w:cols>
          <w:pgMar w:left="520" w:top="316" w:right="70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40"/>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9" w:lineRule="exact"/>
        <w:rPr>
          <w:sz w:val="20"/>
          <w:szCs w:val="20"/>
          <w:color w:val="auto"/>
        </w:rPr>
      </w:pPr>
    </w:p>
    <w:p>
      <w:pPr>
        <w:ind w:left="140" w:right="20" w:firstLine="437"/>
        <w:spacing w:after="0" w:line="252"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302" w:lineRule="exact"/>
        <w:rPr>
          <w:sz w:val="20"/>
          <w:szCs w:val="20"/>
          <w:color w:val="auto"/>
        </w:rPr>
      </w:pPr>
    </w:p>
    <w:p>
      <w:pPr>
        <w:ind w:left="140" w:right="100"/>
        <w:spacing w:after="0" w:line="271"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68" w:lineRule="exact"/>
        <w:rPr>
          <w:sz w:val="20"/>
          <w:szCs w:val="20"/>
          <w:color w:val="auto"/>
        </w:rPr>
      </w:pPr>
    </w:p>
    <w:p>
      <w:pPr>
        <w:ind w:left="140" w:right="40" w:firstLine="437"/>
        <w:spacing w:after="0" w:line="286" w:lineRule="auto"/>
        <w:rPr>
          <w:sz w:val="20"/>
          <w:szCs w:val="20"/>
          <w:color w:val="auto"/>
        </w:rPr>
      </w:pPr>
      <w:r>
        <w:rPr>
          <w:rFonts w:ascii="Arial" w:cs="Arial" w:eastAsia="Arial" w:hAnsi="Arial"/>
          <w:sz w:val="16"/>
          <w:szCs w:val="16"/>
          <w:color w:val="auto"/>
        </w:rPr>
        <w:t>We invest primarily in first lien secured debt, second lien secured debt and subordinated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68" w:lineRule="exact"/>
        <w:rPr>
          <w:sz w:val="20"/>
          <w:szCs w:val="20"/>
          <w:color w:val="auto"/>
        </w:rPr>
      </w:pPr>
    </w:p>
    <w:p>
      <w:pPr>
        <w:ind w:left="140" w:right="80" w:firstLine="437"/>
        <w:spacing w:after="0" w:line="269" w:lineRule="auto"/>
        <w:rPr>
          <w:sz w:val="20"/>
          <w:szCs w:val="20"/>
          <w:color w:val="auto"/>
        </w:rPr>
      </w:pPr>
      <w:r>
        <w:rPr>
          <w:rFonts w:ascii="Arial" w:cs="Arial" w:eastAsia="Arial" w:hAnsi="Arial"/>
          <w:sz w:val="17"/>
          <w:szCs w:val="17"/>
          <w:color w:val="auto"/>
        </w:rPr>
        <w:t>The rights we may have with respect to the collateral securing any junior priority loans we make to our portfolio companies may also be limited pursuant to the terms of one or more intercreditor agreements (including agreements governing “first out” and “last out” structures) that we enter into with the holders of senior debt. Under such an intercreditor agreement, at any time that senior obligations are outstanding, we may forfeit certain rights with respect to the collateral to the holders of the senior obligations. These rights may include the right to commence enforcement proceedings against the collateral, the right to control the conduct of such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junior lenders are adversely affected.</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4" w:lineRule="exact"/>
        <w:rPr>
          <w:sz w:val="20"/>
          <w:szCs w:val="20"/>
          <w:color w:val="auto"/>
        </w:rPr>
      </w:pPr>
    </w:p>
    <w:p>
      <w:pPr>
        <w:ind w:left="140" w:firstLine="437"/>
        <w:spacing w:after="0" w:line="268"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2240" w:h="15840" w:orient="portrait"/>
          <w:cols w:equalWidth="0" w:num="1">
            <w:col w:w="11000"/>
          </w:cols>
          <w:pgMar w:left="520" w:top="316" w:right="72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line="271" w:lineRule="auto"/>
        <w:rPr>
          <w:sz w:val="20"/>
          <w:szCs w:val="20"/>
          <w:color w:val="auto"/>
        </w:rPr>
      </w:pPr>
      <w:r>
        <w:rPr>
          <w:rFonts w:ascii="Arial" w:cs="Arial" w:eastAsia="Arial" w:hAnsi="Arial"/>
          <w:sz w:val="18"/>
          <w:szCs w:val="18"/>
          <w:color w:val="auto"/>
        </w:rPr>
        <w:t>could result in our investing in more speculative securities than would otherwise be the case, which could result in higher investment losses, particularly during economic downturns.</w:t>
      </w:r>
    </w:p>
    <w:p>
      <w:pPr>
        <w:spacing w:after="0" w:line="175" w:lineRule="exact"/>
        <w:rPr>
          <w:sz w:val="20"/>
          <w:szCs w:val="20"/>
          <w:color w:val="auto"/>
        </w:rPr>
      </w:pPr>
    </w:p>
    <w:p>
      <w:pPr>
        <w:ind w:left="140" w:right="100" w:firstLine="437"/>
        <w:spacing w:after="0" w:line="275" w:lineRule="auto"/>
        <w:rPr>
          <w:sz w:val="20"/>
          <w:szCs w:val="20"/>
          <w:color w:val="auto"/>
        </w:rPr>
      </w:pPr>
      <w:r>
        <w:rPr>
          <w:rFonts w:ascii="Arial" w:cs="Arial" w:eastAsia="Arial" w:hAnsi="Arial"/>
          <w:sz w:val="17"/>
          <w:szCs w:val="17"/>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82" w:lineRule="exact"/>
        <w:rPr>
          <w:sz w:val="20"/>
          <w:szCs w:val="20"/>
          <w:color w:val="auto"/>
        </w:rPr>
      </w:pPr>
    </w:p>
    <w:p>
      <w:pPr>
        <w:ind w:left="140" w:right="780"/>
        <w:spacing w:after="0" w:line="271" w:lineRule="auto"/>
        <w:rPr>
          <w:sz w:val="20"/>
          <w:szCs w:val="20"/>
          <w:color w:val="auto"/>
        </w:rPr>
      </w:pPr>
      <w:r>
        <w:rPr>
          <w:rFonts w:ascii="Arial" w:cs="Arial" w:eastAsia="Arial" w:hAnsi="Arial"/>
          <w:sz w:val="18"/>
          <w:szCs w:val="18"/>
          <w:b w:val="1"/>
          <w:bCs w:val="1"/>
          <w:i w:val="1"/>
          <w:iCs w:val="1"/>
          <w:color w:val="auto"/>
        </w:rPr>
        <w:t>Any investments in distressed debt may not produce income and may require us to bear large expenses in order to protect and recover our investment.</w:t>
      </w:r>
    </w:p>
    <w:p>
      <w:pPr>
        <w:spacing w:after="0" w:line="68" w:lineRule="exact"/>
        <w:rPr>
          <w:sz w:val="20"/>
          <w:szCs w:val="20"/>
          <w:color w:val="auto"/>
        </w:rPr>
      </w:pPr>
    </w:p>
    <w:p>
      <w:pPr>
        <w:ind w:left="140" w:right="60" w:firstLine="437"/>
        <w:spacing w:after="0" w:line="267" w:lineRule="auto"/>
        <w:rPr>
          <w:sz w:val="20"/>
          <w:szCs w:val="20"/>
          <w:color w:val="auto"/>
        </w:rPr>
      </w:pPr>
      <w:r>
        <w:rPr>
          <w:rFonts w:ascii="Arial" w:cs="Arial" w:eastAsia="Arial" w:hAnsi="Arial"/>
          <w:sz w:val="17"/>
          <w:szCs w:val="17"/>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4" w:lineRule="exact"/>
        <w:rPr>
          <w:sz w:val="20"/>
          <w:szCs w:val="20"/>
          <w:color w:val="auto"/>
        </w:rPr>
      </w:pPr>
    </w:p>
    <w:p>
      <w:pPr>
        <w:ind w:left="140" w:right="40" w:firstLine="437"/>
        <w:spacing w:after="0" w:line="252"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92" w:lineRule="exact"/>
        <w:rPr>
          <w:sz w:val="20"/>
          <w:szCs w:val="20"/>
          <w:color w:val="auto"/>
        </w:rPr>
      </w:pPr>
    </w:p>
    <w:p>
      <w:pPr>
        <w:ind w:left="140" w:right="80" w:firstLine="437"/>
        <w:spacing w:after="0" w:line="252"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Facilities’ multicurrency capability to minimize these risks, but we can offer no assurance that we will, in fact, hedge currency risk or, that if we do, such strategies will be effective.</w:t>
      </w:r>
    </w:p>
    <w:p>
      <w:pPr>
        <w:spacing w:after="0" w:line="302" w:lineRule="exact"/>
        <w:rPr>
          <w:sz w:val="20"/>
          <w:szCs w:val="20"/>
          <w:color w:val="auto"/>
        </w:rPr>
      </w:pPr>
    </w:p>
    <w:p>
      <w:pPr>
        <w:ind w:left="140" w:right="180"/>
        <w:spacing w:after="0" w:line="271"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8" w:lineRule="exact"/>
        <w:rPr>
          <w:sz w:val="20"/>
          <w:szCs w:val="20"/>
          <w:color w:val="auto"/>
        </w:rPr>
      </w:pPr>
    </w:p>
    <w:p>
      <w:pPr>
        <w:jc w:val="both"/>
        <w:ind w:left="140" w:right="320" w:firstLine="437"/>
        <w:spacing w:after="0" w:line="259"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2240" w:h="15840" w:orient="portrait"/>
          <w:cols w:equalWidth="0" w:num="1">
            <w:col w:w="11000"/>
          </w:cols>
          <w:pgMar w:left="520" w:top="316" w:right="72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20"/>
        <w:spacing w:after="0" w:line="272" w:lineRule="auto"/>
        <w:rPr>
          <w:sz w:val="20"/>
          <w:szCs w:val="20"/>
          <w:color w:val="auto"/>
        </w:rPr>
      </w:pPr>
      <w:r>
        <w:rPr>
          <w:rFonts w:ascii="Arial" w:cs="Arial" w:eastAsia="Arial" w:hAnsi="Arial"/>
          <w:sz w:val="17"/>
          <w:szCs w:val="17"/>
          <w:color w:val="auto"/>
        </w:rPr>
        <w:t>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4" w:lineRule="exact"/>
        <w:rPr>
          <w:sz w:val="20"/>
          <w:szCs w:val="20"/>
          <w:color w:val="auto"/>
        </w:rPr>
      </w:pPr>
    </w:p>
    <w:p>
      <w:pPr>
        <w:ind w:left="140" w:right="20" w:firstLine="437"/>
        <w:spacing w:after="0" w:line="269" w:lineRule="auto"/>
        <w:rPr>
          <w:sz w:val="20"/>
          <w:szCs w:val="20"/>
          <w:color w:val="auto"/>
        </w:rPr>
      </w:pPr>
      <w:r>
        <w:rPr>
          <w:rFonts w:ascii="Arial" w:cs="Arial" w:eastAsia="Arial" w:hAnsi="Arial"/>
          <w:sz w:val="17"/>
          <w:szCs w:val="17"/>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4" w:lineRule="exact"/>
        <w:rPr>
          <w:sz w:val="20"/>
          <w:szCs w:val="20"/>
          <w:color w:val="auto"/>
        </w:rPr>
      </w:pPr>
    </w:p>
    <w:p>
      <w:pPr>
        <w:ind w:left="140" w:firstLine="437"/>
        <w:spacing w:after="0" w:line="267"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84" w:lineRule="exact"/>
        <w:rPr>
          <w:sz w:val="20"/>
          <w:szCs w:val="20"/>
          <w:color w:val="auto"/>
        </w:rPr>
      </w:pPr>
    </w:p>
    <w:p>
      <w:pPr>
        <w:ind w:left="140" w:right="120" w:firstLine="437"/>
        <w:spacing w:after="0" w:line="287"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4" w:lineRule="exact"/>
        <w:rPr>
          <w:sz w:val="20"/>
          <w:szCs w:val="20"/>
          <w:color w:val="auto"/>
        </w:rPr>
      </w:pPr>
    </w:p>
    <w:p>
      <w:pPr>
        <w:ind w:left="140" w:right="100" w:firstLine="437"/>
        <w:spacing w:after="0" w:line="259"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2240" w:h="15840" w:orient="portrait"/>
          <w:cols w:equalWidth="0" w:num="1">
            <w:col w:w="11040"/>
          </w:cols>
          <w:pgMar w:left="520" w:top="316" w:right="68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300"/>
        <w:spacing w:after="0" w:line="254" w:lineRule="auto"/>
        <w:rPr>
          <w:sz w:val="20"/>
          <w:szCs w:val="20"/>
          <w:color w:val="auto"/>
        </w:rPr>
      </w:pPr>
      <w:r>
        <w:rPr>
          <w:rFonts w:ascii="Arial" w:cs="Arial" w:eastAsia="Arial" w:hAnsi="Arial"/>
          <w:sz w:val="18"/>
          <w:szCs w:val="18"/>
          <w:color w:val="auto"/>
        </w:rPr>
        <w:t>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18" w:lineRule="exact"/>
        <w:rPr>
          <w:sz w:val="20"/>
          <w:szCs w:val="20"/>
          <w:color w:val="auto"/>
        </w:rPr>
      </w:pPr>
    </w:p>
    <w:p>
      <w:pPr>
        <w:jc w:val="both"/>
        <w:ind w:left="140" w:right="40"/>
        <w:spacing w:after="0" w:line="36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9" w:lineRule="exact"/>
        <w:rPr>
          <w:sz w:val="20"/>
          <w:szCs w:val="20"/>
          <w:color w:val="auto"/>
        </w:rPr>
      </w:pPr>
    </w:p>
    <w:p>
      <w:pPr>
        <w:ind w:left="140" w:right="60" w:firstLine="437"/>
        <w:spacing w:after="0" w:line="255" w:lineRule="auto"/>
        <w:rPr>
          <w:sz w:val="20"/>
          <w:szCs w:val="20"/>
          <w:color w:val="auto"/>
        </w:rPr>
      </w:pPr>
      <w:r>
        <w:rPr>
          <w:rFonts w:ascii="Arial" w:cs="Arial" w:eastAsia="Arial" w:hAnsi="Arial"/>
          <w:sz w:val="18"/>
          <w:szCs w:val="18"/>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91" w:lineRule="exact"/>
        <w:rPr>
          <w:sz w:val="20"/>
          <w:szCs w:val="20"/>
          <w:color w:val="auto"/>
        </w:rPr>
      </w:pPr>
    </w:p>
    <w:p>
      <w:pPr>
        <w:ind w:left="140" w:firstLine="437"/>
        <w:spacing w:after="0" w:line="288" w:lineRule="auto"/>
        <w:rPr>
          <w:sz w:val="20"/>
          <w:szCs w:val="20"/>
          <w:color w:val="auto"/>
        </w:rPr>
      </w:pPr>
      <w:r>
        <w:rPr>
          <w:rFonts w:ascii="Arial" w:cs="Arial" w:eastAsia="Arial" w:hAnsi="Arial"/>
          <w:sz w:val="16"/>
          <w:szCs w:val="16"/>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67" w:lineRule="exact"/>
        <w:rPr>
          <w:sz w:val="20"/>
          <w:szCs w:val="20"/>
          <w:color w:val="auto"/>
        </w:rPr>
      </w:pPr>
    </w:p>
    <w:p>
      <w:pPr>
        <w:ind w:left="140" w:right="40" w:firstLine="437"/>
        <w:spacing w:after="0" w:line="288"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4" w:lineRule="exact"/>
        <w:rPr>
          <w:sz w:val="20"/>
          <w:szCs w:val="20"/>
          <w:color w:val="auto"/>
        </w:rPr>
      </w:pPr>
    </w:p>
    <w:p>
      <w:pPr>
        <w:ind w:left="140" w:right="80" w:firstLine="437"/>
        <w:spacing w:after="0" w:line="252" w:lineRule="auto"/>
        <w:rPr>
          <w:sz w:val="20"/>
          <w:szCs w:val="20"/>
          <w:color w:val="auto"/>
        </w:rPr>
      </w:pPr>
      <w:r>
        <w:rPr>
          <w:rFonts w:ascii="Arial" w:cs="Arial" w:eastAsia="Arial" w:hAnsi="Arial"/>
          <w:sz w:val="18"/>
          <w:szCs w:val="18"/>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2240" w:h="15840" w:orient="portrait"/>
          <w:cols w:equalWidth="0" w:num="1">
            <w:col w:w="11060"/>
          </w:cols>
          <w:pgMar w:left="520" w:top="316" w:right="66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40"/>
        <w:spacing w:after="0" w:line="301" w:lineRule="auto"/>
        <w:rPr>
          <w:sz w:val="20"/>
          <w:szCs w:val="20"/>
          <w:color w:val="auto"/>
        </w:rPr>
      </w:pPr>
      <w:r>
        <w:rPr>
          <w:rFonts w:ascii="Arial" w:cs="Arial" w:eastAsia="Arial" w:hAnsi="Arial"/>
          <w:sz w:val="17"/>
          <w:szCs w:val="17"/>
          <w:color w:val="auto"/>
        </w:rPr>
        <w:t>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5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4" w:lineRule="exact"/>
        <w:rPr>
          <w:sz w:val="20"/>
          <w:szCs w:val="20"/>
          <w:color w:val="auto"/>
        </w:rPr>
      </w:pPr>
    </w:p>
    <w:p>
      <w:pPr>
        <w:ind w:left="140" w:right="100" w:firstLine="437"/>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4" w:lineRule="exact"/>
        <w:rPr>
          <w:sz w:val="20"/>
          <w:szCs w:val="20"/>
          <w:color w:val="auto"/>
        </w:rPr>
      </w:pPr>
    </w:p>
    <w:p>
      <w:pPr>
        <w:ind w:left="140" w:right="40" w:firstLine="437"/>
        <w:spacing w:after="0" w:line="335"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114" w:lineRule="exact"/>
        <w:rPr>
          <w:sz w:val="20"/>
          <w:szCs w:val="20"/>
          <w:color w:val="auto"/>
        </w:rPr>
      </w:pPr>
    </w:p>
    <w:p>
      <w:pPr>
        <w:ind w:left="140" w:right="320" w:firstLine="437"/>
        <w:spacing w:after="0" w:line="271"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4" w:lineRule="exact"/>
        <w:rPr>
          <w:sz w:val="20"/>
          <w:szCs w:val="20"/>
          <w:color w:val="auto"/>
        </w:rPr>
      </w:pPr>
    </w:p>
    <w:p>
      <w:pPr>
        <w:ind w:left="140" w:firstLine="437"/>
        <w:spacing w:after="0" w:line="254"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$6.37 and $7.46 on December 31, 2018 and September 30, 2018, respectively. Our NAV per share was $9.05 and $9.11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4" w:lineRule="exact"/>
        <w:rPr>
          <w:sz w:val="20"/>
          <w:szCs w:val="20"/>
          <w:color w:val="auto"/>
        </w:rPr>
      </w:pPr>
    </w:p>
    <w:p>
      <w:pPr>
        <w:ind w:left="140" w:right="180" w:firstLine="437"/>
        <w:spacing w:after="0" w:line="271"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81" w:lineRule="exact"/>
        <w:rPr>
          <w:sz w:val="20"/>
          <w:szCs w:val="20"/>
          <w:color w:val="auto"/>
        </w:rPr>
      </w:pPr>
    </w:p>
    <w:p>
      <w:pPr>
        <w:ind w:left="1000" w:right="740" w:hanging="331"/>
        <w:spacing w:after="0" w:line="27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27" w:lineRule="exact"/>
        <w:rPr>
          <w:rFonts w:ascii="Arial" w:cs="Arial" w:eastAsia="Arial" w:hAnsi="Arial"/>
          <w:sz w:val="18"/>
          <w:szCs w:val="18"/>
          <w:color w:val="auto"/>
        </w:rPr>
      </w:pPr>
    </w:p>
    <w:p>
      <w:pPr>
        <w:ind w:left="1000" w:hanging="331"/>
        <w:spacing w:after="0" w:line="27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2240" w:h="15840" w:orient="portrait"/>
          <w:cols w:equalWidth="0" w:num="1">
            <w:col w:w="10980"/>
          </w:cols>
          <w:pgMar w:left="520" w:top="316" w:right="7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hanging="33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1" w:lineRule="exact"/>
        <w:rPr>
          <w:sz w:val="20"/>
          <w:szCs w:val="20"/>
          <w:color w:val="auto"/>
        </w:rPr>
      </w:pPr>
    </w:p>
    <w:p>
      <w:pPr>
        <w:ind w:left="140" w:firstLine="437"/>
        <w:spacing w:after="0" w:line="271"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82" w:lineRule="exact"/>
        <w:rPr>
          <w:sz w:val="20"/>
          <w:szCs w:val="20"/>
          <w:color w:val="auto"/>
        </w:rPr>
      </w:pPr>
    </w:p>
    <w:p>
      <w:pPr>
        <w:ind w:left="140" w:right="300"/>
        <w:spacing w:after="0" w:line="271"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on acceptable terms, which would harm our financial condition and operating results.</w:t>
      </w:r>
    </w:p>
    <w:p>
      <w:pPr>
        <w:spacing w:after="0" w:line="68" w:lineRule="exact"/>
        <w:rPr>
          <w:sz w:val="20"/>
          <w:szCs w:val="20"/>
          <w:color w:val="auto"/>
        </w:rPr>
      </w:pPr>
    </w:p>
    <w:p>
      <w:pPr>
        <w:ind w:left="140" w:right="20" w:firstLine="437"/>
        <w:spacing w:after="0" w:line="254" w:lineRule="auto"/>
        <w:rPr>
          <w:sz w:val="20"/>
          <w:szCs w:val="20"/>
          <w:color w:val="auto"/>
        </w:rPr>
      </w:pPr>
      <w:r>
        <w:rPr>
          <w:rFonts w:ascii="Arial" w:cs="Arial" w:eastAsia="Arial" w:hAnsi="Arial"/>
          <w:sz w:val="18"/>
          <w:szCs w:val="18"/>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Facilities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128" w:lineRule="exact"/>
        <w:rPr>
          <w:sz w:val="20"/>
          <w:szCs w:val="20"/>
          <w:color w:val="auto"/>
        </w:rPr>
      </w:pPr>
    </w:p>
    <w:p>
      <w:pPr>
        <w:ind w:left="1000" w:hanging="331"/>
        <w:spacing w:after="0" w:line="271"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81" w:lineRule="exact"/>
        <w:rPr>
          <w:rFonts w:ascii="Arial" w:cs="Arial" w:eastAsia="Arial" w:hAnsi="Arial"/>
          <w:sz w:val="18"/>
          <w:szCs w:val="18"/>
          <w:color w:val="auto"/>
        </w:rPr>
      </w:pPr>
    </w:p>
    <w:p>
      <w:pPr>
        <w:ind w:left="1000" w:right="80" w:hanging="331"/>
        <w:spacing w:after="0" w:line="271"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114" w:lineRule="exact"/>
        <w:rPr>
          <w:sz w:val="20"/>
          <w:szCs w:val="20"/>
          <w:color w:val="auto"/>
        </w:rPr>
      </w:pPr>
    </w:p>
    <w:p>
      <w:pPr>
        <w:ind w:left="140" w:right="40" w:firstLine="437"/>
        <w:spacing w:after="0" w:line="269" w:lineRule="auto"/>
        <w:rPr>
          <w:sz w:val="20"/>
          <w:szCs w:val="20"/>
          <w:color w:val="auto"/>
        </w:rPr>
      </w:pPr>
      <w:r>
        <w:rPr>
          <w:rFonts w:ascii="Arial" w:cs="Arial" w:eastAsia="Arial" w:hAnsi="Arial"/>
          <w:sz w:val="17"/>
          <w:szCs w:val="17"/>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286" w:lineRule="exact"/>
        <w:rPr>
          <w:sz w:val="20"/>
          <w:szCs w:val="20"/>
          <w:color w:val="auto"/>
        </w:rPr>
      </w:pPr>
    </w:p>
    <w:p>
      <w:pPr>
        <w:ind w:left="140" w:right="60"/>
        <w:spacing w:after="0" w:line="271"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8" w:lineRule="exact"/>
        <w:rPr>
          <w:sz w:val="20"/>
          <w:szCs w:val="20"/>
          <w:color w:val="auto"/>
        </w:rPr>
      </w:pPr>
    </w:p>
    <w:p>
      <w:pPr>
        <w:ind w:left="140" w:right="80" w:firstLine="437"/>
        <w:spacing w:after="0" w:line="259"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2240" w:h="15840" w:orient="portrait"/>
          <w:cols w:equalWidth="0" w:num="1">
            <w:col w:w="11040"/>
          </w:cols>
          <w:pgMar w:left="520" w:top="316" w:right="68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200"/>
        <w:spacing w:after="0" w:line="259" w:lineRule="auto"/>
        <w:rPr>
          <w:sz w:val="20"/>
          <w:szCs w:val="20"/>
          <w:color w:val="auto"/>
        </w:rPr>
      </w:pPr>
      <w:r>
        <w:rPr>
          <w:rFonts w:ascii="Arial" w:cs="Arial" w:eastAsia="Arial" w:hAnsi="Arial"/>
          <w:sz w:val="18"/>
          <w:szCs w:val="18"/>
          <w:color w:val="auto"/>
        </w:rPr>
        <w:t>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4" w:lineRule="exact"/>
        <w:rPr>
          <w:sz w:val="20"/>
          <w:szCs w:val="20"/>
          <w:color w:val="auto"/>
        </w:rPr>
      </w:pPr>
    </w:p>
    <w:p>
      <w:pPr>
        <w:ind w:left="140" w:right="80" w:firstLine="437"/>
        <w:spacing w:after="0" w:line="275" w:lineRule="auto"/>
        <w:rPr>
          <w:sz w:val="20"/>
          <w:szCs w:val="20"/>
          <w:color w:val="auto"/>
        </w:rPr>
      </w:pPr>
      <w:r>
        <w:rPr>
          <w:rFonts w:ascii="Arial" w:cs="Arial" w:eastAsia="Arial" w:hAnsi="Arial"/>
          <w:sz w:val="17"/>
          <w:szCs w:val="17"/>
          <w:color w:val="auto"/>
        </w:rPr>
        <w:t>As a publicly traded company, we incur legal, accounting and other expenses, including costs associated with the periodic reporting requirements applicable to a company whose securities are registered under the Securities Exchange Act of 1934, as amended, or Exchange Act, as well as additional corporate governance requirements, including requirements under the Sarbanes-Oxley Act of 2002, as amended, or the Sarbanes-Oxley Act, and other rules implemented by the SEC and the listing standards of the NASDAQ Stock Market LLC.</w:t>
      </w:r>
    </w:p>
    <w:p>
      <w:pPr>
        <w:spacing w:after="0" w:line="282" w:lineRule="exact"/>
        <w:rPr>
          <w:sz w:val="20"/>
          <w:szCs w:val="20"/>
          <w:color w:val="auto"/>
        </w:rPr>
      </w:pPr>
    </w:p>
    <w:p>
      <w:pPr>
        <w:ind w:left="140" w:right="180"/>
        <w:spacing w:after="0" w:line="271"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8" w:lineRule="exact"/>
        <w:rPr>
          <w:sz w:val="20"/>
          <w:szCs w:val="20"/>
          <w:color w:val="auto"/>
        </w:rPr>
      </w:pPr>
    </w:p>
    <w:p>
      <w:pPr>
        <w:ind w:left="140" w:firstLine="437"/>
        <w:spacing w:after="0" w:line="269" w:lineRule="auto"/>
        <w:rPr>
          <w:sz w:val="20"/>
          <w:szCs w:val="20"/>
          <w:color w:val="auto"/>
        </w:rPr>
      </w:pPr>
      <w:r>
        <w:rPr>
          <w:rFonts w:ascii="Arial" w:cs="Arial" w:eastAsia="Arial" w:hAnsi="Arial"/>
          <w:sz w:val="17"/>
          <w:szCs w:val="17"/>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79" w:lineRule="exact"/>
        <w:rPr>
          <w:sz w:val="20"/>
          <w:szCs w:val="20"/>
          <w:color w:val="auto"/>
        </w:rPr>
      </w:pPr>
    </w:p>
    <w:p>
      <w:pPr>
        <w:ind w:left="140" w:right="140" w:firstLine="437"/>
        <w:spacing w:after="0" w:line="290"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65" w:lineRule="exact"/>
        <w:rPr>
          <w:sz w:val="20"/>
          <w:szCs w:val="20"/>
          <w:color w:val="auto"/>
        </w:rPr>
      </w:pPr>
    </w:p>
    <w:p>
      <w:pPr>
        <w:ind w:left="140" w:right="460" w:firstLine="437"/>
        <w:spacing w:after="0" w:line="271"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2240" w:h="15840" w:orient="portrait"/>
          <w:cols w:equalWidth="0" w:num="1">
            <w:col w:w="11040"/>
          </w:cols>
          <w:pgMar w:left="520" w:top="316" w:right="68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FORWARD-LOOKING STATEMENTS</w:t>
      </w:r>
    </w:p>
    <w:p>
      <w:pPr>
        <w:spacing w:after="0" w:line="225" w:lineRule="exact"/>
        <w:rPr>
          <w:sz w:val="20"/>
          <w:szCs w:val="20"/>
          <w:color w:val="auto"/>
        </w:rPr>
      </w:pPr>
    </w:p>
    <w:p>
      <w:pPr>
        <w:ind w:left="140" w:right="140" w:firstLine="437"/>
        <w:spacing w:after="0" w:line="275" w:lineRule="auto"/>
        <w:rPr>
          <w:sz w:val="20"/>
          <w:szCs w:val="20"/>
          <w:color w:val="auto"/>
        </w:rPr>
      </w:pPr>
      <w:r>
        <w:rPr>
          <w:rFonts w:ascii="Arial" w:cs="Arial" w:eastAsia="Arial" w:hAnsi="Arial"/>
          <w:sz w:val="17"/>
          <w:szCs w:val="17"/>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81" w:lineRule="exact"/>
        <w:rPr>
          <w:sz w:val="20"/>
          <w:szCs w:val="20"/>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1" w:lineRule="exact"/>
        <w:rPr>
          <w:sz w:val="20"/>
          <w:szCs w:val="20"/>
          <w:color w:val="auto"/>
        </w:rPr>
      </w:pPr>
    </w:p>
    <w:p>
      <w:pPr>
        <w:ind w:left="140" w:right="180" w:firstLine="437"/>
        <w:spacing w:after="0" w:line="307"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50" w:lineRule="exact"/>
        <w:rPr>
          <w:sz w:val="20"/>
          <w:szCs w:val="20"/>
          <w:color w:val="auto"/>
        </w:rPr>
      </w:pPr>
    </w:p>
    <w:p>
      <w:pPr>
        <w:ind w:left="140" w:firstLine="437"/>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9" w:lineRule="exact"/>
        <w:rPr>
          <w:sz w:val="20"/>
          <w:szCs w:val="20"/>
          <w:color w:val="auto"/>
        </w:rPr>
      </w:pPr>
    </w:p>
    <w:p>
      <w:pPr>
        <w:ind w:left="140" w:right="220" w:firstLine="437"/>
        <w:spacing w:after="0" w:line="307"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w:t>
      </w:r>
    </w:p>
    <w:p>
      <w:pPr>
        <w:spacing w:after="0" w:line="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2240" w:h="15840" w:orient="portrait"/>
          <w:cols w:equalWidth="0" w:num="1">
            <w:col w:w="11000"/>
          </w:cols>
          <w:pgMar w:left="520" w:top="316" w:right="72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300"/>
        <w:spacing w:after="0" w:line="271" w:lineRule="auto"/>
        <w:rPr>
          <w:sz w:val="20"/>
          <w:szCs w:val="20"/>
          <w:color w:val="auto"/>
        </w:rPr>
      </w:pPr>
      <w:r>
        <w:rPr>
          <w:rFonts w:ascii="Arial" w:cs="Arial" w:eastAsia="Arial" w:hAnsi="Arial"/>
          <w:sz w:val="18"/>
          <w:szCs w:val="18"/>
          <w:color w:val="auto"/>
        </w:rPr>
        <w:t>disclosures that we may make directly to you or through a supplemental prospectus or through reports that we in the future may file with the SEC, including reports on Form 10-K/Q and current reports on Form 8-K.</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w:t>
      </w:r>
    </w:p>
    <w:p>
      <w:pPr>
        <w:spacing w:after="0" w:line="43" w:lineRule="exact"/>
        <w:rPr>
          <w:sz w:val="20"/>
          <w:szCs w:val="20"/>
          <w:color w:val="auto"/>
        </w:rPr>
      </w:pPr>
    </w:p>
    <w:p>
      <w:pPr>
        <w:ind w:left="140" w:right="500" w:hanging="6"/>
        <w:spacing w:after="0" w:line="318" w:lineRule="auto"/>
        <w:tabs>
          <w:tab w:leader="none" w:pos="422" w:val="left"/>
        </w:tabs>
        <w:numPr>
          <w:ilvl w:val="0"/>
          <w:numId w:val="19"/>
        </w:numPr>
        <w:rPr>
          <w:rFonts w:ascii="Arial" w:cs="Arial" w:eastAsia="Arial" w:hAnsi="Arial"/>
          <w:sz w:val="16"/>
          <w:szCs w:val="16"/>
          <w:color w:val="auto"/>
        </w:rPr>
      </w:pPr>
      <w:r>
        <w:rPr>
          <w:rFonts w:ascii="Arial" w:cs="Arial" w:eastAsia="Arial" w:hAnsi="Arial"/>
          <w:sz w:val="16"/>
          <w:szCs w:val="16"/>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ectPr>
          <w:pgSz w:w="12240" w:h="15840" w:orient="portrait"/>
          <w:cols w:equalWidth="0" w:num="1">
            <w:col w:w="10860"/>
          </w:cols>
          <w:pgMar w:left="520" w:top="316" w:right="86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140" w:right="480" w:firstLine="437"/>
        <w:spacing w:after="0" w:line="282" w:lineRule="auto"/>
        <w:rPr>
          <w:sz w:val="20"/>
          <w:szCs w:val="20"/>
          <w:color w:val="auto"/>
        </w:rPr>
      </w:pPr>
      <w:r>
        <w:rPr>
          <w:rFonts w:ascii="Arial" w:cs="Arial" w:eastAsia="Arial" w:hAnsi="Arial"/>
          <w:sz w:val="17"/>
          <w:szCs w:val="17"/>
          <w:color w:val="auto"/>
        </w:rPr>
        <w:t>We may use the net proceeds from selling securities pursuant to this prospectus to reduce our then-outstanding obligations under our Credit Facility, and/or the SBA debentures, to invest in new or existing portfolio companies or for other general corporate or strategic purposes. Any supplements to this prospectus relating to an offering may more fully identify the use of the proceeds from such offering.</w:t>
      </w:r>
    </w:p>
    <w:p>
      <w:pPr>
        <w:spacing w:after="0" w:line="167" w:lineRule="exact"/>
        <w:rPr>
          <w:sz w:val="20"/>
          <w:szCs w:val="20"/>
          <w:color w:val="auto"/>
        </w:rPr>
      </w:pPr>
    </w:p>
    <w:p>
      <w:pPr>
        <w:ind w:left="140" w:firstLine="437"/>
        <w:spacing w:after="0" w:line="270" w:lineRule="auto"/>
        <w:rPr>
          <w:sz w:val="20"/>
          <w:szCs w:val="20"/>
          <w:color w:val="auto"/>
        </w:rPr>
      </w:pPr>
      <w:r>
        <w:rPr>
          <w:rFonts w:ascii="Arial" w:cs="Arial" w:eastAsia="Arial" w:hAnsi="Arial"/>
          <w:sz w:val="17"/>
          <w:szCs w:val="17"/>
          <w:color w:val="auto"/>
        </w:rPr>
        <w:t>As of December 31, 2018, we had $270.9 million of unused borrowing capacity, subject to maintenance of the applicable total assets to debt ratio, as set forth in the 1940 Act, and $174.1 million in borrowings outstanding under our $445.0 million Credit Facility. Borrowings under our Credit Facility bear interest at an annual rate equal to the London Interbank Offered Rate, or LIBOR or “L,” plus 225 basis points per annum. At December 31, 2018, the weighted average interest rate on the Credit Facility was 4.39%, exclusive of the fee on undrawn commitments of 0.375%. The Credit Facility is a revolving facility with a stated maturity date of May 25, 2022 and is secured by substantially all of the assets in our investment portfolio, excluding assets of our SBIC Funds. Amounts repaid under our Credit Facility remain available for future borrowings.</w:t>
      </w:r>
    </w:p>
    <w:p>
      <w:pPr>
        <w:spacing w:after="0" w:line="179" w:lineRule="exact"/>
        <w:rPr>
          <w:sz w:val="20"/>
          <w:szCs w:val="20"/>
          <w:color w:val="auto"/>
        </w:rPr>
      </w:pPr>
    </w:p>
    <w:p>
      <w:pPr>
        <w:ind w:left="140" w:right="60" w:firstLine="437"/>
        <w:spacing w:after="0" w:line="252" w:lineRule="auto"/>
        <w:rPr>
          <w:sz w:val="20"/>
          <w:szCs w:val="20"/>
          <w:color w:val="auto"/>
        </w:rPr>
      </w:pPr>
      <w:r>
        <w:rPr>
          <w:rFonts w:ascii="Arial" w:cs="Arial" w:eastAsia="Arial" w:hAnsi="Arial"/>
          <w:sz w:val="18"/>
          <w:szCs w:val="18"/>
          <w:color w:val="auto"/>
        </w:rPr>
        <w:t>As of December 31, 2018, we had $250.0 million in aggregate principal amount of 2019 Notes outstanding. The 2019 Notes will be prepaid at 100% of the principal amount, plus accrued and unpaid interest through the payment date of March 4, 2019, as well as a make-whole premium. Interest on the 2019 Notes was paid semi-annually on April 1 and October 1, at a rate of 4.50% per year.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Facility.</w:t>
      </w:r>
    </w:p>
    <w:p>
      <w:pPr>
        <w:spacing w:after="0" w:line="195" w:lineRule="exact"/>
        <w:rPr>
          <w:sz w:val="20"/>
          <w:szCs w:val="20"/>
          <w:color w:val="auto"/>
        </w:rPr>
      </w:pPr>
    </w:p>
    <w:p>
      <w:pPr>
        <w:ind w:left="140" w:right="60" w:firstLine="437"/>
        <w:spacing w:after="0" w:line="254" w:lineRule="auto"/>
        <w:rPr>
          <w:sz w:val="20"/>
          <w:szCs w:val="20"/>
          <w:color w:val="auto"/>
        </w:rPr>
      </w:pPr>
      <w:r>
        <w:rPr>
          <w:rFonts w:ascii="Arial" w:cs="Arial" w:eastAsia="Arial" w:hAnsi="Arial"/>
          <w:sz w:val="18"/>
          <w:szCs w:val="18"/>
          <w:color w:val="auto"/>
        </w:rPr>
        <w:t>As of December 31, 2018, our SBIC Funds had $150.0 million in debt commitments, all of which were drawn. The interest rate of SBA debentures is fixed at the time of issuance, often referred to as pooling, at a market-driven spread over 10-year U.S. Treasury Notes. At December 31, 2018, the SBA debentures’ had a weighted average interest rate of 3.11%, exclusive of the 3.43% of upfront fees. The SBA debentures mature between March 2026 and March 2028. The SBA debentures are secured by all the investment portfolio assets of our SBIC Funds and have a priority claim over such assets relative to all other creditors.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“Management’s Discussion and Analysis of Financial Condition and Results of Operations” for more information.</w:t>
      </w:r>
    </w:p>
    <w:p>
      <w:pPr>
        <w:spacing w:after="0" w:line="221" w:lineRule="exact"/>
        <w:rPr>
          <w:sz w:val="20"/>
          <w:szCs w:val="20"/>
          <w:color w:val="auto"/>
        </w:rPr>
      </w:pPr>
    </w:p>
    <w:p>
      <w:pPr>
        <w:ind w:left="140" w:right="140" w:firstLine="437"/>
        <w:spacing w:after="0" w:line="268"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and/or the SBA debentures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 Temporary Investments” for more information.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2240" w:h="15840" w:orient="portrait"/>
          <w:cols w:equalWidth="0" w:num="1">
            <w:col w:w="11000"/>
          </w:cols>
          <w:pgMar w:left="520" w:top="316" w:right="72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FINANCIAL DATA</w:t>
      </w:r>
    </w:p>
    <w:p>
      <w:pPr>
        <w:spacing w:after="0" w:line="225" w:lineRule="exact"/>
        <w:rPr>
          <w:sz w:val="20"/>
          <w:szCs w:val="20"/>
          <w:color w:val="auto"/>
        </w:rPr>
      </w:pPr>
    </w:p>
    <w:p>
      <w:pPr>
        <w:ind w:left="140" w:right="120" w:firstLine="437"/>
        <w:spacing w:after="0" w:line="269" w:lineRule="auto"/>
        <w:rPr>
          <w:sz w:val="20"/>
          <w:szCs w:val="20"/>
          <w:color w:val="auto"/>
        </w:rPr>
      </w:pPr>
      <w:r>
        <w:rPr>
          <w:rFonts w:ascii="Arial" w:cs="Arial" w:eastAsia="Arial" w:hAnsi="Arial"/>
          <w:sz w:val="17"/>
          <w:szCs w:val="17"/>
          <w:color w:val="auto"/>
        </w:rPr>
        <w:t>The following selected consolidated financial data of the Company as of and for the years ended September 30, 2018, 2017, 2016, 2015, and 2014, is derived from the consolidated financial statements that have been audited by RSM US LLP, the Company’s independent registered public accounting firm. The Company’s consolidated financial statements for the three-month period ended December 31, 2018 and 2017, is derived from our unaudited financial statements. However, in the opinion of the Company, all adjustments, consisting of normal recurring adjustments, necessary for a fair presentation have been made. This financial data should be read in conjunction with the Company’s consolidated financial statements and the notes thereto included elsewhere in this prospectus and with “Management’s Discussion and Analysis of Financial Condition and Results of Operations” and Financial Condition which follows.</w:t>
      </w:r>
    </w:p>
    <w:p>
      <w:pPr>
        <w:spacing w:after="0" w:line="18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For the three months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For the years ended September 30,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tcPr>
          <w:p>
            <w:pPr>
              <w:spacing w:after="0"/>
              <w:rPr>
                <w:sz w:val="14"/>
                <w:szCs w:val="14"/>
                <w:color w:val="auto"/>
              </w:rPr>
            </w:pPr>
          </w:p>
        </w:tc>
        <w:tc>
          <w:tcPr>
            <w:tcW w:w="2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ended December 31,</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360" w:type="dxa"/>
            <w:vAlign w:val="bottom"/>
          </w:tcPr>
          <w:p>
            <w:pPr>
              <w:spacing w:after="0"/>
              <w:rPr>
                <w:sz w:val="12"/>
                <w:szCs w:val="12"/>
                <w:color w:val="auto"/>
              </w:rPr>
            </w:pPr>
          </w:p>
        </w:tc>
        <w:tc>
          <w:tcPr>
            <w:tcW w:w="1000" w:type="dxa"/>
            <w:vAlign w:val="bottom"/>
            <w:tcBorders>
              <w:top w:val="single" w:sz="8" w:color="auto"/>
            </w:tcBorders>
          </w:tcPr>
          <w:p>
            <w:pPr>
              <w:jc w:val="right"/>
              <w:ind w:right="401"/>
              <w:spacing w:after="0" w:line="141"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tcBorders>
          </w:tcPr>
          <w:p>
            <w:pPr>
              <w:jc w:val="right"/>
              <w:ind w:right="141"/>
              <w:spacing w:after="0" w:line="141"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ind w:right="149"/>
              <w:spacing w:after="0" w:line="141"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49"/>
              <w:spacing w:after="0" w:line="141"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41"/>
              <w:spacing w:after="0" w:line="141"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20"/>
              <w:spacing w:after="0" w:line="141"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360" w:type="dxa"/>
            <w:vAlign w:val="bottom"/>
          </w:tcPr>
          <w:p>
            <w:pPr>
              <w:spacing w:after="0"/>
              <w:rPr>
                <w:sz w:val="12"/>
                <w:szCs w:val="12"/>
                <w:color w:val="auto"/>
              </w:rPr>
            </w:pPr>
          </w:p>
        </w:tc>
        <w:tc>
          <w:tcPr>
            <w:tcW w:w="182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6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w w:val="94"/>
              </w:rPr>
              <w:t>(Dollar amounts in thousands, except per share data)</w:t>
            </w:r>
          </w:p>
        </w:tc>
        <w:tc>
          <w:tcPr>
            <w:tcW w:w="10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Arial" w:cs="Arial" w:eastAsia="Arial" w:hAnsi="Arial"/>
                <w:sz w:val="16"/>
                <w:szCs w:val="16"/>
                <w:b w:val="1"/>
                <w:bCs w:val="1"/>
                <w:color w:val="auto"/>
                <w:w w:val="99"/>
              </w:rPr>
              <w:t>Consolidated Statement of Operations data:</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 income</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98"/>
              </w:rPr>
              <w:t>$   27,380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28,668</w:t>
            </w:r>
          </w:p>
        </w:tc>
        <w:tc>
          <w:tcPr>
            <w:tcW w:w="3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  108,278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124,534</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142,071</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2"/>
              </w:rPr>
              <w:t>$  161,629</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147,936</w:t>
            </w: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Arial" w:cs="Arial" w:eastAsia="Arial" w:hAnsi="Arial"/>
                <w:sz w:val="16"/>
                <w:szCs w:val="16"/>
                <w:color w:val="auto"/>
              </w:rPr>
              <w:t>Total expenses</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14,805</w:t>
            </w:r>
          </w:p>
        </w:tc>
        <w:tc>
          <w:tcPr>
            <w:tcW w:w="1120" w:type="dxa"/>
            <w:vAlign w:val="bottom"/>
            <w:gridSpan w:val="2"/>
          </w:tcPr>
          <w:p>
            <w:pPr>
              <w:jc w:val="right"/>
              <w:ind w:right="140"/>
              <w:spacing w:after="0" w:line="201" w:lineRule="exact"/>
              <w:rPr>
                <w:sz w:val="20"/>
                <w:szCs w:val="20"/>
                <w:color w:val="auto"/>
              </w:rPr>
            </w:pPr>
            <w:r>
              <w:rPr>
                <w:rFonts w:ascii="Arial" w:cs="Arial" w:eastAsia="Arial" w:hAnsi="Arial"/>
                <w:sz w:val="14"/>
                <w:szCs w:val="14"/>
                <w:color w:val="auto"/>
              </w:rPr>
              <w:t>14,500</w:t>
            </w:r>
            <w:r>
              <w:rPr>
                <w:rFonts w:ascii="Arial" w:cs="Arial" w:eastAsia="Arial" w:hAnsi="Arial"/>
                <w:sz w:val="23"/>
                <w:szCs w:val="23"/>
                <w:color w:val="auto"/>
                <w:vertAlign w:val="superscript"/>
              </w:rPr>
              <w:t>(1)</w:t>
            </w:r>
          </w:p>
        </w:tc>
        <w:tc>
          <w:tcPr>
            <w:tcW w:w="1100" w:type="dxa"/>
            <w:vAlign w:val="bottom"/>
            <w:gridSpan w:val="3"/>
          </w:tcPr>
          <w:p>
            <w:pPr>
              <w:jc w:val="right"/>
              <w:ind w:right="120"/>
              <w:spacing w:after="0" w:line="201" w:lineRule="exact"/>
              <w:rPr>
                <w:sz w:val="20"/>
                <w:szCs w:val="20"/>
                <w:color w:val="auto"/>
              </w:rPr>
            </w:pPr>
            <w:r>
              <w:rPr>
                <w:rFonts w:ascii="Arial" w:cs="Arial" w:eastAsia="Arial" w:hAnsi="Arial"/>
                <w:sz w:val="14"/>
                <w:szCs w:val="14"/>
                <w:color w:val="auto"/>
              </w:rPr>
              <w:t>54,944</w:t>
            </w:r>
            <w:r>
              <w:rPr>
                <w:rFonts w:ascii="Arial" w:cs="Arial" w:eastAsia="Arial" w:hAnsi="Arial"/>
                <w:sz w:val="23"/>
                <w:szCs w:val="23"/>
                <w:color w:val="auto"/>
                <w:vertAlign w:val="superscript"/>
              </w:rPr>
              <w:t>(1)</w:t>
            </w:r>
          </w:p>
        </w:tc>
        <w:tc>
          <w:tcPr>
            <w:tcW w:w="1220" w:type="dxa"/>
            <w:vAlign w:val="bottom"/>
            <w:gridSpan w:val="3"/>
          </w:tcPr>
          <w:p>
            <w:pPr>
              <w:jc w:val="right"/>
              <w:ind w:right="240"/>
              <w:spacing w:after="0" w:line="201" w:lineRule="exact"/>
              <w:rPr>
                <w:sz w:val="20"/>
                <w:szCs w:val="20"/>
                <w:color w:val="auto"/>
              </w:rPr>
            </w:pPr>
            <w:r>
              <w:rPr>
                <w:rFonts w:ascii="Arial" w:cs="Arial" w:eastAsia="Arial" w:hAnsi="Arial"/>
                <w:sz w:val="14"/>
                <w:szCs w:val="14"/>
                <w:color w:val="auto"/>
              </w:rPr>
              <w:t>68,096</w:t>
            </w:r>
            <w:r>
              <w:rPr>
                <w:rFonts w:ascii="Arial" w:cs="Arial" w:eastAsia="Arial" w:hAnsi="Arial"/>
                <w:sz w:val="23"/>
                <w:szCs w:val="23"/>
                <w:color w:val="auto"/>
                <w:vertAlign w:val="superscript"/>
              </w:rPr>
              <w:t>(1)</w:t>
            </w:r>
          </w:p>
        </w:tc>
        <w:tc>
          <w:tcPr>
            <w:tcW w:w="1100" w:type="dxa"/>
            <w:vAlign w:val="bottom"/>
            <w:gridSpan w:val="2"/>
          </w:tcPr>
          <w:p>
            <w:pPr>
              <w:jc w:val="right"/>
              <w:ind w:right="220"/>
              <w:spacing w:after="0" w:line="201" w:lineRule="exact"/>
              <w:rPr>
                <w:sz w:val="20"/>
                <w:szCs w:val="20"/>
                <w:color w:val="auto"/>
              </w:rPr>
            </w:pPr>
            <w:r>
              <w:rPr>
                <w:rFonts w:ascii="Arial" w:cs="Arial" w:eastAsia="Arial" w:hAnsi="Arial"/>
                <w:sz w:val="14"/>
                <w:szCs w:val="14"/>
                <w:color w:val="auto"/>
              </w:rPr>
              <w:t>71,456</w:t>
            </w:r>
            <w:r>
              <w:rPr>
                <w:rFonts w:ascii="Arial" w:cs="Arial" w:eastAsia="Arial" w:hAnsi="Arial"/>
                <w:sz w:val="23"/>
                <w:szCs w:val="23"/>
                <w:color w:val="auto"/>
                <w:vertAlign w:val="superscript"/>
              </w:rPr>
              <w:t>(1)</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79,371</w:t>
            </w: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76,608</w:t>
            </w:r>
          </w:p>
        </w:tc>
        <w:tc>
          <w:tcPr>
            <w:tcW w:w="0" w:type="dxa"/>
            <w:vAlign w:val="bottom"/>
          </w:tcPr>
          <w:p>
            <w:pPr>
              <w:spacing w:after="0"/>
              <w:rPr>
                <w:sz w:val="1"/>
                <w:szCs w:val="1"/>
                <w:color w:val="auto"/>
              </w:rPr>
            </w:pPr>
          </w:p>
        </w:tc>
      </w:tr>
      <w:tr>
        <w:trPr>
          <w:trHeight w:val="201"/>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12,575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14,168</w:t>
            </w:r>
          </w:p>
        </w:tc>
        <w:tc>
          <w:tcPr>
            <w:tcW w:w="3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53,334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56,438</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70,615</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82,258</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71,329</w:t>
            </w: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Arial" w:cs="Arial" w:eastAsia="Arial" w:hAnsi="Arial"/>
                <w:sz w:val="16"/>
                <w:szCs w:val="16"/>
                <w:color w:val="auto"/>
              </w:rPr>
              <w:t>Net realized and unrealized (loss) gain</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(5,796)</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(1,873)</w:t>
            </w: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(5,621)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5,273</w:t>
            </w:r>
          </w:p>
        </w:tc>
        <w:tc>
          <w:tcPr>
            <w:tcW w:w="4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(51,878)</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(92,504)</w:t>
            </w: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39,655</w:t>
            </w:r>
          </w:p>
        </w:tc>
        <w:tc>
          <w:tcPr>
            <w:tcW w:w="0" w:type="dxa"/>
            <w:vAlign w:val="bottom"/>
          </w:tcPr>
          <w:p>
            <w:pPr>
              <w:spacing w:after="0"/>
              <w:rPr>
                <w:sz w:val="1"/>
                <w:szCs w:val="1"/>
                <w:color w:val="auto"/>
              </w:rPr>
            </w:pPr>
          </w:p>
        </w:tc>
      </w:tr>
      <w:tr>
        <w:trPr>
          <w:trHeight w:val="191"/>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net assets resulting</w:t>
            </w:r>
          </w:p>
        </w:tc>
        <w:tc>
          <w:tcPr>
            <w:tcW w:w="10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from operations</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6,778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12,295</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47,713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61,712</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(10,246)</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110,983</w:t>
            </w: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Arial" w:cs="Arial" w:eastAsia="Arial" w:hAnsi="Arial"/>
                <w:sz w:val="16"/>
                <w:szCs w:val="16"/>
                <w:b w:val="1"/>
                <w:bCs w:val="1"/>
                <w:color w:val="auto"/>
              </w:rPr>
              <w:t>Per share data:</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9.05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3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9.11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9.82</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01"/>
        </w:trPr>
        <w:tc>
          <w:tcPr>
            <w:tcW w:w="3360" w:type="dxa"/>
            <w:vAlign w:val="bottom"/>
          </w:tcPr>
          <w:p>
            <w:pPr>
              <w:spacing w:after="0" w:line="201"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23"/>
                <w:szCs w:val="23"/>
                <w:color w:val="auto"/>
                <w:vertAlign w:val="superscript"/>
              </w:rPr>
              <w:t>(2)</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0.18</w:t>
            </w:r>
          </w:p>
        </w:tc>
        <w:tc>
          <w:tcPr>
            <w:tcW w:w="820" w:type="dxa"/>
            <w:vAlign w:val="bottom"/>
          </w:tcPr>
          <w:p>
            <w:pPr>
              <w:jc w:val="right"/>
              <w:spacing w:after="0"/>
              <w:rPr>
                <w:sz w:val="20"/>
                <w:szCs w:val="20"/>
                <w:color w:val="auto"/>
              </w:rPr>
            </w:pPr>
            <w:r>
              <w:rPr>
                <w:rFonts w:ascii="Arial" w:cs="Arial" w:eastAsia="Arial" w:hAnsi="Arial"/>
                <w:sz w:val="16"/>
                <w:szCs w:val="16"/>
                <w:color w:val="auto"/>
              </w:rPr>
              <w:t>0.20</w:t>
            </w:r>
          </w:p>
        </w:tc>
        <w:tc>
          <w:tcPr>
            <w:tcW w:w="300" w:type="dxa"/>
            <w:vAlign w:val="bottom"/>
          </w:tcPr>
          <w:p>
            <w:pPr>
              <w:spacing w:after="0"/>
              <w:rPr>
                <w:sz w:val="17"/>
                <w:szCs w:val="17"/>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0.75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0.79</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0.99</w:t>
            </w:r>
          </w:p>
        </w:tc>
        <w:tc>
          <w:tcPr>
            <w:tcW w:w="38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1.10</w:t>
            </w: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1"/>
        </w:trPr>
        <w:tc>
          <w:tcPr>
            <w:tcW w:w="3360" w:type="dxa"/>
            <w:vAlign w:val="bottom"/>
            <w:shd w:val="clear" w:color="auto" w:fill="CCEEFF"/>
          </w:tcPr>
          <w:p>
            <w:pPr>
              <w:spacing w:after="0" w:line="201" w:lineRule="exact"/>
              <w:rPr>
                <w:sz w:val="20"/>
                <w:szCs w:val="20"/>
                <w:color w:val="auto"/>
              </w:rPr>
            </w:pPr>
            <w:r>
              <w:rPr>
                <w:rFonts w:ascii="Arial" w:cs="Arial" w:eastAsia="Arial" w:hAnsi="Arial"/>
                <w:sz w:val="14"/>
                <w:szCs w:val="14"/>
                <w:color w:val="auto"/>
              </w:rPr>
              <w:t>Net realized and unrealized (loss) gain</w:t>
            </w:r>
            <w:r>
              <w:rPr>
                <w:rFonts w:ascii="Arial" w:cs="Arial" w:eastAsia="Arial" w:hAnsi="Arial"/>
                <w:sz w:val="23"/>
                <w:szCs w:val="23"/>
                <w:color w:val="auto"/>
                <w:vertAlign w:val="superscript"/>
              </w:rPr>
              <w:t>(2)</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(0.08)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(0.07)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(0.73)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(1.24)</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6"/>
                <w:szCs w:val="16"/>
                <w:color w:val="auto"/>
              </w:rPr>
              <w:t>Net increase (decrease) in net assets resulting</w:t>
            </w: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60" w:type="dxa"/>
            <w:vAlign w:val="bottom"/>
          </w:tcPr>
          <w:p>
            <w:pPr>
              <w:ind w:left="160"/>
              <w:spacing w:after="0" w:line="214" w:lineRule="exact"/>
              <w:rPr>
                <w:sz w:val="20"/>
                <w:szCs w:val="20"/>
                <w:color w:val="auto"/>
              </w:rPr>
            </w:pPr>
            <w:r>
              <w:rPr>
                <w:rFonts w:ascii="Arial" w:cs="Arial" w:eastAsia="Arial" w:hAnsi="Arial"/>
                <w:sz w:val="15"/>
                <w:szCs w:val="15"/>
                <w:color w:val="auto"/>
              </w:rPr>
              <w:t>from operations</w:t>
            </w:r>
            <w:r>
              <w:rPr>
                <w:rFonts w:ascii="Arial" w:cs="Arial" w:eastAsia="Arial" w:hAnsi="Arial"/>
                <w:sz w:val="24"/>
                <w:szCs w:val="24"/>
                <w:color w:val="auto"/>
                <w:vertAlign w:val="superscript"/>
              </w:rPr>
              <w:t>(2)</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0.10</w:t>
            </w:r>
          </w:p>
        </w:tc>
        <w:tc>
          <w:tcPr>
            <w:tcW w:w="820" w:type="dxa"/>
            <w:vAlign w:val="bottom"/>
          </w:tcPr>
          <w:p>
            <w:pPr>
              <w:jc w:val="right"/>
              <w:spacing w:after="0"/>
              <w:rPr>
                <w:sz w:val="20"/>
                <w:szCs w:val="20"/>
                <w:color w:val="auto"/>
              </w:rPr>
            </w:pPr>
            <w:r>
              <w:rPr>
                <w:rFonts w:ascii="Arial" w:cs="Arial" w:eastAsia="Arial" w:hAnsi="Arial"/>
                <w:sz w:val="16"/>
                <w:szCs w:val="16"/>
                <w:color w:val="auto"/>
              </w:rPr>
              <w:t>0.18</w:t>
            </w:r>
          </w:p>
        </w:tc>
        <w:tc>
          <w:tcPr>
            <w:tcW w:w="30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0.68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0.87</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0.26</w:t>
            </w: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(0.14)</w:t>
            </w: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1"/>
        </w:trPr>
        <w:tc>
          <w:tcPr>
            <w:tcW w:w="3360" w:type="dxa"/>
            <w:vAlign w:val="bottom"/>
            <w:shd w:val="clear" w:color="auto" w:fill="CCEEFF"/>
          </w:tcPr>
          <w:p>
            <w:pPr>
              <w:spacing w:after="0" w:line="201" w:lineRule="exact"/>
              <w:rPr>
                <w:sz w:val="20"/>
                <w:szCs w:val="20"/>
                <w:color w:val="auto"/>
              </w:rPr>
            </w:pPr>
            <w:r>
              <w:rPr>
                <w:rFonts w:ascii="Arial" w:cs="Arial" w:eastAsia="Arial" w:hAnsi="Arial"/>
                <w:sz w:val="14"/>
                <w:szCs w:val="14"/>
                <w:color w:val="auto"/>
              </w:rPr>
              <w:t>Distributions declared</w:t>
            </w:r>
            <w:r>
              <w:rPr>
                <w:rFonts w:ascii="Arial" w:cs="Arial" w:eastAsia="Arial" w:hAnsi="Arial"/>
                <w:sz w:val="23"/>
                <w:szCs w:val="23"/>
                <w:color w:val="auto"/>
                <w:vertAlign w:val="superscript"/>
              </w:rPr>
              <w:t>(2), (3)</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3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0.72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1.11</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1.11</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20"/>
                <w:szCs w:val="20"/>
                <w:color w:val="auto"/>
              </w:rPr>
            </w:pPr>
            <w:r>
              <w:rPr>
                <w:rFonts w:ascii="Arial" w:cs="Arial" w:eastAsia="Arial" w:hAnsi="Arial"/>
                <w:sz w:val="16"/>
                <w:szCs w:val="16"/>
                <w:b w:val="1"/>
                <w:bCs w:val="1"/>
                <w:color w:val="auto"/>
              </w:rPr>
              <w:t>Consolidated Statement of Assets and</w:t>
            </w: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60" w:type="dxa"/>
            <w:vAlign w:val="bottom"/>
          </w:tcPr>
          <w:p>
            <w:pPr>
              <w:ind w:left="160"/>
              <w:spacing w:after="0"/>
              <w:rPr>
                <w:sz w:val="20"/>
                <w:szCs w:val="20"/>
                <w:color w:val="auto"/>
              </w:rPr>
            </w:pPr>
            <w:r>
              <w:rPr>
                <w:rFonts w:ascii="Arial" w:cs="Arial" w:eastAsia="Arial" w:hAnsi="Arial"/>
                <w:sz w:val="16"/>
                <w:szCs w:val="16"/>
                <w:b w:val="1"/>
                <w:bCs w:val="1"/>
                <w:color w:val="auto"/>
              </w:rPr>
              <w:t>Liabilities data:</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98"/>
              </w:rPr>
              <w:t>1,221,767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1,184,193</w:t>
            </w:r>
          </w:p>
        </w:tc>
        <w:tc>
          <w:tcPr>
            <w:tcW w:w="3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1,160,119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1,202,196</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1,238,936</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8"/>
              </w:rPr>
              <w:t>1,368,778</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1,411,827</w:t>
            </w: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Arial" w:cs="Arial" w:eastAsia="Arial" w:hAnsi="Arial"/>
                <w:sz w:val="16"/>
                <w:szCs w:val="16"/>
                <w:color w:val="auto"/>
              </w:rPr>
              <w:t>Total investment portfolio</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w w:val="98"/>
              </w:rPr>
              <w:t>1,191,454</w:t>
            </w:r>
          </w:p>
        </w:tc>
        <w:tc>
          <w:tcPr>
            <w:tcW w:w="820" w:type="dxa"/>
            <w:vAlign w:val="bottom"/>
          </w:tcPr>
          <w:p>
            <w:pPr>
              <w:jc w:val="right"/>
              <w:spacing w:after="0"/>
              <w:rPr>
                <w:sz w:val="20"/>
                <w:szCs w:val="20"/>
                <w:color w:val="auto"/>
              </w:rPr>
            </w:pPr>
            <w:r>
              <w:rPr>
                <w:rFonts w:ascii="Arial" w:cs="Arial" w:eastAsia="Arial" w:hAnsi="Arial"/>
                <w:sz w:val="16"/>
                <w:szCs w:val="16"/>
                <w:color w:val="auto"/>
              </w:rPr>
              <w:t>1,100,621</w:t>
            </w:r>
          </w:p>
        </w:tc>
        <w:tc>
          <w:tcPr>
            <w:tcW w:w="300" w:type="dxa"/>
            <w:vAlign w:val="bottom"/>
          </w:tcPr>
          <w:p>
            <w:pPr>
              <w:spacing w:after="0"/>
              <w:rPr>
                <w:sz w:val="17"/>
                <w:szCs w:val="17"/>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1,132,085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1,153,578</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1,153,680</w:t>
            </w:r>
          </w:p>
        </w:tc>
        <w:tc>
          <w:tcPr>
            <w:tcW w:w="38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1,299,048</w:t>
            </w: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1,318,055</w:t>
            </w:r>
          </w:p>
        </w:tc>
        <w:tc>
          <w:tcPr>
            <w:tcW w:w="0" w:type="dxa"/>
            <w:vAlign w:val="bottom"/>
          </w:tcPr>
          <w:p>
            <w:pPr>
              <w:spacing w:after="0"/>
              <w:rPr>
                <w:sz w:val="1"/>
                <w:szCs w:val="1"/>
                <w:color w:val="auto"/>
              </w:rPr>
            </w:pPr>
          </w:p>
        </w:tc>
      </w:tr>
      <w:tr>
        <w:trPr>
          <w:trHeight w:val="201"/>
        </w:trPr>
        <w:tc>
          <w:tcPr>
            <w:tcW w:w="3360" w:type="dxa"/>
            <w:vAlign w:val="bottom"/>
            <w:shd w:val="clear" w:color="auto" w:fill="CCEEFF"/>
          </w:tcPr>
          <w:p>
            <w:pPr>
              <w:spacing w:after="0" w:line="201" w:lineRule="exact"/>
              <w:rPr>
                <w:sz w:val="20"/>
                <w:szCs w:val="20"/>
                <w:color w:val="auto"/>
              </w:rPr>
            </w:pPr>
            <w:r>
              <w:rPr>
                <w:rFonts w:ascii="Arial" w:cs="Arial" w:eastAsia="Arial" w:hAnsi="Arial"/>
                <w:sz w:val="14"/>
                <w:szCs w:val="14"/>
                <w:color w:val="auto"/>
              </w:rPr>
              <w:t>Borrowings outstanding</w:t>
            </w:r>
            <w:r>
              <w:rPr>
                <w:rFonts w:ascii="Arial" w:cs="Arial" w:eastAsia="Arial" w:hAnsi="Arial"/>
                <w:sz w:val="23"/>
                <w:szCs w:val="23"/>
                <w:color w:val="auto"/>
                <w:vertAlign w:val="superscript"/>
              </w:rPr>
              <w:t>(4)</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562,308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510,315</w:t>
            </w:r>
          </w:p>
        </w:tc>
        <w:tc>
          <w:tcPr>
            <w:tcW w:w="3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504,342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526,067</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559,589</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602,865</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526,668</w:t>
            </w: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Arial" w:cs="Arial" w:eastAsia="Arial" w:hAnsi="Arial"/>
                <w:sz w:val="16"/>
                <w:szCs w:val="16"/>
                <w:color w:val="auto"/>
              </w:rPr>
              <w:t>Total net asset value</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615,941</w:t>
            </w:r>
          </w:p>
        </w:tc>
        <w:tc>
          <w:tcPr>
            <w:tcW w:w="820" w:type="dxa"/>
            <w:vAlign w:val="bottom"/>
          </w:tcPr>
          <w:p>
            <w:pPr>
              <w:jc w:val="right"/>
              <w:spacing w:after="0"/>
              <w:rPr>
                <w:sz w:val="20"/>
                <w:szCs w:val="20"/>
                <w:color w:val="auto"/>
              </w:rPr>
            </w:pPr>
            <w:r>
              <w:rPr>
                <w:rFonts w:ascii="Arial" w:cs="Arial" w:eastAsia="Arial" w:hAnsi="Arial"/>
                <w:sz w:val="16"/>
                <w:szCs w:val="16"/>
                <w:color w:val="auto"/>
              </w:rPr>
              <w:t>646,313</w:t>
            </w:r>
          </w:p>
        </w:tc>
        <w:tc>
          <w:tcPr>
            <w:tcW w:w="300" w:type="dxa"/>
            <w:vAlign w:val="bottom"/>
          </w:tcPr>
          <w:p>
            <w:pPr>
              <w:spacing w:after="0"/>
              <w:rPr>
                <w:sz w:val="17"/>
                <w:szCs w:val="17"/>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628,902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646,808</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643,367</w:t>
            </w:r>
          </w:p>
        </w:tc>
        <w:tc>
          <w:tcPr>
            <w:tcW w:w="38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716,591</w:t>
            </w: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828,010</w:t>
            </w:r>
          </w:p>
        </w:tc>
        <w:tc>
          <w:tcPr>
            <w:tcW w:w="0" w:type="dxa"/>
            <w:vAlign w:val="bottom"/>
          </w:tcPr>
          <w:p>
            <w:pPr>
              <w:spacing w:after="0"/>
              <w:rPr>
                <w:sz w:val="1"/>
                <w:szCs w:val="1"/>
                <w:color w:val="auto"/>
              </w:rPr>
            </w:pPr>
          </w:p>
        </w:tc>
      </w:tr>
      <w:tr>
        <w:trPr>
          <w:trHeight w:val="201"/>
        </w:trPr>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line="201" w:lineRule="exact"/>
              <w:rPr>
                <w:sz w:val="20"/>
                <w:szCs w:val="20"/>
                <w:color w:val="auto"/>
              </w:rPr>
            </w:pPr>
            <w:r>
              <w:rPr>
                <w:rFonts w:ascii="Arial" w:cs="Arial" w:eastAsia="Arial" w:hAnsi="Arial"/>
                <w:sz w:val="14"/>
                <w:szCs w:val="14"/>
                <w:color w:val="auto"/>
              </w:rPr>
              <w:t>Total return</w:t>
            </w:r>
            <w:r>
              <w:rPr>
                <w:rFonts w:ascii="Arial" w:cs="Arial" w:eastAsia="Arial" w:hAnsi="Arial"/>
                <w:sz w:val="23"/>
                <w:szCs w:val="23"/>
                <w:color w:val="auto"/>
                <w:vertAlign w:val="superscript"/>
              </w:rPr>
              <w:t>(5)</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(12.39)%</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(5.62)%</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9.70%</w:t>
            </w:r>
          </w:p>
        </w:tc>
        <w:tc>
          <w:tcPr>
            <w:tcW w:w="1220" w:type="dxa"/>
            <w:vAlign w:val="bottom"/>
            <w:gridSpan w:val="3"/>
          </w:tcPr>
          <w:p>
            <w:pPr>
              <w:jc w:val="right"/>
              <w:ind w:right="260"/>
              <w:spacing w:after="0"/>
              <w:rPr>
                <w:sz w:val="20"/>
                <w:szCs w:val="20"/>
                <w:color w:val="auto"/>
              </w:rPr>
            </w:pPr>
            <w:r>
              <w:rPr>
                <w:rFonts w:ascii="Arial" w:cs="Arial" w:eastAsia="Arial" w:hAnsi="Arial"/>
                <w:sz w:val="16"/>
                <w:szCs w:val="16"/>
                <w:color w:val="auto"/>
              </w:rPr>
              <w:t>10.80%</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36.64%</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(32.51)%</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1"/>
        </w:trPr>
        <w:tc>
          <w:tcPr>
            <w:tcW w:w="3360" w:type="dxa"/>
            <w:vAlign w:val="bottom"/>
            <w:shd w:val="clear" w:color="auto" w:fill="CCEEFF"/>
          </w:tcPr>
          <w:p>
            <w:pPr>
              <w:spacing w:after="0" w:line="201" w:lineRule="exact"/>
              <w:rPr>
                <w:sz w:val="20"/>
                <w:szCs w:val="20"/>
                <w:color w:val="auto"/>
              </w:rPr>
            </w:pPr>
            <w:r>
              <w:rPr>
                <w:rFonts w:ascii="Arial" w:cs="Arial" w:eastAsia="Arial" w:hAnsi="Arial"/>
                <w:sz w:val="14"/>
                <w:szCs w:val="14"/>
                <w:color w:val="auto"/>
              </w:rPr>
              <w:t>Number of portfolio companies</w:t>
            </w:r>
            <w:r>
              <w:rPr>
                <w:rFonts w:ascii="Arial" w:cs="Arial" w:eastAsia="Arial" w:hAnsi="Arial"/>
                <w:sz w:val="23"/>
                <w:szCs w:val="23"/>
                <w:color w:val="auto"/>
                <w:vertAlign w:val="superscript"/>
              </w:rPr>
              <w:t>(6)</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56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3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53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56"/>
        </w:trPr>
        <w:tc>
          <w:tcPr>
            <w:tcW w:w="3360" w:type="dxa"/>
            <w:vAlign w:val="bottom"/>
          </w:tcPr>
          <w:p>
            <w:pPr>
              <w:spacing w:after="0"/>
              <w:rPr>
                <w:sz w:val="20"/>
                <w:szCs w:val="20"/>
                <w:color w:val="auto"/>
              </w:rPr>
            </w:pPr>
            <w:r>
              <w:rPr>
                <w:rFonts w:ascii="Arial" w:cs="Arial" w:eastAsia="Arial" w:hAnsi="Arial"/>
                <w:sz w:val="16"/>
                <w:szCs w:val="16"/>
                <w:color w:val="auto"/>
              </w:rPr>
              <w:t>Yield on debt portfolio</w:t>
            </w:r>
            <w:r>
              <w:rPr>
                <w:rFonts w:ascii="Arial" w:cs="Arial" w:eastAsia="Arial" w:hAnsi="Arial"/>
                <w:sz w:val="27"/>
                <w:szCs w:val="27"/>
                <w:color w:val="auto"/>
                <w:vertAlign w:val="superscript"/>
              </w:rPr>
              <w:t>(6)</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10.9%</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11.8%</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11.2%</w:t>
            </w:r>
          </w:p>
        </w:tc>
        <w:tc>
          <w:tcPr>
            <w:tcW w:w="1220" w:type="dxa"/>
            <w:vAlign w:val="bottom"/>
            <w:gridSpan w:val="3"/>
          </w:tcPr>
          <w:p>
            <w:pPr>
              <w:jc w:val="right"/>
              <w:ind w:right="260"/>
              <w:spacing w:after="0"/>
              <w:rPr>
                <w:sz w:val="20"/>
                <w:szCs w:val="20"/>
                <w:color w:val="auto"/>
              </w:rPr>
            </w:pPr>
            <w:r>
              <w:rPr>
                <w:rFonts w:ascii="Arial" w:cs="Arial" w:eastAsia="Arial" w:hAnsi="Arial"/>
                <w:sz w:val="16"/>
                <w:szCs w:val="16"/>
                <w:color w:val="auto"/>
              </w:rPr>
              <w:t>11.5%</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11.9%</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12.1%</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-12700</wp:posOffset>
            </wp:positionV>
            <wp:extent cx="6965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ind w:left="560" w:right="180" w:hanging="426"/>
        <w:spacing w:after="0" w:line="255"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before base management fee and incentive fee waivers were for the three months ended December 31, 2017, $15,928 and for the years ended September 30, 2018, 2017, and 2016, $56,371, $73,743 and $77,996, respectively.</w:t>
      </w:r>
    </w:p>
    <w:p>
      <w:pPr>
        <w:spacing w:after="0" w:line="1" w:lineRule="exact"/>
        <w:rPr>
          <w:rFonts w:ascii="Arial" w:cs="Arial" w:eastAsia="Arial" w:hAnsi="Arial"/>
          <w:sz w:val="18"/>
          <w:szCs w:val="18"/>
          <w:color w:val="auto"/>
        </w:rPr>
      </w:pPr>
    </w:p>
    <w:p>
      <w:pPr>
        <w:ind w:left="560" w:hanging="426"/>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7" w:lineRule="exact"/>
        <w:rPr>
          <w:rFonts w:ascii="Arial" w:cs="Arial" w:eastAsia="Arial" w:hAnsi="Arial"/>
          <w:sz w:val="18"/>
          <w:szCs w:val="18"/>
          <w:color w:val="auto"/>
        </w:rPr>
      </w:pPr>
    </w:p>
    <w:p>
      <w:pPr>
        <w:ind w:left="560" w:right="460" w:hanging="426"/>
        <w:spacing w:after="0" w:line="248"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w:t>
      </w:r>
    </w:p>
    <w:p>
      <w:pPr>
        <w:ind w:left="560" w:hanging="426"/>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fair value, excluding our SBA debentures.</w:t>
      </w:r>
    </w:p>
    <w:p>
      <w:pPr>
        <w:spacing w:after="0" w:line="7" w:lineRule="exact"/>
        <w:rPr>
          <w:rFonts w:ascii="Arial" w:cs="Arial" w:eastAsia="Arial" w:hAnsi="Arial"/>
          <w:sz w:val="18"/>
          <w:szCs w:val="18"/>
          <w:color w:val="auto"/>
        </w:rPr>
      </w:pPr>
    </w:p>
    <w:p>
      <w:pPr>
        <w:ind w:left="560" w:right="320" w:hanging="426"/>
        <w:spacing w:after="0" w:line="248"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560" w:hanging="426"/>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Unaudited, at period end.</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2240" w:h="15840" w:orient="portrait"/>
          <w:cols w:equalWidth="0" w:num="1">
            <w:col w:w="11060"/>
          </w:cols>
          <w:pgMar w:left="520" w:top="316" w:right="66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Selected Quarterly Data (Unaudited)</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r>
      <w:tr>
        <w:trPr>
          <w:trHeight w:val="141"/>
        </w:trPr>
        <w:tc>
          <w:tcPr>
            <w:tcW w:w="55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4"/>
              <w:spacing w:after="0" w:line="141" w:lineRule="exact"/>
              <w:rPr>
                <w:sz w:val="20"/>
                <w:szCs w:val="20"/>
                <w:color w:val="auto"/>
              </w:rPr>
            </w:pPr>
            <w:r>
              <w:rPr>
                <w:rFonts w:ascii="Arial" w:cs="Arial" w:eastAsia="Arial" w:hAnsi="Arial"/>
                <w:sz w:val="14"/>
                <w:szCs w:val="14"/>
                <w:b w:val="1"/>
                <w:bCs w:val="1"/>
                <w:color w:val="auto"/>
                <w:w w:val="96"/>
              </w:rPr>
              <w:t>Q1</w:t>
            </w:r>
          </w:p>
        </w:tc>
        <w:tc>
          <w:tcPr>
            <w:tcW w:w="120" w:type="dxa"/>
            <w:vAlign w:val="bottom"/>
            <w:tcBorders>
              <w:bottom w:val="single" w:sz="8" w:color="CCEEFF"/>
            </w:tcBorders>
          </w:tcPr>
          <w:p>
            <w:pPr>
              <w:spacing w:after="0"/>
              <w:rPr>
                <w:sz w:val="12"/>
                <w:szCs w:val="12"/>
                <w:color w:val="auto"/>
              </w:rPr>
            </w:pPr>
          </w:p>
        </w:tc>
      </w:tr>
      <w:tr>
        <w:trPr>
          <w:trHeight w:val="208"/>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27,380</w:t>
            </w:r>
          </w:p>
        </w:tc>
        <w:tc>
          <w:tcPr>
            <w:tcW w:w="120" w:type="dxa"/>
            <w:vAlign w:val="bottom"/>
            <w:shd w:val="clear" w:color="auto" w:fill="CCEEFF"/>
          </w:tcPr>
          <w:p>
            <w:pPr>
              <w:spacing w:after="0"/>
              <w:rPr>
                <w:sz w:val="18"/>
                <w:szCs w:val="18"/>
                <w:color w:val="auto"/>
              </w:rPr>
            </w:pPr>
          </w:p>
        </w:tc>
      </w:tr>
      <w:tr>
        <w:trPr>
          <w:trHeight w:val="214"/>
        </w:trPr>
        <w:tc>
          <w:tcPr>
            <w:tcW w:w="5560" w:type="dxa"/>
            <w:vAlign w:val="bottom"/>
          </w:tcPr>
          <w:p>
            <w:pPr>
              <w:spacing w:after="0"/>
              <w:rPr>
                <w:sz w:val="20"/>
                <w:szCs w:val="20"/>
                <w:color w:val="auto"/>
              </w:rPr>
            </w:pPr>
            <w:r>
              <w:rPr>
                <w:rFonts w:ascii="Arial" w:cs="Arial" w:eastAsia="Arial" w:hAnsi="Arial"/>
                <w:sz w:val="18"/>
                <w:szCs w:val="18"/>
                <w:color w:val="auto"/>
              </w:rPr>
              <w:t>Net investment income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12,575</w:t>
            </w: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(5,796)</w:t>
            </w:r>
          </w:p>
        </w:tc>
      </w:tr>
      <w:tr>
        <w:trPr>
          <w:trHeight w:val="214"/>
        </w:trPr>
        <w:tc>
          <w:tcPr>
            <w:tcW w:w="556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6,778</w:t>
            </w:r>
          </w:p>
        </w:tc>
        <w:tc>
          <w:tcPr>
            <w:tcW w:w="120" w:type="dxa"/>
            <w:vAlign w:val="bottom"/>
          </w:tcPr>
          <w:p>
            <w:pPr>
              <w:spacing w:after="0"/>
              <w:rPr>
                <w:sz w:val="18"/>
                <w:szCs w:val="18"/>
                <w:color w:val="auto"/>
              </w:rPr>
            </w:pP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in net assets resulting from operations per common share*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r>
      <w:tr>
        <w:trPr>
          <w:trHeight w:val="214"/>
        </w:trPr>
        <w:tc>
          <w:tcPr>
            <w:tcW w:w="55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9.05</w:t>
            </w: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w:t>
            </w:r>
          </w:p>
        </w:tc>
      </w:tr>
      <w:tr>
        <w:trPr>
          <w:trHeight w:val="388"/>
        </w:trPr>
        <w:tc>
          <w:tcPr>
            <w:tcW w:w="5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1"/>
        </w:trPr>
        <w:tc>
          <w:tcPr>
            <w:tcW w:w="5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500"/>
              <w:spacing w:after="0" w:line="141"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Q3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700"/>
              <w:spacing w:after="0" w:line="141"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center"/>
              <w:ind w:right="14"/>
              <w:spacing w:after="0" w:line="141" w:lineRule="exact"/>
              <w:rPr>
                <w:sz w:val="20"/>
                <w:szCs w:val="20"/>
                <w:color w:val="auto"/>
              </w:rPr>
            </w:pPr>
            <w:r>
              <w:rPr>
                <w:rFonts w:ascii="Arial" w:cs="Arial" w:eastAsia="Arial" w:hAnsi="Arial"/>
                <w:sz w:val="14"/>
                <w:szCs w:val="14"/>
                <w:b w:val="1"/>
                <w:bCs w:val="1"/>
                <w:color w:val="auto"/>
                <w:w w:val="96"/>
              </w:rPr>
              <w:t>Q1</w:t>
            </w:r>
          </w:p>
        </w:tc>
        <w:tc>
          <w:tcPr>
            <w:tcW w:w="120" w:type="dxa"/>
            <w:vAlign w:val="bottom"/>
          </w:tcPr>
          <w:p>
            <w:pPr>
              <w:spacing w:after="0"/>
              <w:rPr>
                <w:sz w:val="12"/>
                <w:szCs w:val="12"/>
                <w:color w:val="auto"/>
              </w:rPr>
            </w:pPr>
          </w:p>
        </w:tc>
      </w:tr>
      <w:tr>
        <w:trPr>
          <w:trHeight w:val="208"/>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27,624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24,760</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27,226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28,668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5560" w:type="dxa"/>
            <w:vAlign w:val="bottom"/>
          </w:tcPr>
          <w:p>
            <w:pPr>
              <w:spacing w:after="0"/>
              <w:rPr>
                <w:sz w:val="20"/>
                <w:szCs w:val="20"/>
                <w:color w:val="auto"/>
              </w:rPr>
            </w:pPr>
            <w:r>
              <w:rPr>
                <w:rFonts w:ascii="Arial" w:cs="Arial" w:eastAsia="Arial" w:hAnsi="Arial"/>
                <w:sz w:val="18"/>
                <w:szCs w:val="18"/>
                <w:color w:val="auto"/>
              </w:rPr>
              <w:t>Net investment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13,975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11,776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13,415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14,168</w:t>
            </w: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(1,502)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(7,380)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(1,873)</w:t>
            </w:r>
          </w:p>
        </w:tc>
      </w:tr>
      <w:tr>
        <w:trPr>
          <w:trHeight w:val="214"/>
        </w:trPr>
        <w:tc>
          <w:tcPr>
            <w:tcW w:w="556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12,473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16,910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6,035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12,295</w:t>
            </w: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in net assets resulting from operations per common 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r>
      <w:tr>
        <w:trPr>
          <w:trHeight w:val="214"/>
        </w:trPr>
        <w:tc>
          <w:tcPr>
            <w:tcW w:w="55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9.09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9.00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9.10</w:t>
            </w: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w:t>
            </w:r>
          </w:p>
        </w:tc>
      </w:tr>
      <w:tr>
        <w:trPr>
          <w:trHeight w:val="427"/>
        </w:trPr>
        <w:tc>
          <w:tcPr>
            <w:tcW w:w="5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2017</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96"/>
              </w:rPr>
              <w:t>Q1</w:t>
            </w:r>
          </w:p>
        </w:tc>
        <w:tc>
          <w:tcPr>
            <w:tcW w:w="120" w:type="dxa"/>
            <w:vAlign w:val="bottom"/>
          </w:tcPr>
          <w:p>
            <w:pPr>
              <w:spacing w:after="0"/>
              <w:rPr>
                <w:sz w:val="12"/>
                <w:szCs w:val="12"/>
                <w:color w:val="auto"/>
              </w:rPr>
            </w:pPr>
          </w:p>
        </w:tc>
      </w:tr>
      <w:tr>
        <w:trPr>
          <w:trHeight w:val="208"/>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27,866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31,084</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33,715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31,869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5560" w:type="dxa"/>
            <w:vAlign w:val="bottom"/>
          </w:tcPr>
          <w:p>
            <w:pPr>
              <w:spacing w:after="0"/>
              <w:rPr>
                <w:sz w:val="20"/>
                <w:szCs w:val="20"/>
                <w:color w:val="auto"/>
              </w:rPr>
            </w:pPr>
            <w:r>
              <w:rPr>
                <w:rFonts w:ascii="Arial" w:cs="Arial" w:eastAsia="Arial" w:hAnsi="Arial"/>
                <w:sz w:val="18"/>
                <w:szCs w:val="18"/>
                <w:color w:val="auto"/>
              </w:rPr>
              <w:t>Net investment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12,768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12,460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16,169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15,041</w:t>
            </w: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(5,344)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(4,709)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20" w:type="dxa"/>
            <w:vAlign w:val="bottom"/>
            <w:shd w:val="clear" w:color="auto" w:fill="CCEEFF"/>
          </w:tcPr>
          <w:p>
            <w:pPr>
              <w:spacing w:after="0"/>
              <w:rPr>
                <w:sz w:val="18"/>
                <w:szCs w:val="18"/>
                <w:color w:val="auto"/>
              </w:rPr>
            </w:pPr>
          </w:p>
        </w:tc>
      </w:tr>
      <w:tr>
        <w:trPr>
          <w:trHeight w:val="214"/>
        </w:trPr>
        <w:tc>
          <w:tcPr>
            <w:tcW w:w="556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7,424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18,779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11,460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24,049</w:t>
            </w: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in net assets resulting from operations per common 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r>
      <w:tr>
        <w:trPr>
          <w:trHeight w:val="214"/>
        </w:trPr>
        <w:tc>
          <w:tcPr>
            <w:tcW w:w="55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9.18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9.09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8"/>
                <w:szCs w:val="18"/>
                <w:color w:val="auto"/>
              </w:rPr>
            </w:pP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85090</wp:posOffset>
            </wp:positionV>
            <wp:extent cx="6965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53" w:lineRule="exact"/>
        <w:rPr>
          <w:sz w:val="20"/>
          <w:szCs w:val="20"/>
          <w:color w:val="auto"/>
        </w:rPr>
      </w:pPr>
    </w:p>
    <w:p>
      <w:pPr>
        <w:ind w:left="5500" w:right="4580" w:hanging="5366"/>
        <w:spacing w:after="0" w:line="438" w:lineRule="auto"/>
        <w:tabs>
          <w:tab w:leader="none" w:pos="557"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 43</w:t>
      </w:r>
    </w:p>
    <w:p>
      <w:pPr>
        <w:sectPr>
          <w:pgSz w:w="12240" w:h="15840" w:orient="portrait"/>
          <w:cols w:equalWidth="0" w:num="1">
            <w:col w:w="10620"/>
          </w:cols>
          <w:pgMar w:left="520" w:top="316" w:right="110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RESULTS OF OPERATIONS</w:t>
      </w:r>
    </w:p>
    <w:p>
      <w:pPr>
        <w:spacing w:after="0" w:line="208" w:lineRule="exact"/>
        <w:rPr>
          <w:sz w:val="20"/>
          <w:szCs w:val="20"/>
          <w:color w:val="auto"/>
        </w:rPr>
      </w:pPr>
    </w:p>
    <w:p>
      <w:pPr>
        <w:ind w:left="140" w:right="40" w:firstLine="437"/>
        <w:spacing w:after="0" w:line="271"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40" w:right="20" w:firstLine="437"/>
        <w:spacing w:after="0" w:line="259"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186" w:lineRule="exact"/>
        <w:rPr>
          <w:sz w:val="20"/>
          <w:szCs w:val="20"/>
          <w:color w:val="auto"/>
        </w:rPr>
      </w:pPr>
    </w:p>
    <w:p>
      <w:pPr>
        <w:ind w:left="140" w:right="20" w:firstLine="437"/>
        <w:spacing w:after="0" w:line="285" w:lineRule="auto"/>
        <w:rPr>
          <w:sz w:val="20"/>
          <w:szCs w:val="20"/>
          <w:color w:val="auto"/>
        </w:rPr>
      </w:pPr>
      <w:r>
        <w:rPr>
          <w:rFonts w:ascii="Arial" w:cs="Arial" w:eastAsia="Arial" w:hAnsi="Arial"/>
          <w:sz w:val="16"/>
          <w:szCs w:val="16"/>
          <w:color w:val="auto"/>
        </w:rPr>
        <w:t>We believe middle-market companies offer attractive risk-reward to investors due to a limited amount of capital available for such companies and the potential for rising interest rates.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0" w:lineRule="exact"/>
        <w:rPr>
          <w:sz w:val="20"/>
          <w:szCs w:val="20"/>
          <w:color w:val="auto"/>
        </w:rPr>
      </w:pPr>
    </w:p>
    <w:p>
      <w:pPr>
        <w:jc w:val="both"/>
        <w:ind w:left="140" w:firstLine="437"/>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18" w:lineRule="exact"/>
        <w:rPr>
          <w:sz w:val="20"/>
          <w:szCs w:val="20"/>
          <w:color w:val="auto"/>
        </w:rPr>
      </w:pPr>
    </w:p>
    <w:p>
      <w:pPr>
        <w:ind w:left="140" w:right="280" w:firstLine="437"/>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6" w:lineRule="exact"/>
        <w:rPr>
          <w:sz w:val="20"/>
          <w:szCs w:val="20"/>
          <w:color w:val="auto"/>
        </w:rPr>
      </w:pPr>
    </w:p>
    <w:p>
      <w:pPr>
        <w:ind w:left="140" w:firstLine="437"/>
        <w:spacing w:after="0" w:line="272"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2010 and 2012, respectively. SBIC LP and SBIC II received licenses from the SBA to operate as SBICs under Section 301(c) of the 1958 Act. As of December 31, 2018, SBIC LP and SBIC II held approximately $80.5 million and $226.6 million in assets, respectively, which accounted for 6.6% and 18.5% of our total assets.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77" w:lineRule="exact"/>
        <w:rPr>
          <w:sz w:val="20"/>
          <w:szCs w:val="20"/>
          <w:color w:val="auto"/>
        </w:rPr>
      </w:pPr>
    </w:p>
    <w:p>
      <w:pPr>
        <w:ind w:left="140" w:right="360" w:firstLine="437"/>
        <w:spacing w:after="0" w:line="297"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2240" w:h="15840" w:orient="portrait"/>
          <w:cols w:equalWidth="0" w:num="1">
            <w:col w:w="11020"/>
          </w:cols>
          <w:pgMar w:left="520" w:top="316" w:right="70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60"/>
        <w:spacing w:after="0" w:line="270" w:lineRule="auto"/>
        <w:rPr>
          <w:sz w:val="20"/>
          <w:szCs w:val="20"/>
          <w:color w:val="auto"/>
        </w:rPr>
      </w:pPr>
      <w:r>
        <w:rPr>
          <w:rFonts w:ascii="Arial" w:cs="Arial" w:eastAsia="Arial" w:hAnsi="Arial"/>
          <w:sz w:val="17"/>
          <w:szCs w:val="17"/>
          <w:color w:val="auto"/>
        </w:rPr>
        <w:t>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supervises our day-to-day activities.</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Revenues</w:t>
      </w:r>
    </w:p>
    <w:p>
      <w:pPr>
        <w:spacing w:after="0" w:line="118" w:lineRule="exact"/>
        <w:rPr>
          <w:sz w:val="20"/>
          <w:szCs w:val="20"/>
          <w:color w:val="auto"/>
        </w:rPr>
      </w:pPr>
    </w:p>
    <w:p>
      <w:pPr>
        <w:ind w:left="140" w:right="40" w:firstLine="437"/>
        <w:spacing w:after="0" w:line="284"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Expenses</w:t>
      </w:r>
    </w:p>
    <w:p>
      <w:pPr>
        <w:spacing w:after="0" w:line="118" w:lineRule="exact"/>
        <w:rPr>
          <w:sz w:val="20"/>
          <w:szCs w:val="20"/>
          <w:color w:val="auto"/>
        </w:rPr>
      </w:pPr>
    </w:p>
    <w:p>
      <w:pPr>
        <w:ind w:left="140" w:firstLine="437"/>
        <w:spacing w:after="0" w:line="254"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96" w:lineRule="exact"/>
        <w:rPr>
          <w:sz w:val="20"/>
          <w:szCs w:val="20"/>
          <w:color w:val="auto"/>
        </w:rPr>
      </w:pPr>
    </w:p>
    <w:p>
      <w:pPr>
        <w:ind w:left="1000" w:hanging="331"/>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27" w:lineRule="exact"/>
        <w:rPr>
          <w:rFonts w:ascii="Arial" w:cs="Arial" w:eastAsia="Arial" w:hAnsi="Arial"/>
          <w:sz w:val="18"/>
          <w:szCs w:val="18"/>
          <w:color w:val="auto"/>
        </w:rPr>
      </w:pPr>
    </w:p>
    <w:p>
      <w:pPr>
        <w:ind w:left="1000" w:right="40" w:hanging="331"/>
        <w:spacing w:after="0" w:line="271"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2240" w:h="15840" w:orient="portrait"/>
          <w:cols w:equalWidth="0" w:num="1">
            <w:col w:w="11040"/>
          </w:cols>
          <w:pgMar w:left="520" w:top="316" w:right="68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hanging="331"/>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27" w:lineRule="exact"/>
        <w:rPr>
          <w:rFonts w:ascii="Arial" w:cs="Arial" w:eastAsia="Arial" w:hAnsi="Arial"/>
          <w:sz w:val="18"/>
          <w:szCs w:val="18"/>
          <w:color w:val="auto"/>
        </w:rPr>
      </w:pPr>
    </w:p>
    <w:p>
      <w:pPr>
        <w:ind w:left="1000" w:right="40" w:hanging="331"/>
        <w:spacing w:after="0" w:line="271"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81" w:lineRule="exact"/>
        <w:rPr>
          <w:rFonts w:ascii="Arial" w:cs="Arial" w:eastAsia="Arial" w:hAnsi="Arial"/>
          <w:sz w:val="18"/>
          <w:szCs w:val="18"/>
          <w:color w:val="auto"/>
        </w:rPr>
      </w:pPr>
    </w:p>
    <w:p>
      <w:pPr>
        <w:jc w:val="both"/>
        <w:ind w:left="1000" w:right="120" w:hanging="331"/>
        <w:spacing w:after="0" w:line="275"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8" w:lineRule="exact"/>
        <w:rPr>
          <w:sz w:val="20"/>
          <w:szCs w:val="20"/>
          <w:color w:val="auto"/>
        </w:rPr>
      </w:pPr>
    </w:p>
    <w:p>
      <w:pPr>
        <w:jc w:val="both"/>
        <w:ind w:left="140" w:right="60" w:firstLine="437"/>
        <w:spacing w:after="0" w:line="259"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46" w:lineRule="exact"/>
        <w:rPr>
          <w:sz w:val="20"/>
          <w:szCs w:val="20"/>
          <w:color w:val="auto"/>
        </w:rPr>
      </w:pPr>
    </w:p>
    <w:p>
      <w:pPr>
        <w:ind w:left="140" w:right="220" w:firstLine="437"/>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7 of this prospectus rather than as a percentage of total assets. Total assets include assets that have been funded with borrowed money (leverage). For reference, the chart below illustrates our “Total Estimated Annual Expenses” as a percentage of average total assets:</w:t>
      </w: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231"/>
        </w:trPr>
        <w:tc>
          <w:tcPr>
            <w:tcW w:w="6680" w:type="dxa"/>
            <w:vAlign w:val="bottom"/>
          </w:tcPr>
          <w:p>
            <w:pPr>
              <w:ind w:left="980"/>
              <w:spacing w:after="0"/>
              <w:rPr>
                <w:sz w:val="20"/>
                <w:szCs w:val="20"/>
                <w:color w:val="auto"/>
              </w:rPr>
            </w:pPr>
            <w:r>
              <w:rPr>
                <w:rFonts w:ascii="Arial" w:cs="Arial" w:eastAsia="Arial" w:hAnsi="Arial"/>
                <w:sz w:val="18"/>
                <w:szCs w:val="18"/>
                <w:b w:val="1"/>
                <w:bCs w:val="1"/>
                <w:color w:val="auto"/>
                <w:w w:val="91"/>
              </w:rPr>
              <w:t>Estimated Annual Expenses (as a Percentage of Average Total Assets)</w:t>
            </w:r>
            <w:r>
              <w:rPr>
                <w:rFonts w:ascii="Arial" w:cs="Arial" w:eastAsia="Arial" w:hAnsi="Arial"/>
                <w:sz w:val="15"/>
                <w:szCs w:val="15"/>
                <w:b w:val="1"/>
                <w:bCs w:val="1"/>
                <w:color w:val="auto"/>
                <w:w w:val="91"/>
              </w:rPr>
              <w:t>(1)</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42"/>
        </w:trPr>
        <w:tc>
          <w:tcPr>
            <w:tcW w:w="6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1.50%</w:t>
            </w:r>
            <w:r>
              <w:rPr>
                <w:rFonts w:ascii="Arial" w:cs="Arial" w:eastAsia="Arial" w:hAnsi="Arial"/>
                <w:sz w:val="15"/>
                <w:szCs w:val="15"/>
                <w:color w:val="auto"/>
                <w:w w:val="97"/>
              </w:rPr>
              <w:t>(2)</w:t>
            </w:r>
          </w:p>
        </w:tc>
      </w:tr>
      <w:tr>
        <w:trPr>
          <w:trHeight w:val="214"/>
        </w:trPr>
        <w:tc>
          <w:tcPr>
            <w:tcW w:w="6680" w:type="dxa"/>
            <w:vAlign w:val="bottom"/>
          </w:tcPr>
          <w:p>
            <w:pPr>
              <w:spacing w:after="0"/>
              <w:rPr>
                <w:sz w:val="20"/>
                <w:szCs w:val="20"/>
                <w:color w:val="auto"/>
              </w:rPr>
            </w:pPr>
            <w:r>
              <w:rPr>
                <w:rFonts w:ascii="Arial" w:cs="Arial" w:eastAsia="Arial" w:hAnsi="Arial"/>
                <w:sz w:val="18"/>
                <w:szCs w:val="18"/>
                <w:color w:val="auto"/>
              </w:rPr>
              <w:t>Incentive fees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0.93%</w:t>
            </w:r>
            <w:r>
              <w:rPr>
                <w:rFonts w:ascii="Arial" w:cs="Arial" w:eastAsia="Arial" w:hAnsi="Arial"/>
                <w:sz w:val="15"/>
                <w:szCs w:val="15"/>
                <w:color w:val="auto"/>
                <w:w w:val="97"/>
              </w:rPr>
              <w:t>(3)</w:t>
            </w: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2.20%</w:t>
            </w:r>
            <w:r>
              <w:rPr>
                <w:rFonts w:ascii="Arial" w:cs="Arial" w:eastAsia="Arial" w:hAnsi="Arial"/>
                <w:sz w:val="15"/>
                <w:szCs w:val="15"/>
                <w:color w:val="auto"/>
                <w:w w:val="97"/>
              </w:rPr>
              <w:t>(4)</w:t>
            </w:r>
          </w:p>
        </w:tc>
      </w:tr>
      <w:tr>
        <w:trPr>
          <w:trHeight w:val="214"/>
        </w:trPr>
        <w:tc>
          <w:tcPr>
            <w:tcW w:w="6680" w:type="dxa"/>
            <w:vAlign w:val="bottom"/>
          </w:tcPr>
          <w:p>
            <w:pPr>
              <w:spacing w:after="0"/>
              <w:rPr>
                <w:sz w:val="20"/>
                <w:szCs w:val="20"/>
                <w:color w:val="auto"/>
              </w:rPr>
            </w:pPr>
            <w:r>
              <w:rPr>
                <w:rFonts w:ascii="Arial" w:cs="Arial" w:eastAsia="Arial" w:hAnsi="Arial"/>
                <w:sz w:val="18"/>
                <w:szCs w:val="18"/>
                <w:color w:val="auto"/>
              </w:rPr>
              <w:t>Other expenses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0.50%</w:t>
            </w:r>
            <w:r>
              <w:rPr>
                <w:rFonts w:ascii="Arial" w:cs="Arial" w:eastAsia="Arial" w:hAnsi="Arial"/>
                <w:sz w:val="15"/>
                <w:szCs w:val="15"/>
                <w:color w:val="auto"/>
                <w:w w:val="97"/>
              </w:rPr>
              <w:t>(5)</w:t>
            </w:r>
          </w:p>
        </w:tc>
      </w:tr>
      <w:tr>
        <w:trPr>
          <w:trHeight w:val="27"/>
        </w:trPr>
        <w:tc>
          <w:tcPr>
            <w:tcW w:w="6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5.13%</w:t>
            </w:r>
            <w:r>
              <w:rPr>
                <w:rFonts w:ascii="Arial" w:cs="Arial" w:eastAsia="Arial" w:hAnsi="Arial"/>
                <w:sz w:val="15"/>
                <w:szCs w:val="15"/>
                <w:color w:val="auto"/>
                <w:w w:val="97"/>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85090</wp:posOffset>
            </wp:positionV>
            <wp:extent cx="6965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53" w:lineRule="exact"/>
        <w:rPr>
          <w:sz w:val="20"/>
          <w:szCs w:val="20"/>
          <w:color w:val="auto"/>
        </w:rPr>
      </w:pPr>
    </w:p>
    <w:p>
      <w:pPr>
        <w:ind w:left="560" w:hanging="42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Total Assets equals average adjusted gross assets as of December 31, 2018.</w:t>
      </w:r>
    </w:p>
    <w:p>
      <w:pPr>
        <w:spacing w:after="0" w:line="19" w:lineRule="exact"/>
        <w:rPr>
          <w:rFonts w:ascii="Arial" w:cs="Arial" w:eastAsia="Arial" w:hAnsi="Arial"/>
          <w:sz w:val="18"/>
          <w:szCs w:val="18"/>
          <w:color w:val="auto"/>
        </w:rPr>
      </w:pPr>
    </w:p>
    <w:p>
      <w:pPr>
        <w:ind w:left="560" w:right="300" w:hanging="426"/>
        <w:spacing w:after="0" w:line="248"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1.50% of our average adjusted gross assets. See “Certain Relationships and Transactions—Investment Management Agreement” for more information.</w:t>
      </w:r>
    </w:p>
    <w:p>
      <w:pPr>
        <w:ind w:left="560" w:hanging="426"/>
        <w:spacing w:after="0" w:line="283" w:lineRule="auto"/>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and capital gains, if any, is based on actual amounts incurred during the three months ended December 31, 2018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years, if any, may be substantially different than the fee earned during the three months ended December 31, 2018.</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2240" w:h="15840" w:orient="portrait"/>
          <w:cols w:equalWidth="0" w:num="1">
            <w:col w:w="10960"/>
          </w:cols>
          <w:pgMar w:left="520" w:top="316" w:right="76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80"/>
        <w:spacing w:after="0" w:line="255" w:lineRule="auto"/>
        <w:rPr>
          <w:sz w:val="20"/>
          <w:szCs w:val="20"/>
          <w:color w:val="auto"/>
        </w:rPr>
      </w:pPr>
      <w:r>
        <w:rPr>
          <w:rFonts w:ascii="Arial" w:cs="Arial" w:eastAsia="Arial" w:hAnsi="Arial"/>
          <w:sz w:val="18"/>
          <w:szCs w:val="18"/>
          <w:color w:val="auto"/>
        </w:rPr>
        <w:t>For more detailed information about the incentive fee, please see “Certain Relationships and Transactions—Investment Management Agreement” for more information.</w:t>
      </w:r>
    </w:p>
    <w:p>
      <w:pPr>
        <w:spacing w:after="0" w:line="1" w:lineRule="exact"/>
        <w:rPr>
          <w:sz w:val="20"/>
          <w:szCs w:val="20"/>
          <w:color w:val="auto"/>
        </w:rPr>
      </w:pPr>
    </w:p>
    <w:p>
      <w:pPr>
        <w:ind w:left="560" w:hanging="426"/>
        <w:spacing w:after="0" w:line="279" w:lineRule="auto"/>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December 31, 2018, we had $270.9 million of unused borrowing capacity, subject to maintenance of the applicable total assets to debt ratio, under the 1940 Act. As of such date, we had $174.1 million in borrowings outstanding under our $445.0 million Credit Facility and $250.0 million in aggregate principal of 2019 Notes at an annual interest rate of 4.50%. As of December 31, 2018, our SBIC Funds had debenture commitments from the SBA in the amount of $150.0 million all of which were outstanding with a weighted average interest rate of 3.11%, exclusive of the</w:t>
      </w:r>
    </w:p>
    <w:p>
      <w:pPr>
        <w:ind w:left="560" w:right="40"/>
        <w:spacing w:after="0" w:line="248" w:lineRule="auto"/>
        <w:rPr>
          <w:rFonts w:ascii="Arial" w:cs="Arial" w:eastAsia="Arial" w:hAnsi="Arial"/>
          <w:sz w:val="16"/>
          <w:szCs w:val="16"/>
          <w:color w:val="auto"/>
        </w:rPr>
      </w:pPr>
      <w:r>
        <w:rPr>
          <w:rFonts w:ascii="Arial" w:cs="Arial" w:eastAsia="Arial" w:hAnsi="Arial"/>
          <w:sz w:val="18"/>
          <w:szCs w:val="18"/>
          <w:color w:val="auto"/>
        </w:rPr>
        <w:t>3.43% of upfront fees.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incurred for the quarter ended December 31, 2018 annualized for a full year and amendment costs, if any, and we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1" w:lineRule="exact"/>
        <w:rPr>
          <w:rFonts w:ascii="Arial" w:cs="Arial" w:eastAsia="Arial" w:hAnsi="Arial"/>
          <w:sz w:val="16"/>
          <w:szCs w:val="16"/>
          <w:color w:val="auto"/>
        </w:rPr>
      </w:pPr>
    </w:p>
    <w:p>
      <w:pPr>
        <w:ind w:left="560" w:right="240" w:hanging="426"/>
        <w:spacing w:after="0" w:line="279" w:lineRule="auto"/>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ind w:left="560" w:right="80" w:hanging="426"/>
        <w:spacing w:after="0" w:line="249"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table above is intended to assist you in understanding the various costs and expenses that an investor in shares of our common stock will bear as a percentage of our average gross assets as of December 31, 2018.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30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PORTFOLIO AND INVESTMENT ACTIVITY</w:t>
      </w:r>
    </w:p>
    <w:p>
      <w:pPr>
        <w:spacing w:after="0" w:line="118" w:lineRule="exact"/>
        <w:rPr>
          <w:sz w:val="20"/>
          <w:szCs w:val="20"/>
          <w:color w:val="auto"/>
        </w:rPr>
      </w:pPr>
    </w:p>
    <w:p>
      <w:pPr>
        <w:ind w:left="140" w:right="20" w:firstLine="437"/>
        <w:spacing w:after="0" w:line="270" w:lineRule="auto"/>
        <w:rPr>
          <w:sz w:val="20"/>
          <w:szCs w:val="20"/>
          <w:color w:val="auto"/>
        </w:rPr>
      </w:pPr>
      <w:r>
        <w:rPr>
          <w:rFonts w:ascii="Arial" w:cs="Arial" w:eastAsia="Arial" w:hAnsi="Arial"/>
          <w:sz w:val="17"/>
          <w:szCs w:val="17"/>
          <w:color w:val="auto"/>
        </w:rPr>
        <w:t>As of December 31, 2018, our portfolio totaled $1,191.5 million and consisted of $577.4 million of first lien secured debt, $403.2 million of second lien secured debt, $48.1 million of subordinated debt and $162.8 million of preferred and common equity. Our debt portfolio consisted of 90% variable-rate investments and 10% fixed-rate investments. As of December 31, 2018, we had no companies on non-accrual. Overall, the portfolio had net unrealized depreciation of $132.2 million as of December 31, 2018. Our overall portfolio consisted of 56 companies with an average investment size of $21.3 million, had a weighted average yield on interest bearing debt investments of 10.9% and was invested 48% in first lien secured debt, 34% in second lien secured debt, 4% in subordinated debt and 14% in preferred and common equity.</w:t>
      </w:r>
    </w:p>
    <w:p>
      <w:pPr>
        <w:spacing w:after="0" w:line="179" w:lineRule="exact"/>
        <w:rPr>
          <w:sz w:val="20"/>
          <w:szCs w:val="20"/>
          <w:color w:val="auto"/>
        </w:rPr>
      </w:pPr>
    </w:p>
    <w:p>
      <w:pPr>
        <w:ind w:left="140" w:right="80" w:firstLine="437"/>
        <w:spacing w:after="0" w:line="290" w:lineRule="auto"/>
        <w:rPr>
          <w:sz w:val="20"/>
          <w:szCs w:val="20"/>
          <w:color w:val="auto"/>
        </w:rPr>
      </w:pPr>
      <w:r>
        <w:rPr>
          <w:rFonts w:ascii="Arial" w:cs="Arial" w:eastAsia="Arial" w:hAnsi="Arial"/>
          <w:sz w:val="16"/>
          <w:szCs w:val="16"/>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65" w:lineRule="exact"/>
        <w:rPr>
          <w:sz w:val="20"/>
          <w:szCs w:val="20"/>
          <w:color w:val="auto"/>
        </w:rPr>
      </w:pPr>
    </w:p>
    <w:p>
      <w:pPr>
        <w:ind w:left="140" w:right="460" w:firstLine="437"/>
        <w:spacing w:after="0" w:line="271" w:lineRule="auto"/>
        <w:rPr>
          <w:sz w:val="20"/>
          <w:szCs w:val="20"/>
          <w:color w:val="auto"/>
        </w:rPr>
      </w:pPr>
      <w:r>
        <w:rPr>
          <w:rFonts w:ascii="Arial" w:cs="Arial" w:eastAsia="Arial" w:hAnsi="Arial"/>
          <w:sz w:val="18"/>
          <w:szCs w:val="18"/>
          <w:color w:val="auto"/>
        </w:rPr>
        <w:t>As of December 31, 2017, our portfolio totaled $1,100.6 million and consisted of $444.9 million of first lien secured debt, $375.6 million of second lien secured debt, $107.2 million of subordinated debt and $172.9 million</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2240" w:h="15840" w:orient="portrait"/>
          <w:cols w:equalWidth="0" w:num="1">
            <w:col w:w="11040"/>
          </w:cols>
          <w:pgMar w:left="520" w:top="316" w:right="68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100"/>
        <w:spacing w:after="0" w:line="254" w:lineRule="auto"/>
        <w:rPr>
          <w:sz w:val="20"/>
          <w:szCs w:val="20"/>
          <w:color w:val="auto"/>
        </w:rPr>
      </w:pPr>
      <w:r>
        <w:rPr>
          <w:rFonts w:ascii="Arial" w:cs="Arial" w:eastAsia="Arial" w:hAnsi="Arial"/>
          <w:sz w:val="18"/>
          <w:szCs w:val="18"/>
          <w:color w:val="auto"/>
        </w:rPr>
        <w:t>of preferred and common equity. Our debt portfolio consisted of 82% variable-rate investments (including 12% where LIBOR was below the floor) and 18% fixed-rate investments. As of December 31, 2017, we had no companies on non-accrual. Overall, the portfolio had net unrealized depreciation of $63.2 million as of December 31, 2017. Our overall portfolio consisted of 57 companies with an average investment size of $19.3 million, had a weighted average yield on interest bearing debt investments of 11.8% and was invested 40% in first lien secured debt, 34% in second lien secured debt, 10% in subordinated debt and 16% in preferred and common equity.</w:t>
      </w:r>
    </w:p>
    <w:p>
      <w:pPr>
        <w:spacing w:after="0" w:line="189" w:lineRule="exact"/>
        <w:rPr>
          <w:sz w:val="20"/>
          <w:szCs w:val="20"/>
          <w:color w:val="auto"/>
        </w:rPr>
      </w:pPr>
    </w:p>
    <w:p>
      <w:pPr>
        <w:ind w:left="140" w:right="40" w:firstLine="437"/>
        <w:spacing w:after="0" w:line="252" w:lineRule="auto"/>
        <w:rPr>
          <w:sz w:val="20"/>
          <w:szCs w:val="20"/>
          <w:color w:val="auto"/>
        </w:rPr>
      </w:pPr>
      <w:r>
        <w:rPr>
          <w:rFonts w:ascii="Arial" w:cs="Arial" w:eastAsia="Arial" w:hAnsi="Arial"/>
          <w:sz w:val="18"/>
          <w:szCs w:val="18"/>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LIBOR was below the floor) and 18% fixed-rate investments. As of September 30, 2017, we had no portfolio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For the three months ended December 31, 2018, we invested $194.5 million in six new and 13 existing portfolio companies with a weighted</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average yield on debt investments of 9.5%. Sales and repayments of investments for the three months ended December 31, 2018 totaled $125.8 million.</w:t>
      </w:r>
    </w:p>
    <w:p>
      <w:pPr>
        <w:spacing w:after="0" w:line="231" w:lineRule="exact"/>
        <w:rPr>
          <w:sz w:val="20"/>
          <w:szCs w:val="20"/>
          <w:color w:val="auto"/>
        </w:rPr>
      </w:pPr>
    </w:p>
    <w:p>
      <w:pPr>
        <w:ind w:left="140" w:right="200" w:firstLine="437"/>
        <w:spacing w:after="0" w:line="259" w:lineRule="auto"/>
        <w:rPr>
          <w:sz w:val="20"/>
          <w:szCs w:val="20"/>
          <w:color w:val="auto"/>
        </w:rPr>
      </w:pPr>
      <w:r>
        <w:rPr>
          <w:rFonts w:ascii="Arial" w:cs="Arial" w:eastAsia="Arial" w:hAnsi="Arial"/>
          <w:sz w:val="18"/>
          <w:szCs w:val="18"/>
          <w:color w:val="auto"/>
        </w:rPr>
        <w:t>For the three months ended December 31, 2017, we invested $138.4 million in five new and seven existing portfolio companies with a weighted average yield on debt investments of 10.8%. Sales and repayments of investments for the three months ended December 31, 2017 totaled $192.3 million.</w:t>
      </w:r>
    </w:p>
    <w:p>
      <w:pPr>
        <w:spacing w:after="0" w:line="186" w:lineRule="exact"/>
        <w:rPr>
          <w:sz w:val="20"/>
          <w:szCs w:val="20"/>
          <w:color w:val="auto"/>
        </w:rPr>
      </w:pPr>
    </w:p>
    <w:p>
      <w:pPr>
        <w:ind w:left="140" w:right="20" w:firstLine="437"/>
        <w:spacing w:after="0" w:line="335" w:lineRule="auto"/>
        <w:rPr>
          <w:sz w:val="20"/>
          <w:szCs w:val="20"/>
          <w:color w:val="auto"/>
        </w:rPr>
      </w:pPr>
      <w:r>
        <w:rPr>
          <w:rFonts w:ascii="Arial" w:cs="Arial" w:eastAsia="Arial" w:hAnsi="Arial"/>
          <w:sz w:val="16"/>
          <w:szCs w:val="16"/>
          <w:color w:val="auto"/>
        </w:rPr>
        <w:t>For the year ended September 30, 2018, we invested $604.7 million of investments in 17 new and 33 existing portfolio companies with a weighted average yield on debt investments of 10.2%. Sales and repayments of investments for the year ended September 30, 2018 totaled $630.5 million.</w:t>
      </w:r>
    </w:p>
    <w:p>
      <w:pPr>
        <w:spacing w:after="0" w:line="129" w:lineRule="exact"/>
        <w:rPr>
          <w:sz w:val="20"/>
          <w:szCs w:val="20"/>
          <w:color w:val="auto"/>
        </w:rPr>
      </w:pPr>
    </w:p>
    <w:p>
      <w:pPr>
        <w:ind w:left="140" w:right="20" w:firstLine="437"/>
        <w:spacing w:after="0" w:line="335" w:lineRule="auto"/>
        <w:rPr>
          <w:sz w:val="20"/>
          <w:szCs w:val="20"/>
          <w:color w:val="auto"/>
        </w:rPr>
      </w:pPr>
      <w:r>
        <w:rPr>
          <w:rFonts w:ascii="Arial" w:cs="Arial" w:eastAsia="Arial" w:hAnsi="Arial"/>
          <w:sz w:val="16"/>
          <w:szCs w:val="16"/>
          <w:color w:val="auto"/>
        </w:rPr>
        <w:t>For the year ended September 30, 2017, we invested $508.3 million of investments in 18 new and 24 existing portfolio companies with a weighted average yield on debt investments of 10.5%. Sales and repayments of investments for the year ended September 30, 2018 totaled $544.0 million.</w:t>
      </w:r>
    </w:p>
    <w:p>
      <w:pPr>
        <w:spacing w:after="0" w:line="129" w:lineRule="exact"/>
        <w:rPr>
          <w:sz w:val="20"/>
          <w:szCs w:val="20"/>
          <w:color w:val="auto"/>
        </w:rPr>
      </w:pPr>
    </w:p>
    <w:p>
      <w:pPr>
        <w:ind w:left="140" w:right="600" w:firstLine="437"/>
        <w:spacing w:after="0" w:line="259" w:lineRule="auto"/>
        <w:rPr>
          <w:sz w:val="20"/>
          <w:szCs w:val="20"/>
          <w:color w:val="auto"/>
        </w:rPr>
      </w:pPr>
      <w:r>
        <w:rPr>
          <w:rFonts w:ascii="Arial" w:cs="Arial" w:eastAsia="Arial" w:hAnsi="Arial"/>
          <w:sz w:val="18"/>
          <w:szCs w:val="18"/>
          <w:color w:val="auto"/>
        </w:rPr>
        <w:t>For the year ended September 30, 2016, we invested $330.6 million of investments in four new and 25 existing portfolio companies with a weighted average yield on debt investments of 11.9%. Sales and repayments of investments for the year ended September 30, 2017 totaled $439.7 million.</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CRITICAL ACCOUNTING POLICIES</w:t>
      </w:r>
    </w:p>
    <w:p>
      <w:pPr>
        <w:spacing w:after="0" w:line="118" w:lineRule="exact"/>
        <w:rPr>
          <w:sz w:val="20"/>
          <w:szCs w:val="20"/>
          <w:color w:val="auto"/>
        </w:rPr>
      </w:pPr>
    </w:p>
    <w:p>
      <w:pPr>
        <w:ind w:left="140" w:firstLine="437"/>
        <w:spacing w:after="0" w:line="267"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2240" w:h="15840" w:orient="portrait"/>
          <w:cols w:equalWidth="0" w:num="1">
            <w:col w:w="11060"/>
          </w:cols>
          <w:pgMar w:left="520" w:top="316" w:right="66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114" w:lineRule="exact"/>
        <w:rPr>
          <w:sz w:val="20"/>
          <w:szCs w:val="20"/>
          <w:color w:val="auto"/>
        </w:rPr>
      </w:pPr>
    </w:p>
    <w:p>
      <w:pPr>
        <w:ind w:left="140" w:right="80" w:firstLine="437"/>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prospectus.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68" w:lineRule="exact"/>
        <w:rPr>
          <w:sz w:val="20"/>
          <w:szCs w:val="20"/>
          <w:color w:val="auto"/>
        </w:rPr>
      </w:pPr>
    </w:p>
    <w:p>
      <w:pPr>
        <w:ind w:left="140" w:firstLine="437"/>
        <w:spacing w:after="0" w:line="259"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3" w:lineRule="exact"/>
        <w:rPr>
          <w:sz w:val="20"/>
          <w:szCs w:val="20"/>
          <w:color w:val="auto"/>
        </w:rPr>
      </w:pPr>
    </w:p>
    <w:p>
      <w:pPr>
        <w:ind w:left="1000" w:right="100" w:hanging="438"/>
        <w:spacing w:after="0" w:line="271"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81" w:lineRule="exact"/>
        <w:rPr>
          <w:rFonts w:ascii="Arial" w:cs="Arial" w:eastAsia="Arial" w:hAnsi="Arial"/>
          <w:sz w:val="18"/>
          <w:szCs w:val="18"/>
          <w:color w:val="auto"/>
        </w:rPr>
      </w:pPr>
    </w:p>
    <w:p>
      <w:pPr>
        <w:ind w:left="1000" w:hanging="43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27" w:lineRule="exact"/>
        <w:rPr>
          <w:rFonts w:ascii="Arial" w:cs="Arial" w:eastAsia="Arial" w:hAnsi="Arial"/>
          <w:sz w:val="18"/>
          <w:szCs w:val="18"/>
          <w:color w:val="auto"/>
        </w:rPr>
      </w:pPr>
    </w:p>
    <w:p>
      <w:pPr>
        <w:ind w:left="1000" w:right="240" w:hanging="438"/>
        <w:spacing w:after="0" w:line="275"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0" w:lineRule="exact"/>
        <w:rPr>
          <w:rFonts w:ascii="Arial" w:cs="Arial" w:eastAsia="Arial" w:hAnsi="Arial"/>
          <w:sz w:val="17"/>
          <w:szCs w:val="17"/>
          <w:color w:val="auto"/>
        </w:rPr>
      </w:pPr>
    </w:p>
    <w:p>
      <w:pPr>
        <w:ind w:left="1000" w:right="160" w:hanging="438"/>
        <w:spacing w:after="0" w:line="307"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6" w:lineRule="exact"/>
        <w:rPr>
          <w:rFonts w:ascii="Arial" w:cs="Arial" w:eastAsia="Arial" w:hAnsi="Arial"/>
          <w:sz w:val="16"/>
          <w:szCs w:val="16"/>
          <w:color w:val="auto"/>
        </w:rPr>
      </w:pPr>
    </w:p>
    <w:p>
      <w:pPr>
        <w:ind w:left="1000" w:right="220" w:hanging="438"/>
        <w:spacing w:after="0" w:line="271"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5" w:lineRule="exact"/>
        <w:rPr>
          <w:sz w:val="20"/>
          <w:szCs w:val="20"/>
          <w:color w:val="auto"/>
        </w:rPr>
      </w:pPr>
    </w:p>
    <w:p>
      <w:pPr>
        <w:ind w:left="140" w:right="40" w:firstLine="437"/>
        <w:spacing w:after="0" w:line="293"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62" w:lineRule="exact"/>
        <w:rPr>
          <w:sz w:val="20"/>
          <w:szCs w:val="20"/>
          <w:color w:val="auto"/>
        </w:rPr>
      </w:pPr>
    </w:p>
    <w:p>
      <w:pPr>
        <w:jc w:val="both"/>
        <w:ind w:left="140" w:right="360" w:firstLine="437"/>
        <w:spacing w:after="0" w:line="275" w:lineRule="auto"/>
        <w:rPr>
          <w:sz w:val="20"/>
          <w:szCs w:val="20"/>
          <w:color w:val="auto"/>
        </w:rPr>
      </w:pPr>
      <w:r>
        <w:rPr>
          <w:rFonts w:ascii="Arial" w:cs="Arial" w:eastAsia="Arial" w:hAnsi="Arial"/>
          <w:sz w:val="17"/>
          <w:szCs w:val="17"/>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2240" w:h="15840" w:orient="portrait"/>
          <w:cols w:equalWidth="0" w:num="1">
            <w:col w:w="11020"/>
          </w:cols>
          <w:pgMar w:left="520" w:top="316" w:right="70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40" w:right="100"/>
        <w:spacing w:after="0" w:line="259" w:lineRule="auto"/>
        <w:rPr>
          <w:sz w:val="20"/>
          <w:szCs w:val="20"/>
          <w:color w:val="auto"/>
        </w:rPr>
      </w:pPr>
      <w:r>
        <w:rPr>
          <w:rFonts w:ascii="Arial" w:cs="Arial" w:eastAsia="Arial" w:hAnsi="Arial"/>
          <w:sz w:val="18"/>
          <w:szCs w:val="18"/>
          <w:color w:val="auto"/>
        </w:rPr>
        <w:t>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48" w:lineRule="exact"/>
        <w:rPr>
          <w:sz w:val="20"/>
          <w:szCs w:val="20"/>
          <w:color w:val="auto"/>
        </w:rPr>
      </w:pPr>
    </w:p>
    <w:p>
      <w:pPr>
        <w:ind w:left="2020" w:right="1100" w:hanging="1016"/>
        <w:spacing w:after="0" w:line="271" w:lineRule="auto"/>
        <w:tabs>
          <w:tab w:leader="none" w:pos="20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8" w:lineRule="exact"/>
        <w:rPr>
          <w:sz w:val="20"/>
          <w:szCs w:val="20"/>
          <w:color w:val="auto"/>
        </w:rPr>
      </w:pPr>
    </w:p>
    <w:p>
      <w:pPr>
        <w:ind w:left="2020" w:right="920" w:hanging="1016"/>
        <w:spacing w:after="0" w:line="307" w:lineRule="auto"/>
        <w:tabs>
          <w:tab w:leader="none" w:pos="20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3" w:lineRule="exact"/>
        <w:rPr>
          <w:sz w:val="20"/>
          <w:szCs w:val="20"/>
          <w:color w:val="auto"/>
        </w:rPr>
      </w:pPr>
    </w:p>
    <w:p>
      <w:pPr>
        <w:ind w:left="2020" w:right="1100" w:hanging="1016"/>
        <w:spacing w:after="0" w:line="271" w:lineRule="auto"/>
        <w:tabs>
          <w:tab w:leader="none" w:pos="20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5" w:lineRule="exact"/>
        <w:rPr>
          <w:sz w:val="20"/>
          <w:szCs w:val="20"/>
          <w:color w:val="auto"/>
        </w:rPr>
      </w:pPr>
    </w:p>
    <w:p>
      <w:pPr>
        <w:ind w:left="140" w:right="20" w:firstLine="437"/>
        <w:spacing w:after="0" w:line="255"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1" w:lineRule="exact"/>
        <w:rPr>
          <w:sz w:val="20"/>
          <w:szCs w:val="20"/>
          <w:color w:val="auto"/>
        </w:rPr>
      </w:pPr>
    </w:p>
    <w:p>
      <w:pPr>
        <w:ind w:left="140" w:right="40" w:firstLine="437"/>
        <w:spacing w:after="0" w:line="259" w:lineRule="auto"/>
        <w:rPr>
          <w:sz w:val="20"/>
          <w:szCs w:val="20"/>
          <w:color w:val="auto"/>
        </w:rPr>
      </w:pPr>
      <w:r>
        <w:rPr>
          <w:rFonts w:ascii="Arial" w:cs="Arial" w:eastAsia="Arial" w:hAnsi="Arial"/>
          <w:sz w:val="18"/>
          <w:szCs w:val="18"/>
          <w:color w:val="auto"/>
        </w:rPr>
        <w:t>In addition to using the above inputs in cash equivalents, investments, our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6" w:lineRule="exact"/>
        <w:rPr>
          <w:sz w:val="20"/>
          <w:szCs w:val="20"/>
          <w:color w:val="auto"/>
        </w:rPr>
      </w:pPr>
    </w:p>
    <w:p>
      <w:pPr>
        <w:ind w:left="140" w:firstLine="437"/>
        <w:spacing w:after="0" w:line="282"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prior to their redemption, the 2025 Notes to align the measurement attributes of both our assets and liabilities while mitigating volatility in earnings from using different measurement attributes. Due to that election and in accordance with GAAP, we incurred $0 relating to amendment costs on the Credit Facility costs during each of the three months ended December 31, 2018 and 2017 and $0, $3.9 million and $0 relating to amendment costs on the Credit Facility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2019 Notes are reported in our Consolidated Statements of Operations. We elected not to apply ASC 825-10 to any other financial assets or liabilities, including the SBA debentures. For the three months ended December 31, 2018 and 2017, our Credit Facility and the 2019 Notes had a net change in unrealized depreciation of $6.1 million and $1.1 million, respectively. For the year ended September 30, 2018, the Credit Facility and 2019 Notes had a net change in unrealized depreciation of $3.9 million. For the years ended September 30, 2017 and 2016, our Credit Facility and the 2019 Notes and 2025 Notes had a net change in unrealized (appreciation) depreciation of $(7.6) million and $3.7 million, respectively. As of December 31, 2018, September 30, 2018 and 2017, net unrealized depreciation (appreciation) on our Credit Facility and the 2019 Notes totaled $7.6 million, $1.6 million and $(2.3) million, respectively. We use a nationally recognized independent valuation service to fair value our Credit Facility and our 2019 Notes in a manner consistent with the valuation process that the board of directors uses to value investments.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2240" w:h="15840" w:orient="portrait"/>
          <w:cols w:equalWidth="0" w:num="1">
            <w:col w:w="11040"/>
          </w:cols>
          <w:pgMar w:left="520" w:top="316" w:right="68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ind w:left="140" w:right="40" w:firstLine="437"/>
        <w:spacing w:after="0" w:line="286"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4" w:lineRule="exact"/>
        <w:rPr>
          <w:sz w:val="20"/>
          <w:szCs w:val="20"/>
          <w:color w:val="auto"/>
        </w:rPr>
      </w:pPr>
    </w:p>
    <w:p>
      <w:pPr>
        <w:ind w:left="140" w:right="220" w:firstLine="437"/>
        <w:spacing w:after="0" w:line="293"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2019 Notes and, prior to their redemption, the 2025 Notes during the reporting period, including any reversal of previously recorded unrealized appreciation or depreciation, when gains or losses are realized.</w:t>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26" w:lineRule="exact"/>
        <w:rPr>
          <w:sz w:val="20"/>
          <w:szCs w:val="20"/>
          <w:color w:val="auto"/>
        </w:rPr>
      </w:pPr>
    </w:p>
    <w:p>
      <w:pPr>
        <w:ind w:left="1160" w:hanging="170"/>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37" w:lineRule="exact"/>
        <w:rPr>
          <w:rFonts w:ascii="Arial" w:cs="Arial" w:eastAsia="Arial" w:hAnsi="Arial"/>
          <w:sz w:val="16"/>
          <w:szCs w:val="16"/>
          <w:color w:val="auto"/>
        </w:rPr>
      </w:pPr>
    </w:p>
    <w:p>
      <w:pPr>
        <w:ind w:left="580" w:right="480" w:firstLine="410"/>
        <w:spacing w:after="0" w:line="271" w:lineRule="auto"/>
        <w:tabs>
          <w:tab w:leader="none" w:pos="11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5" w:lineRule="exact"/>
        <w:rPr>
          <w:sz w:val="20"/>
          <w:szCs w:val="20"/>
          <w:color w:val="auto"/>
        </w:rPr>
      </w:pPr>
    </w:p>
    <w:p>
      <w:pPr>
        <w:ind w:left="140" w:right="20" w:firstLine="437"/>
        <w:spacing w:after="0" w:line="255"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Payment-in-Kind Interest</w:t>
      </w:r>
    </w:p>
    <w:p>
      <w:pPr>
        <w:spacing w:after="0" w:line="114"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4" w:lineRule="exact"/>
        <w:rPr>
          <w:sz w:val="20"/>
          <w:szCs w:val="20"/>
          <w:color w:val="auto"/>
        </w:rPr>
      </w:pPr>
    </w:p>
    <w:p>
      <w:pPr>
        <w:ind w:left="140" w:right="140" w:firstLine="437"/>
        <w:spacing w:after="0" w:line="271"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2240" w:h="15840" w:orient="portrait"/>
          <w:cols w:equalWidth="0" w:num="1">
            <w:col w:w="11060"/>
          </w:cols>
          <w:pgMar w:left="520" w:top="316" w:right="66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20"/>
        <w:spacing w:after="0" w:line="255" w:lineRule="auto"/>
        <w:rPr>
          <w:sz w:val="20"/>
          <w:szCs w:val="20"/>
          <w:color w:val="auto"/>
        </w:rPr>
      </w:pPr>
      <w:r>
        <w:rPr>
          <w:rFonts w:ascii="Arial" w:cs="Arial" w:eastAsia="Arial" w:hAnsi="Arial"/>
          <w:sz w:val="18"/>
          <w:szCs w:val="18"/>
          <w:color w:val="auto"/>
        </w:rPr>
        <w:t>certain annual source-of-income and quarterly asset diversification requirements. We also must annually distribute dividends for U.S. federal income tax purposes to our stockholders out of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91" w:lineRule="exact"/>
        <w:rPr>
          <w:sz w:val="20"/>
          <w:szCs w:val="20"/>
          <w:color w:val="auto"/>
        </w:rPr>
      </w:pPr>
    </w:p>
    <w:p>
      <w:pPr>
        <w:ind w:left="140" w:firstLine="437"/>
        <w:spacing w:after="0" w:line="270" w:lineRule="auto"/>
        <w:rPr>
          <w:sz w:val="20"/>
          <w:szCs w:val="20"/>
          <w:color w:val="auto"/>
        </w:rPr>
      </w:pPr>
      <w:r>
        <w:rPr>
          <w:rFonts w:ascii="Arial" w:cs="Arial" w:eastAsia="Arial" w:hAnsi="Arial"/>
          <w:sz w:val="17"/>
          <w:szCs w:val="17"/>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79" w:lineRule="exact"/>
        <w:rPr>
          <w:sz w:val="20"/>
          <w:szCs w:val="20"/>
          <w:color w:val="auto"/>
        </w:rPr>
      </w:pPr>
    </w:p>
    <w:p>
      <w:pPr>
        <w:ind w:left="140" w:right="20" w:firstLine="437"/>
        <w:spacing w:after="0" w:line="275"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75" w:lineRule="exact"/>
        <w:rPr>
          <w:sz w:val="20"/>
          <w:szCs w:val="20"/>
          <w:color w:val="auto"/>
        </w:rPr>
      </w:pPr>
    </w:p>
    <w:p>
      <w:pPr>
        <w:jc w:val="both"/>
        <w:ind w:left="140" w:right="140" w:firstLine="437"/>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Subsidiaries,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the results of operations for the three months ended December 31, 2018 and 2017.</w:t>
      </w: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4" w:lineRule="exact"/>
        <w:rPr>
          <w:sz w:val="20"/>
          <w:szCs w:val="20"/>
          <w:color w:val="auto"/>
        </w:rPr>
      </w:pPr>
    </w:p>
    <w:p>
      <w:pPr>
        <w:ind w:left="140" w:firstLine="437"/>
        <w:spacing w:after="0" w:line="254" w:lineRule="auto"/>
        <w:rPr>
          <w:sz w:val="20"/>
          <w:szCs w:val="20"/>
          <w:color w:val="auto"/>
        </w:rPr>
      </w:pPr>
      <w:r>
        <w:rPr>
          <w:rFonts w:ascii="Arial" w:cs="Arial" w:eastAsia="Arial" w:hAnsi="Arial"/>
          <w:sz w:val="18"/>
          <w:szCs w:val="18"/>
          <w:color w:val="auto"/>
        </w:rPr>
        <w:t>Investment income for the three months ended December 31, 2018 was $27.4 million and was attributable to $13.2 million from first lien secured debt, $12.4 million from second lien secured debt and $1.8 million from subordinated debt, respectively. Investment income for the three months ended December 31, 2017 was $28.7 million and was attributable to $12.7 million from first lien secured debt, $12.9 million from second lien secured debt and $3.1 million from subordinated debt, respectively. The decrease in investment income compared to the same period in the prior year was primarily due to a decrease in other income.</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114" w:lineRule="exact"/>
        <w:rPr>
          <w:sz w:val="20"/>
          <w:szCs w:val="20"/>
          <w:color w:val="auto"/>
        </w:rPr>
      </w:pPr>
    </w:p>
    <w:p>
      <w:pPr>
        <w:ind w:left="140" w:right="140" w:firstLine="437"/>
        <w:spacing w:after="0" w:line="252" w:lineRule="auto"/>
        <w:rPr>
          <w:sz w:val="20"/>
          <w:szCs w:val="20"/>
          <w:color w:val="auto"/>
        </w:rPr>
      </w:pPr>
      <w:r>
        <w:rPr>
          <w:rFonts w:ascii="Arial" w:cs="Arial" w:eastAsia="Arial" w:hAnsi="Arial"/>
          <w:sz w:val="18"/>
          <w:szCs w:val="18"/>
          <w:color w:val="auto"/>
        </w:rPr>
        <w:t>Expenses for the three months ended December 31, 2018 totaled $14.8 million. Base management fee for the same period totaled $4.4 million, incentive fee totaled $2.7 million, debt related interest and expenses totaled $6.3 million, general and administrative expenses totaled $1.1 million and provision for taxes totaled $0.3 million. Net expenses for the three months ended December 31, 2017 totaled $14.5 million. Base management fee for the same period totaled $4.8 million (after a base management fee waiver of $0.9 million), incentive fee totaled $2.7 million (after an incentive fee waiver of $0.5 million), debt related interest and expenses totaled $5.9 million and general and administrative expenses totaled $1.1 million. The increase in expenses compared to the same period in the prior year was primarily due to an increase in leverage, which resulted in an increased interest expense.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2240" w:h="15840" w:orient="portrait"/>
          <w:cols w:equalWidth="0" w:num="1">
            <w:col w:w="11040"/>
          </w:cols>
          <w:pgMar w:left="520" w:top="316" w:right="68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4" w:lineRule="exact"/>
        <w:rPr>
          <w:sz w:val="20"/>
          <w:szCs w:val="20"/>
          <w:color w:val="auto"/>
        </w:rPr>
      </w:pPr>
    </w:p>
    <w:p>
      <w:pPr>
        <w:ind w:left="140" w:right="120" w:firstLine="437"/>
        <w:spacing w:after="0" w:line="282" w:lineRule="auto"/>
        <w:rPr>
          <w:sz w:val="20"/>
          <w:szCs w:val="20"/>
          <w:color w:val="auto"/>
        </w:rPr>
      </w:pPr>
      <w:r>
        <w:rPr>
          <w:rFonts w:ascii="Arial" w:cs="Arial" w:eastAsia="Arial" w:hAnsi="Arial"/>
          <w:sz w:val="17"/>
          <w:szCs w:val="17"/>
          <w:color w:val="auto"/>
        </w:rPr>
        <w:t>Net investment income totaled $12.6 million, or $0.18 per share, for the three months ended December 31, 2018, and $14.2 million, or $0.20 per share, for the three months ended December 31, 2017. The decrease in net investment income compared to the same period in the prior year was primarily due to a decrease in other income and an increase leverage, which resulted in an increased interest expense.</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Sales and repayments of investments for the three months ended December 31, 2018 totaled $125.8 million and net realized gains totaled</w:t>
      </w:r>
    </w:p>
    <w:p>
      <w:pPr>
        <w:spacing w:after="0" w:line="31" w:lineRule="exact"/>
        <w:rPr>
          <w:sz w:val="20"/>
          <w:szCs w:val="20"/>
          <w:color w:val="auto"/>
        </w:rPr>
      </w:pPr>
    </w:p>
    <w:p>
      <w:pPr>
        <w:jc w:val="both"/>
        <w:ind w:left="140" w:right="60"/>
        <w:spacing w:after="0" w:line="252" w:lineRule="auto"/>
        <w:rPr>
          <w:sz w:val="20"/>
          <w:szCs w:val="20"/>
          <w:color w:val="auto"/>
        </w:rPr>
      </w:pPr>
      <w:r>
        <w:rPr>
          <w:rFonts w:ascii="Arial" w:cs="Arial" w:eastAsia="Arial" w:hAnsi="Arial"/>
          <w:sz w:val="18"/>
          <w:szCs w:val="18"/>
          <w:color w:val="auto"/>
        </w:rPr>
        <w:t>$8.5 million. Sales and repayments of investments for the three months ended December 31, 2017 totaled $192.3 million and net realized gains totaled $3.8 million. The change in realized gains/losses was primarily due to changes in the market conditions of our investments and the values at which they were realized.</w:t>
      </w:r>
    </w:p>
    <w:p>
      <w:pPr>
        <w:spacing w:after="0" w:line="29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Unrealized Appreciation or Depreciation on Investments, the Credit Facility and the 2019 Notes</w:t>
      </w:r>
    </w:p>
    <w:p>
      <w:pPr>
        <w:spacing w:after="0" w:line="114" w:lineRule="exact"/>
        <w:rPr>
          <w:sz w:val="20"/>
          <w:szCs w:val="20"/>
          <w:color w:val="auto"/>
        </w:rPr>
      </w:pPr>
    </w:p>
    <w:p>
      <w:pPr>
        <w:ind w:left="140" w:right="20" w:firstLine="437"/>
        <w:spacing w:after="0" w:line="254" w:lineRule="auto"/>
        <w:rPr>
          <w:sz w:val="20"/>
          <w:szCs w:val="20"/>
          <w:color w:val="auto"/>
        </w:rPr>
      </w:pPr>
      <w:r>
        <w:rPr>
          <w:rFonts w:ascii="Arial" w:cs="Arial" w:eastAsia="Arial" w:hAnsi="Arial"/>
          <w:sz w:val="18"/>
          <w:szCs w:val="18"/>
          <w:color w:val="auto"/>
        </w:rPr>
        <w:t>For the three months ended December 31, 2018 and 2017, we reported net change in unrealized depreciation on investments of $20.4 million and $6.8 million, respectively. As of December 31, 2018 and September 30, 2018, our net unrealized depreciation on investments totaled $132.2 million and $111.8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the three months ended December 31, 2018 and 2017, our Credit Facility and the 2019 Notes had a net change in unrealized depreciation of</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$6.1 million and $1.1 million, respectively. As of December 31, 2018 and September 30, 2018, the net unrealized depreciation on the Credit Facility and</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2019 Notes totaled $7.6 million and $1.6 million, respectively. The net change in net unrealized depreciation compared to the same period in the</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prior year was primarily due to changes in the capital markets.</w:t>
      </w:r>
    </w:p>
    <w:p>
      <w:pPr>
        <w:spacing w:after="0" w:line="31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4" w:lineRule="exact"/>
        <w:rPr>
          <w:sz w:val="20"/>
          <w:szCs w:val="20"/>
          <w:color w:val="auto"/>
        </w:rPr>
      </w:pPr>
    </w:p>
    <w:p>
      <w:pPr>
        <w:ind w:left="140" w:right="220" w:firstLine="437"/>
        <w:spacing w:after="0" w:line="255" w:lineRule="auto"/>
        <w:rPr>
          <w:sz w:val="20"/>
          <w:szCs w:val="20"/>
          <w:color w:val="auto"/>
        </w:rPr>
      </w:pPr>
      <w:r>
        <w:rPr>
          <w:rFonts w:ascii="Arial" w:cs="Arial" w:eastAsia="Arial" w:hAnsi="Arial"/>
          <w:sz w:val="18"/>
          <w:szCs w:val="18"/>
          <w:color w:val="auto"/>
        </w:rPr>
        <w:t>Net change in net assets resulting from operations totaled $6.8 million, or $0.10 per share, for the three months ended December 31, 2018. This compares to a net change in net assets resulting from operations of $12.3 million, or $0.18 per share, for the three months ended December 31, 2017. The decrease in the net change in net assets from operations compared to the same period in the prior year was primarily due to a lower yielding portfolio and depreciation of our investments.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our results of operations for the fiscal years ended September 30, 2018, 2017 and 2016.</w:t>
      </w: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4" w:lineRule="exact"/>
        <w:rPr>
          <w:sz w:val="20"/>
          <w:szCs w:val="20"/>
          <w:color w:val="auto"/>
        </w:rPr>
      </w:pPr>
    </w:p>
    <w:p>
      <w:pPr>
        <w:ind w:left="140" w:right="160" w:firstLine="437"/>
        <w:spacing w:after="0" w:line="259" w:lineRule="auto"/>
        <w:rPr>
          <w:sz w:val="20"/>
          <w:szCs w:val="20"/>
          <w:color w:val="auto"/>
        </w:rPr>
      </w:pPr>
      <w:r>
        <w:rPr>
          <w:rFonts w:ascii="Arial" w:cs="Arial" w:eastAsia="Arial" w:hAnsi="Arial"/>
          <w:sz w:val="18"/>
          <w:szCs w:val="18"/>
          <w:color w:val="auto"/>
        </w:rPr>
        <w:t>Investment income for the year ended September 30, 2018 was $108.3 million and was attributable to $49.5 million from first lien secured debt, $49.8 million from second lien secured debt and $9.0 million from subordinated debt and preferred and common equity. The decrease in investment income over the prior year was primarily due to a reduction of our portfolio at cost.</w:t>
      </w:r>
    </w:p>
    <w:p>
      <w:pPr>
        <w:spacing w:after="0" w:line="186" w:lineRule="exact"/>
        <w:rPr>
          <w:sz w:val="20"/>
          <w:szCs w:val="20"/>
          <w:color w:val="auto"/>
        </w:rPr>
      </w:pPr>
    </w:p>
    <w:p>
      <w:pPr>
        <w:ind w:left="140" w:right="160" w:firstLine="437"/>
        <w:spacing w:after="0" w:line="259" w:lineRule="auto"/>
        <w:rPr>
          <w:sz w:val="20"/>
          <w:szCs w:val="20"/>
          <w:color w:val="auto"/>
        </w:rPr>
      </w:pPr>
      <w:r>
        <w:rPr>
          <w:rFonts w:ascii="Arial" w:cs="Arial" w:eastAsia="Arial" w:hAnsi="Arial"/>
          <w:sz w:val="18"/>
          <w:szCs w:val="18"/>
          <w:color w:val="auto"/>
        </w:rPr>
        <w:t>Investment income for the year ended September 30, 2017 was $124.5 million and was attributable to $54.4 million from first lien secured debt, $50.4 million from second lien secured debt, $19.7 million from subordinated debt and preferred and common equity. The decrease in investment income over the prior year was primarily due to a reduction of our portfolio at cost.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2240" w:h="15840" w:orient="portrait"/>
          <w:cols w:equalWidth="0" w:num="1">
            <w:col w:w="11020"/>
          </w:cols>
          <w:pgMar w:left="520" w:top="316" w:right="70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200" w:firstLine="437"/>
        <w:spacing w:after="0" w:line="271" w:lineRule="auto"/>
        <w:rPr>
          <w:sz w:val="20"/>
          <w:szCs w:val="20"/>
          <w:color w:val="auto"/>
        </w:rPr>
      </w:pPr>
      <w:r>
        <w:rPr>
          <w:rFonts w:ascii="Arial" w:cs="Arial" w:eastAsia="Arial" w:hAnsi="Arial"/>
          <w:sz w:val="18"/>
          <w:szCs w:val="18"/>
          <w:color w:val="auto"/>
        </w:rPr>
        <w:t>Investment income for the year ended September 30, 2016 was $142.1 million and was attributable to $59.9 million from first lien secured debt, $60.5 million from second lien secured debt, $21.7 million from subordinated debt and preferred and common equity.</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114" w:lineRule="exact"/>
        <w:rPr>
          <w:sz w:val="20"/>
          <w:szCs w:val="20"/>
          <w:color w:val="auto"/>
        </w:rPr>
      </w:pPr>
    </w:p>
    <w:p>
      <w:pPr>
        <w:jc w:val="both"/>
        <w:ind w:left="140" w:right="20" w:firstLine="437"/>
        <w:spacing w:after="0" w:line="255" w:lineRule="auto"/>
        <w:rPr>
          <w:sz w:val="20"/>
          <w:szCs w:val="20"/>
          <w:color w:val="auto"/>
        </w:rPr>
      </w:pPr>
      <w:r>
        <w:rPr>
          <w:rFonts w:ascii="Arial" w:cs="Arial" w:eastAsia="Arial" w:hAnsi="Arial"/>
          <w:sz w:val="18"/>
          <w:szCs w:val="18"/>
          <w:color w:val="auto"/>
        </w:rPr>
        <w:t>Net expenses for the year ended September 30, 2018 totaled $54.9 million. Base management fee for the same period totaled $16.5 million (after a base management fee waiver of $0.9 million), incentive fee totaled $11.0 million (after an incentive fee waiver of $0.5 million), debt related interest and expenses totaled $22.8 million and general and administrative expenses totaled $4.6 million. The decrease in expenses over the prior year was primarily due to a decrease in debt related expenses and base management fees.</w:t>
      </w:r>
    </w:p>
    <w:p>
      <w:pPr>
        <w:spacing w:after="0" w:line="191" w:lineRule="exact"/>
        <w:rPr>
          <w:sz w:val="20"/>
          <w:szCs w:val="20"/>
          <w:color w:val="auto"/>
        </w:rPr>
      </w:pPr>
    </w:p>
    <w:p>
      <w:pPr>
        <w:ind w:left="140" w:right="20" w:firstLine="437"/>
        <w:spacing w:after="0" w:line="284" w:lineRule="auto"/>
        <w:rPr>
          <w:sz w:val="20"/>
          <w:szCs w:val="20"/>
          <w:color w:val="auto"/>
        </w:rPr>
      </w:pPr>
      <w:r>
        <w:rPr>
          <w:rFonts w:ascii="Arial" w:cs="Arial" w:eastAsia="Arial" w:hAnsi="Arial"/>
          <w:sz w:val="16"/>
          <w:szCs w:val="16"/>
          <w:color w:val="auto"/>
        </w:rPr>
        <w:t>Net expenses for the year ended September 30, 2017 totaled $68.1 million. Base management fee for the same period totaled $20.3 million (after a base management fee waiver of $3.9 million), incentive fee totaled $9.3 million (after an incentive fee waiver of $1.8 million), debt related interest and expenses totaled $30.5 million (including $3.9 million in amendment costs on the Credit Facility), general and administrative expenses totaled</w:t>
      </w:r>
    </w:p>
    <w:p>
      <w:pPr>
        <w:spacing w:after="0" w:line="2" w:lineRule="exact"/>
        <w:rPr>
          <w:sz w:val="20"/>
          <w:szCs w:val="20"/>
          <w:color w:val="auto"/>
        </w:rPr>
      </w:pPr>
    </w:p>
    <w:p>
      <w:pPr>
        <w:ind w:left="140" w:right="360"/>
        <w:spacing w:after="0" w:line="256" w:lineRule="auto"/>
        <w:rPr>
          <w:sz w:val="20"/>
          <w:szCs w:val="20"/>
          <w:color w:val="auto"/>
        </w:rPr>
      </w:pPr>
      <w:r>
        <w:rPr>
          <w:rFonts w:ascii="Arial" w:cs="Arial" w:eastAsia="Arial" w:hAnsi="Arial"/>
          <w:sz w:val="18"/>
          <w:szCs w:val="18"/>
          <w:color w:val="auto"/>
        </w:rPr>
        <w:t>$6.3 million and provision for taxes totaled $1.7 million. The decrease in expenses over the prior year was primarily due to lower incentive fees and general and administrative expenses.</w:t>
      </w:r>
    </w:p>
    <w:p>
      <w:pPr>
        <w:spacing w:after="0" w:line="188" w:lineRule="exact"/>
        <w:rPr>
          <w:sz w:val="20"/>
          <w:szCs w:val="20"/>
          <w:color w:val="auto"/>
        </w:rPr>
      </w:pPr>
    </w:p>
    <w:p>
      <w:pPr>
        <w:jc w:val="both"/>
        <w:ind w:left="140" w:right="20" w:firstLine="437"/>
        <w:spacing w:after="0" w:line="307" w:lineRule="auto"/>
        <w:rPr>
          <w:sz w:val="20"/>
          <w:szCs w:val="20"/>
          <w:color w:val="auto"/>
        </w:rPr>
      </w:pPr>
      <w:r>
        <w:rPr>
          <w:rFonts w:ascii="Arial" w:cs="Arial" w:eastAsia="Arial" w:hAnsi="Arial"/>
          <w:sz w:val="16"/>
          <w:szCs w:val="16"/>
          <w:color w:val="auto"/>
        </w:rPr>
        <w:t>Net expenses for the year ended September 30, 2016 totaled $71.5 million. Base management fee for the same period totaled $20.9 million (after a base management fee waiver of $4.0 million), incentive fee totaled $13.5 million (after an incentive fee waiver of $2.5 million), debt related interest and expenses totaled $27.6 million, general and administrative expenses totaled $7.1 million and provision for taxes totaled $2.4 million.</w:t>
      </w:r>
    </w:p>
    <w:p>
      <w:pPr>
        <w:spacing w:after="0" w:line="25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4" w:lineRule="exact"/>
        <w:rPr>
          <w:sz w:val="20"/>
          <w:szCs w:val="20"/>
          <w:color w:val="auto"/>
        </w:rPr>
      </w:pPr>
    </w:p>
    <w:p>
      <w:pPr>
        <w:ind w:left="140" w:firstLine="437"/>
        <w:spacing w:after="0" w:line="282" w:lineRule="auto"/>
        <w:rPr>
          <w:sz w:val="20"/>
          <w:szCs w:val="20"/>
          <w:color w:val="auto"/>
        </w:rPr>
      </w:pPr>
      <w:r>
        <w:rPr>
          <w:rFonts w:ascii="Arial" w:cs="Arial" w:eastAsia="Arial" w:hAnsi="Arial"/>
          <w:sz w:val="17"/>
          <w:szCs w:val="17"/>
          <w:color w:val="auto"/>
        </w:rPr>
        <w:t>Net investment income totaled $53.3 million or $0.75 per share, $56.4 million or $0.79 per share and $70.6 million or $0.99 per share for the years ended September 30, 2018, 2017 and 2016, respectively. The decrease in net investment income per share compared to the prior year was primarily due to a lower yielding portfolio partially offset by a decrease in debt related expenses and base management fees.</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Sales and repayments of investments for the years ended September 30, 2018, 2017 and 2016 totaled $630.5 million, $544.0 million and</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$439.7 million, respectively, and net realized gains (losses) totaled $45.9 million, $(31.0) million and $(80.5) million, respectively. The change in</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realized gains/losses was primarily due to changes in the market conditions of our investments and the values at which they were realized.</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the 2019 Notes and the 2025 Notes</w:t>
      </w:r>
    </w:p>
    <w:p>
      <w:pPr>
        <w:spacing w:after="0" w:line="114" w:lineRule="exact"/>
        <w:rPr>
          <w:sz w:val="20"/>
          <w:szCs w:val="20"/>
          <w:color w:val="auto"/>
        </w:rPr>
      </w:pPr>
    </w:p>
    <w:p>
      <w:pPr>
        <w:ind w:left="140" w:right="360" w:firstLine="437"/>
        <w:spacing w:after="0" w:line="293" w:lineRule="auto"/>
        <w:rPr>
          <w:sz w:val="20"/>
          <w:szCs w:val="20"/>
          <w:color w:val="auto"/>
        </w:rPr>
      </w:pPr>
      <w:r>
        <w:rPr>
          <w:rFonts w:ascii="Arial" w:cs="Arial" w:eastAsia="Arial" w:hAnsi="Arial"/>
          <w:sz w:val="16"/>
          <w:szCs w:val="16"/>
          <w:color w:val="auto"/>
        </w:rPr>
        <w:t>For the years ended September 30, 2018, 2017 and 2016, we reported net change in unrealized (depreciation) appreciation on investments of $(55.3) million, $43.9 million and $24.9 million, respectively. As of September 30, 2018 and 2017, our net unrealized depreciation on investments totaled $111.8 million and $56.4 million, respectively. The net change in unrealized appreciation/depreciation on our investments for the year ended September 30, 2018 compared to the prior year was primarily due to changes in the capital market conditions, the financial performance of certain portfolio companies and the reversal of unrealized appreciation/depreciation on investments that were realized.</w:t>
      </w:r>
    </w:p>
    <w:p>
      <w:pPr>
        <w:spacing w:after="0" w:line="162" w:lineRule="exact"/>
        <w:rPr>
          <w:sz w:val="20"/>
          <w:szCs w:val="20"/>
          <w:color w:val="auto"/>
        </w:rPr>
      </w:pPr>
    </w:p>
    <w:p>
      <w:pPr>
        <w:ind w:left="140" w:right="260" w:firstLine="437"/>
        <w:spacing w:after="0" w:line="259" w:lineRule="auto"/>
        <w:rPr>
          <w:sz w:val="20"/>
          <w:szCs w:val="20"/>
          <w:color w:val="auto"/>
        </w:rPr>
      </w:pPr>
      <w:r>
        <w:rPr>
          <w:rFonts w:ascii="Arial" w:cs="Arial" w:eastAsia="Arial" w:hAnsi="Arial"/>
          <w:sz w:val="18"/>
          <w:szCs w:val="18"/>
          <w:color w:val="auto"/>
        </w:rPr>
        <w:t>For the year ended September 30, 2018, our Credit Facility and the 2019 Notes had a net change in unrealized depreciation of $3.9 million. For the years ended September 30, 2017 and 2016, our Credit Facility, 2019 Notes and 2025 Notes had a net change in unrealized (appreciation) depreciation of $(7.6) million and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2240" w:h="15840" w:orient="portrait"/>
          <w:cols w:equalWidth="0" w:num="1">
            <w:col w:w="11060"/>
          </w:cols>
          <w:pgMar w:left="520" w:top="316" w:right="66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$3.7 million. As of September 30, 2018 and 2017, our net unrealized depreciation (appreciation) on our Credit Facility and the 2019 Notes totaled</w:t>
      </w:r>
    </w:p>
    <w:p>
      <w:pPr>
        <w:spacing w:after="0" w:line="31" w:lineRule="exact"/>
        <w:rPr>
          <w:sz w:val="20"/>
          <w:szCs w:val="20"/>
          <w:color w:val="auto"/>
        </w:rPr>
      </w:pPr>
    </w:p>
    <w:p>
      <w:pPr>
        <w:ind w:left="140" w:right="280"/>
        <w:spacing w:after="0" w:line="256" w:lineRule="auto"/>
        <w:rPr>
          <w:sz w:val="20"/>
          <w:szCs w:val="20"/>
          <w:color w:val="auto"/>
        </w:rPr>
      </w:pPr>
      <w:r>
        <w:rPr>
          <w:rFonts w:ascii="Arial" w:cs="Arial" w:eastAsia="Arial" w:hAnsi="Arial"/>
          <w:sz w:val="18"/>
          <w:szCs w:val="18"/>
          <w:color w:val="auto"/>
        </w:rPr>
        <w:t>$1.6 million and $(2.3) million, respectively. The net change in unrealized depreciation for the year ended September 30, 2018 compared to the prior year was primarily due to changes in the capital markets.</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4" w:lineRule="exact"/>
        <w:rPr>
          <w:sz w:val="20"/>
          <w:szCs w:val="20"/>
          <w:color w:val="auto"/>
        </w:rPr>
      </w:pPr>
    </w:p>
    <w:p>
      <w:pPr>
        <w:jc w:val="both"/>
        <w:ind w:left="140" w:right="160" w:firstLine="437"/>
        <w:spacing w:after="0" w:line="307" w:lineRule="auto"/>
        <w:rPr>
          <w:sz w:val="20"/>
          <w:szCs w:val="20"/>
          <w:color w:val="auto"/>
        </w:rPr>
      </w:pPr>
      <w:r>
        <w:rPr>
          <w:rFonts w:ascii="Arial" w:cs="Arial" w:eastAsia="Arial" w:hAnsi="Arial"/>
          <w:sz w:val="16"/>
          <w:szCs w:val="16"/>
          <w:color w:val="auto"/>
        </w:rPr>
        <w:t>Net change in net assets resulting from operations totaled $47.7 million or $0.68 per share, $61.7 million or $0.87 per share and $18.7 million or $0.26 per share for the years ended September 30, 2018, 2017 and 2016, respectively. The decrease in the net change in net assets from operations for year ended September 30, 2018 compared to the prior year was primarily due to a lower yielding portfolio and depreciation of our investments.</w:t>
      </w:r>
    </w:p>
    <w:p>
      <w:pPr>
        <w:spacing w:after="0" w:line="25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140" w:right="20" w:firstLine="437"/>
        <w:spacing w:after="0" w:line="290" w:lineRule="auto"/>
        <w:rPr>
          <w:sz w:val="20"/>
          <w:szCs w:val="20"/>
          <w:color w:val="auto"/>
        </w:rPr>
      </w:pPr>
      <w:r>
        <w:rPr>
          <w:rFonts w:ascii="Arial" w:cs="Arial" w:eastAsia="Arial" w:hAnsi="Arial"/>
          <w:sz w:val="16"/>
          <w:szCs w:val="16"/>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December 31,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65" w:lineRule="exact"/>
        <w:rPr>
          <w:sz w:val="20"/>
          <w:szCs w:val="20"/>
          <w:color w:val="auto"/>
        </w:rPr>
      </w:pPr>
    </w:p>
    <w:p>
      <w:pPr>
        <w:ind w:left="140" w:firstLine="437"/>
        <w:spacing w:after="0" w:line="254" w:lineRule="auto"/>
        <w:rPr>
          <w:sz w:val="20"/>
          <w:szCs w:val="20"/>
          <w:color w:val="auto"/>
        </w:rPr>
      </w:pPr>
      <w:r>
        <w:rPr>
          <w:rFonts w:ascii="Arial" w:cs="Arial" w:eastAsia="Arial" w:hAnsi="Arial"/>
          <w:sz w:val="18"/>
          <w:szCs w:val="18"/>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requirements applicable to us for senior securities have been reduced from 200% to 150%, subject to compliance with certain disclosure requirements. As of December 31, 2018 and September 30, 2018, our asset coverage ratio, as computed in accordance with the 1940 Act, was 248% and 291%, respectively.</w:t>
      </w:r>
    </w:p>
    <w:p>
      <w:pPr>
        <w:spacing w:after="0" w:line="189" w:lineRule="exact"/>
        <w:rPr>
          <w:sz w:val="20"/>
          <w:szCs w:val="20"/>
          <w:color w:val="auto"/>
        </w:rPr>
      </w:pPr>
    </w:p>
    <w:p>
      <w:pPr>
        <w:ind w:left="140" w:right="300" w:firstLine="437"/>
        <w:spacing w:after="0" w:line="259" w:lineRule="auto"/>
        <w:rPr>
          <w:sz w:val="20"/>
          <w:szCs w:val="20"/>
          <w:color w:val="auto"/>
        </w:rPr>
      </w:pPr>
      <w:r>
        <w:rPr>
          <w:rFonts w:ascii="Arial" w:cs="Arial" w:eastAsia="Arial" w:hAnsi="Arial"/>
          <w:sz w:val="18"/>
          <w:szCs w:val="18"/>
          <w:color w:val="auto"/>
        </w:rPr>
        <w:t>The annualized weighted average cost of debt for the three months ended December 31, 2018 and 2017, inclusive of the fee on the undrawn commitment and amendment costs on the Credit Facility, amortized upfront fees on SBA debentures and debt issuance costs, was 4.71% and 4.32%, respectively.</w:t>
      </w:r>
    </w:p>
    <w:p>
      <w:pPr>
        <w:spacing w:after="0" w:line="186" w:lineRule="exact"/>
        <w:rPr>
          <w:sz w:val="20"/>
          <w:szCs w:val="20"/>
          <w:color w:val="auto"/>
        </w:rPr>
      </w:pPr>
    </w:p>
    <w:p>
      <w:pPr>
        <w:ind w:left="140" w:right="300" w:firstLine="437"/>
        <w:spacing w:after="0" w:line="259" w:lineRule="auto"/>
        <w:rPr>
          <w:sz w:val="20"/>
          <w:szCs w:val="20"/>
          <w:color w:val="auto"/>
        </w:rPr>
      </w:pPr>
      <w:r>
        <w:rPr>
          <w:rFonts w:ascii="Arial" w:cs="Arial" w:eastAsia="Arial" w:hAnsi="Arial"/>
          <w:sz w:val="18"/>
          <w:szCs w:val="18"/>
          <w:color w:val="auto"/>
        </w:rPr>
        <w:t>The annualized weighted average cost of debt for the years ended September 30, 2018, 2017 and 2016, inclusive of the fee on the undrawn commitment and amendment costs on the Credit Facility, amortized upfront fees on SBA debentures and debt issuance costs, was 4.52%, 5.04% and 4.35%, respectively.</w:t>
      </w:r>
    </w:p>
    <w:p>
      <w:pPr>
        <w:spacing w:after="0" w:line="186" w:lineRule="exact"/>
        <w:rPr>
          <w:sz w:val="20"/>
          <w:szCs w:val="20"/>
          <w:color w:val="auto"/>
        </w:rPr>
      </w:pPr>
    </w:p>
    <w:p>
      <w:pPr>
        <w:ind w:left="140" w:right="20" w:firstLine="437"/>
        <w:spacing w:after="0" w:line="267" w:lineRule="auto"/>
        <w:rPr>
          <w:sz w:val="20"/>
          <w:szCs w:val="20"/>
          <w:color w:val="auto"/>
        </w:rPr>
      </w:pPr>
      <w:r>
        <w:rPr>
          <w:rFonts w:ascii="Arial" w:cs="Arial" w:eastAsia="Arial" w:hAnsi="Arial"/>
          <w:sz w:val="17"/>
          <w:szCs w:val="17"/>
          <w:color w:val="auto"/>
        </w:rPr>
        <w:t>As of December 31, 2018, we had a $445 million multi-currency Credit Facility with certain lenders and SunTrust Bank, acting as administrative agent, and JPMorgan Chase Bank, N.A., acting as syndication agent for the lenders. As of December 31, 2018, September 30, 2018 and 2017, we had $174.1 million, $80.5 million (including a $2.0 million temporary draw) and $79.4 million, respectively, in outstanding borrowings under the Credit Facility. The Credit Facility had a weighted average interest rate of 4.39%, 3.79% and 2.42%, respectively, exclusive of the fee on undrawn commitments of 0.375%, as of December 31, 2018, September 30, 2018 and 2017. The Credit Facility is a five-year revolving facility with a stated maturity date of May 25, 2022, a one-year term-out period following its fourth year and pricing set at 225 basis points over LIBOR. As of December 31, 2018, September 30, 2018 and 2017, we had $270.9 million, $364.5 million and $365.6 million of unused borrowing capacity under our Credit Facility, respectively, subject to the regulatory restrictions. The Credit Facility is secured by substantially all of our assets excluding assets held by our SBIC Funds. For a complete list of covenants contained in the Credit Facility, please refer to the Credit Facility agreement filed as Exhibit 10.1 on our Form 10-Q filed August 7, 2017 and incorporated by reference therein.</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2018, we were in compliance with the terms of our Credit Facility.</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55</w:t>
      </w:r>
    </w:p>
    <w:p>
      <w:pPr>
        <w:sectPr>
          <w:pgSz w:w="12240" w:h="15840" w:orient="portrait"/>
          <w:cols w:equalWidth="0" w:num="1">
            <w:col w:w="11040"/>
          </w:cols>
          <w:pgMar w:left="520" w:top="316" w:right="68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120" w:firstLine="437"/>
        <w:spacing w:after="0" w:line="293" w:lineRule="auto"/>
        <w:rPr>
          <w:sz w:val="20"/>
          <w:szCs w:val="20"/>
          <w:color w:val="auto"/>
        </w:rPr>
      </w:pPr>
      <w:r>
        <w:rPr>
          <w:rFonts w:ascii="Arial" w:cs="Arial" w:eastAsia="Arial" w:hAnsi="Arial"/>
          <w:sz w:val="16"/>
          <w:szCs w:val="16"/>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62" w:lineRule="exact"/>
        <w:rPr>
          <w:sz w:val="20"/>
          <w:szCs w:val="20"/>
          <w:color w:val="auto"/>
        </w:rPr>
      </w:pPr>
    </w:p>
    <w:p>
      <w:pPr>
        <w:ind w:left="140" w:right="340" w:firstLine="437"/>
        <w:spacing w:after="0" w:line="290" w:lineRule="auto"/>
        <w:rPr>
          <w:sz w:val="20"/>
          <w:szCs w:val="20"/>
          <w:color w:val="auto"/>
        </w:rPr>
      </w:pPr>
      <w:r>
        <w:rPr>
          <w:rFonts w:ascii="Arial" w:cs="Arial" w:eastAsia="Arial" w:hAnsi="Arial"/>
          <w:sz w:val="16"/>
          <w:szCs w:val="16"/>
          <w:color w:val="auto"/>
        </w:rPr>
        <w:t>In January 2013, we issued $71.3 million in aggregate principal amount of 2025 Notes. Interest on the 2025 Notes was paid quarterly on February 1, May 1, August 1 and November 1, at a rate of 6.25% per year. On June 29, 2017, the 2025 Notes were redeemed in full and no amounts were outstanding as of September 30, 2018.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 Please see our Base Indenture and the supplemental indenture filed as Exhibit (d)(9) in our post-effective amendment filed on January 22, 2013 for more information.</w:t>
      </w:r>
    </w:p>
    <w:p>
      <w:pPr>
        <w:spacing w:after="0" w:line="165" w:lineRule="exact"/>
        <w:rPr>
          <w:sz w:val="20"/>
          <w:szCs w:val="20"/>
          <w:color w:val="auto"/>
        </w:rPr>
      </w:pPr>
    </w:p>
    <w:p>
      <w:pPr>
        <w:ind w:left="140" w:right="80" w:firstLine="437"/>
        <w:spacing w:after="0" w:line="270" w:lineRule="auto"/>
        <w:rPr>
          <w:sz w:val="20"/>
          <w:szCs w:val="20"/>
          <w:color w:val="auto"/>
        </w:rPr>
      </w:pPr>
      <w:r>
        <w:rPr>
          <w:rFonts w:ascii="Arial" w:cs="Arial" w:eastAsia="Arial" w:hAnsi="Arial"/>
          <w:sz w:val="17"/>
          <w:szCs w:val="17"/>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2019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79" w:lineRule="exact"/>
        <w:rPr>
          <w:sz w:val="20"/>
          <w:szCs w:val="20"/>
          <w:color w:val="auto"/>
        </w:rPr>
      </w:pPr>
    </w:p>
    <w:p>
      <w:pPr>
        <w:ind w:left="140" w:right="100" w:firstLine="437"/>
        <w:spacing w:after="0" w:line="287" w:lineRule="auto"/>
        <w:rPr>
          <w:sz w:val="20"/>
          <w:szCs w:val="20"/>
          <w:color w:val="auto"/>
        </w:rPr>
      </w:pPr>
      <w:r>
        <w:rPr>
          <w:rFonts w:ascii="Arial" w:cs="Arial" w:eastAsia="Arial" w:hAnsi="Arial"/>
          <w:sz w:val="16"/>
          <w:szCs w:val="16"/>
          <w:color w:val="auto"/>
        </w:rPr>
        <w:t>On May 9, 2018, we announced a share repurchase program which allows us to repurchase up to $30 million of our outstanding common stock in the open market at prices below our NAV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months ended December 31, 2018 and 2017, we repurchased 1.0 million and zero shares of common stock in open market transactions for an aggregate cost (including transaction costs) of $7.5 million and zero, respectively. For the years ended September 30, 2018, 2017 and 2016, we repurchased 2.0 million, zero and 1.9 million shares of common stock in open market transactions for an aggregate cost (including transaction costs) of $15.0 million, zero and $12.2 million, respectively.</w:t>
      </w:r>
    </w:p>
    <w:p>
      <w:pPr>
        <w:spacing w:after="0" w:line="167" w:lineRule="exact"/>
        <w:rPr>
          <w:sz w:val="20"/>
          <w:szCs w:val="20"/>
          <w:color w:val="auto"/>
        </w:rPr>
      </w:pPr>
    </w:p>
    <w:p>
      <w:pPr>
        <w:ind w:left="140" w:firstLine="437"/>
        <w:spacing w:after="0" w:line="288" w:lineRule="auto"/>
        <w:rPr>
          <w:sz w:val="20"/>
          <w:szCs w:val="20"/>
          <w:color w:val="auto"/>
        </w:rPr>
      </w:pPr>
      <w:r>
        <w:rPr>
          <w:rFonts w:ascii="Arial" w:cs="Arial" w:eastAsia="Arial" w:hAnsi="Arial"/>
          <w:sz w:val="16"/>
          <w:szCs w:val="16"/>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zero SBA debentures outstanding as of December 31, 2018. We have funded SBIC II with $75.0 million of equity capital and it had SBA debentures outstanding of $150.0 million as of December 31,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2240" w:h="15840" w:orient="portrait"/>
          <w:cols w:equalWidth="0" w:num="1">
            <w:col w:w="11060"/>
          </w:cols>
          <w:pgMar w:left="520" w:top="316" w:right="66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260" w:firstLine="437"/>
        <w:spacing w:after="0" w:line="297" w:lineRule="auto"/>
        <w:rPr>
          <w:sz w:val="20"/>
          <w:szCs w:val="20"/>
          <w:color w:val="auto"/>
        </w:rPr>
      </w:pPr>
      <w:r>
        <w:rPr>
          <w:rFonts w:ascii="Arial" w:cs="Arial" w:eastAsia="Arial" w:hAnsi="Arial"/>
          <w:sz w:val="16"/>
          <w:szCs w:val="16"/>
          <w:color w:val="auto"/>
        </w:rPr>
        <w:t>As of December 31, 2018, September 30, 2018 and 2017, our SBIC Funds had $150.0 million, $300.0 million and $300.0 million in debt commitments, respectively, of which $150.0 million, $180.0 million and $199.0 million was drawn, respectively. As of December 31, 2018, September 30, 2018 and 2017, the unamortized fees on the SBA debentures were $4.2 million, $4.6 million and $4.6 million, respectively. The SBA debentures’ upfront fees of 3.43% consist of a commitment fee of 1.00% and an issuance discount of 2.43%, which are being amortized.</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fixed-rate SBA debentures as of December 31, 2018 and September 30, 2018 were as follows: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Fixed All-in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7"/>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21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Maturity</w:t>
            </w:r>
          </w:p>
        </w:tc>
        <w:tc>
          <w:tcPr>
            <w:tcW w:w="14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156"/>
        </w:trPr>
        <w:tc>
          <w:tcPr>
            <w:tcW w:w="4820" w:type="dxa"/>
            <w:vAlign w:val="bottom"/>
            <w:gridSpan w:val="3"/>
            <w:vMerge w:val="continue"/>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144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2"/>
              </w:rPr>
              <w:t>Coupon Rate</w:t>
            </w:r>
            <w:r>
              <w:rPr>
                <w:rFonts w:ascii="Arial" w:cs="Arial" w:eastAsia="Arial" w:hAnsi="Arial"/>
                <w:sz w:val="12"/>
                <w:szCs w:val="12"/>
                <w:b w:val="1"/>
                <w:bCs w:val="1"/>
                <w:color w:val="auto"/>
                <w:w w:val="92"/>
              </w:rPr>
              <w:t>(1)</w:t>
            </w:r>
          </w:p>
        </w:tc>
        <w:tc>
          <w:tcPr>
            <w:tcW w:w="340" w:type="dxa"/>
            <w:vAlign w:val="bottom"/>
          </w:tcPr>
          <w:p>
            <w:pPr>
              <w:spacing w:after="0"/>
              <w:rPr>
                <w:sz w:val="13"/>
                <w:szCs w:val="13"/>
                <w:color w:val="auto"/>
              </w:rPr>
            </w:pPr>
          </w:p>
        </w:tc>
        <w:tc>
          <w:tcPr>
            <w:tcW w:w="126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23, 2016</w:t>
            </w:r>
          </w:p>
        </w:tc>
        <w:tc>
          <w:tcPr>
            <w:tcW w:w="14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March 1, 2026</w:t>
            </w:r>
          </w:p>
        </w:tc>
        <w:tc>
          <w:tcPr>
            <w:tcW w:w="7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rPr>
              <w:t>2.86%</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22,500,000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September 21, 2016</w:t>
            </w:r>
          </w:p>
        </w:tc>
        <w:tc>
          <w:tcPr>
            <w:tcW w:w="2180" w:type="dxa"/>
            <w:vAlign w:val="bottom"/>
            <w:gridSpan w:val="2"/>
          </w:tcPr>
          <w:p>
            <w:pPr>
              <w:jc w:val="right"/>
              <w:ind w:right="760"/>
              <w:spacing w:after="0"/>
              <w:rPr>
                <w:sz w:val="20"/>
                <w:szCs w:val="20"/>
                <w:color w:val="auto"/>
              </w:rPr>
            </w:pPr>
            <w:r>
              <w:rPr>
                <w:rFonts w:ascii="Arial" w:cs="Arial" w:eastAsia="Arial" w:hAnsi="Arial"/>
                <w:sz w:val="18"/>
                <w:szCs w:val="18"/>
                <w:color w:val="auto"/>
                <w:w w:val="91"/>
              </w:rPr>
              <w:t>September 1, 2026</w:t>
            </w:r>
          </w:p>
        </w:tc>
        <w:tc>
          <w:tcPr>
            <w:tcW w:w="1440" w:type="dxa"/>
            <w:vAlign w:val="bottom"/>
            <w:gridSpan w:val="2"/>
          </w:tcPr>
          <w:p>
            <w:pPr>
              <w:ind w:left="64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21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1"/>
              </w:rPr>
              <w:t>September 1, 2027</w:t>
            </w:r>
          </w:p>
        </w:tc>
        <w:tc>
          <w:tcPr>
            <w:tcW w:w="14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2.87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31,500,000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March 21, 2018</w:t>
            </w:r>
          </w:p>
        </w:tc>
        <w:tc>
          <w:tcPr>
            <w:tcW w:w="2180" w:type="dxa"/>
            <w:vAlign w:val="bottom"/>
            <w:gridSpan w:val="2"/>
          </w:tcPr>
          <w:p>
            <w:pPr>
              <w:jc w:val="right"/>
              <w:ind w:right="760"/>
              <w:spacing w:after="0"/>
              <w:rPr>
                <w:sz w:val="20"/>
                <w:szCs w:val="20"/>
                <w:color w:val="auto"/>
              </w:rPr>
            </w:pPr>
            <w:r>
              <w:rPr>
                <w:rFonts w:ascii="Arial" w:cs="Arial" w:eastAsia="Arial" w:hAnsi="Arial"/>
                <w:sz w:val="18"/>
                <w:szCs w:val="18"/>
                <w:color w:val="auto"/>
              </w:rPr>
              <w:t>March 1, 2028</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5"/>
              </w:rPr>
              <w:t>3.53</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3.11%</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Fixed All-in</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7"/>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21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Maturity</w:t>
            </w:r>
          </w:p>
        </w:tc>
        <w:tc>
          <w:tcPr>
            <w:tcW w:w="14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56"/>
        </w:trPr>
        <w:tc>
          <w:tcPr>
            <w:tcW w:w="4820" w:type="dxa"/>
            <w:vAlign w:val="bottom"/>
            <w:gridSpan w:val="3"/>
            <w:vMerge w:val="continue"/>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144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2"/>
              </w:rPr>
              <w:t>Coupon Rate</w:t>
            </w:r>
            <w:r>
              <w:rPr>
                <w:rFonts w:ascii="Arial" w:cs="Arial" w:eastAsia="Arial" w:hAnsi="Arial"/>
                <w:sz w:val="12"/>
                <w:szCs w:val="12"/>
                <w:b w:val="1"/>
                <w:bCs w:val="1"/>
                <w:color w:val="auto"/>
                <w:w w:val="92"/>
              </w:rPr>
              <w:t>(1)</w:t>
            </w:r>
          </w:p>
        </w:tc>
        <w:tc>
          <w:tcPr>
            <w:tcW w:w="340" w:type="dxa"/>
            <w:vAlign w:val="bottom"/>
          </w:tcPr>
          <w:p>
            <w:pPr>
              <w:spacing w:after="0"/>
              <w:rPr>
                <w:sz w:val="13"/>
                <w:szCs w:val="13"/>
                <w:color w:val="auto"/>
              </w:rPr>
            </w:pPr>
          </w:p>
        </w:tc>
        <w:tc>
          <w:tcPr>
            <w:tcW w:w="126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21, 2011</w:t>
            </w:r>
          </w:p>
        </w:tc>
        <w:tc>
          <w:tcPr>
            <w:tcW w:w="14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September 1, 2021</w:t>
            </w:r>
          </w:p>
        </w:tc>
        <w:tc>
          <w:tcPr>
            <w:tcW w:w="7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rPr>
              <w:t>3.35%</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2180" w:type="dxa"/>
            <w:vAlign w:val="bottom"/>
            <w:gridSpan w:val="2"/>
          </w:tcPr>
          <w:p>
            <w:pPr>
              <w:jc w:val="right"/>
              <w:ind w:right="760"/>
              <w:spacing w:after="0"/>
              <w:rPr>
                <w:sz w:val="20"/>
                <w:szCs w:val="20"/>
                <w:color w:val="auto"/>
              </w:rPr>
            </w:pPr>
            <w:r>
              <w:rPr>
                <w:rFonts w:ascii="Arial" w:cs="Arial" w:eastAsia="Arial" w:hAnsi="Arial"/>
                <w:sz w:val="18"/>
                <w:szCs w:val="18"/>
                <w:color w:val="auto"/>
              </w:rPr>
              <w:t>March 1, 2026</w:t>
            </w:r>
          </w:p>
        </w:tc>
        <w:tc>
          <w:tcPr>
            <w:tcW w:w="1440" w:type="dxa"/>
            <w:vAlign w:val="bottom"/>
            <w:gridSpan w:val="2"/>
          </w:tcPr>
          <w:p>
            <w:pPr>
              <w:ind w:left="640"/>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21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1"/>
              </w:rPr>
              <w:t>September 1, 2026</w:t>
            </w:r>
          </w:p>
        </w:tc>
        <w:tc>
          <w:tcPr>
            <w:tcW w:w="14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September 20, 2017</w:t>
            </w:r>
          </w:p>
        </w:tc>
        <w:tc>
          <w:tcPr>
            <w:tcW w:w="2180" w:type="dxa"/>
            <w:vAlign w:val="bottom"/>
            <w:gridSpan w:val="2"/>
          </w:tcPr>
          <w:p>
            <w:pPr>
              <w:jc w:val="right"/>
              <w:ind w:right="760"/>
              <w:spacing w:after="0"/>
              <w:rPr>
                <w:sz w:val="20"/>
                <w:szCs w:val="20"/>
                <w:color w:val="auto"/>
              </w:rPr>
            </w:pPr>
            <w:r>
              <w:rPr>
                <w:rFonts w:ascii="Arial" w:cs="Arial" w:eastAsia="Arial" w:hAnsi="Arial"/>
                <w:sz w:val="18"/>
                <w:szCs w:val="18"/>
                <w:color w:val="auto"/>
                <w:w w:val="91"/>
              </w:rPr>
              <w:t>September 1, 2027</w:t>
            </w:r>
          </w:p>
        </w:tc>
        <w:tc>
          <w:tcPr>
            <w:tcW w:w="1440" w:type="dxa"/>
            <w:vAlign w:val="bottom"/>
            <w:gridSpan w:val="2"/>
          </w:tcPr>
          <w:p>
            <w:pPr>
              <w:ind w:left="640"/>
              <w:spacing w:after="0"/>
              <w:rPr>
                <w:sz w:val="20"/>
                <w:szCs w:val="20"/>
                <w:color w:val="auto"/>
              </w:rPr>
            </w:pPr>
            <w:r>
              <w:rPr>
                <w:rFonts w:ascii="Arial" w:cs="Arial" w:eastAsia="Arial" w:hAnsi="Arial"/>
                <w:sz w:val="18"/>
                <w:szCs w:val="18"/>
                <w:color w:val="auto"/>
              </w:rPr>
              <w:t>2.87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31,500,000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2018</w:t>
            </w:r>
          </w:p>
        </w:tc>
        <w:tc>
          <w:tcPr>
            <w:tcW w:w="21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March 1, 2028</w:t>
            </w: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5"/>
              </w:rPr>
              <w:t>3.53</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2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40" w:type="dxa"/>
            <w:vAlign w:val="bottom"/>
            <w:gridSpan w:val="2"/>
          </w:tcPr>
          <w:p>
            <w:pPr>
              <w:ind w:left="640"/>
              <w:spacing w:after="0"/>
              <w:rPr>
                <w:sz w:val="20"/>
                <w:szCs w:val="20"/>
                <w:color w:val="auto"/>
              </w:rPr>
            </w:pPr>
            <w:r>
              <w:rPr>
                <w:rFonts w:ascii="Arial" w:cs="Arial" w:eastAsia="Arial" w:hAnsi="Arial"/>
                <w:sz w:val="18"/>
                <w:szCs w:val="18"/>
                <w:color w:val="auto"/>
              </w:rPr>
              <w:t>3.15%</w:t>
            </w:r>
          </w:p>
        </w:tc>
        <w:tc>
          <w:tcPr>
            <w:tcW w:w="3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180,000,000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66" w:lineRule="exact"/>
        <w:rPr>
          <w:sz w:val="20"/>
          <w:szCs w:val="20"/>
          <w:color w:val="auto"/>
        </w:rPr>
      </w:pPr>
    </w:p>
    <w:p>
      <w:pPr>
        <w:ind w:left="560" w:hanging="426"/>
        <w:spacing w:after="0"/>
        <w:tabs>
          <w:tab w:leader="none" w:pos="5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Excluding 3.43% of upfront fees.</w:t>
      </w:r>
    </w:p>
    <w:p>
      <w:pPr>
        <w:spacing w:after="0" w:line="221" w:lineRule="exact"/>
        <w:rPr>
          <w:sz w:val="20"/>
          <w:szCs w:val="20"/>
          <w:color w:val="auto"/>
        </w:rPr>
      </w:pPr>
    </w:p>
    <w:p>
      <w:pPr>
        <w:ind w:left="140" w:firstLine="437"/>
        <w:spacing w:after="0" w:line="290"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2018, our SBIC Funds were in compliance with their regulatory requirements.</w:t>
      </w:r>
    </w:p>
    <w:p>
      <w:pPr>
        <w:spacing w:after="0" w:line="165" w:lineRule="exact"/>
        <w:rPr>
          <w:sz w:val="20"/>
          <w:szCs w:val="20"/>
          <w:color w:val="auto"/>
        </w:rPr>
      </w:pPr>
    </w:p>
    <w:p>
      <w:pPr>
        <w:ind w:left="140" w:right="20" w:firstLine="437"/>
        <w:spacing w:after="0" w:line="252"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our required 150% asset coverage ratio is met after such borrowing. As of December 31, 2018, September 30, 2018 and 2017,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2240" w:h="15840" w:orient="portrait"/>
          <w:cols w:equalWidth="0" w:num="1">
            <w:col w:w="10980"/>
          </w:cols>
          <w:pgMar w:left="520" w:top="316" w:right="7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40" w:right="300" w:firstLine="437"/>
        <w:spacing w:after="0" w:line="259" w:lineRule="auto"/>
        <w:rPr>
          <w:sz w:val="20"/>
          <w:szCs w:val="20"/>
          <w:color w:val="auto"/>
        </w:rPr>
      </w:pPr>
      <w:r>
        <w:rPr>
          <w:rFonts w:ascii="Arial" w:cs="Arial" w:eastAsia="Arial" w:hAnsi="Arial"/>
          <w:sz w:val="18"/>
          <w:szCs w:val="18"/>
          <w:color w:val="auto"/>
        </w:rPr>
        <w:t>As of December 31, 2018, September 30, 2018 and 2017, we had cash and cash equivalents of $24.7 million, $19.5 million and $38.2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ind w:left="140" w:right="200" w:firstLine="437"/>
        <w:spacing w:after="0" w:line="259" w:lineRule="auto"/>
        <w:rPr>
          <w:sz w:val="20"/>
          <w:szCs w:val="20"/>
          <w:color w:val="auto"/>
        </w:rPr>
      </w:pPr>
      <w:r>
        <w:rPr>
          <w:rFonts w:ascii="Arial" w:cs="Arial" w:eastAsia="Arial" w:hAnsi="Arial"/>
          <w:sz w:val="18"/>
          <w:szCs w:val="18"/>
          <w:color w:val="auto"/>
        </w:rPr>
        <w:t>Our operating activities used cash of $38.6 million for the three months ended December 31, 2018, and our financing activities provided cash of $43.7 million for the same period. Our operating activities used cash primarily for our investment activities and our financing activities provided cash primarily from net borrowings under the Credit Facility.</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operating activities provided cash of $62.4 million for the three months ended December 31, 2017, and our financing activities used cash of</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$27.8 million for the same period. Our operating activities provided cash from sales and repayments on our investments and our financing activities used</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 primarily to pay distributions to stockholders and repay the SBA debentures.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operating activities provided cash of $66.9 million for the year ended September 30, 2018, and our financing activities used cash of</w:t>
      </w:r>
    </w:p>
    <w:p>
      <w:pPr>
        <w:spacing w:after="0" w:line="31"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$85.6 million for the same period. Our operating activities provided cash from sales and repayments on our investments and our financing activities used cash primarily for net repayments of the SBA debentures and our stock repurchase program.</w:t>
      </w:r>
    </w:p>
    <w:p>
      <w:pPr>
        <w:spacing w:after="0" w:line="188" w:lineRule="exact"/>
        <w:rPr>
          <w:sz w:val="20"/>
          <w:szCs w:val="20"/>
          <w:color w:val="auto"/>
        </w:rPr>
      </w:pPr>
    </w:p>
    <w:p>
      <w:pPr>
        <w:ind w:left="140" w:right="120" w:firstLine="437"/>
        <w:spacing w:after="0" w:line="259" w:lineRule="auto"/>
        <w:rPr>
          <w:sz w:val="20"/>
          <w:szCs w:val="20"/>
          <w:color w:val="auto"/>
        </w:rPr>
      </w:pPr>
      <w:r>
        <w:rPr>
          <w:rFonts w:ascii="Arial" w:cs="Arial" w:eastAsia="Arial" w:hAnsi="Arial"/>
          <w:sz w:val="18"/>
          <w:szCs w:val="18"/>
          <w:color w:val="auto"/>
        </w:rPr>
        <w:t>Our operating activities provided cash of $69.2 million for the year ended September 30, 2017, and our financing activities used cash proceeds of $107.6 million for the same period. Our operating activities provided cash primarily from sales and repayments on our investments and our financing activities used cash primarily to redeem our 2025 Notes.</w:t>
      </w:r>
    </w:p>
    <w:p>
      <w:pPr>
        <w:spacing w:after="0" w:line="186" w:lineRule="exact"/>
        <w:rPr>
          <w:sz w:val="20"/>
          <w:szCs w:val="20"/>
          <w:color w:val="auto"/>
        </w:rPr>
      </w:pPr>
    </w:p>
    <w:p>
      <w:pPr>
        <w:ind w:left="140" w:right="20" w:firstLine="437"/>
        <w:spacing w:after="0" w:line="259" w:lineRule="auto"/>
        <w:rPr>
          <w:sz w:val="20"/>
          <w:szCs w:val="20"/>
          <w:color w:val="auto"/>
        </w:rPr>
      </w:pPr>
      <w:r>
        <w:rPr>
          <w:rFonts w:ascii="Arial" w:cs="Arial" w:eastAsia="Arial" w:hAnsi="Arial"/>
          <w:sz w:val="18"/>
          <w:szCs w:val="18"/>
          <w:color w:val="auto"/>
        </w:rPr>
        <w:t>Our operating activities provided cash of $157.7 million for the year ended September 30, 2016, and our financing activities used cash proceeds of $132.7 million for the same period. Our operating activities provided cash primarily from sales and repayments on our investments and our financing activities used cash primarily for net repayments on our Credit Facility and our stock repurchase program.</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4" w:lineRule="exact"/>
        <w:rPr>
          <w:sz w:val="20"/>
          <w:szCs w:val="20"/>
          <w:color w:val="auto"/>
        </w:rPr>
      </w:pPr>
    </w:p>
    <w:p>
      <w:pPr>
        <w:ind w:left="140" w:right="440" w:firstLine="437"/>
        <w:spacing w:after="0" w:line="271" w:lineRule="auto"/>
        <w:rPr>
          <w:sz w:val="20"/>
          <w:szCs w:val="20"/>
          <w:color w:val="auto"/>
        </w:rPr>
      </w:pPr>
      <w:r>
        <w:rPr>
          <w:rFonts w:ascii="Arial" w:cs="Arial" w:eastAsia="Arial" w:hAnsi="Arial"/>
          <w:sz w:val="18"/>
          <w:szCs w:val="18"/>
          <w:color w:val="auto"/>
        </w:rPr>
        <w:t>A summary of our significant contractual payment obligations at cost as of December 31, 2018, including borrowings under our various debt facilities and other contractual obligations, is as follows:</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7"/>
              </w:rPr>
              <w:t>Payments due by period (in millions)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60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w w:val="95"/>
              </w:rPr>
              <w:t>Less than</w:t>
            </w:r>
          </w:p>
        </w:tc>
        <w:tc>
          <w:tcPr>
            <w:tcW w:w="44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1-3 years</w:t>
            </w:r>
          </w:p>
        </w:tc>
        <w:tc>
          <w:tcPr>
            <w:tcW w:w="44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3-5 years</w:t>
            </w:r>
          </w:p>
        </w:tc>
        <w:tc>
          <w:tcPr>
            <w:tcW w:w="220" w:type="dxa"/>
            <w:vAlign w:val="bottom"/>
          </w:tcPr>
          <w:p>
            <w:pPr>
              <w:spacing w:after="0"/>
              <w:rPr>
                <w:sz w:val="10"/>
                <w:szCs w:val="10"/>
                <w:color w:val="auto"/>
              </w:rPr>
            </w:pPr>
          </w:p>
        </w:tc>
        <w:tc>
          <w:tcPr>
            <w:tcW w:w="6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w w:val="88"/>
              </w:rPr>
              <w:t>1 year</w:t>
            </w:r>
          </w:p>
        </w:tc>
        <w:tc>
          <w:tcPr>
            <w:tcW w:w="4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08"/>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$174.1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$ 174.1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40" w:type="dxa"/>
            <w:vAlign w:val="bottom"/>
          </w:tcPr>
          <w:p>
            <w:pPr>
              <w:spacing w:after="0"/>
              <w:rPr>
                <w:sz w:val="20"/>
                <w:szCs w:val="20"/>
                <w:color w:val="auto"/>
              </w:rPr>
            </w:pPr>
            <w:r>
              <w:rPr>
                <w:rFonts w:ascii="Arial" w:cs="Arial" w:eastAsia="Arial" w:hAnsi="Arial"/>
                <w:sz w:val="18"/>
                <w:szCs w:val="18"/>
                <w:color w:val="auto"/>
              </w:rPr>
              <w:t>SBA debentures</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8"/>
                <w:szCs w:val="18"/>
                <w:color w:val="auto"/>
              </w:rPr>
              <w:t xml:space="preserve">Total debt outstanding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574.1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5"/>
                <w:szCs w:val="15"/>
                <w:color w:val="auto"/>
              </w:rPr>
              <w:t>(2)</w:t>
            </w:r>
          </w:p>
        </w:tc>
        <w:tc>
          <w:tcPr>
            <w:tcW w:w="7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1"/>
        </w:trPr>
        <w:tc>
          <w:tcPr>
            <w:tcW w:w="624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615.1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$ 201.1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66" w:lineRule="exact"/>
        <w:rPr>
          <w:sz w:val="20"/>
          <w:szCs w:val="20"/>
          <w:color w:val="auto"/>
        </w:rPr>
      </w:pPr>
    </w:p>
    <w:p>
      <w:pPr>
        <w:ind w:left="560" w:right="400" w:hanging="426"/>
        <w:spacing w:after="0" w:line="255" w:lineRule="auto"/>
        <w:tabs>
          <w:tab w:leader="none" w:pos="5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annualized weighted average cost of debt as of December 31, 2018, excluding debt issuance costs, was 4.10% exclusive of the fee on the undrawn commitment on the Credit Facility and 3.43% of upfront fees on SBA debentures.</w:t>
      </w:r>
    </w:p>
    <w:p>
      <w:pPr>
        <w:spacing w:after="0" w:line="1" w:lineRule="exact"/>
        <w:rPr>
          <w:rFonts w:ascii="Arial" w:cs="Arial" w:eastAsia="Arial" w:hAnsi="Arial"/>
          <w:sz w:val="15"/>
          <w:szCs w:val="15"/>
          <w:color w:val="auto"/>
        </w:rPr>
      </w:pPr>
    </w:p>
    <w:p>
      <w:pPr>
        <w:ind w:left="560" w:right="460" w:hanging="426"/>
        <w:spacing w:after="0" w:line="256" w:lineRule="auto"/>
        <w:tabs>
          <w:tab w:leader="none" w:pos="5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Unfunded debt and equity investments are disclosed in the Consolidated Schedule of Investments and Note 11 of our Consolidated Financial Statements</w:t>
      </w:r>
    </w:p>
    <w:p>
      <w:pPr>
        <w:spacing w:after="0" w:line="188" w:lineRule="exact"/>
        <w:rPr>
          <w:sz w:val="20"/>
          <w:szCs w:val="20"/>
          <w:color w:val="auto"/>
        </w:rPr>
      </w:pPr>
    </w:p>
    <w:p>
      <w:pPr>
        <w:ind w:left="140" w:right="100" w:firstLine="437"/>
        <w:spacing w:after="0" w:line="271"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most recently reapproved by our board of directors, including a</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2240" w:h="15840" w:orient="portrait"/>
          <w:cols w:equalWidth="0" w:num="1">
            <w:col w:w="11060"/>
          </w:cols>
          <w:pgMar w:left="520" w:top="316" w:right="66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160"/>
        <w:spacing w:after="0" w:line="293" w:lineRule="auto"/>
        <w:rPr>
          <w:sz w:val="20"/>
          <w:szCs w:val="20"/>
          <w:color w:val="auto"/>
        </w:rPr>
      </w:pPr>
      <w:r>
        <w:rPr>
          <w:rFonts w:ascii="Arial" w:cs="Arial" w:eastAsia="Arial" w:hAnsi="Arial"/>
          <w:sz w:val="16"/>
          <w:szCs w:val="16"/>
          <w:color w:val="auto"/>
        </w:rPr>
        <w:t>majority of our directors who are not interested persons of us or the Investment Adviser, in February 2019,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62" w:lineRule="exact"/>
        <w:rPr>
          <w:sz w:val="20"/>
          <w:szCs w:val="20"/>
          <w:color w:val="auto"/>
        </w:rPr>
      </w:pPr>
    </w:p>
    <w:p>
      <w:pPr>
        <w:ind w:left="140" w:right="100" w:firstLine="437"/>
        <w:spacing w:after="0" w:line="288"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2019, the Administrator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67" w:lineRule="exact"/>
        <w:rPr>
          <w:sz w:val="20"/>
          <w:szCs w:val="20"/>
          <w:color w:val="auto"/>
        </w:rPr>
      </w:pPr>
    </w:p>
    <w:p>
      <w:pPr>
        <w:ind w:left="140" w:right="100" w:firstLine="437"/>
        <w:spacing w:after="0" w:line="255" w:lineRule="auto"/>
        <w:rPr>
          <w:sz w:val="20"/>
          <w:szCs w:val="20"/>
          <w:color w:val="auto"/>
        </w:rPr>
      </w:pPr>
      <w:r>
        <w:rPr>
          <w:rFonts w:ascii="Arial" w:cs="Arial" w:eastAsia="Arial" w:hAnsi="Arial"/>
          <w:sz w:val="18"/>
          <w:szCs w:val="18"/>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4" w:lineRule="exact"/>
        <w:rPr>
          <w:sz w:val="20"/>
          <w:szCs w:val="20"/>
          <w:color w:val="auto"/>
        </w:rPr>
      </w:pPr>
    </w:p>
    <w:p>
      <w:pPr>
        <w:ind w:left="140" w:firstLine="437"/>
        <w:spacing w:after="0" w:line="293" w:lineRule="auto"/>
        <w:rPr>
          <w:sz w:val="20"/>
          <w:szCs w:val="20"/>
          <w:color w:val="auto"/>
        </w:rPr>
      </w:pPr>
      <w:r>
        <w:rPr>
          <w:rFonts w:ascii="Arial" w:cs="Arial" w:eastAsia="Arial" w:hAnsi="Arial"/>
          <w:sz w:val="16"/>
          <w:szCs w:val="16"/>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to 150%,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62" w:lineRule="exact"/>
        <w:rPr>
          <w:sz w:val="20"/>
          <w:szCs w:val="20"/>
          <w:color w:val="auto"/>
        </w:rPr>
      </w:pPr>
    </w:p>
    <w:p>
      <w:pPr>
        <w:ind w:left="140" w:right="300" w:firstLine="437"/>
        <w:spacing w:after="0" w:line="259" w:lineRule="auto"/>
        <w:rPr>
          <w:sz w:val="20"/>
          <w:szCs w:val="20"/>
          <w:color w:val="auto"/>
        </w:rPr>
      </w:pPr>
      <w:r>
        <w:rPr>
          <w:rFonts w:ascii="Arial" w:cs="Arial" w:eastAsia="Arial" w:hAnsi="Arial"/>
          <w:sz w:val="18"/>
          <w:szCs w:val="18"/>
          <w:color w:val="auto"/>
        </w:rPr>
        <w:t>On January 31, 2019, the Company announced the redemption of $250.0 million outstanding aggregate principal amount of its 2019 Notes due October 1, 2019. The 2019 Notes will be prepaid at 100% of the principal amount, plus accrued and unpaid interest through the payment date of March 4, 2019, as well as a make-whole premium.</w:t>
      </w:r>
    </w:p>
    <w:p>
      <w:pPr>
        <w:spacing w:after="0" w:line="186" w:lineRule="exact"/>
        <w:rPr>
          <w:sz w:val="20"/>
          <w:szCs w:val="20"/>
          <w:color w:val="auto"/>
        </w:rPr>
      </w:pPr>
    </w:p>
    <w:p>
      <w:pPr>
        <w:ind w:left="140" w:right="200" w:firstLine="437"/>
        <w:spacing w:after="0" w:line="259" w:lineRule="auto"/>
        <w:rPr>
          <w:sz w:val="20"/>
          <w:szCs w:val="20"/>
          <w:color w:val="auto"/>
        </w:rPr>
      </w:pPr>
      <w:r>
        <w:rPr>
          <w:rFonts w:ascii="Arial" w:cs="Arial" w:eastAsia="Arial" w:hAnsi="Arial"/>
          <w:sz w:val="18"/>
          <w:szCs w:val="18"/>
          <w:color w:val="auto"/>
        </w:rPr>
        <w:t>On February 22, 2019, Borrower, a wholly-owned subsidiary of the Company, entered into the BNP Credit Facility. In connection with the BNP Credit Facility, the Borrower entered into, among other agreements, (i) the BNP Credit Agreement, (ii) the Control Agreement, (iii) the Custodian Agreement, and (iv) the Purchase and Sale Agreement.</w:t>
      </w:r>
    </w:p>
    <w:p>
      <w:pPr>
        <w:spacing w:after="0" w:line="186" w:lineRule="exact"/>
        <w:rPr>
          <w:sz w:val="20"/>
          <w:szCs w:val="20"/>
          <w:color w:val="auto"/>
        </w:rPr>
      </w:pPr>
    </w:p>
    <w:p>
      <w:pPr>
        <w:ind w:left="140" w:right="20" w:firstLine="437"/>
        <w:spacing w:after="0" w:line="270" w:lineRule="auto"/>
        <w:rPr>
          <w:sz w:val="20"/>
          <w:szCs w:val="20"/>
          <w:color w:val="auto"/>
        </w:rPr>
      </w:pPr>
      <w:r>
        <w:rPr>
          <w:rFonts w:ascii="Arial" w:cs="Arial" w:eastAsia="Arial" w:hAnsi="Arial"/>
          <w:sz w:val="17"/>
          <w:szCs w:val="17"/>
          <w:color w:val="auto"/>
        </w:rPr>
        <w:t>The BNP Credit Agreement provides for borrowings in an aggregate amount up to $250,000,000. Borrowings under the BNP Credit Agreement will bear interest based on an annual adjusted London interbank offered rate for the relevant interest period, plus an applicable spread. Interest is payable quarterly in arrears. Any amounts borrowed under the BNP Credit Agreement will mature, and all accrued and unpaid interest thereunder will be due and payable, on the earlier of (i) February 22, 2024 or (ii) upon certain other events which result in accelerated maturity under the BNP Credit Facility. Borrowing under the BNP Credit Facility is subject to certain restrictions contained in the Investment Company Act of 1940, as amended. Borrowings under the BNP Credit Agreement are secured by all of the assets held by the Borrower.</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2240" w:h="15840" w:orient="portrait"/>
          <w:cols w:equalWidth="0" w:num="1">
            <w:col w:w="11060"/>
          </w:cols>
          <w:pgMar w:left="520" w:top="316" w:right="66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24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Distributions</w:t>
      </w:r>
    </w:p>
    <w:p>
      <w:pPr>
        <w:spacing w:after="0" w:line="118" w:lineRule="exact"/>
        <w:rPr>
          <w:sz w:val="20"/>
          <w:szCs w:val="20"/>
          <w:color w:val="auto"/>
        </w:rPr>
      </w:pPr>
    </w:p>
    <w:p>
      <w:pPr>
        <w:ind w:left="140" w:right="40" w:firstLine="437"/>
        <w:spacing w:after="0" w:line="255"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91" w:lineRule="exact"/>
        <w:rPr>
          <w:sz w:val="20"/>
          <w:szCs w:val="20"/>
          <w:color w:val="auto"/>
        </w:rPr>
      </w:pPr>
    </w:p>
    <w:p>
      <w:pPr>
        <w:ind w:left="140" w:firstLine="437"/>
        <w:spacing w:after="0" w:line="252"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95" w:lineRule="exact"/>
        <w:rPr>
          <w:sz w:val="20"/>
          <w:szCs w:val="20"/>
          <w:color w:val="auto"/>
        </w:rPr>
      </w:pPr>
    </w:p>
    <w:p>
      <w:pPr>
        <w:ind w:left="140" w:right="20" w:firstLine="437"/>
        <w:spacing w:after="0" w:line="269" w:lineRule="auto"/>
        <w:rPr>
          <w:sz w:val="20"/>
          <w:szCs w:val="20"/>
          <w:color w:val="auto"/>
        </w:rPr>
      </w:pPr>
      <w:r>
        <w:rPr>
          <w:rFonts w:ascii="Arial" w:cs="Arial" w:eastAsia="Arial" w:hAnsi="Arial"/>
          <w:sz w:val="17"/>
          <w:szCs w:val="17"/>
          <w:color w:val="auto"/>
        </w:rPr>
        <w:t>During both the three months ended December 31, 2018 and 2017, we declared distributions of $0.18 per share, for total distributions of $12.2 million and $12.8 million, respectively. During the years ended September 30, 2018, 2017 and 2016, we declared distributions of $0.72 per share, $0.82 per share and $1.12 per share, respectively, for total distributions of $50.6 million, $58.3 million and $79.8 million, respectively. We monitor available net investment income to determine if a return of capital for tax purposes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79" w:lineRule="exact"/>
        <w:rPr>
          <w:sz w:val="20"/>
          <w:szCs w:val="20"/>
          <w:color w:val="auto"/>
        </w:rPr>
      </w:pPr>
    </w:p>
    <w:p>
      <w:pPr>
        <w:ind w:left="140" w:right="480" w:firstLine="437"/>
        <w:spacing w:after="0" w:line="271" w:lineRule="auto"/>
        <w:rPr>
          <w:sz w:val="20"/>
          <w:szCs w:val="20"/>
          <w:color w:val="auto"/>
        </w:rPr>
      </w:pPr>
      <w:r>
        <w:rPr>
          <w:rFonts w:ascii="Arial" w:cs="Arial" w:eastAsia="Arial" w:hAnsi="Arial"/>
          <w:sz w:val="18"/>
          <w:szCs w:val="18"/>
          <w:color w:val="auto"/>
        </w:rPr>
        <w:t>We intend to continue to make quarterly distributions to our stockholders. Our quarterly distributions, if any, are determined by our board of directors.</w:t>
      </w:r>
    </w:p>
    <w:p>
      <w:pPr>
        <w:spacing w:after="0" w:line="175" w:lineRule="exact"/>
        <w:rPr>
          <w:sz w:val="20"/>
          <w:szCs w:val="20"/>
          <w:color w:val="auto"/>
        </w:rPr>
      </w:pPr>
    </w:p>
    <w:p>
      <w:pPr>
        <w:ind w:left="140" w:right="180" w:firstLine="437"/>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stockholders specifically “opt out” of the dividend reinvestment plan so as to receive cash distributions.</w:t>
      </w:r>
    </w:p>
    <w:p>
      <w:pPr>
        <w:spacing w:after="0" w:line="186" w:lineRule="exact"/>
        <w:rPr>
          <w:sz w:val="20"/>
          <w:szCs w:val="20"/>
          <w:color w:val="auto"/>
        </w:rPr>
      </w:pPr>
    </w:p>
    <w:p>
      <w:pPr>
        <w:ind w:left="140" w:right="500" w:firstLine="437"/>
        <w:spacing w:after="0" w:line="272"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2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140" w:right="100" w:firstLine="437"/>
        <w:spacing w:after="0" w:line="307" w:lineRule="auto"/>
        <w:rPr>
          <w:sz w:val="20"/>
          <w:szCs w:val="20"/>
          <w:color w:val="auto"/>
        </w:rPr>
      </w:pPr>
      <w:r>
        <w:rPr>
          <w:rFonts w:ascii="Arial" w:cs="Arial" w:eastAsia="Arial" w:hAnsi="Arial"/>
          <w:sz w:val="16"/>
          <w:szCs w:val="16"/>
          <w:color w:val="auto"/>
        </w:rPr>
        <w:t>In August 2018, the FASB issued ASU 2018-13, Fair Value Measurement (Topic 820): Disclosure Framework—Changes to the Disclosure Requirements for Fair Value Measurement, which changes the fair value measurement disclosure requirements of ASC 820. The key provisions include new, eliminated and modified disclosure requirements. The new guidance is effective for fiscal years beginning after December 15, 2019,</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2240" w:h="15840" w:orient="portrait"/>
          <w:cols w:equalWidth="0" w:num="1">
            <w:col w:w="11060"/>
          </w:cols>
          <w:pgMar w:left="520" w:top="316" w:right="66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240"/>
        <w:spacing w:after="0" w:line="301" w:lineRule="auto"/>
        <w:rPr>
          <w:sz w:val="20"/>
          <w:szCs w:val="20"/>
          <w:color w:val="auto"/>
        </w:rPr>
      </w:pPr>
      <w:r>
        <w:rPr>
          <w:rFonts w:ascii="Arial" w:cs="Arial" w:eastAsia="Arial" w:hAnsi="Arial"/>
          <w:sz w:val="17"/>
          <w:szCs w:val="17"/>
          <w:color w:val="auto"/>
        </w:rPr>
        <w:t>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52" w:lineRule="exact"/>
        <w:rPr>
          <w:sz w:val="20"/>
          <w:szCs w:val="20"/>
          <w:color w:val="auto"/>
        </w:rPr>
      </w:pPr>
    </w:p>
    <w:p>
      <w:pPr>
        <w:ind w:left="140" w:right="40" w:firstLine="437"/>
        <w:spacing w:after="0" w:line="255" w:lineRule="auto"/>
        <w:rPr>
          <w:sz w:val="20"/>
          <w:szCs w:val="20"/>
          <w:color w:val="auto"/>
        </w:rPr>
      </w:pPr>
      <w:r>
        <w:rPr>
          <w:rFonts w:ascii="Arial" w:cs="Arial" w:eastAsia="Arial" w:hAnsi="Arial"/>
          <w:sz w:val="18"/>
          <w:szCs w:val="18"/>
          <w:color w:val="auto"/>
        </w:rPr>
        <w:t xml:space="preserve">In August 2018, the SEC issued the Final Rule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The amendments are intended to facilitate the disclosure of information to investors and simplify compliance. The final rule was effective on November 5, 2018. We do not anticipate the impact of this final rule to have a material impact on our consolidated financial statements.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ind w:left="140" w:right="20" w:firstLine="437"/>
        <w:spacing w:after="0" w:line="270" w:lineRule="auto"/>
        <w:rPr>
          <w:sz w:val="20"/>
          <w:szCs w:val="20"/>
          <w:color w:val="auto"/>
        </w:rPr>
      </w:pPr>
      <w:r>
        <w:rPr>
          <w:rFonts w:ascii="Arial" w:cs="Arial" w:eastAsia="Arial" w:hAnsi="Arial"/>
          <w:sz w:val="17"/>
          <w:szCs w:val="17"/>
          <w:color w:val="auto"/>
        </w:rPr>
        <w:t>We are subject to financial market risks, including changes in interest rates. As of December 31, 2018, our debt portfolio consisted of 90% variable-rate investments and 10%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79" w:lineRule="exact"/>
        <w:rPr>
          <w:sz w:val="20"/>
          <w:szCs w:val="20"/>
          <w:color w:val="auto"/>
        </w:rPr>
      </w:pPr>
    </w:p>
    <w:p>
      <w:pPr>
        <w:ind w:left="140" w:right="300" w:firstLine="437"/>
        <w:spacing w:after="0" w:line="301" w:lineRule="auto"/>
        <w:rPr>
          <w:sz w:val="20"/>
          <w:szCs w:val="20"/>
          <w:color w:val="auto"/>
        </w:rPr>
      </w:pPr>
      <w:r>
        <w:rPr>
          <w:rFonts w:ascii="Arial" w:cs="Arial" w:eastAsia="Arial" w:hAnsi="Arial"/>
          <w:sz w:val="17"/>
          <w:szCs w:val="17"/>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5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Change In Interest</w:t>
            </w:r>
          </w:p>
        </w:tc>
        <w:tc>
          <w:tcPr>
            <w:tcW w:w="5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Change In Interest</w:t>
            </w: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680"/>
              <w:spacing w:after="0" w:line="147" w:lineRule="exact"/>
              <w:rPr>
                <w:sz w:val="20"/>
                <w:szCs w:val="20"/>
                <w:color w:val="auto"/>
              </w:rPr>
            </w:pPr>
            <w:r>
              <w:rPr>
                <w:rFonts w:ascii="Arial" w:cs="Arial" w:eastAsia="Arial" w:hAnsi="Arial"/>
                <w:sz w:val="14"/>
                <w:szCs w:val="14"/>
                <w:b w:val="1"/>
                <w:bCs w:val="1"/>
                <w:color w:val="auto"/>
                <w:w w:val="93"/>
              </w:rPr>
              <w:t>Income, Net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Income, Net Of</w:t>
            </w:r>
          </w:p>
        </w:tc>
        <w:tc>
          <w:tcPr>
            <w:tcW w:w="0" w:type="dxa"/>
            <w:vAlign w:val="bottom"/>
          </w:tcPr>
          <w:p>
            <w:pPr>
              <w:spacing w:after="0"/>
              <w:rPr>
                <w:sz w:val="1"/>
                <w:szCs w:val="1"/>
                <w:color w:val="auto"/>
              </w:rPr>
            </w:pPr>
          </w:p>
        </w:tc>
      </w:tr>
      <w:tr>
        <w:trPr>
          <w:trHeight w:val="147"/>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3240" w:type="dxa"/>
            <w:vAlign w:val="bottom"/>
          </w:tcPr>
          <w:p>
            <w:pPr>
              <w:spacing w:after="0"/>
              <w:rPr>
                <w:sz w:val="12"/>
                <w:szCs w:val="12"/>
                <w:color w:val="auto"/>
              </w:rPr>
            </w:pPr>
          </w:p>
        </w:tc>
        <w:tc>
          <w:tcPr>
            <w:tcW w:w="174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89"/>
              </w:rPr>
              <w:t>Interest Expense</w:t>
            </w:r>
          </w:p>
        </w:tc>
        <w:tc>
          <w:tcPr>
            <w:tcW w:w="520" w:type="dxa"/>
            <w:vAlign w:val="bottom"/>
          </w:tcPr>
          <w:p>
            <w:pPr>
              <w:spacing w:after="0"/>
              <w:rPr>
                <w:sz w:val="12"/>
                <w:szCs w:val="12"/>
                <w:color w:val="auto"/>
              </w:rPr>
            </w:pPr>
          </w:p>
        </w:tc>
        <w:tc>
          <w:tcPr>
            <w:tcW w:w="126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Interest Expense</w:t>
            </w:r>
          </w:p>
        </w:tc>
        <w:tc>
          <w:tcPr>
            <w:tcW w:w="0" w:type="dxa"/>
            <w:vAlign w:val="bottom"/>
          </w:tcPr>
          <w:p>
            <w:pPr>
              <w:spacing w:after="0"/>
              <w:rPr>
                <w:sz w:val="1"/>
                <w:szCs w:val="1"/>
                <w:color w:val="auto"/>
              </w:rPr>
            </w:pPr>
          </w:p>
        </w:tc>
      </w:tr>
      <w:tr>
        <w:trPr>
          <w:trHeight w:val="161"/>
        </w:trPr>
        <w:tc>
          <w:tcPr>
            <w:tcW w:w="1540" w:type="dxa"/>
            <w:vAlign w:val="bottom"/>
            <w:tcBorders>
              <w:bottom w:val="single" w:sz="8" w:color="auto"/>
            </w:tcBorders>
            <w:vMerge w:val="continue"/>
          </w:tcPr>
          <w:p>
            <w:pPr>
              <w:spacing w:after="0"/>
              <w:rPr>
                <w:sz w:val="13"/>
                <w:szCs w:val="13"/>
                <w:color w:val="auto"/>
              </w:rPr>
            </w:pP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680"/>
              <w:spacing w:after="0" w:line="157" w:lineRule="exact"/>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
        </w:trPr>
        <w:tc>
          <w:tcPr>
            <w:tcW w:w="1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Down 1%</w:t>
            </w:r>
          </w:p>
        </w:tc>
        <w:tc>
          <w:tcPr>
            <w:tcW w:w="3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540" w:type="dxa"/>
            <w:vAlign w:val="bottom"/>
            <w:vMerge w:val="continue"/>
            <w:shd w:val="clear" w:color="auto" w:fill="CCEEFF"/>
          </w:tcPr>
          <w:p>
            <w:pPr>
              <w:spacing w:after="0"/>
              <w:rPr>
                <w:sz w:val="17"/>
                <w:szCs w:val="17"/>
                <w:color w:val="auto"/>
              </w:rPr>
            </w:pPr>
          </w:p>
        </w:tc>
        <w:tc>
          <w:tcPr>
            <w:tcW w:w="3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(7,515)</w:t>
            </w:r>
          </w:p>
        </w:tc>
        <w:tc>
          <w:tcPr>
            <w:tcW w:w="58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20"/>
                <w:szCs w:val="20"/>
                <w:color w:val="auto"/>
              </w:rPr>
            </w:pPr>
            <w:r>
              <w:rPr>
                <w:rFonts w:ascii="Arial" w:cs="Arial" w:eastAsia="Arial" w:hAnsi="Arial"/>
                <w:sz w:val="18"/>
                <w:szCs w:val="18"/>
                <w:color w:val="auto"/>
              </w:rPr>
              <w:t>Up 1%</w:t>
            </w:r>
          </w:p>
        </w:tc>
        <w:tc>
          <w:tcPr>
            <w:tcW w:w="3340" w:type="dxa"/>
            <w:vAlign w:val="bottom"/>
            <w:gridSpan w:val="2"/>
          </w:tcPr>
          <w:p>
            <w:pPr>
              <w:ind w:left="324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7,515</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4"/>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2%</w:t>
            </w:r>
          </w:p>
        </w:tc>
        <w:tc>
          <w:tcPr>
            <w:tcW w:w="334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15,029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20"/>
                <w:szCs w:val="20"/>
                <w:color w:val="auto"/>
              </w:rPr>
            </w:pPr>
            <w:r>
              <w:rPr>
                <w:rFonts w:ascii="Arial" w:cs="Arial" w:eastAsia="Arial" w:hAnsi="Arial"/>
                <w:sz w:val="18"/>
                <w:szCs w:val="18"/>
                <w:color w:val="auto"/>
              </w:rPr>
              <w:t>Up 3%</w:t>
            </w:r>
          </w:p>
        </w:tc>
        <w:tc>
          <w:tcPr>
            <w:tcW w:w="3340" w:type="dxa"/>
            <w:vAlign w:val="bottom"/>
            <w:gridSpan w:val="2"/>
          </w:tcPr>
          <w:p>
            <w:pPr>
              <w:ind w:left="324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22,544</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4"/>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4%</w:t>
            </w:r>
          </w:p>
        </w:tc>
        <w:tc>
          <w:tcPr>
            <w:tcW w:w="334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30,066</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40" w:right="100" w:firstLine="437"/>
        <w:spacing w:after="0" w:line="255"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91" w:lineRule="exact"/>
        <w:rPr>
          <w:sz w:val="20"/>
          <w:szCs w:val="20"/>
          <w:color w:val="auto"/>
        </w:rPr>
      </w:pPr>
    </w:p>
    <w:p>
      <w:pPr>
        <w:ind w:left="140" w:firstLine="437"/>
        <w:spacing w:after="0" w:line="282" w:lineRule="auto"/>
        <w:rPr>
          <w:sz w:val="20"/>
          <w:szCs w:val="20"/>
          <w:color w:val="auto"/>
        </w:rPr>
      </w:pPr>
      <w:r>
        <w:rPr>
          <w:rFonts w:ascii="Arial" w:cs="Arial" w:eastAsia="Arial" w:hAnsi="Arial"/>
          <w:sz w:val="17"/>
          <w:szCs w:val="17"/>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67" w:lineRule="exact"/>
        <w:rPr>
          <w:sz w:val="20"/>
          <w:szCs w:val="20"/>
          <w:color w:val="auto"/>
        </w:rPr>
      </w:pPr>
    </w:p>
    <w:p>
      <w:pPr>
        <w:ind w:left="140" w:firstLine="437"/>
        <w:spacing w:after="0" w:line="293" w:lineRule="auto"/>
        <w:rPr>
          <w:sz w:val="20"/>
          <w:szCs w:val="20"/>
          <w:color w:val="auto"/>
        </w:rPr>
      </w:pPr>
      <w:r>
        <w:rPr>
          <w:rFonts w:ascii="Arial" w:cs="Arial" w:eastAsia="Arial" w:hAnsi="Arial"/>
          <w:sz w:val="16"/>
          <w:szCs w:val="16"/>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2240" w:h="15840" w:orient="portrait"/>
          <w:cols w:equalWidth="0" w:num="1">
            <w:col w:w="11060"/>
          </w:cols>
          <w:pgMar w:left="520" w:top="316" w:right="66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SENIOR SECURITIES</w:t>
      </w:r>
    </w:p>
    <w:p>
      <w:pPr>
        <w:spacing w:after="0" w:line="225" w:lineRule="exact"/>
        <w:rPr>
          <w:sz w:val="20"/>
          <w:szCs w:val="20"/>
          <w:color w:val="auto"/>
        </w:rPr>
      </w:pPr>
    </w:p>
    <w:p>
      <w:pPr>
        <w:ind w:left="140" w:right="40" w:firstLine="437"/>
        <w:spacing w:after="0" w:line="254" w:lineRule="auto"/>
        <w:rPr>
          <w:sz w:val="20"/>
          <w:szCs w:val="20"/>
          <w:color w:val="auto"/>
        </w:rPr>
      </w:pPr>
      <w:r>
        <w:rPr>
          <w:rFonts w:ascii="Arial" w:cs="Arial" w:eastAsia="Arial" w:hAnsi="Arial"/>
          <w:sz w:val="18"/>
          <w:szCs w:val="18"/>
          <w:color w:val="auto"/>
        </w:rPr>
        <w:t>Information about our senior securities is shown in the following table as of December 31, 2018 (unaudited) and September 30, 2018, 2017, 2016, 2015, 2014, 2013, 2012, 2011, 2010, and 2009 is from our Consolidated Financial Statements, which has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94"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Asset</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3"/>
        </w:trPr>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Amount</w:t>
            </w:r>
          </w:p>
        </w:tc>
        <w:tc>
          <w:tcPr>
            <w:tcW w:w="76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w w:val="97"/>
              </w:rPr>
              <w:t>Coverage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9"/>
              </w:rPr>
              <w:t>Class and Year</w:t>
            </w:r>
          </w:p>
        </w:tc>
        <w:tc>
          <w:tcPr>
            <w:tcW w:w="344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60" w:type="dxa"/>
            <w:vAlign w:val="bottom"/>
            <w:gridSpan w:val="3"/>
          </w:tcPr>
          <w:p>
            <w:pPr>
              <w:ind w:left="760"/>
              <w:spacing w:after="0" w:line="141" w:lineRule="exact"/>
              <w:rPr>
                <w:sz w:val="20"/>
                <w:szCs w:val="20"/>
                <w:color w:val="auto"/>
              </w:rPr>
            </w:pPr>
            <w:r>
              <w:rPr>
                <w:rFonts w:ascii="Arial" w:cs="Arial" w:eastAsia="Arial" w:hAnsi="Arial"/>
                <w:sz w:val="14"/>
                <w:szCs w:val="14"/>
                <w:b w:val="1"/>
                <w:bCs w:val="1"/>
                <w:color w:val="auto"/>
                <w:w w:val="95"/>
              </w:rPr>
              <w:t>per Unit</w:t>
            </w:r>
            <w:r>
              <w:rPr>
                <w:rFonts w:ascii="Arial" w:cs="Arial" w:eastAsia="Arial" w:hAnsi="Arial"/>
                <w:sz w:val="12"/>
                <w:szCs w:val="12"/>
                <w:b w:val="1"/>
                <w:bCs w:val="1"/>
                <w:color w:val="auto"/>
                <w:w w:val="95"/>
              </w:rPr>
              <w:t>(2),</w:t>
            </w:r>
          </w:p>
        </w:tc>
        <w:tc>
          <w:tcPr>
            <w:tcW w:w="1660" w:type="dxa"/>
            <w:vAlign w:val="bottom"/>
            <w:gridSpan w:val="4"/>
          </w:tcPr>
          <w:p>
            <w:pPr>
              <w:ind w:left="760"/>
              <w:spacing w:after="0" w:line="141"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1680" w:type="dxa"/>
            <w:vAlign w:val="bottom"/>
            <w:gridSpan w:val="3"/>
          </w:tcPr>
          <w:p>
            <w:pPr>
              <w:ind w:left="760"/>
              <w:spacing w:after="0" w:line="154"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(3)</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40"/>
              <w:spacing w:after="0" w:line="154" w:lineRule="exact"/>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(4)</w:t>
            </w:r>
          </w:p>
        </w:tc>
        <w:tc>
          <w:tcPr>
            <w:tcW w:w="0" w:type="dxa"/>
            <w:vAlign w:val="bottom"/>
          </w:tcPr>
          <w:p>
            <w:pPr>
              <w:spacing w:after="0"/>
              <w:rPr>
                <w:sz w:val="1"/>
                <w:szCs w:val="1"/>
                <w:color w:val="auto"/>
              </w:rPr>
            </w:pPr>
          </w:p>
        </w:tc>
      </w:tr>
      <w:tr>
        <w:trPr>
          <w:trHeight w:val="188"/>
        </w:trPr>
        <w:tc>
          <w:tcPr>
            <w:tcW w:w="43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Credit Facility, 2019 Notes and 2025 Notes</w:t>
            </w:r>
          </w:p>
        </w:tc>
        <w:tc>
          <w:tcPr>
            <w:tcW w:w="7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360" w:type="dxa"/>
            <w:vAlign w:val="bottom"/>
            <w:gridSpan w:val="2"/>
          </w:tcPr>
          <w:p>
            <w:pPr>
              <w:spacing w:after="0"/>
              <w:rPr>
                <w:sz w:val="20"/>
                <w:szCs w:val="20"/>
                <w:color w:val="auto"/>
              </w:rPr>
            </w:pPr>
            <w:r>
              <w:rPr>
                <w:rFonts w:ascii="Arial" w:cs="Arial" w:eastAsia="Arial" w:hAnsi="Arial"/>
                <w:sz w:val="18"/>
                <w:szCs w:val="18"/>
                <w:color w:val="auto"/>
              </w:rPr>
              <w:t>Fiscal 2019 (As of December 31, 2018, unaudited)</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424,136</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ind w:left="140"/>
              <w:spacing w:after="0"/>
              <w:rPr>
                <w:sz w:val="20"/>
                <w:szCs w:val="20"/>
                <w:color w:val="auto"/>
              </w:rPr>
            </w:pPr>
            <w:r>
              <w:rPr>
                <w:rFonts w:ascii="Arial" w:cs="Arial" w:eastAsia="Arial" w:hAnsi="Arial"/>
                <w:sz w:val="18"/>
                <w:szCs w:val="18"/>
                <w:color w:val="auto"/>
                <w:w w:val="88"/>
              </w:rPr>
              <w:t>2,479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4"/>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330,520</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2,912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4"/>
        </w:trPr>
        <w:tc>
          <w:tcPr>
            <w:tcW w:w="436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329,393</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ind w:left="140"/>
              <w:spacing w:after="0"/>
              <w:rPr>
                <w:sz w:val="20"/>
                <w:szCs w:val="20"/>
                <w:color w:val="auto"/>
              </w:rPr>
            </w:pPr>
            <w:r>
              <w:rPr>
                <w:rFonts w:ascii="Arial" w:cs="Arial" w:eastAsia="Arial" w:hAnsi="Arial"/>
                <w:sz w:val="18"/>
                <w:szCs w:val="18"/>
                <w:color w:val="auto"/>
                <w:w w:val="88"/>
              </w:rPr>
              <w:t>2,950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4"/>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371,590</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2,756</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458,114</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ind w:left="140"/>
              <w:spacing w:after="0"/>
              <w:rPr>
                <w:sz w:val="20"/>
                <w:szCs w:val="20"/>
                <w:color w:val="auto"/>
              </w:rPr>
            </w:pPr>
            <w:r>
              <w:rPr>
                <w:rFonts w:ascii="Arial" w:cs="Arial" w:eastAsia="Arial" w:hAnsi="Arial"/>
                <w:sz w:val="18"/>
                <w:szCs w:val="18"/>
                <w:color w:val="auto"/>
                <w:w w:val="88"/>
              </w:rPr>
              <w:t>2,569</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376,476</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3,198</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216,750</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ind w:left="140"/>
              <w:spacing w:after="0"/>
              <w:rPr>
                <w:sz w:val="20"/>
                <w:szCs w:val="20"/>
                <w:color w:val="auto"/>
              </w:rPr>
            </w:pPr>
            <w:r>
              <w:rPr>
                <w:rFonts w:ascii="Arial" w:cs="Arial" w:eastAsia="Arial" w:hAnsi="Arial"/>
                <w:sz w:val="18"/>
                <w:szCs w:val="18"/>
                <w:color w:val="auto"/>
                <w:w w:val="88"/>
              </w:rPr>
              <w:t>4,261</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5,636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4"/>
        </w:trPr>
        <w:tc>
          <w:tcPr>
            <w:tcW w:w="436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240,900</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ind w:left="140"/>
              <w:spacing w:after="0"/>
              <w:rPr>
                <w:sz w:val="20"/>
                <w:szCs w:val="20"/>
                <w:color w:val="auto"/>
              </w:rPr>
            </w:pPr>
            <w:r>
              <w:rPr>
                <w:rFonts w:ascii="Arial" w:cs="Arial" w:eastAsia="Arial" w:hAnsi="Arial"/>
                <w:sz w:val="18"/>
                <w:szCs w:val="18"/>
                <w:color w:val="auto"/>
                <w:w w:val="88"/>
              </w:rPr>
              <w:t>2,937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4"/>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(5)</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247,600</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2,655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225,100</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ind w:left="140"/>
              <w:spacing w:after="0"/>
              <w:rPr>
                <w:sz w:val="20"/>
                <w:szCs w:val="20"/>
                <w:color w:val="auto"/>
              </w:rPr>
            </w:pPr>
            <w:r>
              <w:rPr>
                <w:rFonts w:ascii="Arial" w:cs="Arial" w:eastAsia="Arial" w:hAnsi="Arial"/>
                <w:sz w:val="18"/>
                <w:szCs w:val="18"/>
                <w:color w:val="auto"/>
                <w:w w:val="88"/>
              </w:rPr>
              <w:t>2,713</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76835</wp:posOffset>
            </wp:positionV>
            <wp:extent cx="6965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40" w:lineRule="exact"/>
        <w:rPr>
          <w:sz w:val="20"/>
          <w:szCs w:val="20"/>
          <w:color w:val="auto"/>
        </w:rPr>
      </w:pPr>
    </w:p>
    <w:p>
      <w:pPr>
        <w:ind w:left="560" w:right="240" w:hanging="426"/>
        <w:spacing w:after="0" w:line="251"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 As of December 31, 2018 and September 30, 2018, 2017, 2016, 2015, 2014, 2013, 2012, 2011, 2010, and 2009, the fair value of our senior securities outstanding presented in thousands (000s) was $416,518, $328,968, $331,702, $366,344, $456,595, $376,668, $213,900, $144,453, $238,792, $233,641, and $175,475, respectively.</w:t>
      </w:r>
    </w:p>
    <w:p>
      <w:pPr>
        <w:spacing w:after="0" w:line="3" w:lineRule="exact"/>
        <w:rPr>
          <w:rFonts w:ascii="Arial" w:cs="Arial" w:eastAsia="Arial" w:hAnsi="Arial"/>
          <w:sz w:val="18"/>
          <w:szCs w:val="18"/>
          <w:color w:val="auto"/>
        </w:rPr>
      </w:pPr>
    </w:p>
    <w:p>
      <w:pPr>
        <w:ind w:left="560" w:right="240" w:hanging="426"/>
        <w:spacing w:after="0" w:line="248"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560" w:right="320" w:hanging="426"/>
        <w:spacing w:after="0" w:line="248"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total amount outstanding and asset coverage per unit computation pursuant to an exemptive relief letter provided by the SEC in June 2011.</w:t>
      </w:r>
    </w:p>
    <w:p>
      <w:pPr>
        <w:ind w:left="560" w:hanging="426"/>
        <w:spacing w:after="0" w:line="248"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trading on NYSE under the symbol “PNTA” since issuance, which were issued in increments of $25 per unit. On June 29, 2017, the 2025 Notes were redeemed in full and no amounts were outstanding as of December 31, 2018.</w:t>
      </w:r>
    </w:p>
    <w:p>
      <w:pPr>
        <w:ind w:left="560" w:hanging="426"/>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amount includes SBIC LP’s SBA debentures in the total amount outstanding and our asset coverage per unit computation.</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2240" w:h="15840" w:orient="portrait"/>
          <w:cols w:equalWidth="0" w:num="1">
            <w:col w:w="11040"/>
          </w:cols>
          <w:pgMar w:left="520" w:top="316" w:right="68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PRICE RANGE OF COMMON STOCK</w:t>
      </w:r>
    </w:p>
    <w:p>
      <w:pPr>
        <w:spacing w:after="0" w:line="198" w:lineRule="exact"/>
        <w:rPr>
          <w:sz w:val="20"/>
          <w:szCs w:val="20"/>
          <w:color w:val="auto"/>
        </w:rPr>
      </w:pPr>
    </w:p>
    <w:p>
      <w:pPr>
        <w:ind w:left="140" w:right="60" w:firstLine="437"/>
        <w:spacing w:after="0" w:line="282" w:lineRule="auto"/>
        <w:rPr>
          <w:sz w:val="20"/>
          <w:szCs w:val="20"/>
          <w:color w:val="auto"/>
        </w:rPr>
      </w:pPr>
      <w:r>
        <w:rPr>
          <w:rFonts w:ascii="Arial" w:cs="Arial" w:eastAsia="Arial" w:hAnsi="Arial"/>
          <w:sz w:val="17"/>
          <w:szCs w:val="17"/>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2016. On February 28, 2019, the last reported closing price of our common stock was $7.13 per share.</w:t>
      </w:r>
    </w:p>
    <w:p>
      <w:pPr>
        <w:spacing w:after="0" w:line="17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vMerge w:val="restart"/>
          </w:tcPr>
          <w:p>
            <w:pPr>
              <w:jc w:val="right"/>
              <w:ind w:right="72"/>
              <w:spacing w:after="0"/>
              <w:rPr>
                <w:sz w:val="20"/>
                <w:szCs w:val="20"/>
                <w:color w:val="auto"/>
              </w:rPr>
            </w:pPr>
            <w:r>
              <w:rPr>
                <w:rFonts w:ascii="Arial" w:cs="Arial" w:eastAsia="Arial" w:hAnsi="Arial"/>
                <w:sz w:val="14"/>
                <w:szCs w:val="14"/>
                <w:b w:val="1"/>
                <w:bCs w:val="1"/>
                <w:color w:val="auto"/>
              </w:rPr>
              <w:t>Closing Sales Price</w:t>
            </w:r>
          </w:p>
        </w:tc>
        <w:tc>
          <w:tcPr>
            <w:tcW w:w="460" w:type="dxa"/>
            <w:vAlign w:val="bottom"/>
            <w:vMerge w:val="restart"/>
          </w:tcPr>
          <w:p>
            <w:pPr>
              <w:spacing w:after="0"/>
              <w:rPr>
                <w:sz w:val="14"/>
                <w:szCs w:val="14"/>
                <w:color w:val="auto"/>
              </w:rPr>
            </w:pPr>
          </w:p>
        </w:tc>
        <w:tc>
          <w:tcPr>
            <w:tcW w:w="18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Premium (Discount)</w:t>
            </w: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Premium (Discount)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00" w:type="dxa"/>
            <w:vAlign w:val="bottom"/>
          </w:tcPr>
          <w:p>
            <w:pPr>
              <w:spacing w:after="0"/>
              <w:rPr>
                <w:sz w:val="6"/>
                <w:szCs w:val="6"/>
                <w:color w:val="auto"/>
              </w:rPr>
            </w:pPr>
          </w:p>
        </w:tc>
        <w:tc>
          <w:tcPr>
            <w:tcW w:w="2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Borders>
              <w:bottom w:val="single" w:sz="8" w:color="auto"/>
            </w:tcBorders>
            <w:gridSpan w:val="3"/>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860" w:type="dxa"/>
            <w:vAlign w:val="bottom"/>
            <w:gridSpan w:val="2"/>
            <w:vMerge w:val="restart"/>
          </w:tcPr>
          <w:p>
            <w:pPr>
              <w:jc w:val="center"/>
              <w:ind w:right="620"/>
              <w:spacing w:after="0" w:line="147" w:lineRule="exact"/>
              <w:rPr>
                <w:sz w:val="20"/>
                <w:szCs w:val="20"/>
                <w:color w:val="auto"/>
              </w:rPr>
            </w:pPr>
            <w:r>
              <w:rPr>
                <w:rFonts w:ascii="Arial" w:cs="Arial" w:eastAsia="Arial" w:hAnsi="Arial"/>
                <w:sz w:val="14"/>
                <w:szCs w:val="14"/>
                <w:b w:val="1"/>
                <w:bCs w:val="1"/>
                <w:color w:val="auto"/>
                <w:w w:val="90"/>
              </w:rPr>
              <w:t>of High Sales</w:t>
            </w:r>
          </w:p>
        </w:tc>
        <w:tc>
          <w:tcPr>
            <w:tcW w:w="1620" w:type="dxa"/>
            <w:vAlign w:val="bottom"/>
            <w:gridSpan w:val="2"/>
            <w:vMerge w:val="restart"/>
          </w:tcPr>
          <w:p>
            <w:pPr>
              <w:jc w:val="center"/>
              <w:ind w:right="400"/>
              <w:spacing w:after="0" w:line="147" w:lineRule="exact"/>
              <w:rPr>
                <w:sz w:val="20"/>
                <w:szCs w:val="20"/>
                <w:color w:val="auto"/>
              </w:rPr>
            </w:pPr>
            <w:r>
              <w:rPr>
                <w:rFonts w:ascii="Arial" w:cs="Arial" w:eastAsia="Arial" w:hAnsi="Arial"/>
                <w:sz w:val="14"/>
                <w:szCs w:val="14"/>
                <w:b w:val="1"/>
                <w:bCs w:val="1"/>
                <w:color w:val="auto"/>
                <w:w w:val="91"/>
              </w:rPr>
              <w:t>of Low Sales</w:t>
            </w:r>
          </w:p>
        </w:tc>
        <w:tc>
          <w:tcPr>
            <w:tcW w:w="220" w:type="dxa"/>
            <w:vAlign w:val="bottom"/>
          </w:tcPr>
          <w:p>
            <w:pPr>
              <w:spacing w:after="0"/>
              <w:rPr>
                <w:sz w:val="6"/>
                <w:szCs w:val="6"/>
                <w:color w:val="auto"/>
              </w:rPr>
            </w:pPr>
          </w:p>
        </w:tc>
        <w:tc>
          <w:tcPr>
            <w:tcW w:w="860" w:type="dxa"/>
            <w:vAlign w:val="bottom"/>
            <w:gridSpan w:val="3"/>
            <w:vMerge w:val="restart"/>
          </w:tcPr>
          <w:p>
            <w:pPr>
              <w:jc w:val="right"/>
              <w:ind w:right="60"/>
              <w:spacing w:after="0" w:line="147" w:lineRule="exact"/>
              <w:rPr>
                <w:sz w:val="20"/>
                <w:szCs w:val="20"/>
                <w:color w:val="auto"/>
              </w:rPr>
            </w:pPr>
            <w:r>
              <w:rPr>
                <w:rFonts w:ascii="Arial" w:cs="Arial" w:eastAsia="Arial" w:hAnsi="Arial"/>
                <w:sz w:val="14"/>
                <w:szCs w:val="14"/>
                <w:b w:val="1"/>
                <w:bCs w:val="1"/>
                <w:color w:val="auto"/>
                <w:w w:val="90"/>
              </w:rPr>
              <w:t>Distributions</w:t>
            </w:r>
          </w:p>
        </w:tc>
        <w:tc>
          <w:tcPr>
            <w:tcW w:w="0" w:type="dxa"/>
            <w:vAlign w:val="bottom"/>
          </w:tcPr>
          <w:p>
            <w:pPr>
              <w:spacing w:after="0"/>
              <w:rPr>
                <w:sz w:val="1"/>
                <w:szCs w:val="1"/>
                <w:color w:val="auto"/>
              </w:rPr>
            </w:pPr>
          </w:p>
        </w:tc>
      </w:tr>
      <w:tr>
        <w:trPr>
          <w:trHeight w:val="51"/>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2840" w:type="dxa"/>
            <w:vAlign w:val="bottom"/>
            <w:vMerge w:val="restart"/>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NAV</w:t>
            </w:r>
            <w:r>
              <w:rPr>
                <w:rFonts w:ascii="Arial" w:cs="Arial" w:eastAsia="Arial" w:hAnsi="Arial"/>
                <w:sz w:val="12"/>
                <w:szCs w:val="12"/>
                <w:b w:val="1"/>
                <w:bCs w:val="1"/>
                <w:color w:val="auto"/>
                <w:w w:val="94"/>
              </w:rPr>
              <w:t>(1)</w:t>
            </w:r>
          </w:p>
        </w:tc>
        <w:tc>
          <w:tcPr>
            <w:tcW w:w="240" w:type="dxa"/>
            <w:vAlign w:val="bottom"/>
          </w:tcPr>
          <w:p>
            <w:pPr>
              <w:spacing w:after="0"/>
              <w:rPr>
                <w:sz w:val="4"/>
                <w:szCs w:val="4"/>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High</w:t>
            </w: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Low</w:t>
            </w:r>
          </w:p>
        </w:tc>
        <w:tc>
          <w:tcPr>
            <w:tcW w:w="1860" w:type="dxa"/>
            <w:vAlign w:val="bottom"/>
            <w:gridSpan w:val="2"/>
            <w:vMerge w:val="continue"/>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0" w:type="dxa"/>
            <w:vAlign w:val="bottom"/>
            <w:tcBorders>
              <w:bottom w:val="single" w:sz="8" w:color="auto"/>
            </w:tcBorders>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60" w:type="dxa"/>
            <w:vAlign w:val="bottom"/>
            <w:gridSpan w:val="2"/>
          </w:tcPr>
          <w:p>
            <w:pPr>
              <w:jc w:val="center"/>
              <w:ind w:right="600"/>
              <w:spacing w:after="0" w:line="157"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62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80"/>
              <w:spacing w:after="0" w:line="157" w:lineRule="exact"/>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188"/>
        </w:trPr>
        <w:tc>
          <w:tcPr>
            <w:tcW w:w="324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Year Ending September 30, 2019</w:t>
            </w: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40" w:type="dxa"/>
            <w:vAlign w:val="bottom"/>
            <w:gridSpan w:val="2"/>
          </w:tcPr>
          <w:p>
            <w:pPr>
              <w:spacing w:after="0"/>
              <w:rPr>
                <w:sz w:val="20"/>
                <w:szCs w:val="20"/>
                <w:color w:val="auto"/>
              </w:rPr>
            </w:pPr>
            <w:r>
              <w:rPr>
                <w:rFonts w:ascii="Arial" w:cs="Arial" w:eastAsia="Arial" w:hAnsi="Arial"/>
                <w:sz w:val="18"/>
                <w:szCs w:val="18"/>
                <w:color w:val="auto"/>
                <w:w w:val="96"/>
              </w:rPr>
              <w:t>Second quarter (As of February 28, 2019)</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 N/A</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$ 7.34</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  6.61</w:t>
            </w: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1620" w:type="dxa"/>
            <w:vAlign w:val="bottom"/>
            <w:gridSpan w:val="2"/>
          </w:tcPr>
          <w:p>
            <w:pPr>
              <w:jc w:val="center"/>
              <w:ind w:left="595"/>
              <w:spacing w:after="0"/>
              <w:rPr>
                <w:sz w:val="20"/>
                <w:szCs w:val="20"/>
                <w:color w:val="auto"/>
              </w:rPr>
            </w:pPr>
            <w:r>
              <w:rPr>
                <w:rFonts w:ascii="Arial" w:cs="Arial" w:eastAsia="Arial" w:hAnsi="Arial"/>
                <w:sz w:val="18"/>
                <w:szCs w:val="18"/>
                <w:color w:val="auto"/>
                <w:w w:val="99"/>
              </w:rPr>
              <w:t>N/A%</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9.05</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7.64</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w:t>
            </w: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1620" w:type="dxa"/>
            <w:vAlign w:val="bottom"/>
            <w:gridSpan w:val="2"/>
            <w:shd w:val="clear" w:color="auto" w:fill="CCEEFF"/>
          </w:tcPr>
          <w:p>
            <w:pPr>
              <w:jc w:val="center"/>
              <w:ind w:left="595"/>
              <w:spacing w:after="0"/>
              <w:rPr>
                <w:sz w:val="20"/>
                <w:szCs w:val="20"/>
                <w:color w:val="auto"/>
              </w:rPr>
            </w:pPr>
            <w:r>
              <w:rPr>
                <w:rFonts w:ascii="Arial" w:cs="Arial" w:eastAsia="Arial" w:hAnsi="Arial"/>
                <w:sz w:val="18"/>
                <w:szCs w:val="18"/>
                <w:color w:val="auto"/>
                <w:w w:val="93"/>
              </w:rPr>
              <w:t>(30)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7.84</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7.04</w:t>
            </w: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620" w:type="dxa"/>
            <w:vAlign w:val="bottom"/>
            <w:gridSpan w:val="2"/>
            <w:shd w:val="clear" w:color="auto" w:fill="CCEEFF"/>
          </w:tcPr>
          <w:p>
            <w:pPr>
              <w:jc w:val="center"/>
              <w:ind w:left="595"/>
              <w:spacing w:after="0"/>
              <w:rPr>
                <w:sz w:val="20"/>
                <w:szCs w:val="20"/>
                <w:color w:val="auto"/>
              </w:rPr>
            </w:pPr>
            <w:r>
              <w:rPr>
                <w:rFonts w:ascii="Arial" w:cs="Arial" w:eastAsia="Arial" w:hAnsi="Arial"/>
                <w:sz w:val="18"/>
                <w:szCs w:val="18"/>
                <w:color w:val="auto"/>
                <w:w w:val="93"/>
              </w:rPr>
              <w:t>(23)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4"/>
        </w:trPr>
        <w:tc>
          <w:tcPr>
            <w:tcW w:w="32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9.09</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7.45</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6.64</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(18)</w:t>
            </w:r>
          </w:p>
        </w:tc>
        <w:tc>
          <w:tcPr>
            <w:tcW w:w="1620" w:type="dxa"/>
            <w:vAlign w:val="bottom"/>
            <w:gridSpan w:val="2"/>
          </w:tcPr>
          <w:p>
            <w:pPr>
              <w:jc w:val="center"/>
              <w:ind w:left="595"/>
              <w:spacing w:after="0"/>
              <w:rPr>
                <w:sz w:val="20"/>
                <w:szCs w:val="20"/>
                <w:color w:val="auto"/>
              </w:rPr>
            </w:pPr>
            <w:r>
              <w:rPr>
                <w:rFonts w:ascii="Arial" w:cs="Arial" w:eastAsia="Arial" w:hAnsi="Arial"/>
                <w:sz w:val="18"/>
                <w:szCs w:val="18"/>
                <w:color w:val="auto"/>
                <w:w w:val="93"/>
              </w:rPr>
              <w:t>(27)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4"/>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7.17</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6.41</w:t>
            </w: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1620" w:type="dxa"/>
            <w:vAlign w:val="bottom"/>
            <w:gridSpan w:val="2"/>
            <w:shd w:val="clear" w:color="auto" w:fill="CCEEFF"/>
          </w:tcPr>
          <w:p>
            <w:pPr>
              <w:jc w:val="center"/>
              <w:ind w:left="595"/>
              <w:spacing w:after="0"/>
              <w:rPr>
                <w:sz w:val="20"/>
                <w:szCs w:val="20"/>
                <w:color w:val="auto"/>
              </w:rPr>
            </w:pPr>
            <w:r>
              <w:rPr>
                <w:rFonts w:ascii="Arial" w:cs="Arial" w:eastAsia="Arial" w:hAnsi="Arial"/>
                <w:sz w:val="18"/>
                <w:szCs w:val="18"/>
                <w:color w:val="auto"/>
                <w:w w:val="93"/>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4"/>
        </w:trPr>
        <w:tc>
          <w:tcPr>
            <w:tcW w:w="32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9.10</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7.79</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6.91</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(14)</w:t>
            </w:r>
          </w:p>
        </w:tc>
        <w:tc>
          <w:tcPr>
            <w:tcW w:w="1620" w:type="dxa"/>
            <w:vAlign w:val="bottom"/>
            <w:gridSpan w:val="2"/>
          </w:tcPr>
          <w:p>
            <w:pPr>
              <w:jc w:val="center"/>
              <w:ind w:left="595"/>
              <w:spacing w:after="0"/>
              <w:rPr>
                <w:sz w:val="20"/>
                <w:szCs w:val="20"/>
                <w:color w:val="auto"/>
              </w:rPr>
            </w:pPr>
            <w:r>
              <w:rPr>
                <w:rFonts w:ascii="Arial" w:cs="Arial" w:eastAsia="Arial" w:hAnsi="Arial"/>
                <w:sz w:val="18"/>
                <w:szCs w:val="18"/>
                <w:color w:val="auto"/>
                <w:w w:val="93"/>
              </w:rPr>
              <w:t>(24)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4"/>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2017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9.10</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7.76</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7.35</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1620" w:type="dxa"/>
            <w:vAlign w:val="bottom"/>
            <w:gridSpan w:val="2"/>
          </w:tcPr>
          <w:p>
            <w:pPr>
              <w:jc w:val="center"/>
              <w:ind w:left="595"/>
              <w:spacing w:after="0"/>
              <w:rPr>
                <w:sz w:val="20"/>
                <w:szCs w:val="20"/>
                <w:color w:val="auto"/>
              </w:rPr>
            </w:pPr>
            <w:r>
              <w:rPr>
                <w:rFonts w:ascii="Arial" w:cs="Arial" w:eastAsia="Arial" w:hAnsi="Arial"/>
                <w:sz w:val="18"/>
                <w:szCs w:val="18"/>
                <w:color w:val="auto"/>
                <w:w w:val="93"/>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4"/>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9.18</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8.14</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7.33</w:t>
            </w: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1620" w:type="dxa"/>
            <w:vAlign w:val="bottom"/>
            <w:gridSpan w:val="2"/>
            <w:shd w:val="clear" w:color="auto" w:fill="CCEEFF"/>
          </w:tcPr>
          <w:p>
            <w:pPr>
              <w:jc w:val="center"/>
              <w:ind w:left="595"/>
              <w:spacing w:after="0"/>
              <w:rPr>
                <w:sz w:val="20"/>
                <w:szCs w:val="20"/>
                <w:color w:val="auto"/>
              </w:rPr>
            </w:pPr>
            <w:r>
              <w:rPr>
                <w:rFonts w:ascii="Arial" w:cs="Arial" w:eastAsia="Arial" w:hAnsi="Arial"/>
                <w:sz w:val="18"/>
                <w:szCs w:val="18"/>
                <w:color w:val="auto"/>
                <w:w w:val="93"/>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4"/>
        </w:trPr>
        <w:tc>
          <w:tcPr>
            <w:tcW w:w="32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9.09</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8.58</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7.71</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620" w:type="dxa"/>
            <w:vAlign w:val="bottom"/>
            <w:gridSpan w:val="2"/>
          </w:tcPr>
          <w:p>
            <w:pPr>
              <w:jc w:val="center"/>
              <w:ind w:left="595"/>
              <w:spacing w:after="0"/>
              <w:rPr>
                <w:sz w:val="20"/>
                <w:szCs w:val="20"/>
                <w:color w:val="auto"/>
              </w:rPr>
            </w:pPr>
            <w:r>
              <w:rPr>
                <w:rFonts w:ascii="Arial" w:cs="Arial" w:eastAsia="Arial" w:hAnsi="Arial"/>
                <w:sz w:val="18"/>
                <w:szCs w:val="18"/>
                <w:color w:val="auto"/>
                <w:w w:val="93"/>
              </w:rPr>
              <w:t>(15)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4"/>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8.04</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7.08</w:t>
            </w: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1620" w:type="dxa"/>
            <w:vAlign w:val="bottom"/>
            <w:gridSpan w:val="2"/>
            <w:shd w:val="clear" w:color="auto" w:fill="CCEEFF"/>
          </w:tcPr>
          <w:p>
            <w:pPr>
              <w:jc w:val="center"/>
              <w:ind w:left="595"/>
              <w:spacing w:after="0"/>
              <w:rPr>
                <w:sz w:val="20"/>
                <w:szCs w:val="20"/>
                <w:color w:val="auto"/>
              </w:rPr>
            </w:pPr>
            <w:r>
              <w:rPr>
                <w:rFonts w:ascii="Arial" w:cs="Arial" w:eastAsia="Arial" w:hAnsi="Arial"/>
                <w:sz w:val="18"/>
                <w:szCs w:val="18"/>
                <w:color w:val="auto"/>
                <w:w w:val="93"/>
              </w:rPr>
              <w:t>(22)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85090</wp:posOffset>
            </wp:positionV>
            <wp:extent cx="6965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40" w:lineRule="exact"/>
        <w:rPr>
          <w:sz w:val="20"/>
          <w:szCs w:val="20"/>
          <w:color w:val="auto"/>
        </w:rPr>
      </w:pPr>
    </w:p>
    <w:p>
      <w:pPr>
        <w:ind w:left="560" w:right="160" w:hanging="426"/>
        <w:spacing w:after="0" w:line="255"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560" w:hanging="426"/>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208" w:lineRule="exact"/>
        <w:rPr>
          <w:sz w:val="20"/>
          <w:szCs w:val="20"/>
          <w:color w:val="auto"/>
        </w:rPr>
      </w:pPr>
    </w:p>
    <w:p>
      <w:pPr>
        <w:ind w:left="140" w:right="120" w:firstLine="437"/>
        <w:spacing w:after="0" w:line="252" w:lineRule="auto"/>
        <w:rPr>
          <w:sz w:val="20"/>
          <w:szCs w:val="20"/>
          <w:color w:val="auto"/>
        </w:rPr>
      </w:pPr>
      <w:r>
        <w:rPr>
          <w:rFonts w:ascii="Arial" w:cs="Arial" w:eastAsia="Arial" w:hAnsi="Arial"/>
          <w:sz w:val="18"/>
          <w:szCs w:val="18"/>
          <w:color w:val="auto"/>
        </w:rPr>
        <w:t>Shares of BDCs may trade at a market price both above and below the NAV that is attributable to those shares. Our shares have traded above and below our NAV. Our shares closed on the NASDAQ Global Select Market at $6.37 and $7.46 as of December 31, 2018 and September 30, 2018, respectively. Our NAV per share was $9.05 and $9.11 as of December 31, 2018 and September 30, 2018,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January 31, 2019, we had 11 stockholders of record.</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2240" w:h="15840" w:orient="portrait"/>
          <w:cols w:equalWidth="0" w:num="1">
            <w:col w:w="11060"/>
          </w:cols>
          <w:pgMar w:left="520" w:top="316" w:right="66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5" w:lineRule="exact"/>
        <w:rPr>
          <w:sz w:val="20"/>
          <w:szCs w:val="20"/>
          <w:color w:val="auto"/>
        </w:rPr>
      </w:pPr>
    </w:p>
    <w:p>
      <w:pPr>
        <w:ind w:left="140" w:right="60" w:firstLine="437"/>
        <w:spacing w:after="0" w:line="255"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7" w:lineRule="exact"/>
        <w:rPr>
          <w:sz w:val="20"/>
          <w:szCs w:val="20"/>
          <w:color w:val="auto"/>
        </w:rPr>
      </w:pPr>
    </w:p>
    <w:p>
      <w:pPr>
        <w:ind w:left="1000" w:hanging="331"/>
        <w:spacing w:after="0" w:line="271"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81" w:lineRule="exact"/>
        <w:rPr>
          <w:rFonts w:ascii="Arial" w:cs="Arial" w:eastAsia="Arial" w:hAnsi="Arial"/>
          <w:sz w:val="18"/>
          <w:szCs w:val="18"/>
          <w:color w:val="auto"/>
        </w:rPr>
      </w:pPr>
    </w:p>
    <w:p>
      <w:pPr>
        <w:ind w:left="1000" w:right="180" w:hanging="331"/>
        <w:spacing w:after="0" w:line="271"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81" w:lineRule="exact"/>
        <w:rPr>
          <w:rFonts w:ascii="Arial" w:cs="Arial" w:eastAsia="Arial" w:hAnsi="Arial"/>
          <w:sz w:val="18"/>
          <w:szCs w:val="18"/>
          <w:color w:val="auto"/>
        </w:rPr>
      </w:pPr>
    </w:p>
    <w:p>
      <w:pPr>
        <w:ind w:left="1000" w:right="100" w:hanging="331"/>
        <w:spacing w:after="0" w:line="271"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81" w:lineRule="exact"/>
        <w:rPr>
          <w:rFonts w:ascii="Arial" w:cs="Arial" w:eastAsia="Arial" w:hAnsi="Arial"/>
          <w:sz w:val="18"/>
          <w:szCs w:val="18"/>
          <w:color w:val="auto"/>
        </w:rPr>
      </w:pPr>
    </w:p>
    <w:p>
      <w:pPr>
        <w:ind w:left="1000" w:right="100" w:hanging="331"/>
        <w:spacing w:after="0" w:line="271"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3" w:lineRule="exact"/>
        <w:rPr>
          <w:sz w:val="20"/>
          <w:szCs w:val="20"/>
          <w:color w:val="auto"/>
        </w:rPr>
      </w:pPr>
    </w:p>
    <w:p>
      <w:pPr>
        <w:ind w:left="140" w:right="240" w:firstLine="437"/>
        <w:spacing w:after="0" w:line="282"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67" w:lineRule="exact"/>
        <w:rPr>
          <w:sz w:val="20"/>
          <w:szCs w:val="20"/>
          <w:color w:val="auto"/>
        </w:rPr>
      </w:pPr>
    </w:p>
    <w:p>
      <w:pPr>
        <w:ind w:left="140" w:right="160" w:firstLine="437"/>
        <w:spacing w:after="0" w:line="271"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5" w:lineRule="exact"/>
        <w:rPr>
          <w:sz w:val="20"/>
          <w:szCs w:val="20"/>
          <w:color w:val="auto"/>
        </w:rPr>
      </w:pPr>
    </w:p>
    <w:p>
      <w:pPr>
        <w:ind w:left="140" w:right="160" w:firstLine="437"/>
        <w:spacing w:after="0" w:line="266"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2240" w:h="15840" w:orient="portrait"/>
          <w:cols w:equalWidth="0" w:num="1">
            <w:col w:w="11040"/>
          </w:cols>
          <w:pgMar w:left="520" w:top="316" w:right="68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80" w:firstLine="437"/>
        <w:spacing w:after="0" w:line="301"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8" w:lineRule="exact"/>
        <w:rPr>
          <w:sz w:val="20"/>
          <w:szCs w:val="20"/>
          <w:color w:val="auto"/>
        </w:rPr>
      </w:pPr>
    </w:p>
    <w:p>
      <w:pPr>
        <w:ind w:left="1000" w:hanging="331"/>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27" w:lineRule="exact"/>
        <w:rPr>
          <w:rFonts w:ascii="Arial" w:cs="Arial" w:eastAsia="Arial" w:hAnsi="Arial"/>
          <w:sz w:val="18"/>
          <w:szCs w:val="18"/>
          <w:color w:val="auto"/>
        </w:rPr>
      </w:pPr>
    </w:p>
    <w:p>
      <w:pPr>
        <w:ind w:left="1000" w:right="120" w:hanging="331"/>
        <w:spacing w:after="0" w:line="271"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4" w:lineRule="exact"/>
        <w:rPr>
          <w:sz w:val="20"/>
          <w:szCs w:val="20"/>
          <w:color w:val="auto"/>
        </w:rPr>
      </w:pPr>
    </w:p>
    <w:p>
      <w:pPr>
        <w:ind w:left="140" w:right="60" w:firstLine="437"/>
        <w:spacing w:after="0" w:line="269"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9" w:lineRule="exact"/>
        <w:rPr>
          <w:sz w:val="20"/>
          <w:szCs w:val="20"/>
          <w:color w:val="auto"/>
        </w:rPr>
      </w:pPr>
    </w:p>
    <w:p>
      <w:pPr>
        <w:ind w:left="140" w:right="440" w:firstLine="437"/>
        <w:spacing w:after="0" w:line="282" w:lineRule="auto"/>
        <w:rPr>
          <w:sz w:val="20"/>
          <w:szCs w:val="20"/>
          <w:color w:val="auto"/>
        </w:rPr>
      </w:pPr>
      <w:r>
        <w:rPr>
          <w:rFonts w:ascii="Arial" w:cs="Arial" w:eastAsia="Arial" w:hAnsi="Arial"/>
          <w:sz w:val="17"/>
          <w:szCs w:val="17"/>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67" w:lineRule="exact"/>
        <w:rPr>
          <w:sz w:val="20"/>
          <w:szCs w:val="20"/>
          <w:color w:val="auto"/>
        </w:rPr>
      </w:pPr>
    </w:p>
    <w:p>
      <w:pPr>
        <w:ind w:left="140" w:right="20" w:firstLine="437"/>
        <w:spacing w:after="0" w:line="270"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2"/>
              </w:rPr>
              <w:t>Example 1</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323"/>
              <w:spacing w:after="0"/>
              <w:rPr>
                <w:sz w:val="20"/>
                <w:szCs w:val="20"/>
                <w:color w:val="auto"/>
              </w:rPr>
            </w:pPr>
            <w:r>
              <w:rPr>
                <w:rFonts w:ascii="Arial" w:cs="Arial" w:eastAsia="Arial" w:hAnsi="Arial"/>
                <w:sz w:val="14"/>
                <w:szCs w:val="14"/>
                <w:b w:val="1"/>
                <w:bCs w:val="1"/>
                <w:color w:val="auto"/>
                <w:w w:val="92"/>
              </w:rPr>
              <w:t>Example 2</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323"/>
              <w:spacing w:after="0"/>
              <w:rPr>
                <w:sz w:val="20"/>
                <w:szCs w:val="20"/>
                <w:color w:val="auto"/>
              </w:rPr>
            </w:pPr>
            <w:r>
              <w:rPr>
                <w:rFonts w:ascii="Arial" w:cs="Arial" w:eastAsia="Arial" w:hAnsi="Arial"/>
                <w:sz w:val="14"/>
                <w:szCs w:val="14"/>
                <w:b w:val="1"/>
                <w:bCs w:val="1"/>
                <w:color w:val="auto"/>
                <w:w w:val="92"/>
              </w:rPr>
              <w:t>Example 3</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4"/>
          </w:tcPr>
          <w:p>
            <w:pPr>
              <w:jc w:val="center"/>
              <w:ind w:right="640"/>
              <w:spacing w:after="0" w:line="147"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2000" w:type="dxa"/>
            <w:vAlign w:val="bottom"/>
            <w:gridSpan w:val="4"/>
          </w:tcPr>
          <w:p>
            <w:pPr>
              <w:jc w:val="center"/>
              <w:ind w:right="440"/>
              <w:spacing w:after="0" w:line="147" w:lineRule="exact"/>
              <w:rPr>
                <w:sz w:val="20"/>
                <w:szCs w:val="20"/>
                <w:color w:val="auto"/>
              </w:rPr>
            </w:pPr>
            <w:r>
              <w:rPr>
                <w:rFonts w:ascii="Arial" w:cs="Arial" w:eastAsia="Arial" w:hAnsi="Arial"/>
                <w:sz w:val="14"/>
                <w:szCs w:val="14"/>
                <w:b w:val="1"/>
                <w:bCs w:val="1"/>
                <w:color w:val="auto"/>
                <w:w w:val="97"/>
              </w:rPr>
              <w:t>10%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1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3"/>
              </w:rPr>
              <w:t>at 5% Discount</w:t>
            </w:r>
          </w:p>
        </w:tc>
        <w:tc>
          <w:tcPr>
            <w:tcW w:w="8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at 10%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8"/>
        </w:trPr>
        <w:tc>
          <w:tcPr>
            <w:tcW w:w="32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8"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9"/>
              <w:spacing w:after="0" w:line="118" w:lineRule="exact"/>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0"/>
                <w:szCs w:val="10"/>
                <w:color w:val="auto"/>
              </w:rPr>
            </w:pPr>
          </w:p>
        </w:tc>
        <w:tc>
          <w:tcPr>
            <w:tcW w:w="1240" w:type="dxa"/>
            <w:vAlign w:val="bottom"/>
            <w:tcBorders>
              <w:top w:val="single" w:sz="8" w:color="auto"/>
            </w:tcBorders>
            <w:gridSpan w:val="3"/>
          </w:tcPr>
          <w:p>
            <w:pPr>
              <w:jc w:val="center"/>
              <w:ind w:right="520"/>
              <w:spacing w:after="0" w:line="118" w:lineRule="exact"/>
              <w:rPr>
                <w:sz w:val="20"/>
                <w:szCs w:val="20"/>
                <w:color w:val="auto"/>
              </w:rPr>
            </w:pPr>
            <w:r>
              <w:rPr>
                <w:rFonts w:ascii="Arial" w:cs="Arial" w:eastAsia="Arial" w:hAnsi="Arial"/>
                <w:sz w:val="13"/>
                <w:szCs w:val="13"/>
                <w:b w:val="1"/>
                <w:bCs w:val="1"/>
                <w:color w:val="auto"/>
                <w:w w:val="98"/>
              </w:rPr>
              <w:t>Following</w:t>
            </w:r>
          </w:p>
        </w:tc>
        <w:tc>
          <w:tcPr>
            <w:tcW w:w="460" w:type="dxa"/>
            <w:vAlign w:val="bottom"/>
            <w:tcBorders>
              <w:top w:val="single" w:sz="8" w:color="auto"/>
            </w:tcBorders>
          </w:tcPr>
          <w:p>
            <w:pPr>
              <w:jc w:val="right"/>
              <w:ind w:right="79"/>
              <w:spacing w:after="0" w:line="118"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top w:val="single" w:sz="8" w:color="auto"/>
            </w:tcBorders>
            <w:gridSpan w:val="3"/>
          </w:tcPr>
          <w:p>
            <w:pPr>
              <w:jc w:val="center"/>
              <w:ind w:right="520"/>
              <w:spacing w:after="0" w:line="118" w:lineRule="exact"/>
              <w:rPr>
                <w:sz w:val="20"/>
                <w:szCs w:val="20"/>
                <w:color w:val="auto"/>
              </w:rPr>
            </w:pPr>
            <w:r>
              <w:rPr>
                <w:rFonts w:ascii="Arial" w:cs="Arial" w:eastAsia="Arial" w:hAnsi="Arial"/>
                <w:sz w:val="13"/>
                <w:szCs w:val="13"/>
                <w:b w:val="1"/>
                <w:bCs w:val="1"/>
                <w:color w:val="auto"/>
                <w:w w:val="98"/>
              </w:rPr>
              <w:t>Following</w:t>
            </w:r>
          </w:p>
        </w:tc>
        <w:tc>
          <w:tcPr>
            <w:tcW w:w="460" w:type="dxa"/>
            <w:vAlign w:val="bottom"/>
            <w:tcBorders>
              <w:top w:val="single" w:sz="8" w:color="auto"/>
            </w:tcBorders>
          </w:tcPr>
          <w:p>
            <w:pPr>
              <w:jc w:val="right"/>
              <w:ind w:right="80"/>
              <w:spacing w:after="0" w:line="118"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22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Sale</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Sale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81"/>
        </w:trPr>
        <w:tc>
          <w:tcPr>
            <w:tcW w:w="322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2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10.00</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9.47</w:t>
            </w:r>
          </w:p>
        </w:tc>
        <w:tc>
          <w:tcPr>
            <w:tcW w:w="5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5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9.50</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22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w w:val="92"/>
              </w:rPr>
              <w:t>1,000,000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7"/>
              </w:rPr>
              <w:t>1,050,000</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5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5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25.00 %</w:t>
            </w:r>
          </w:p>
        </w:tc>
        <w:tc>
          <w:tcPr>
            <w:tcW w:w="0" w:type="dxa"/>
            <w:vAlign w:val="bottom"/>
          </w:tcPr>
          <w:p>
            <w:pPr>
              <w:spacing w:after="0"/>
              <w:rPr>
                <w:sz w:val="1"/>
                <w:szCs w:val="1"/>
                <w:color w:val="auto"/>
              </w:rPr>
            </w:pPr>
          </w:p>
        </w:tc>
      </w:tr>
      <w:tr>
        <w:trPr>
          <w:trHeight w:val="201"/>
        </w:trPr>
        <w:tc>
          <w:tcPr>
            <w:tcW w:w="322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9.98</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9.91</w:t>
            </w:r>
          </w:p>
        </w:tc>
        <w:tc>
          <w:tcPr>
            <w:tcW w:w="5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(0.90)%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5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1"/>
        </w:trPr>
        <w:tc>
          <w:tcPr>
            <w:tcW w:w="32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10,000</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5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5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0.95%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0.80%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(20.00)%</w:t>
            </w:r>
          </w:p>
        </w:tc>
        <w:tc>
          <w:tcPr>
            <w:tcW w:w="0" w:type="dxa"/>
            <w:vAlign w:val="bottom"/>
          </w:tcPr>
          <w:p>
            <w:pPr>
              <w:spacing w:after="0"/>
              <w:rPr>
                <w:sz w:val="1"/>
                <w:szCs w:val="1"/>
                <w:color w:val="auto"/>
              </w:rPr>
            </w:pPr>
          </w:p>
        </w:tc>
      </w:tr>
      <w:tr>
        <w:trPr>
          <w:trHeight w:val="360"/>
        </w:trPr>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060"/>
          </w:cols>
          <w:pgMar w:left="520" w:top="316" w:right="66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Example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Example 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Example 3</w:t>
            </w:r>
          </w:p>
        </w:tc>
        <w:tc>
          <w:tcPr>
            <w:tcW w:w="0" w:type="dxa"/>
            <w:vAlign w:val="bottom"/>
          </w:tcPr>
          <w:p>
            <w:pPr>
              <w:spacing w:after="0"/>
              <w:rPr>
                <w:sz w:val="1"/>
                <w:szCs w:val="1"/>
                <w:color w:val="auto"/>
              </w:rPr>
            </w:pPr>
          </w:p>
        </w:tc>
      </w:tr>
      <w:tr>
        <w:trPr>
          <w:trHeight w:val="147"/>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420"/>
              <w:spacing w:after="0" w:line="147"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440"/>
              <w:spacing w:after="0" w:line="147"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at 25% Discount</w:t>
            </w:r>
          </w:p>
        </w:tc>
        <w:tc>
          <w:tcPr>
            <w:tcW w:w="0" w:type="dxa"/>
            <w:vAlign w:val="bottom"/>
          </w:tcPr>
          <w:p>
            <w:pPr>
              <w:spacing w:after="0"/>
              <w:rPr>
                <w:sz w:val="1"/>
                <w:szCs w:val="1"/>
                <w:color w:val="auto"/>
              </w:rPr>
            </w:pPr>
          </w:p>
        </w:tc>
      </w:tr>
      <w:tr>
        <w:trPr>
          <w:trHeight w:val="118"/>
        </w:trPr>
        <w:tc>
          <w:tcPr>
            <w:tcW w:w="4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60"/>
              <w:spacing w:after="0" w:line="118"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ind w:left="160"/>
              <w:spacing w:after="0" w:line="118"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18"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8"/>
              <w:spacing w:after="0" w:line="118"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81"/>
        </w:trPr>
        <w:tc>
          <w:tcPr>
            <w:tcW w:w="41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Total Asset Values</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80" w:type="dxa"/>
            <w:vAlign w:val="bottom"/>
          </w:tcPr>
          <w:p>
            <w:pPr>
              <w:ind w:left="320"/>
              <w:spacing w:after="0"/>
              <w:rPr>
                <w:sz w:val="20"/>
                <w:szCs w:val="20"/>
                <w:color w:val="auto"/>
              </w:rPr>
            </w:pPr>
            <w:r>
              <w:rPr>
                <w:rFonts w:ascii="Arial" w:cs="Arial" w:eastAsia="Arial" w:hAnsi="Arial"/>
                <w:sz w:val="16"/>
                <w:szCs w:val="16"/>
                <w:color w:val="auto"/>
              </w:rPr>
              <w:t>Total NAV held by stockholder A</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100,000</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99,800</w:t>
            </w:r>
          </w:p>
        </w:tc>
        <w:tc>
          <w:tcPr>
            <w:tcW w:w="38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99,100</w:t>
            </w:r>
          </w:p>
        </w:tc>
        <w:tc>
          <w:tcPr>
            <w:tcW w:w="38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95,000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investment by stockholder A (assumed to be</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$10.00 per share)</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100,000</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89"/>
              </w:rPr>
              <w:t>100,000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320"/>
              <w:spacing w:after="0"/>
              <w:rPr>
                <w:sz w:val="20"/>
                <w:szCs w:val="20"/>
                <w:color w:val="auto"/>
              </w:rPr>
            </w:pPr>
            <w:r>
              <w:rPr>
                <w:rFonts w:ascii="Arial" w:cs="Arial" w:eastAsia="Arial" w:hAnsi="Arial"/>
                <w:sz w:val="16"/>
                <w:szCs w:val="16"/>
                <w:color w:val="auto"/>
              </w:rPr>
              <w:t>Total dilution to stockholder A (total NAV less total</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80" w:type="dxa"/>
            <w:vAlign w:val="bottom"/>
          </w:tcPr>
          <w:p>
            <w:pPr>
              <w:ind w:left="480"/>
              <w:spacing w:after="0"/>
              <w:rPr>
                <w:sz w:val="20"/>
                <w:szCs w:val="20"/>
                <w:color w:val="auto"/>
              </w:rPr>
            </w:pPr>
            <w:r>
              <w:rPr>
                <w:rFonts w:ascii="Arial" w:cs="Arial" w:eastAsia="Arial" w:hAnsi="Arial"/>
                <w:sz w:val="16"/>
                <w:szCs w:val="16"/>
                <w:color w:val="auto"/>
              </w:rPr>
              <w:t>investment)</w:t>
            </w: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(200)</w:t>
            </w:r>
          </w:p>
        </w:tc>
        <w:tc>
          <w:tcPr>
            <w:tcW w:w="820" w:type="dxa"/>
            <w:vAlign w:val="bottom"/>
            <w:gridSpan w:val="2"/>
            <w:vMerge w:val="continue"/>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(900)</w:t>
            </w:r>
          </w:p>
        </w:tc>
        <w:tc>
          <w:tcPr>
            <w:tcW w:w="820" w:type="dxa"/>
            <w:vAlign w:val="bottom"/>
            <w:gridSpan w:val="2"/>
            <w:vMerge w:val="continue"/>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(5,000)</w:t>
            </w: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Amounts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tcPr>
          <w:p>
            <w:pPr>
              <w:ind w:left="320"/>
              <w:spacing w:after="0"/>
              <w:rPr>
                <w:sz w:val="20"/>
                <w:szCs w:val="20"/>
                <w:color w:val="auto"/>
              </w:rPr>
            </w:pPr>
            <w:r>
              <w:rPr>
                <w:rFonts w:ascii="Arial" w:cs="Arial" w:eastAsia="Arial" w:hAnsi="Arial"/>
                <w:sz w:val="16"/>
                <w:szCs w:val="16"/>
                <w:color w:val="auto"/>
              </w:rPr>
              <w:t>NAV per share held by stockholder A</w:t>
            </w: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w:t>
            </w:r>
          </w:p>
        </w:tc>
        <w:tc>
          <w:tcPr>
            <w:tcW w:w="38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per share held by stockholder A (assumed</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 be $10.00 per share on shares held prior to sale)</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320"/>
              <w:spacing w:after="0"/>
              <w:rPr>
                <w:sz w:val="20"/>
                <w:szCs w:val="20"/>
                <w:color w:val="auto"/>
              </w:rPr>
            </w:pPr>
            <w:r>
              <w:rPr>
                <w:rFonts w:ascii="Arial" w:cs="Arial" w:eastAsia="Arial" w:hAnsi="Arial"/>
                <w:sz w:val="16"/>
                <w:szCs w:val="16"/>
                <w:color w:val="auto"/>
              </w:rPr>
              <w:t>Dilution per share held by stockholder A (NAV per</w:t>
            </w:r>
          </w:p>
        </w:tc>
        <w:tc>
          <w:tcPr>
            <w:tcW w:w="160" w:type="dxa"/>
            <w:vAlign w:val="bottom"/>
          </w:tcPr>
          <w:p>
            <w:pPr>
              <w:spacing w:after="0"/>
              <w:rPr>
                <w:sz w:val="16"/>
                <w:szCs w:val="16"/>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480"/>
              <w:spacing w:after="0"/>
              <w:rPr>
                <w:sz w:val="20"/>
                <w:szCs w:val="20"/>
                <w:color w:val="auto"/>
              </w:rPr>
            </w:pPr>
            <w:r>
              <w:rPr>
                <w:rFonts w:ascii="Arial" w:cs="Arial" w:eastAsia="Arial" w:hAnsi="Arial"/>
                <w:sz w:val="16"/>
                <w:szCs w:val="16"/>
                <w:color w:val="auto"/>
              </w:rPr>
              <w:t>share less investment per share)</w:t>
            </w: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(0.02)</w:t>
            </w:r>
          </w:p>
        </w:tc>
        <w:tc>
          <w:tcPr>
            <w:tcW w:w="820" w:type="dxa"/>
            <w:vAlign w:val="bottom"/>
            <w:gridSpan w:val="2"/>
            <w:vMerge w:val="continue"/>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(0.09)</w:t>
            </w:r>
          </w:p>
        </w:tc>
        <w:tc>
          <w:tcPr>
            <w:tcW w:w="820" w:type="dxa"/>
            <w:vAlign w:val="bottom"/>
            <w:gridSpan w:val="2"/>
            <w:vMerge w:val="continue"/>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(0.50)</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8"/>
              </w:rPr>
              <w:t>Percentage dilution to stockholder A (dilution per share</w:t>
            </w:r>
          </w:p>
        </w:tc>
        <w:tc>
          <w:tcPr>
            <w:tcW w:w="16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divided by investment per share)</w:t>
            </w: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4" w:lineRule="exact"/>
        <w:rPr>
          <w:sz w:val="20"/>
          <w:szCs w:val="20"/>
          <w:color w:val="auto"/>
        </w:rPr>
      </w:pPr>
    </w:p>
    <w:p>
      <w:pPr>
        <w:ind w:left="140" w:right="20" w:firstLine="437"/>
        <w:spacing w:after="0" w:line="266"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1" w:lineRule="exact"/>
        <w:rPr>
          <w:sz w:val="20"/>
          <w:szCs w:val="20"/>
          <w:color w:val="auto"/>
        </w:rPr>
      </w:pPr>
    </w:p>
    <w:p>
      <w:pPr>
        <w:ind w:left="140" w:right="240" w:firstLine="437"/>
        <w:spacing w:after="0" w:line="272"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2240" w:h="15840" w:orient="portrait"/>
          <w:cols w:equalWidth="0" w:num="1">
            <w:col w:w="11060"/>
          </w:cols>
          <w:pgMar w:left="520" w:top="316" w:right="660"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share of the offering (i.e., 3,750 shares which is 1.50% of the offering of 250,000 shares rather than their 1.00% proportionate share).</w:t>
      </w:r>
    </w:p>
    <w:p>
      <w:pPr>
        <w:spacing w:after="0" w:line="240"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9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50% Participation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ind w:left="18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8"/>
        </w:trPr>
        <w:tc>
          <w:tcPr>
            <w:tcW w:w="5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220" w:type="dxa"/>
            <w:vAlign w:val="bottom"/>
            <w:tcBorders>
              <w:top w:val="single" w:sz="8" w:color="auto"/>
            </w:tcBorders>
            <w:gridSpan w:val="3"/>
          </w:tcPr>
          <w:p>
            <w:pPr>
              <w:jc w:val="right"/>
              <w:ind w:right="560"/>
              <w:spacing w:after="0" w:line="118"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1"/>
              <w:spacing w:after="0" w:line="118"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8"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1"/>
              <w:spacing w:after="0" w:line="118"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81"/>
        </w:trPr>
        <w:tc>
          <w:tcPr>
            <w:tcW w:w="52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i w:val="1"/>
                <w:iCs w:val="1"/>
                <w:color w:val="auto"/>
              </w:rPr>
              <w:t>Offering Price</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2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50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52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5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5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240" w:type="dxa"/>
            <w:vAlign w:val="bottom"/>
          </w:tcPr>
          <w:p>
            <w:pPr>
              <w:spacing w:after="0"/>
              <w:rPr>
                <w:sz w:val="20"/>
                <w:szCs w:val="20"/>
                <w:color w:val="auto"/>
              </w:rPr>
            </w:pPr>
            <w:r>
              <w:rPr>
                <w:rFonts w:ascii="Arial" w:cs="Arial" w:eastAsia="Arial" w:hAnsi="Arial"/>
                <w:sz w:val="16"/>
                <w:szCs w:val="16"/>
                <w:b w:val="1"/>
                <w:bCs w:val="1"/>
                <w:i w:val="1"/>
                <w:iCs w:val="1"/>
                <w:color w:val="auto"/>
              </w:rPr>
              <w:t>Increases in Shares and Decrease to NAV</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5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25.00 %</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5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25.00 %</w:t>
            </w:r>
          </w:p>
        </w:tc>
        <w:tc>
          <w:tcPr>
            <w:tcW w:w="0" w:type="dxa"/>
            <w:vAlign w:val="bottom"/>
          </w:tcPr>
          <w:p>
            <w:pPr>
              <w:spacing w:after="0"/>
              <w:rPr>
                <w:sz w:val="1"/>
                <w:szCs w:val="1"/>
                <w:color w:val="auto"/>
              </w:rPr>
            </w:pPr>
          </w:p>
        </w:tc>
      </w:tr>
      <w:tr>
        <w:trPr>
          <w:trHeight w:val="201"/>
        </w:trPr>
        <w:tc>
          <w:tcPr>
            <w:tcW w:w="5240" w:type="dxa"/>
            <w:vAlign w:val="bottom"/>
          </w:tcPr>
          <w:p>
            <w:pPr>
              <w:spacing w:after="0"/>
              <w:rPr>
                <w:sz w:val="20"/>
                <w:szCs w:val="20"/>
                <w:color w:val="auto"/>
              </w:rPr>
            </w:pPr>
            <w:r>
              <w:rPr>
                <w:rFonts w:ascii="Arial" w:cs="Arial" w:eastAsia="Arial" w:hAnsi="Arial"/>
                <w:sz w:val="16"/>
                <w:szCs w:val="16"/>
                <w:color w:val="auto"/>
              </w:rPr>
              <w:t>NAV per share</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5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5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(5.00)%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5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1"/>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(Dilution)/Accretion to Participating Stockholder A</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11,250</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12.50 %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13,750</w:t>
            </w:r>
          </w:p>
        </w:tc>
        <w:tc>
          <w:tcPr>
            <w:tcW w:w="5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37.50 %</w:t>
            </w:r>
          </w:p>
        </w:tc>
        <w:tc>
          <w:tcPr>
            <w:tcW w:w="0" w:type="dxa"/>
            <w:vAlign w:val="bottom"/>
          </w:tcPr>
          <w:p>
            <w:pPr>
              <w:spacing w:after="0"/>
              <w:rPr>
                <w:sz w:val="1"/>
                <w:szCs w:val="1"/>
                <w:color w:val="auto"/>
              </w:rPr>
            </w:pPr>
          </w:p>
        </w:tc>
      </w:tr>
      <w:tr>
        <w:trPr>
          <w:trHeight w:val="201"/>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0.90%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8"/>
              </w:rPr>
              <w:t>(10.00)%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10.00 %</w:t>
            </w:r>
          </w:p>
        </w:tc>
        <w:tc>
          <w:tcPr>
            <w:tcW w:w="0" w:type="dxa"/>
            <w:vAlign w:val="bottom"/>
          </w:tcPr>
          <w:p>
            <w:pPr>
              <w:spacing w:after="0"/>
              <w:rPr>
                <w:sz w:val="1"/>
                <w:szCs w:val="1"/>
                <w:color w:val="auto"/>
              </w:rPr>
            </w:pPr>
          </w:p>
        </w:tc>
      </w:tr>
      <w:tr>
        <w:trPr>
          <w:trHeight w:val="201"/>
        </w:trPr>
        <w:tc>
          <w:tcPr>
            <w:tcW w:w="52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106,875</w:t>
            </w:r>
          </w:p>
        </w:tc>
        <w:tc>
          <w:tcPr>
            <w:tcW w:w="5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6.88 %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5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30.63 %</w:t>
            </w:r>
          </w:p>
        </w:tc>
        <w:tc>
          <w:tcPr>
            <w:tcW w:w="0" w:type="dxa"/>
            <w:vAlign w:val="bottom"/>
          </w:tcPr>
          <w:p>
            <w:pPr>
              <w:spacing w:after="0"/>
              <w:rPr>
                <w:sz w:val="1"/>
                <w:szCs w:val="1"/>
                <w:color w:val="auto"/>
              </w:rPr>
            </w:pPr>
          </w:p>
        </w:tc>
      </w:tr>
      <w:tr>
        <w:trPr>
          <w:trHeight w:val="191"/>
        </w:trPr>
        <w:tc>
          <w:tcPr>
            <w:tcW w:w="524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160"/>
              <w:spacing w:after="0"/>
              <w:rPr>
                <w:sz w:val="20"/>
                <w:szCs w:val="20"/>
                <w:color w:val="auto"/>
              </w:rPr>
            </w:pPr>
            <w:r>
              <w:rPr>
                <w:rFonts w:ascii="Arial" w:cs="Arial" w:eastAsia="Arial" w:hAnsi="Arial"/>
                <w:sz w:val="16"/>
                <w:szCs w:val="16"/>
                <w:color w:val="auto"/>
              </w:rPr>
              <w:t>held prior to sale)</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100,000</w:t>
            </w:r>
          </w:p>
        </w:tc>
        <w:tc>
          <w:tcPr>
            <w:tcW w:w="5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109,863</w:t>
            </w:r>
          </w:p>
        </w:tc>
        <w:tc>
          <w:tcPr>
            <w:tcW w:w="5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9.86 %</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129,588</w:t>
            </w:r>
          </w:p>
        </w:tc>
        <w:tc>
          <w:tcPr>
            <w:tcW w:w="5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29.59 %</w:t>
            </w:r>
          </w:p>
        </w:tc>
        <w:tc>
          <w:tcPr>
            <w:tcW w:w="0" w:type="dxa"/>
            <w:vAlign w:val="bottom"/>
          </w:tcPr>
          <w:p>
            <w:pPr>
              <w:spacing w:after="0"/>
              <w:rPr>
                <w:sz w:val="1"/>
                <w:szCs w:val="1"/>
                <w:color w:val="auto"/>
              </w:rPr>
            </w:pPr>
          </w:p>
        </w:tc>
      </w:tr>
      <w:tr>
        <w:trPr>
          <w:trHeight w:val="20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w w:val="99"/>
              </w:rPr>
              <w:t>Total (dilution)/accretion to stockholder A (total NAV less total investment)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(2,988)</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5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2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5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5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240" w:type="dxa"/>
            <w:vAlign w:val="bottom"/>
          </w:tcPr>
          <w:p>
            <w:pPr>
              <w:ind w:left="320"/>
              <w:spacing w:after="0"/>
              <w:rPr>
                <w:sz w:val="20"/>
                <w:szCs w:val="20"/>
                <w:color w:val="auto"/>
              </w:rPr>
            </w:pPr>
            <w:r>
              <w:rPr>
                <w:rFonts w:ascii="Arial" w:cs="Arial" w:eastAsia="Arial" w:hAnsi="Arial"/>
                <w:sz w:val="16"/>
                <w:szCs w:val="16"/>
                <w:color w:val="auto"/>
                <w:w w:val="97"/>
              </w:rPr>
              <w:t>Investment per share held by stockholder A (assumed to be $10.00 per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40" w:type="dxa"/>
            <w:vAlign w:val="bottom"/>
          </w:tcPr>
          <w:p>
            <w:pPr>
              <w:ind w:left="480"/>
              <w:spacing w:after="0"/>
              <w:rPr>
                <w:sz w:val="20"/>
                <w:szCs w:val="20"/>
                <w:color w:val="auto"/>
              </w:rPr>
            </w:pPr>
            <w:r>
              <w:rPr>
                <w:rFonts w:ascii="Arial" w:cs="Arial" w:eastAsia="Arial" w:hAnsi="Arial"/>
                <w:sz w:val="16"/>
                <w:szCs w:val="16"/>
                <w:color w:val="auto"/>
              </w:rPr>
              <w:t>share on shares held prior to sale)</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9.77</w:t>
            </w:r>
          </w:p>
        </w:tc>
        <w:tc>
          <w:tcPr>
            <w:tcW w:w="5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(2.30)%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9.42</w:t>
            </w:r>
          </w:p>
        </w:tc>
        <w:tc>
          <w:tcPr>
            <w:tcW w:w="5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4"/>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(Dilution)/accretion per share held by stockholder A (NAV per share less</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(0.27)</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240" w:type="dxa"/>
            <w:vAlign w:val="bottom"/>
          </w:tcPr>
          <w:p>
            <w:pPr>
              <w:ind w:left="320"/>
              <w:spacing w:after="0"/>
              <w:rPr>
                <w:sz w:val="20"/>
                <w:szCs w:val="20"/>
                <w:color w:val="auto"/>
              </w:rPr>
            </w:pPr>
            <w:r>
              <w:rPr>
                <w:rFonts w:ascii="Arial" w:cs="Arial" w:eastAsia="Arial" w:hAnsi="Arial"/>
                <w:sz w:val="16"/>
                <w:szCs w:val="16"/>
                <w:color w:val="auto"/>
                <w:w w:val="98"/>
              </w:rPr>
              <w:t>Percentage (dilution)/accretion to stockholder A (dilution)/accretion per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(2.76)%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4" w:lineRule="exact"/>
        <w:rPr>
          <w:sz w:val="20"/>
          <w:szCs w:val="20"/>
          <w:color w:val="auto"/>
        </w:rPr>
      </w:pPr>
    </w:p>
    <w:p>
      <w:pPr>
        <w:ind w:left="140" w:right="440" w:firstLine="437"/>
        <w:spacing w:after="0" w:line="282"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67" w:lineRule="exact"/>
        <w:rPr>
          <w:sz w:val="20"/>
          <w:szCs w:val="20"/>
          <w:color w:val="auto"/>
        </w:rPr>
      </w:pPr>
    </w:p>
    <w:p>
      <w:pPr>
        <w:ind w:left="140" w:right="60" w:firstLine="437"/>
        <w:spacing w:after="0" w:line="284"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2240" w:h="15840" w:orient="portrait"/>
          <w:cols w:equalWidth="0" w:num="1">
            <w:col w:w="11060"/>
          </w:cols>
          <w:pgMar w:left="520" w:top="316" w:right="66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80" w:firstLine="437"/>
        <w:spacing w:after="0" w:line="268"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2"/>
              </w:rPr>
              <w:t>Example 1</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2"/>
              </w:rPr>
              <w:t>Example 3</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4"/>
          </w:tcPr>
          <w:p>
            <w:pPr>
              <w:jc w:val="center"/>
              <w:ind w:right="640"/>
              <w:spacing w:after="0" w:line="147"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2160" w:type="dxa"/>
            <w:vAlign w:val="bottom"/>
            <w:gridSpan w:val="4"/>
          </w:tcPr>
          <w:p>
            <w:pPr>
              <w:jc w:val="center"/>
              <w:ind w:right="620"/>
              <w:spacing w:after="0" w:line="147" w:lineRule="exact"/>
              <w:rPr>
                <w:sz w:val="20"/>
                <w:szCs w:val="20"/>
                <w:color w:val="auto"/>
              </w:rPr>
            </w:pPr>
            <w:r>
              <w:rPr>
                <w:rFonts w:ascii="Arial" w:cs="Arial" w:eastAsia="Arial" w:hAnsi="Arial"/>
                <w:sz w:val="14"/>
                <w:szCs w:val="14"/>
                <w:b w:val="1"/>
                <w:bCs w:val="1"/>
                <w:color w:val="auto"/>
                <w:w w:val="99"/>
              </w:rPr>
              <w:t>10% Offering</w:t>
            </w:r>
          </w:p>
        </w:tc>
        <w:tc>
          <w:tcPr>
            <w:tcW w:w="80" w:type="dxa"/>
            <w:vAlign w:val="bottom"/>
          </w:tcPr>
          <w:p>
            <w:pPr>
              <w:spacing w:after="0"/>
              <w:rPr>
                <w:sz w:val="12"/>
                <w:szCs w:val="12"/>
                <w:color w:val="auto"/>
              </w:rPr>
            </w:pPr>
          </w:p>
        </w:tc>
        <w:tc>
          <w:tcPr>
            <w:tcW w:w="1840" w:type="dxa"/>
            <w:vAlign w:val="bottom"/>
            <w:gridSpan w:val="4"/>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3"/>
              </w:rPr>
              <w:t>at 5% Discount</w:t>
            </w:r>
          </w:p>
        </w:tc>
        <w:tc>
          <w:tcPr>
            <w:tcW w:w="80" w:type="dxa"/>
            <w:vAlign w:val="bottom"/>
          </w:tcPr>
          <w:p>
            <w:pPr>
              <w:spacing w:after="0"/>
              <w:rPr>
                <w:sz w:val="14"/>
                <w:szCs w:val="14"/>
                <w:color w:val="auto"/>
              </w:rPr>
            </w:pPr>
          </w:p>
        </w:tc>
        <w:tc>
          <w:tcPr>
            <w:tcW w:w="21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4"/>
              </w:rPr>
              <w:t>at 10% Discount</w:t>
            </w: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8"/>
        </w:trPr>
        <w:tc>
          <w:tcPr>
            <w:tcW w:w="33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8"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80"/>
              <w:spacing w:after="0" w:line="118" w:lineRule="exact"/>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0"/>
                <w:szCs w:val="10"/>
                <w:color w:val="auto"/>
              </w:rPr>
            </w:pPr>
          </w:p>
        </w:tc>
        <w:tc>
          <w:tcPr>
            <w:tcW w:w="1220" w:type="dxa"/>
            <w:vAlign w:val="bottom"/>
            <w:tcBorders>
              <w:top w:val="single" w:sz="8" w:color="auto"/>
            </w:tcBorders>
            <w:gridSpan w:val="3"/>
          </w:tcPr>
          <w:p>
            <w:pPr>
              <w:jc w:val="right"/>
              <w:ind w:right="560"/>
              <w:spacing w:after="0" w:line="118"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8" w:lineRule="exact"/>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0"/>
                <w:szCs w:val="10"/>
                <w:color w:val="auto"/>
              </w:rPr>
            </w:pPr>
          </w:p>
        </w:tc>
        <w:tc>
          <w:tcPr>
            <w:tcW w:w="1220" w:type="dxa"/>
            <w:vAlign w:val="bottom"/>
            <w:tcBorders>
              <w:top w:val="single" w:sz="8" w:color="auto"/>
            </w:tcBorders>
            <w:gridSpan w:val="3"/>
          </w:tcPr>
          <w:p>
            <w:pPr>
              <w:jc w:val="right"/>
              <w:ind w:right="560"/>
              <w:spacing w:after="0" w:line="118"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1"/>
              <w:spacing w:after="0" w:line="118"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81"/>
        </w:trPr>
        <w:tc>
          <w:tcPr>
            <w:tcW w:w="33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i w:val="1"/>
                <w:iCs w:val="1"/>
                <w:color w:val="auto"/>
              </w:rPr>
              <w:t>Offering Price</w:t>
            </w: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8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10.00</w:t>
            </w:r>
          </w:p>
        </w:tc>
        <w:tc>
          <w:tcPr>
            <w:tcW w:w="10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9.47</w:t>
            </w:r>
          </w:p>
        </w:tc>
        <w:tc>
          <w:tcPr>
            <w:tcW w:w="102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5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9.50</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9.00</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5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38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7"/>
              </w:rPr>
              <w:t>1,050,000</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5.00 %</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w w:val="87"/>
              </w:rPr>
              <w:t>1,100,000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8"/>
              </w:rPr>
              <w:t>10.00 %</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5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25.00 %</w:t>
            </w:r>
          </w:p>
        </w:tc>
        <w:tc>
          <w:tcPr>
            <w:tcW w:w="0" w:type="dxa"/>
            <w:vAlign w:val="bottom"/>
          </w:tcPr>
          <w:p>
            <w:pPr>
              <w:spacing w:after="0"/>
              <w:rPr>
                <w:sz w:val="1"/>
                <w:szCs w:val="1"/>
                <w:color w:val="auto"/>
              </w:rPr>
            </w:pPr>
          </w:p>
        </w:tc>
      </w:tr>
      <w:tr>
        <w:trPr>
          <w:trHeight w:val="201"/>
        </w:trPr>
        <w:tc>
          <w:tcPr>
            <w:tcW w:w="3380" w:type="dxa"/>
            <w:vAlign w:val="bottom"/>
          </w:tcPr>
          <w:p>
            <w:pPr>
              <w:spacing w:after="0"/>
              <w:rPr>
                <w:sz w:val="20"/>
                <w:szCs w:val="20"/>
                <w:color w:val="auto"/>
              </w:rPr>
            </w:pPr>
            <w:r>
              <w:rPr>
                <w:rFonts w:ascii="Arial" w:cs="Arial" w:eastAsia="Arial" w:hAnsi="Arial"/>
                <w:sz w:val="16"/>
                <w:szCs w:val="16"/>
                <w:color w:val="auto"/>
              </w:rPr>
              <w:t>NAV per share</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9.98</w:t>
            </w:r>
          </w:p>
        </w:tc>
        <w:tc>
          <w:tcPr>
            <w:tcW w:w="102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9.91</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5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8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500</w:t>
            </w:r>
          </w:p>
        </w:tc>
        <w:tc>
          <w:tcPr>
            <w:tcW w:w="10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1,000</w:t>
            </w:r>
          </w:p>
        </w:tc>
        <w:tc>
          <w:tcPr>
            <w:tcW w:w="102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2,500</w:t>
            </w:r>
          </w:p>
        </w:tc>
        <w:tc>
          <w:tcPr>
            <w:tcW w:w="5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0.05%</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0.09%</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0.20%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38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4,990</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9,910</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5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380" w:type="dxa"/>
            <w:vAlign w:val="bottom"/>
          </w:tcPr>
          <w:p>
            <w:pPr>
              <w:ind w:left="320"/>
              <w:spacing w:after="0"/>
              <w:rPr>
                <w:sz w:val="20"/>
                <w:szCs w:val="20"/>
                <w:color w:val="auto"/>
              </w:rPr>
            </w:pPr>
            <w:r>
              <w:rPr>
                <w:rFonts w:ascii="Arial" w:cs="Arial" w:eastAsia="Arial" w:hAnsi="Arial"/>
                <w:sz w:val="16"/>
                <w:szCs w:val="16"/>
                <w:color w:val="auto"/>
              </w:rPr>
              <w:t>Total investment by stockholder A</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5,000</w:t>
            </w:r>
          </w:p>
        </w:tc>
        <w:tc>
          <w:tcPr>
            <w:tcW w:w="10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9,470</w:t>
            </w:r>
          </w:p>
        </w:tc>
        <w:tc>
          <w:tcPr>
            <w:tcW w:w="102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19,725</w:t>
            </w:r>
          </w:p>
        </w:tc>
        <w:tc>
          <w:tcPr>
            <w:tcW w:w="5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(dilution)/accretion to stockholder A</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440</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38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9.98</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9.91</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5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380" w:type="dxa"/>
            <w:vAlign w:val="bottom"/>
          </w:tcPr>
          <w:p>
            <w:pPr>
              <w:ind w:left="320"/>
              <w:spacing w:after="0"/>
              <w:rPr>
                <w:sz w:val="20"/>
                <w:szCs w:val="20"/>
                <w:color w:val="auto"/>
              </w:rPr>
            </w:pPr>
            <w:r>
              <w:rPr>
                <w:rFonts w:ascii="Arial" w:cs="Arial" w:eastAsia="Arial" w:hAnsi="Arial"/>
                <w:sz w:val="16"/>
                <w:szCs w:val="16"/>
                <w:color w:val="auto"/>
              </w:rPr>
              <w:t>Investment per share held by stockholder</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80" w:type="dxa"/>
            <w:vAlign w:val="bottom"/>
          </w:tcPr>
          <w:p>
            <w:pPr>
              <w:ind w:left="480"/>
              <w:spacing w:after="0"/>
              <w:rPr>
                <w:sz w:val="20"/>
                <w:szCs w:val="20"/>
                <w:color w:val="auto"/>
              </w:rPr>
            </w:pPr>
            <w:r>
              <w:rPr>
                <w:rFonts w:ascii="Arial" w:cs="Arial" w:eastAsia="Arial" w:hAnsi="Arial"/>
                <w:sz w:val="16"/>
                <w:szCs w:val="16"/>
                <w:color w:val="auto"/>
              </w:rPr>
              <w:t>A</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10.00</w:t>
            </w:r>
          </w:p>
        </w:tc>
        <w:tc>
          <w:tcPr>
            <w:tcW w:w="10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9.47</w:t>
            </w:r>
          </w:p>
        </w:tc>
        <w:tc>
          <w:tcPr>
            <w:tcW w:w="102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5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(0.02)</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0.44</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380" w:type="dxa"/>
            <w:vAlign w:val="bottom"/>
          </w:tcPr>
          <w:p>
            <w:pPr>
              <w:ind w:left="320"/>
              <w:spacing w:after="0"/>
              <w:rPr>
                <w:sz w:val="20"/>
                <w:szCs w:val="20"/>
                <w:color w:val="auto"/>
              </w:rPr>
            </w:pPr>
            <w:r>
              <w:rPr>
                <w:rFonts w:ascii="Arial" w:cs="Arial" w:eastAsia="Arial" w:hAnsi="Arial"/>
                <w:sz w:val="16"/>
                <w:szCs w:val="16"/>
                <w:color w:val="auto"/>
              </w:rPr>
              <w:t>Percentage (dilution)/accretion to</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80" w:type="dxa"/>
            <w:vAlign w:val="bottom"/>
          </w:tcPr>
          <w:p>
            <w:pPr>
              <w:ind w:left="480"/>
              <w:spacing w:after="0"/>
              <w:rPr>
                <w:sz w:val="20"/>
                <w:szCs w:val="20"/>
                <w:color w:val="auto"/>
              </w:rPr>
            </w:pPr>
            <w:r>
              <w:rPr>
                <w:rFonts w:ascii="Arial" w:cs="Arial" w:eastAsia="Arial" w:hAnsi="Arial"/>
                <w:sz w:val="16"/>
                <w:szCs w:val="16"/>
                <w:color w:val="auto"/>
              </w:rPr>
              <w:t>stockholder A (dilution)/ accretion per</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8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6"/>
                <w:szCs w:val="16"/>
                <w:color w:val="auto"/>
              </w:rPr>
              <w:t>4.65 %</w:t>
            </w:r>
          </w:p>
        </w:tc>
        <w:tc>
          <w:tcPr>
            <w:tcW w:w="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2240" w:h="15840" w:orient="portrait"/>
          <w:cols w:equalWidth="0" w:num="1">
            <w:col w:w="11060"/>
          </w:cols>
          <w:pgMar w:left="520" w:top="316" w:right="66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DISTRIBUTIONS</w:t>
      </w:r>
    </w:p>
    <w:p>
      <w:pPr>
        <w:spacing w:after="0" w:line="225" w:lineRule="exact"/>
        <w:rPr>
          <w:sz w:val="20"/>
          <w:szCs w:val="20"/>
          <w:color w:val="auto"/>
        </w:rPr>
      </w:pPr>
    </w:p>
    <w:p>
      <w:pPr>
        <w:ind w:left="140" w:right="280" w:firstLine="437"/>
        <w:spacing w:after="0" w:line="254" w:lineRule="auto"/>
        <w:rPr>
          <w:sz w:val="20"/>
          <w:szCs w:val="20"/>
          <w:color w:val="auto"/>
        </w:rPr>
      </w:pPr>
      <w:r>
        <w:rPr>
          <w:rFonts w:ascii="Arial" w:cs="Arial" w:eastAsia="Arial" w:hAnsi="Arial"/>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9" w:lineRule="exact"/>
        <w:rPr>
          <w:sz w:val="20"/>
          <w:szCs w:val="20"/>
          <w:color w:val="auto"/>
        </w:rPr>
      </w:pPr>
    </w:p>
    <w:p>
      <w:pPr>
        <w:ind w:left="140" w:right="800" w:firstLine="437"/>
        <w:spacing w:after="0" w:line="271" w:lineRule="auto"/>
        <w:rPr>
          <w:sz w:val="20"/>
          <w:szCs w:val="20"/>
          <w:color w:val="auto"/>
        </w:rPr>
      </w:pPr>
      <w:r>
        <w:rPr>
          <w:rFonts w:ascii="Arial" w:cs="Arial" w:eastAsia="Arial" w:hAnsi="Arial"/>
          <w:sz w:val="18"/>
          <w:szCs w:val="18"/>
          <w:color w:val="auto"/>
        </w:rPr>
        <w:t>In January 2019, Form 1099-DIVs were sent to stockholders subject to information reporting that stated the amount and composition of distributions, and provided information with respect to appropriate tax treatment of our distributions.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2018 and</w:t>
      </w:r>
    </w:p>
    <w:p>
      <w:pPr>
        <w:spacing w:after="0" w:line="43" w:lineRule="exact"/>
        <w:rPr>
          <w:sz w:val="20"/>
          <w:szCs w:val="20"/>
          <w:color w:val="auto"/>
        </w:rPr>
      </w:pPr>
    </w:p>
    <w:p>
      <w:pPr>
        <w:ind w:left="140" w:right="400"/>
        <w:spacing w:after="0" w:line="256" w:lineRule="auto"/>
        <w:rPr>
          <w:sz w:val="20"/>
          <w:szCs w:val="20"/>
          <w:color w:val="auto"/>
        </w:rPr>
      </w:pPr>
      <w:r>
        <w:rPr>
          <w:rFonts w:ascii="Arial" w:cs="Arial" w:eastAsia="Arial" w:hAnsi="Arial"/>
          <w:sz w:val="18"/>
          <w:szCs w:val="18"/>
          <w:color w:val="auto"/>
        </w:rPr>
        <w:t>2017 from ordinary income (including short-term gains), if any, totaled $50.6 million and $58.3 million, or $0.72 and $0.82 per share, respectively, based on weighted average shares outstanding for the respective periods.</w:t>
      </w:r>
    </w:p>
    <w:p>
      <w:pPr>
        <w:spacing w:after="0" w:line="188" w:lineRule="exact"/>
        <w:rPr>
          <w:sz w:val="20"/>
          <w:szCs w:val="20"/>
          <w:color w:val="auto"/>
        </w:rPr>
      </w:pPr>
    </w:p>
    <w:p>
      <w:pPr>
        <w:ind w:left="140" w:firstLine="437"/>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6" w:lineRule="exact"/>
        <w:rPr>
          <w:sz w:val="20"/>
          <w:szCs w:val="20"/>
          <w:color w:val="auto"/>
        </w:rPr>
      </w:pPr>
    </w:p>
    <w:p>
      <w:pPr>
        <w:ind w:left="140" w:right="180" w:firstLine="437"/>
        <w:spacing w:after="0" w:line="272"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114" w:lineRule="exact"/>
        <w:rPr>
          <w:sz w:val="20"/>
          <w:szCs w:val="20"/>
          <w:color w:val="auto"/>
        </w:rPr>
      </w:pPr>
    </w:p>
    <w:p>
      <w:pPr>
        <w:ind w:left="140" w:right="240" w:firstLine="437"/>
        <w:spacing w:after="0" w:line="271" w:lineRule="auto"/>
        <w:rPr>
          <w:sz w:val="20"/>
          <w:szCs w:val="20"/>
          <w:color w:val="auto"/>
        </w:rPr>
      </w:pPr>
      <w:r>
        <w:rPr>
          <w:rFonts w:ascii="Arial" w:cs="Arial" w:eastAsia="Arial" w:hAnsi="Arial"/>
          <w:sz w:val="18"/>
          <w:szCs w:val="18"/>
          <w:color w:val="auto"/>
        </w:rPr>
        <w:t>We did not engage in any sales of unregistered securities during the three months ended December 31, 2018 and the years ended September 30, 2018, 2017 and 2016, respectively.</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2240" w:h="15840" w:orient="portrait"/>
          <w:cols w:equalWidth="0" w:num="1">
            <w:col w:w="11040"/>
          </w:cols>
          <w:pgMar w:left="520" w:top="316" w:right="680"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PennantPark Investment Corporation</w:t>
      </w:r>
    </w:p>
    <w:p>
      <w:pPr>
        <w:spacing w:after="0" w:line="118" w:lineRule="exact"/>
        <w:rPr>
          <w:sz w:val="20"/>
          <w:szCs w:val="20"/>
          <w:color w:val="auto"/>
        </w:rPr>
      </w:pPr>
    </w:p>
    <w:p>
      <w:pPr>
        <w:ind w:left="140" w:right="60" w:firstLine="437"/>
        <w:spacing w:after="0" w:line="259"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86" w:lineRule="exact"/>
        <w:rPr>
          <w:sz w:val="20"/>
          <w:szCs w:val="20"/>
          <w:color w:val="auto"/>
        </w:rPr>
      </w:pPr>
    </w:p>
    <w:p>
      <w:pPr>
        <w:ind w:left="140" w:firstLine="437"/>
        <w:spacing w:after="0" w:line="285" w:lineRule="auto"/>
        <w:rPr>
          <w:sz w:val="20"/>
          <w:szCs w:val="20"/>
          <w:color w:val="auto"/>
        </w:rPr>
      </w:pPr>
      <w:r>
        <w:rPr>
          <w:rFonts w:ascii="Arial" w:cs="Arial" w:eastAsia="Arial" w:hAnsi="Arial"/>
          <w:sz w:val="16"/>
          <w:szCs w:val="16"/>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0" w:lineRule="exact"/>
        <w:rPr>
          <w:sz w:val="20"/>
          <w:szCs w:val="20"/>
          <w:color w:val="auto"/>
        </w:rPr>
      </w:pPr>
    </w:p>
    <w:p>
      <w:pPr>
        <w:ind w:left="140" w:right="40" w:firstLine="437"/>
        <w:spacing w:after="0" w:line="275"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18" w:lineRule="exact"/>
        <w:rPr>
          <w:sz w:val="20"/>
          <w:szCs w:val="20"/>
          <w:color w:val="auto"/>
        </w:rPr>
      </w:pPr>
    </w:p>
    <w:p>
      <w:pPr>
        <w:ind w:left="140" w:right="320" w:firstLine="437"/>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6" w:lineRule="exact"/>
        <w:rPr>
          <w:sz w:val="20"/>
          <w:szCs w:val="20"/>
          <w:color w:val="auto"/>
        </w:rPr>
      </w:pPr>
    </w:p>
    <w:p>
      <w:pPr>
        <w:ind w:left="140" w:right="60" w:firstLine="437"/>
        <w:spacing w:after="0" w:line="275"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May 2010 and July 2012, respectively. SBIC LP and SBIC II received licenses from the SBA to operate as SBICs, under Section 301(c) of the 1958 Act, in 2010 and 2013, respectively.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18" w:lineRule="exact"/>
        <w:rPr>
          <w:sz w:val="20"/>
          <w:szCs w:val="20"/>
          <w:color w:val="auto"/>
        </w:rPr>
      </w:pPr>
    </w:p>
    <w:p>
      <w:pPr>
        <w:ind w:left="140" w:right="120" w:firstLine="437"/>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2240" w:h="15840" w:orient="portrait"/>
          <w:cols w:equalWidth="0" w:num="1">
            <w:col w:w="11060"/>
          </w:cols>
          <w:pgMar w:left="520" w:top="316" w:right="66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120"/>
        <w:spacing w:after="0" w:line="271" w:lineRule="auto"/>
        <w:rPr>
          <w:sz w:val="20"/>
          <w:szCs w:val="20"/>
          <w:color w:val="auto"/>
        </w:rPr>
      </w:pPr>
      <w:r>
        <w:rPr>
          <w:rFonts w:ascii="Arial" w:cs="Arial" w:eastAsia="Arial" w:hAnsi="Arial"/>
          <w:sz w:val="18"/>
          <w:szCs w:val="18"/>
          <w:color w:val="auto"/>
        </w:rPr>
        <w:t>financial analysis with a focus on capital preservation, diversification and active management. Since our Investment Adviser’s inception in 2007, it has invested $8.8 billion in 507 companies with approximately 180 different financial sponsors through its managed funds.</w:t>
      </w:r>
    </w:p>
    <w:p>
      <w:pPr>
        <w:spacing w:after="0" w:line="175" w:lineRule="exact"/>
        <w:rPr>
          <w:sz w:val="20"/>
          <w:szCs w:val="20"/>
          <w:color w:val="auto"/>
        </w:rPr>
      </w:pPr>
    </w:p>
    <w:p>
      <w:pPr>
        <w:ind w:left="140" w:right="40" w:firstLine="437"/>
        <w:spacing w:after="0" w:line="288"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Market Opportunity</w:t>
      </w:r>
    </w:p>
    <w:p>
      <w:pPr>
        <w:spacing w:after="0" w:line="118" w:lineRule="exact"/>
        <w:rPr>
          <w:sz w:val="20"/>
          <w:szCs w:val="20"/>
          <w:color w:val="auto"/>
        </w:rPr>
      </w:pPr>
    </w:p>
    <w:p>
      <w:pPr>
        <w:ind w:left="140" w:right="480" w:firstLine="437"/>
        <w:spacing w:after="0" w:line="271"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7" w:lineRule="exact"/>
        <w:rPr>
          <w:sz w:val="20"/>
          <w:szCs w:val="20"/>
          <w:color w:val="auto"/>
        </w:rPr>
      </w:pPr>
    </w:p>
    <w:p>
      <w:pPr>
        <w:ind w:left="1000" w:right="700" w:hanging="331"/>
        <w:spacing w:after="0" w:line="262"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CLO funds have withdrawn, and may again withdraw, capital from the middle-market, resulting in opportunities for alternative funding sources.</w:t>
      </w:r>
    </w:p>
    <w:p>
      <w:pPr>
        <w:spacing w:after="0" w:line="84" w:lineRule="exact"/>
        <w:rPr>
          <w:rFonts w:ascii="Arial" w:cs="Arial" w:eastAsia="Arial" w:hAnsi="Arial"/>
          <w:sz w:val="18"/>
          <w:szCs w:val="18"/>
          <w:color w:val="auto"/>
        </w:rPr>
      </w:pPr>
    </w:p>
    <w:p>
      <w:pPr>
        <w:ind w:left="1000" w:hanging="331"/>
        <w:spacing w:after="0" w:line="25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90" w:lineRule="exact"/>
        <w:rPr>
          <w:rFonts w:ascii="Arial" w:cs="Arial" w:eastAsia="Arial" w:hAnsi="Arial"/>
          <w:sz w:val="18"/>
          <w:szCs w:val="18"/>
          <w:color w:val="auto"/>
        </w:rPr>
      </w:pPr>
    </w:p>
    <w:p>
      <w:pPr>
        <w:jc w:val="both"/>
        <w:ind w:left="1000" w:right="140" w:hanging="331"/>
        <w:spacing w:after="0" w:line="284"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risk-reward on our investments. </w:t>
      </w:r>
      <w:r>
        <w:rPr>
          <w:rFonts w:ascii="Arial" w:cs="Arial" w:eastAsia="Arial" w:hAnsi="Arial"/>
          <w:sz w:val="17"/>
          <w:szCs w:val="17"/>
          <w:color w:val="auto"/>
        </w:rPr>
        <w:t>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68" w:lineRule="exact"/>
        <w:rPr>
          <w:rFonts w:ascii="Arial" w:cs="Arial" w:eastAsia="Arial" w:hAnsi="Arial"/>
          <w:sz w:val="17"/>
          <w:szCs w:val="17"/>
          <w:color w:val="auto"/>
        </w:rPr>
      </w:pPr>
    </w:p>
    <w:p>
      <w:pPr>
        <w:ind w:left="1000" w:right="120" w:hanging="331"/>
        <w:spacing w:after="0" w:line="277"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7"/>
          <w:szCs w:val="17"/>
          <w:color w:val="auto"/>
        </w:rPr>
        <w:t>We expect that private equity firms will continue to be active investors in middle-market</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These private equity funds generally seek to leverage their investments by combining their capital with loans provided by other sources, and we believe that we are well-positioned to partner with such equity investors.</w:t>
      </w:r>
    </w:p>
    <w:p>
      <w:pPr>
        <w:spacing w:after="0" w:line="74" w:lineRule="exact"/>
        <w:rPr>
          <w:rFonts w:ascii="Arial" w:cs="Arial" w:eastAsia="Arial" w:hAnsi="Arial"/>
          <w:sz w:val="17"/>
          <w:szCs w:val="17"/>
          <w:color w:val="auto"/>
        </w:rPr>
      </w:pPr>
    </w:p>
    <w:p>
      <w:pPr>
        <w:ind w:left="1000" w:right="20" w:hanging="331"/>
        <w:spacing w:after="0" w:line="25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2240" w:h="15840" w:orient="portrait"/>
          <w:cols w:equalWidth="0" w:num="1">
            <w:col w:w="11040"/>
          </w:cols>
          <w:pgMar w:left="520" w:top="316" w:right="68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Competitive Advantages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4" w:lineRule="exact"/>
        <w:rPr>
          <w:sz w:val="20"/>
          <w:szCs w:val="20"/>
          <w:color w:val="auto"/>
        </w:rPr>
      </w:pPr>
    </w:p>
    <w:p>
      <w:pPr>
        <w:ind w:left="140" w:right="200" w:firstLine="437"/>
        <w:spacing w:after="0" w:line="297"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160" w:lineRule="exact"/>
        <w:rPr>
          <w:sz w:val="20"/>
          <w:szCs w:val="20"/>
          <w:color w:val="auto"/>
        </w:rPr>
      </w:pPr>
    </w:p>
    <w:p>
      <w:pPr>
        <w:ind w:left="140" w:right="80" w:firstLine="437"/>
        <w:spacing w:after="0" w:line="254"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4" w:lineRule="exact"/>
        <w:rPr>
          <w:sz w:val="20"/>
          <w:szCs w:val="20"/>
          <w:color w:val="auto"/>
        </w:rPr>
      </w:pPr>
    </w:p>
    <w:p>
      <w:pPr>
        <w:ind w:left="140" w:firstLine="437"/>
        <w:spacing w:after="0" w:line="254"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89" w:lineRule="exact"/>
        <w:rPr>
          <w:sz w:val="20"/>
          <w:szCs w:val="20"/>
          <w:color w:val="auto"/>
        </w:rPr>
      </w:pPr>
    </w:p>
    <w:p>
      <w:pPr>
        <w:ind w:left="140" w:right="280" w:firstLine="437"/>
        <w:spacing w:after="0" w:line="275" w:lineRule="auto"/>
        <w:rPr>
          <w:sz w:val="20"/>
          <w:szCs w:val="20"/>
          <w:color w:val="auto"/>
        </w:rPr>
      </w:pPr>
      <w:r>
        <w:rPr>
          <w:rFonts w:ascii="Arial" w:cs="Arial" w:eastAsia="Arial" w:hAnsi="Arial"/>
          <w:sz w:val="17"/>
          <w:szCs w:val="17"/>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28" w:lineRule="exact"/>
        <w:rPr>
          <w:sz w:val="20"/>
          <w:szCs w:val="20"/>
          <w:color w:val="auto"/>
        </w:rPr>
      </w:pPr>
    </w:p>
    <w:p>
      <w:pPr>
        <w:ind w:left="1000" w:hanging="331"/>
        <w:spacing w:after="0"/>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328" w:lineRule="exact"/>
        <w:rPr>
          <w:rFonts w:ascii="Arial" w:cs="Arial" w:eastAsia="Arial" w:hAnsi="Arial"/>
          <w:sz w:val="18"/>
          <w:szCs w:val="18"/>
          <w:color w:val="auto"/>
        </w:rPr>
      </w:pPr>
    </w:p>
    <w:p>
      <w:pPr>
        <w:ind w:left="540" w:hanging="188"/>
        <w:spacing w:after="0"/>
        <w:tabs>
          <w:tab w:leader="none" w:pos="540"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Proactive, Research Capability and Established Network</w:t>
      </w:r>
    </w:p>
    <w:p>
      <w:pPr>
        <w:spacing w:after="0" w:line="137" w:lineRule="exact"/>
        <w:rPr>
          <w:sz w:val="20"/>
          <w:szCs w:val="20"/>
          <w:color w:val="auto"/>
        </w:rPr>
      </w:pPr>
    </w:p>
    <w:p>
      <w:pPr>
        <w:ind w:left="140" w:right="180" w:firstLine="437"/>
        <w:spacing w:after="0" w:line="259"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2240" w:h="15840" w:orient="portrait"/>
          <w:cols w:equalWidth="0" w:num="1">
            <w:col w:w="11060"/>
          </w:cols>
          <w:pgMar w:left="520" w:top="316" w:right="66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420"/>
        <w:spacing w:after="0" w:line="259" w:lineRule="auto"/>
        <w:rPr>
          <w:sz w:val="20"/>
          <w:szCs w:val="20"/>
          <w:color w:val="auto"/>
        </w:rPr>
      </w:pPr>
      <w:r>
        <w:rPr>
          <w:rFonts w:ascii="Arial" w:cs="Arial" w:eastAsia="Arial" w:hAnsi="Arial"/>
          <w:sz w:val="18"/>
          <w:szCs w:val="18"/>
          <w:color w:val="auto"/>
        </w:rPr>
        <w:t>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4" w:lineRule="exact"/>
        <w:rPr>
          <w:sz w:val="20"/>
          <w:szCs w:val="20"/>
          <w:color w:val="auto"/>
        </w:rPr>
      </w:pPr>
    </w:p>
    <w:p>
      <w:pPr>
        <w:ind w:left="140" w:right="100" w:firstLine="437"/>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186" w:lineRule="exact"/>
        <w:rPr>
          <w:sz w:val="20"/>
          <w:szCs w:val="20"/>
          <w:color w:val="auto"/>
        </w:rPr>
      </w:pPr>
    </w:p>
    <w:p>
      <w:pPr>
        <w:ind w:left="140" w:right="420" w:firstLine="437"/>
        <w:spacing w:after="0" w:line="301" w:lineRule="auto"/>
        <w:rPr>
          <w:sz w:val="20"/>
          <w:szCs w:val="20"/>
          <w:color w:val="auto"/>
        </w:rPr>
      </w:pPr>
      <w:r>
        <w:rPr>
          <w:rFonts w:ascii="Arial" w:cs="Arial" w:eastAsia="Arial" w:hAnsi="Arial"/>
          <w:sz w:val="17"/>
          <w:szCs w:val="17"/>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52" w:lineRule="exact"/>
        <w:rPr>
          <w:sz w:val="20"/>
          <w:szCs w:val="20"/>
          <w:color w:val="auto"/>
        </w:rPr>
      </w:pPr>
    </w:p>
    <w:p>
      <w:pPr>
        <w:ind w:left="140" w:right="80" w:firstLine="437"/>
        <w:spacing w:after="0" w:line="271"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left="140" w:right="100" w:firstLine="546"/>
        <w:spacing w:after="0" w:line="293"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35" w:lineRule="exact"/>
        <w:rPr>
          <w:sz w:val="20"/>
          <w:szCs w:val="20"/>
          <w:color w:val="auto"/>
        </w:rPr>
      </w:pPr>
    </w:p>
    <w:p>
      <w:pPr>
        <w:ind w:left="140" w:right="160" w:firstLine="546"/>
        <w:spacing w:after="0" w:line="252"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ind w:left="140" w:firstLine="437"/>
        <w:spacing w:after="0" w:line="272" w:lineRule="auto"/>
        <w:rPr>
          <w:sz w:val="20"/>
          <w:szCs w:val="20"/>
          <w:color w:val="auto"/>
        </w:rPr>
      </w:pPr>
      <w:r>
        <w:rPr>
          <w:rFonts w:ascii="Arial" w:cs="Arial" w:eastAsia="Arial" w:hAnsi="Arial"/>
          <w:sz w:val="17"/>
          <w:szCs w:val="17"/>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2240" w:h="15840" w:orient="portrait"/>
          <w:cols w:equalWidth="0" w:num="1">
            <w:col w:w="11000"/>
          </w:cols>
          <w:pgMar w:left="520" w:top="316" w:right="72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Investment Policy Overview</w:t>
      </w:r>
    </w:p>
    <w:p>
      <w:pPr>
        <w:spacing w:after="0" w:line="118" w:lineRule="exact"/>
        <w:rPr>
          <w:sz w:val="20"/>
          <w:szCs w:val="20"/>
          <w:color w:val="auto"/>
        </w:rPr>
      </w:pPr>
    </w:p>
    <w:p>
      <w:pPr>
        <w:ind w:left="140" w:firstLine="437"/>
        <w:spacing w:after="0" w:line="288" w:lineRule="auto"/>
        <w:rPr>
          <w:sz w:val="20"/>
          <w:szCs w:val="20"/>
          <w:color w:val="auto"/>
        </w:rPr>
      </w:pPr>
      <w:r>
        <w:rPr>
          <w:rFonts w:ascii="Arial" w:cs="Arial" w:eastAsia="Arial" w:hAnsi="Arial"/>
          <w:sz w:val="16"/>
          <w:szCs w:val="16"/>
          <w:color w:val="auto"/>
        </w:rPr>
        <w:t>We seek to create a diversified portfolio that includes first lien secured debt, second lien secured debt, subordinated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unrated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67" w:lineRule="exact"/>
        <w:rPr>
          <w:sz w:val="20"/>
          <w:szCs w:val="20"/>
          <w:color w:val="auto"/>
        </w:rPr>
      </w:pPr>
    </w:p>
    <w:p>
      <w:pPr>
        <w:ind w:left="140" w:right="20" w:firstLine="437"/>
        <w:spacing w:after="0" w:line="270" w:lineRule="auto"/>
        <w:rPr>
          <w:sz w:val="20"/>
          <w:szCs w:val="20"/>
          <w:color w:val="auto"/>
        </w:rPr>
      </w:pPr>
      <w:r>
        <w:rPr>
          <w:rFonts w:ascii="Arial" w:cs="Arial" w:eastAsia="Arial" w:hAnsi="Arial"/>
          <w:sz w:val="17"/>
          <w:szCs w:val="17"/>
          <w:color w:val="auto"/>
        </w:rPr>
        <w:t>Over time, we expect that our portfolio will continue to consist primarily of first lien secured debt, second lien secured debt, subordinated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179" w:lineRule="exact"/>
        <w:rPr>
          <w:sz w:val="20"/>
          <w:szCs w:val="20"/>
          <w:color w:val="auto"/>
        </w:rPr>
      </w:pPr>
    </w:p>
    <w:p>
      <w:pPr>
        <w:ind w:left="140" w:right="80" w:firstLine="437"/>
        <w:spacing w:after="0" w:line="293"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26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First Lien Secured Debt</w:t>
      </w:r>
    </w:p>
    <w:p>
      <w:pPr>
        <w:spacing w:after="0" w:line="118" w:lineRule="exact"/>
        <w:rPr>
          <w:sz w:val="20"/>
          <w:szCs w:val="20"/>
          <w:color w:val="auto"/>
        </w:rPr>
      </w:pPr>
    </w:p>
    <w:p>
      <w:pPr>
        <w:ind w:left="140" w:firstLine="437"/>
        <w:spacing w:after="0" w:line="270" w:lineRule="auto"/>
        <w:rPr>
          <w:sz w:val="20"/>
          <w:szCs w:val="20"/>
          <w:color w:val="auto"/>
        </w:rPr>
      </w:pPr>
      <w:r>
        <w:rPr>
          <w:rFonts w:ascii="Arial" w:cs="Arial" w:eastAsia="Arial" w:hAnsi="Arial"/>
          <w:sz w:val="17"/>
          <w:szCs w:val="17"/>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Second Lien Secured Debt</w:t>
      </w:r>
    </w:p>
    <w:p>
      <w:pPr>
        <w:spacing w:after="0" w:line="118" w:lineRule="exact"/>
        <w:rPr>
          <w:sz w:val="20"/>
          <w:szCs w:val="20"/>
          <w:color w:val="auto"/>
        </w:rPr>
      </w:pPr>
    </w:p>
    <w:p>
      <w:pPr>
        <w:ind w:left="140" w:right="40" w:firstLine="437"/>
        <w:spacing w:after="0" w:line="252" w:lineRule="auto"/>
        <w:rPr>
          <w:sz w:val="20"/>
          <w:szCs w:val="20"/>
          <w:color w:val="auto"/>
        </w:rPr>
      </w:pPr>
      <w:r>
        <w:rPr>
          <w:rFonts w:ascii="Arial" w:cs="Arial" w:eastAsia="Arial" w:hAnsi="Arial"/>
          <w:sz w:val="18"/>
          <w:szCs w:val="18"/>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2240" w:h="15840" w:orient="portrait"/>
          <w:cols w:equalWidth="0" w:num="1">
            <w:col w:w="11020"/>
          </w:cols>
          <w:pgMar w:left="520" w:top="316" w:right="70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Subordinated Debt</w:t>
      </w:r>
    </w:p>
    <w:p>
      <w:pPr>
        <w:spacing w:after="0" w:line="118" w:lineRule="exact"/>
        <w:rPr>
          <w:sz w:val="20"/>
          <w:szCs w:val="20"/>
          <w:color w:val="auto"/>
        </w:rPr>
      </w:pPr>
    </w:p>
    <w:p>
      <w:pPr>
        <w:ind w:left="140" w:right="20" w:firstLine="437"/>
        <w:spacing w:after="0" w:line="270" w:lineRule="auto"/>
        <w:rPr>
          <w:sz w:val="20"/>
          <w:szCs w:val="20"/>
          <w:color w:val="auto"/>
        </w:rPr>
      </w:pPr>
      <w:r>
        <w:rPr>
          <w:rFonts w:ascii="Arial" w:cs="Arial" w:eastAsia="Arial" w:hAnsi="Arial"/>
          <w:sz w:val="17"/>
          <w:szCs w:val="17"/>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Investment Selection Criteria</w:t>
      </w:r>
    </w:p>
    <w:p>
      <w:pPr>
        <w:spacing w:after="0" w:line="118" w:lineRule="exact"/>
        <w:rPr>
          <w:sz w:val="20"/>
          <w:szCs w:val="20"/>
          <w:color w:val="auto"/>
        </w:rPr>
      </w:pPr>
    </w:p>
    <w:p>
      <w:pPr>
        <w:ind w:left="140" w:right="20" w:firstLine="437"/>
        <w:spacing w:after="0" w:line="271"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75"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29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 Leading and defensible competitive market positions</w:t>
      </w:r>
    </w:p>
    <w:p>
      <w:pPr>
        <w:spacing w:after="0" w:line="114" w:lineRule="exact"/>
        <w:rPr>
          <w:sz w:val="20"/>
          <w:szCs w:val="20"/>
          <w:color w:val="auto"/>
        </w:rPr>
      </w:pPr>
    </w:p>
    <w:p>
      <w:pPr>
        <w:jc w:val="both"/>
        <w:ind w:left="140" w:right="400" w:firstLine="437"/>
        <w:spacing w:after="0" w:line="259"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 Investing in stable borrowers with positive cash flow</w:t>
      </w:r>
    </w:p>
    <w:p>
      <w:pPr>
        <w:spacing w:after="0" w:line="114" w:lineRule="exact"/>
        <w:rPr>
          <w:sz w:val="20"/>
          <w:szCs w:val="20"/>
          <w:color w:val="auto"/>
        </w:rPr>
      </w:pPr>
    </w:p>
    <w:p>
      <w:pPr>
        <w:ind w:left="140" w:right="40" w:firstLine="437"/>
        <w:spacing w:after="0" w:line="293" w:lineRule="auto"/>
        <w:rPr>
          <w:sz w:val="20"/>
          <w:szCs w:val="20"/>
          <w:color w:val="auto"/>
        </w:rPr>
      </w:pPr>
      <w:r>
        <w:rPr>
          <w:rFonts w:ascii="Arial" w:cs="Arial" w:eastAsia="Arial" w:hAnsi="Arial"/>
          <w:sz w:val="16"/>
          <w:szCs w:val="16"/>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 Proven management teams</w:t>
      </w:r>
    </w:p>
    <w:p>
      <w:pPr>
        <w:spacing w:after="0" w:line="114" w:lineRule="exact"/>
        <w:rPr>
          <w:sz w:val="20"/>
          <w:szCs w:val="20"/>
          <w:color w:val="auto"/>
        </w:rPr>
      </w:pPr>
    </w:p>
    <w:p>
      <w:pPr>
        <w:ind w:left="140" w:right="40" w:firstLine="437"/>
        <w:spacing w:after="0" w:line="259"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 Financial sponsorship</w:t>
      </w:r>
    </w:p>
    <w:p>
      <w:pPr>
        <w:spacing w:after="0" w:line="114" w:lineRule="exact"/>
        <w:rPr>
          <w:sz w:val="20"/>
          <w:szCs w:val="20"/>
          <w:color w:val="auto"/>
        </w:rPr>
      </w:pPr>
    </w:p>
    <w:p>
      <w:pPr>
        <w:ind w:left="140" w:right="20" w:firstLine="437"/>
        <w:spacing w:after="0" w:line="254" w:lineRule="auto"/>
        <w:rPr>
          <w:sz w:val="20"/>
          <w:szCs w:val="20"/>
          <w:color w:val="auto"/>
        </w:rPr>
      </w:pPr>
      <w:r>
        <w:rPr>
          <w:rFonts w:ascii="Arial" w:cs="Arial" w:eastAsia="Arial" w:hAnsi="Arial"/>
          <w:sz w:val="18"/>
          <w:szCs w:val="18"/>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2240" w:h="15840" w:orient="portrait"/>
          <w:cols w:equalWidth="0" w:num="1">
            <w:col w:w="11000"/>
          </w:cols>
          <w:pgMar w:left="520" w:top="316" w:right="72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 Investments in different borrowers, industries and geographies</w:t>
      </w:r>
    </w:p>
    <w:p>
      <w:pPr>
        <w:spacing w:after="0" w:line="114" w:lineRule="exact"/>
        <w:rPr>
          <w:sz w:val="20"/>
          <w:szCs w:val="20"/>
          <w:color w:val="auto"/>
        </w:rPr>
      </w:pPr>
    </w:p>
    <w:p>
      <w:pPr>
        <w:ind w:left="140" w:right="20" w:firstLine="437"/>
        <w:spacing w:after="0" w:line="282" w:lineRule="auto"/>
        <w:rPr>
          <w:sz w:val="20"/>
          <w:szCs w:val="20"/>
          <w:color w:val="auto"/>
        </w:rPr>
      </w:pPr>
      <w:r>
        <w:rPr>
          <w:rFonts w:ascii="Arial" w:cs="Arial" w:eastAsia="Arial" w:hAnsi="Arial"/>
          <w:sz w:val="17"/>
          <w:szCs w:val="17"/>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 Viable exit strategy</w:t>
      </w:r>
    </w:p>
    <w:p>
      <w:pPr>
        <w:spacing w:after="0" w:line="114" w:lineRule="exact"/>
        <w:rPr>
          <w:sz w:val="20"/>
          <w:szCs w:val="20"/>
          <w:color w:val="auto"/>
        </w:rPr>
      </w:pPr>
    </w:p>
    <w:p>
      <w:pPr>
        <w:ind w:left="140" w:right="80" w:firstLine="437"/>
        <w:spacing w:after="0" w:line="290" w:lineRule="auto"/>
        <w:rPr>
          <w:sz w:val="20"/>
          <w:szCs w:val="20"/>
          <w:color w:val="auto"/>
        </w:rPr>
      </w:pPr>
      <w:r>
        <w:rPr>
          <w:rFonts w:ascii="Arial" w:cs="Arial" w:eastAsia="Arial" w:hAnsi="Arial"/>
          <w:sz w:val="16"/>
          <w:szCs w:val="16"/>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Due Diligence</w:t>
      </w:r>
    </w:p>
    <w:p>
      <w:pPr>
        <w:spacing w:after="0" w:line="114" w:lineRule="exact"/>
        <w:rPr>
          <w:sz w:val="20"/>
          <w:szCs w:val="20"/>
          <w:color w:val="auto"/>
        </w:rPr>
      </w:pPr>
    </w:p>
    <w:p>
      <w:pPr>
        <w:ind w:left="140" w:right="120" w:firstLine="437"/>
        <w:spacing w:after="0" w:line="254" w:lineRule="auto"/>
        <w:rPr>
          <w:sz w:val="20"/>
          <w:szCs w:val="20"/>
          <w:color w:val="auto"/>
        </w:rPr>
      </w:pPr>
      <w:r>
        <w:rPr>
          <w:rFonts w:ascii="Arial" w:cs="Arial" w:eastAsia="Arial" w:hAnsi="Arial"/>
          <w:sz w:val="18"/>
          <w:szCs w:val="18"/>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due diligence may include:</w:t>
      </w:r>
    </w:p>
    <w:p>
      <w:pPr>
        <w:spacing w:after="0" w:line="128" w:lineRule="exact"/>
        <w:rPr>
          <w:sz w:val="20"/>
          <w:szCs w:val="20"/>
          <w:color w:val="auto"/>
        </w:rPr>
      </w:pPr>
    </w:p>
    <w:p>
      <w:pPr>
        <w:ind w:left="1000" w:hanging="331"/>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221" w:lineRule="exact"/>
        <w:rPr>
          <w:sz w:val="20"/>
          <w:szCs w:val="20"/>
          <w:color w:val="auto"/>
        </w:rPr>
      </w:pPr>
    </w:p>
    <w:p>
      <w:pPr>
        <w:ind w:left="140" w:firstLine="437"/>
        <w:spacing w:after="0" w:line="271"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5" w:lineRule="exact"/>
        <w:rPr>
          <w:sz w:val="20"/>
          <w:szCs w:val="20"/>
          <w:color w:val="auto"/>
        </w:rPr>
      </w:pPr>
    </w:p>
    <w:p>
      <w:pPr>
        <w:ind w:left="140" w:right="20" w:firstLine="437"/>
        <w:spacing w:after="0" w:line="255" w:lineRule="auto"/>
        <w:rPr>
          <w:sz w:val="20"/>
          <w:szCs w:val="20"/>
          <w:color w:val="auto"/>
        </w:rPr>
      </w:pPr>
      <w:r>
        <w:rPr>
          <w:rFonts w:ascii="Arial" w:cs="Arial" w:eastAsia="Arial" w:hAnsi="Arial"/>
          <w:sz w:val="18"/>
          <w:szCs w:val="18"/>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9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114" w:lineRule="exact"/>
        <w:rPr>
          <w:sz w:val="20"/>
          <w:szCs w:val="20"/>
          <w:color w:val="auto"/>
        </w:rPr>
      </w:pPr>
    </w:p>
    <w:p>
      <w:pPr>
        <w:ind w:left="140" w:right="120" w:firstLine="437"/>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2240" w:h="15840" w:orient="portrait"/>
          <w:cols w:equalWidth="0" w:num="1">
            <w:col w:w="11060"/>
          </w:cols>
          <w:pgMar w:left="520" w:top="316" w:right="66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40" w:firstLine="437"/>
        <w:spacing w:after="0" w:line="259" w:lineRule="auto"/>
        <w:rPr>
          <w:sz w:val="20"/>
          <w:szCs w:val="20"/>
          <w:color w:val="auto"/>
        </w:rPr>
      </w:pPr>
      <w:r>
        <w:rPr>
          <w:rFonts w:ascii="Arial" w:cs="Arial" w:eastAsia="Arial" w:hAnsi="Arial"/>
          <w:sz w:val="18"/>
          <w:szCs w:val="18"/>
          <w:color w:val="auto"/>
        </w:rPr>
        <w:t>We expect our first lien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86" w:lineRule="exact"/>
        <w:rPr>
          <w:sz w:val="20"/>
          <w:szCs w:val="20"/>
          <w:color w:val="auto"/>
        </w:rPr>
      </w:pPr>
    </w:p>
    <w:p>
      <w:pPr>
        <w:ind w:left="140" w:right="20" w:firstLine="437"/>
        <w:spacing w:after="0" w:line="293" w:lineRule="auto"/>
        <w:rPr>
          <w:sz w:val="20"/>
          <w:szCs w:val="20"/>
          <w:color w:val="auto"/>
        </w:rPr>
      </w:pPr>
      <w:r>
        <w:rPr>
          <w:rFonts w:ascii="Arial" w:cs="Arial" w:eastAsia="Arial" w:hAnsi="Arial"/>
          <w:sz w:val="16"/>
          <w:szCs w:val="16"/>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62"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7" w:lineRule="exact"/>
        <w:rPr>
          <w:sz w:val="20"/>
          <w:szCs w:val="20"/>
          <w:color w:val="auto"/>
        </w:rPr>
      </w:pPr>
    </w:p>
    <w:p>
      <w:pPr>
        <w:ind w:left="1000" w:right="40" w:hanging="652"/>
        <w:spacing w:after="0" w:line="271"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81" w:lineRule="exact"/>
        <w:rPr>
          <w:rFonts w:ascii="Arial" w:cs="Arial" w:eastAsia="Arial" w:hAnsi="Arial"/>
          <w:sz w:val="18"/>
          <w:szCs w:val="18"/>
          <w:color w:val="auto"/>
        </w:rPr>
      </w:pPr>
    </w:p>
    <w:p>
      <w:pPr>
        <w:ind w:left="1000" w:hanging="652"/>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27" w:lineRule="exact"/>
        <w:rPr>
          <w:rFonts w:ascii="Arial" w:cs="Arial" w:eastAsia="Arial" w:hAnsi="Arial"/>
          <w:sz w:val="18"/>
          <w:szCs w:val="18"/>
          <w:color w:val="auto"/>
        </w:rPr>
      </w:pPr>
    </w:p>
    <w:p>
      <w:pPr>
        <w:ind w:left="1000" w:right="280" w:hanging="652"/>
        <w:spacing w:after="0" w:line="307"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50" w:lineRule="exact"/>
        <w:rPr>
          <w:sz w:val="20"/>
          <w:szCs w:val="20"/>
          <w:color w:val="auto"/>
        </w:rPr>
      </w:pPr>
    </w:p>
    <w:p>
      <w:pPr>
        <w:ind w:left="140" w:firstLine="437"/>
        <w:spacing w:after="0" w:line="252"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95" w:lineRule="exact"/>
        <w:rPr>
          <w:sz w:val="20"/>
          <w:szCs w:val="20"/>
          <w:color w:val="auto"/>
        </w:rPr>
      </w:pPr>
    </w:p>
    <w:p>
      <w:pPr>
        <w:ind w:left="140" w:right="180" w:firstLine="437"/>
        <w:spacing w:after="0" w:line="259" w:lineRule="auto"/>
        <w:rPr>
          <w:sz w:val="20"/>
          <w:szCs w:val="20"/>
          <w:color w:val="auto"/>
        </w:rPr>
      </w:pPr>
      <w:r>
        <w:rPr>
          <w:rFonts w:ascii="Arial" w:cs="Arial" w:eastAsia="Arial" w:hAnsi="Arial"/>
          <w:sz w:val="18"/>
          <w:szCs w:val="18"/>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Monitoring</w:t>
      </w:r>
    </w:p>
    <w:p>
      <w:pPr>
        <w:spacing w:after="0" w:line="114" w:lineRule="exact"/>
        <w:rPr>
          <w:sz w:val="20"/>
          <w:szCs w:val="20"/>
          <w:color w:val="auto"/>
        </w:rPr>
      </w:pPr>
    </w:p>
    <w:p>
      <w:pPr>
        <w:ind w:left="140" w:right="20" w:firstLine="437"/>
        <w:spacing w:after="0" w:line="335"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2240" w:h="15840" w:orient="portrait"/>
          <w:cols w:equalWidth="0" w:num="1">
            <w:col w:w="11020"/>
          </w:cols>
          <w:pgMar w:left="520" w:top="316" w:right="70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80" w:firstLine="437"/>
        <w:spacing w:after="0" w:line="271"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81" w:lineRule="exact"/>
        <w:rPr>
          <w:sz w:val="20"/>
          <w:szCs w:val="20"/>
          <w:color w:val="auto"/>
        </w:rPr>
      </w:pPr>
    </w:p>
    <w:p>
      <w:pPr>
        <w:ind w:left="1000" w:hanging="33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assessment of success in adhering to a portfolio company’s business plan and compliance with covenants;</w:t>
      </w:r>
    </w:p>
    <w:p>
      <w:pPr>
        <w:spacing w:after="0" w:line="127" w:lineRule="exact"/>
        <w:rPr>
          <w:rFonts w:ascii="Arial" w:cs="Arial" w:eastAsia="Arial" w:hAnsi="Arial"/>
          <w:sz w:val="18"/>
          <w:szCs w:val="18"/>
          <w:color w:val="auto"/>
        </w:rPr>
      </w:pPr>
    </w:p>
    <w:p>
      <w:pPr>
        <w:ind w:left="1000" w:right="240" w:hanging="331"/>
        <w:spacing w:after="0" w:line="271"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221" w:lineRule="exact"/>
        <w:rPr>
          <w:sz w:val="20"/>
          <w:szCs w:val="20"/>
          <w:color w:val="auto"/>
        </w:rPr>
      </w:pPr>
    </w:p>
    <w:p>
      <w:pPr>
        <w:ind w:left="140" w:firstLine="437"/>
        <w:spacing w:after="0" w:line="270" w:lineRule="auto"/>
        <w:rPr>
          <w:sz w:val="20"/>
          <w:szCs w:val="20"/>
          <w:color w:val="auto"/>
        </w:rPr>
      </w:pPr>
      <w:r>
        <w:rPr>
          <w:rFonts w:ascii="Arial" w:cs="Arial" w:eastAsia="Arial" w:hAnsi="Arial"/>
          <w:sz w:val="17"/>
          <w:szCs w:val="17"/>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4" w:lineRule="exact"/>
        <w:rPr>
          <w:sz w:val="20"/>
          <w:szCs w:val="20"/>
          <w:color w:val="auto"/>
        </w:rPr>
      </w:pPr>
    </w:p>
    <w:p>
      <w:pPr>
        <w:ind w:left="140" w:right="160" w:firstLine="437"/>
        <w:spacing w:after="0" w:line="271" w:lineRule="auto"/>
        <w:rPr>
          <w:sz w:val="20"/>
          <w:szCs w:val="20"/>
          <w:color w:val="auto"/>
        </w:rPr>
      </w:pPr>
      <w:r>
        <w:rPr>
          <w:rFonts w:ascii="Arial" w:cs="Arial" w:eastAsia="Arial" w:hAnsi="Arial"/>
          <w:sz w:val="18"/>
          <w:szCs w:val="18"/>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Staffing</w:t>
      </w:r>
    </w:p>
    <w:p>
      <w:pPr>
        <w:spacing w:after="0" w:line="114" w:lineRule="exact"/>
        <w:rPr>
          <w:sz w:val="20"/>
          <w:szCs w:val="20"/>
          <w:color w:val="auto"/>
        </w:rPr>
      </w:pPr>
    </w:p>
    <w:p>
      <w:pPr>
        <w:jc w:val="both"/>
        <w:ind w:left="140" w:right="20" w:firstLine="437"/>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Portfolio</w:t>
      </w:r>
    </w:p>
    <w:p>
      <w:pPr>
        <w:spacing w:after="0" w:line="114" w:lineRule="exact"/>
        <w:rPr>
          <w:sz w:val="20"/>
          <w:szCs w:val="20"/>
          <w:color w:val="auto"/>
        </w:rPr>
      </w:pPr>
    </w:p>
    <w:p>
      <w:pPr>
        <w:ind w:left="140" w:right="220" w:firstLine="437"/>
        <w:spacing w:after="0" w:line="307" w:lineRule="auto"/>
        <w:rPr>
          <w:sz w:val="20"/>
          <w:szCs w:val="20"/>
          <w:color w:val="auto"/>
        </w:rPr>
      </w:pPr>
      <w:r>
        <w:rPr>
          <w:rFonts w:ascii="Arial" w:cs="Arial" w:eastAsia="Arial" w:hAnsi="Arial"/>
          <w:sz w:val="16"/>
          <w:szCs w:val="16"/>
          <w:color w:val="auto"/>
        </w:rPr>
        <w:t>Our principal investment focus is to provide first lien secured debt, second lien secured debt and subordinated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60" w:type="dxa"/>
            <w:vAlign w:val="bottom"/>
          </w:tcPr>
          <w:p>
            <w:pPr>
              <w:ind w:left="120"/>
              <w:spacing w:after="0"/>
              <w:rPr>
                <w:sz w:val="20"/>
                <w:szCs w:val="20"/>
                <w:color w:val="auto"/>
              </w:rPr>
            </w:pPr>
            <w:r>
              <w:rPr>
                <w:rFonts w:ascii="Arial" w:cs="Arial" w:eastAsia="Arial" w:hAnsi="Arial"/>
                <w:sz w:val="18"/>
                <w:szCs w:val="18"/>
                <w:color w:val="auto"/>
              </w:rPr>
              <w:t>Aerospace and Defense</w:t>
            </w:r>
          </w:p>
        </w:tc>
        <w:tc>
          <w:tcPr>
            <w:tcW w:w="2000" w:type="dxa"/>
            <w:vAlign w:val="bottom"/>
          </w:tcPr>
          <w:p>
            <w:pPr>
              <w:ind w:left="182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Cable Television</w:t>
            </w:r>
          </w:p>
        </w:tc>
      </w:tr>
      <w:tr>
        <w:trPr>
          <w:trHeight w:val="33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60" w:type="dxa"/>
            <w:vAlign w:val="bottom"/>
          </w:tcPr>
          <w:p>
            <w:pPr>
              <w:ind w:left="120"/>
              <w:spacing w:after="0"/>
              <w:rPr>
                <w:sz w:val="20"/>
                <w:szCs w:val="20"/>
                <w:color w:val="auto"/>
              </w:rPr>
            </w:pPr>
            <w:r>
              <w:rPr>
                <w:rFonts w:ascii="Arial" w:cs="Arial" w:eastAsia="Arial" w:hAnsi="Arial"/>
                <w:sz w:val="18"/>
                <w:szCs w:val="18"/>
                <w:color w:val="auto"/>
              </w:rPr>
              <w:t>Auto Sector</w:t>
            </w:r>
          </w:p>
        </w:tc>
        <w:tc>
          <w:tcPr>
            <w:tcW w:w="2000" w:type="dxa"/>
            <w:vAlign w:val="bottom"/>
          </w:tcPr>
          <w:p>
            <w:pPr>
              <w:ind w:left="182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Capital Equipment</w:t>
            </w:r>
          </w:p>
        </w:tc>
      </w:tr>
      <w:tr>
        <w:trPr>
          <w:trHeight w:val="335"/>
        </w:trPr>
        <w:tc>
          <w:tcPr>
            <w:tcW w:w="3760" w:type="dxa"/>
            <w:vAlign w:val="bottom"/>
            <w:gridSpan w:val="2"/>
          </w:tcPr>
          <w:p>
            <w:pPr>
              <w:spacing w:after="0"/>
              <w:rPr>
                <w:sz w:val="20"/>
                <w:szCs w:val="20"/>
                <w:color w:val="auto"/>
              </w:rPr>
            </w:pPr>
            <w:r>
              <w:rPr>
                <w:rFonts w:ascii="Arial" w:cs="Arial" w:eastAsia="Arial" w:hAnsi="Arial"/>
                <w:sz w:val="18"/>
                <w:szCs w:val="18"/>
                <w:color w:val="auto"/>
              </w:rPr>
              <w:t>•   Beverage, Food and Tobacco</w:t>
            </w:r>
          </w:p>
        </w:tc>
        <w:tc>
          <w:tcPr>
            <w:tcW w:w="2000" w:type="dxa"/>
            <w:vAlign w:val="bottom"/>
          </w:tcPr>
          <w:p>
            <w:pPr>
              <w:ind w:left="182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Cargo Transportation</w:t>
            </w:r>
          </w:p>
        </w:tc>
      </w:tr>
      <w:tr>
        <w:trPr>
          <w:trHeight w:val="33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60" w:type="dxa"/>
            <w:vAlign w:val="bottom"/>
          </w:tcPr>
          <w:p>
            <w:pPr>
              <w:ind w:left="120"/>
              <w:spacing w:after="0"/>
              <w:rPr>
                <w:sz w:val="20"/>
                <w:szCs w:val="20"/>
                <w:color w:val="auto"/>
              </w:rPr>
            </w:pPr>
            <w:r>
              <w:rPr>
                <w:rFonts w:ascii="Arial" w:cs="Arial" w:eastAsia="Arial" w:hAnsi="Arial"/>
                <w:sz w:val="18"/>
                <w:szCs w:val="18"/>
                <w:color w:val="auto"/>
              </w:rPr>
              <w:t>Broadcasting and Entertainment</w:t>
            </w:r>
          </w:p>
        </w:tc>
        <w:tc>
          <w:tcPr>
            <w:tcW w:w="4380" w:type="dxa"/>
            <w:vAlign w:val="bottom"/>
            <w:gridSpan w:val="2"/>
          </w:tcPr>
          <w:p>
            <w:pPr>
              <w:ind w:left="1820"/>
              <w:spacing w:after="0"/>
              <w:rPr>
                <w:sz w:val="20"/>
                <w:szCs w:val="20"/>
                <w:color w:val="auto"/>
              </w:rPr>
            </w:pPr>
            <w:r>
              <w:rPr>
                <w:rFonts w:ascii="Arial" w:cs="Arial" w:eastAsia="Arial" w:hAnsi="Arial"/>
                <w:sz w:val="18"/>
                <w:szCs w:val="18"/>
                <w:color w:val="auto"/>
                <w:w w:val="91"/>
              </w:rPr>
              <w:t>•   Chemicals, Plastics and Rubber</w:t>
            </w:r>
          </w:p>
        </w:tc>
      </w:tr>
      <w:tr>
        <w:trPr>
          <w:trHeight w:val="335"/>
        </w:trPr>
        <w:tc>
          <w:tcPr>
            <w:tcW w:w="3760" w:type="dxa"/>
            <w:vAlign w:val="bottom"/>
            <w:gridSpan w:val="2"/>
          </w:tcPr>
          <w:p>
            <w:pPr>
              <w:spacing w:after="0"/>
              <w:rPr>
                <w:sz w:val="20"/>
                <w:szCs w:val="20"/>
                <w:color w:val="auto"/>
              </w:rPr>
            </w:pPr>
            <w:r>
              <w:rPr>
                <w:rFonts w:ascii="Arial" w:cs="Arial" w:eastAsia="Arial" w:hAnsi="Arial"/>
                <w:sz w:val="18"/>
                <w:szCs w:val="18"/>
                <w:color w:val="auto"/>
              </w:rPr>
              <w:t>•   Buildings and Real Estate</w:t>
            </w:r>
          </w:p>
        </w:tc>
        <w:tc>
          <w:tcPr>
            <w:tcW w:w="2000" w:type="dxa"/>
            <w:vAlign w:val="bottom"/>
          </w:tcPr>
          <w:p>
            <w:pPr>
              <w:ind w:left="182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Communications</w:t>
            </w:r>
          </w:p>
        </w:tc>
      </w:tr>
      <w:tr>
        <w:trPr>
          <w:trHeight w:val="33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60" w:type="dxa"/>
            <w:vAlign w:val="bottom"/>
          </w:tcPr>
          <w:p>
            <w:pPr>
              <w:ind w:left="120"/>
              <w:spacing w:after="0"/>
              <w:rPr>
                <w:sz w:val="20"/>
                <w:szCs w:val="20"/>
                <w:color w:val="auto"/>
              </w:rPr>
            </w:pPr>
            <w:r>
              <w:rPr>
                <w:rFonts w:ascii="Arial" w:cs="Arial" w:eastAsia="Arial" w:hAnsi="Arial"/>
                <w:sz w:val="18"/>
                <w:szCs w:val="18"/>
                <w:color w:val="auto"/>
              </w:rPr>
              <w:t>Building Materials</w:t>
            </w:r>
          </w:p>
        </w:tc>
        <w:tc>
          <w:tcPr>
            <w:tcW w:w="2000" w:type="dxa"/>
            <w:vAlign w:val="bottom"/>
          </w:tcPr>
          <w:p>
            <w:pPr>
              <w:ind w:left="182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Consumer Products</w:t>
            </w:r>
          </w:p>
        </w:tc>
      </w:tr>
      <w:tr>
        <w:trPr>
          <w:trHeight w:val="33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60" w:type="dxa"/>
            <w:vAlign w:val="bottom"/>
          </w:tcPr>
          <w:p>
            <w:pPr>
              <w:ind w:left="120"/>
              <w:spacing w:after="0"/>
              <w:rPr>
                <w:sz w:val="20"/>
                <w:szCs w:val="20"/>
                <w:color w:val="auto"/>
              </w:rPr>
            </w:pPr>
            <w:r>
              <w:rPr>
                <w:rFonts w:ascii="Arial" w:cs="Arial" w:eastAsia="Arial" w:hAnsi="Arial"/>
                <w:sz w:val="18"/>
                <w:szCs w:val="18"/>
                <w:color w:val="auto"/>
              </w:rPr>
              <w:t>Business Services</w:t>
            </w:r>
          </w:p>
        </w:tc>
        <w:tc>
          <w:tcPr>
            <w:tcW w:w="2000" w:type="dxa"/>
            <w:vAlign w:val="bottom"/>
          </w:tcPr>
          <w:p>
            <w:pPr>
              <w:ind w:left="182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Consumer Services</w:t>
            </w:r>
          </w:p>
        </w:tc>
      </w:tr>
      <w:tr>
        <w:trPr>
          <w:trHeight w:val="509"/>
        </w:trPr>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0" w:type="dxa"/>
            <w:vAlign w:val="bottom"/>
          </w:tcPr>
          <w:p>
            <w:pPr>
              <w:ind w:left="1160"/>
              <w:spacing w:after="0"/>
              <w:rPr>
                <w:sz w:val="20"/>
                <w:szCs w:val="20"/>
                <w:color w:val="auto"/>
              </w:rPr>
            </w:pPr>
            <w:r>
              <w:rPr>
                <w:rFonts w:ascii="Arial" w:cs="Arial" w:eastAsia="Arial" w:hAnsi="Arial"/>
                <w:sz w:val="18"/>
                <w:szCs w:val="18"/>
                <w:color w:val="auto"/>
              </w:rPr>
              <w:t>78</w:t>
            </w:r>
          </w:p>
        </w:tc>
        <w:tc>
          <w:tcPr>
            <w:tcW w:w="2380" w:type="dxa"/>
            <w:vAlign w:val="bottom"/>
          </w:tcPr>
          <w:p>
            <w:pPr>
              <w:spacing w:after="0"/>
              <w:rPr>
                <w:sz w:val="24"/>
                <w:szCs w:val="24"/>
                <w:color w:val="auto"/>
              </w:rPr>
            </w:pPr>
          </w:p>
        </w:tc>
      </w:tr>
    </w:tbl>
    <w:p>
      <w:pPr>
        <w:sectPr>
          <w:pgSz w:w="12240" w:h="15840" w:orient="portrait"/>
          <w:cols w:equalWidth="0" w:num="1">
            <w:col w:w="11020"/>
          </w:cols>
          <w:pgMar w:left="520" w:top="316" w:right="700" w:bottom="144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4">
              <w:r>
                <w:rPr>
                  <w:rFonts w:ascii="Arial" w:cs="Arial" w:eastAsia="Arial" w:hAnsi="Arial"/>
                  <w:sz w:val="18"/>
                  <w:szCs w:val="18"/>
                  <w:b w:val="1"/>
                  <w:bCs w:val="1"/>
                  <w:color w:val="0000EE"/>
                  <w:w w:val="86"/>
                </w:rPr>
                <w:t>Table of Contents</w:t>
              </w:r>
            </w:hyperlink>
          </w:p>
        </w:tc>
        <w:tc>
          <w:tcPr>
            <w:tcW w:w="4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581"/>
        </w:trPr>
        <w:tc>
          <w:tcPr>
            <w:tcW w:w="5720" w:type="dxa"/>
            <w:vAlign w:val="bottom"/>
            <w:gridSpan w:val="3"/>
          </w:tcPr>
          <w:p>
            <w:pPr>
              <w:ind w:left="580"/>
              <w:spacing w:after="0"/>
              <w:rPr>
                <w:sz w:val="20"/>
                <w:szCs w:val="20"/>
                <w:color w:val="auto"/>
              </w:rPr>
            </w:pPr>
            <w:r>
              <w:rPr>
                <w:rFonts w:ascii="Arial" w:cs="Arial" w:eastAsia="Arial" w:hAnsi="Arial"/>
                <w:sz w:val="18"/>
                <w:szCs w:val="18"/>
                <w:color w:val="auto"/>
              </w:rPr>
              <w:t>•   Containers Packaging &amp; Glass</w:t>
            </w:r>
          </w:p>
        </w:tc>
        <w:tc>
          <w:tcPr>
            <w:tcW w:w="4500" w:type="dxa"/>
            <w:vAlign w:val="bottom"/>
            <w:gridSpan w:val="2"/>
          </w:tcPr>
          <w:p>
            <w:pPr>
              <w:ind w:left="440"/>
              <w:spacing w:after="0"/>
              <w:rPr>
                <w:sz w:val="20"/>
                <w:szCs w:val="20"/>
                <w:color w:val="auto"/>
              </w:rPr>
            </w:pPr>
            <w:r>
              <w:rPr>
                <w:rFonts w:ascii="Arial" w:cs="Arial" w:eastAsia="Arial" w:hAnsi="Arial"/>
                <w:sz w:val="18"/>
                <w:szCs w:val="18"/>
                <w:color w:val="auto"/>
              </w:rPr>
              <w:t>•   Hotels, Motels, Inns and Gaming</w:t>
            </w:r>
          </w:p>
        </w:tc>
      </w:tr>
      <w:tr>
        <w:trPr>
          <w:trHeight w:val="335"/>
        </w:trPr>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Distribution</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335"/>
        </w:trPr>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Diversified/Conglomerate Manufacturing</w:t>
            </w:r>
          </w:p>
        </w:tc>
        <w:tc>
          <w:tcPr>
            <w:tcW w:w="4500" w:type="dxa"/>
            <w:vAlign w:val="bottom"/>
            <w:gridSpan w:val="2"/>
          </w:tcPr>
          <w:p>
            <w:pPr>
              <w:ind w:left="440"/>
              <w:spacing w:after="0"/>
              <w:rPr>
                <w:sz w:val="20"/>
                <w:szCs w:val="20"/>
                <w:color w:val="auto"/>
              </w:rPr>
            </w:pPr>
            <w:r>
              <w:rPr>
                <w:rFonts w:ascii="Arial" w:cs="Arial" w:eastAsia="Arial" w:hAnsi="Arial"/>
                <w:sz w:val="18"/>
                <w:szCs w:val="18"/>
                <w:color w:val="auto"/>
                <w:w w:val="93"/>
              </w:rPr>
              <w:t>•   Leisure, Amusement, Motion Picture, Entertainment</w:t>
            </w:r>
          </w:p>
        </w:tc>
      </w:tr>
      <w:tr>
        <w:trPr>
          <w:trHeight w:val="335"/>
        </w:trPr>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Diversified/Conglomerate Services</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335"/>
        </w:trPr>
        <w:tc>
          <w:tcPr>
            <w:tcW w:w="5720" w:type="dxa"/>
            <w:vAlign w:val="bottom"/>
            <w:gridSpan w:val="3"/>
          </w:tcPr>
          <w:p>
            <w:pPr>
              <w:ind w:left="580"/>
              <w:spacing w:after="0"/>
              <w:rPr>
                <w:sz w:val="20"/>
                <w:szCs w:val="20"/>
                <w:color w:val="auto"/>
              </w:rPr>
            </w:pPr>
            <w:r>
              <w:rPr>
                <w:rFonts w:ascii="Arial" w:cs="Arial" w:eastAsia="Arial" w:hAnsi="Arial"/>
                <w:sz w:val="18"/>
                <w:szCs w:val="18"/>
                <w:color w:val="auto"/>
              </w:rPr>
              <w:t>•   Diversified Natural Resources, Precious Metals and Minerals</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Manufacturing/Basic Industries</w:t>
            </w:r>
          </w:p>
        </w:tc>
      </w:tr>
      <w:tr>
        <w:trPr>
          <w:trHeight w:val="335"/>
        </w:trPr>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Education</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335"/>
        </w:trPr>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Electronics</w:t>
            </w:r>
          </w:p>
        </w:tc>
        <w:tc>
          <w:tcPr>
            <w:tcW w:w="4500" w:type="dxa"/>
            <w:vAlign w:val="bottom"/>
            <w:gridSpan w:val="2"/>
          </w:tcPr>
          <w:p>
            <w:pPr>
              <w:ind w:left="440"/>
              <w:spacing w:after="0"/>
              <w:rPr>
                <w:sz w:val="20"/>
                <w:szCs w:val="20"/>
                <w:color w:val="auto"/>
              </w:rPr>
            </w:pPr>
            <w:r>
              <w:rPr>
                <w:rFonts w:ascii="Arial" w:cs="Arial" w:eastAsia="Arial" w:hAnsi="Arial"/>
                <w:sz w:val="18"/>
                <w:szCs w:val="18"/>
                <w:color w:val="auto"/>
              </w:rPr>
              <w:t>•   Mining, Steel, Iron and Non-Precious Metals</w:t>
            </w:r>
          </w:p>
        </w:tc>
      </w:tr>
      <w:tr>
        <w:trPr>
          <w:trHeight w:val="335"/>
        </w:trPr>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Energy/Utilities</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335"/>
        </w:trPr>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Environmental Services</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335"/>
        </w:trPr>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Financial Services</w:t>
            </w:r>
          </w:p>
        </w:tc>
        <w:tc>
          <w:tcPr>
            <w:tcW w:w="4500" w:type="dxa"/>
            <w:vAlign w:val="bottom"/>
            <w:gridSpan w:val="2"/>
          </w:tcPr>
          <w:p>
            <w:pPr>
              <w:ind w:left="440"/>
              <w:spacing w:after="0"/>
              <w:rPr>
                <w:sz w:val="20"/>
                <w:szCs w:val="20"/>
                <w:color w:val="auto"/>
              </w:rPr>
            </w:pPr>
            <w:r>
              <w:rPr>
                <w:rFonts w:ascii="Arial" w:cs="Arial" w:eastAsia="Arial" w:hAnsi="Arial"/>
                <w:sz w:val="18"/>
                <w:szCs w:val="18"/>
                <w:color w:val="auto"/>
              </w:rPr>
              <w:t>•   Personal, Food and Miscellaneous Services</w:t>
            </w:r>
          </w:p>
        </w:tc>
      </w:tr>
      <w:tr>
        <w:trPr>
          <w:trHeight w:val="335"/>
        </w:trPr>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Grocery</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335"/>
        </w:trPr>
        <w:tc>
          <w:tcPr>
            <w:tcW w:w="5720" w:type="dxa"/>
            <w:vAlign w:val="bottom"/>
            <w:gridSpan w:val="3"/>
          </w:tcPr>
          <w:p>
            <w:pPr>
              <w:ind w:left="580"/>
              <w:spacing w:after="0"/>
              <w:rPr>
                <w:sz w:val="20"/>
                <w:szCs w:val="20"/>
                <w:color w:val="auto"/>
              </w:rPr>
            </w:pPr>
            <w:r>
              <w:rPr>
                <w:rFonts w:ascii="Arial" w:cs="Arial" w:eastAsia="Arial" w:hAnsi="Arial"/>
                <w:sz w:val="18"/>
                <w:szCs w:val="18"/>
                <w:color w:val="auto"/>
              </w:rPr>
              <w:t>•   Healthcare, Education and Childcare</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Retail</w:t>
            </w:r>
          </w:p>
        </w:tc>
      </w:tr>
      <w:tr>
        <w:trPr>
          <w:trHeight w:val="335"/>
        </w:trPr>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High Tech Industries</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Wholesale</w:t>
            </w:r>
          </w:p>
        </w:tc>
      </w:tr>
    </w:tbl>
    <w:p>
      <w:pPr>
        <w:spacing w:after="0" w:line="108" w:lineRule="exact"/>
        <w:rPr>
          <w:sz w:val="20"/>
          <w:szCs w:val="20"/>
          <w:color w:val="auto"/>
        </w:rPr>
      </w:pPr>
    </w:p>
    <w:p>
      <w:pPr>
        <w:ind w:left="900" w:right="6400" w:hanging="311"/>
        <w:spacing w:after="0" w:line="27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349" w:lineRule="exact"/>
        <w:rPr>
          <w:sz w:val="20"/>
          <w:szCs w:val="20"/>
          <w:color w:val="auto"/>
        </w:rPr>
      </w:pPr>
    </w:p>
    <w:p>
      <w:pPr>
        <w:ind w:left="140" w:right="240" w:firstLine="437"/>
        <w:spacing w:after="0" w:line="271"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and cash equivalents) as of:</w:t>
      </w:r>
    </w:p>
    <w:p>
      <w:pPr>
        <w:spacing w:after="0" w:line="200" w:lineRule="exact"/>
        <w:rPr>
          <w:sz w:val="20"/>
          <w:szCs w:val="20"/>
          <w:color w:val="auto"/>
        </w:rPr>
      </w:pPr>
    </w:p>
    <w:p>
      <w:pPr>
        <w:spacing w:after="0" w:line="212" w:lineRule="exact"/>
        <w:rPr>
          <w:sz w:val="20"/>
          <w:szCs w:val="20"/>
          <w:color w:val="auto"/>
        </w:rPr>
      </w:pPr>
    </w:p>
    <w:tbl>
      <w:tblPr>
        <w:tblLayout w:type="fixed"/>
        <w:tblInd w:w="140" w:type="dxa"/>
        <w:tblCellMar>
          <w:top w:w="0" w:type="dxa"/>
          <w:left w:w="0" w:type="dxa"/>
          <w:bottom w:w="0" w:type="dxa"/>
          <w:right w:w="0" w:type="dxa"/>
        </w:tblCellMar>
      </w:tblPr>
      <w:tr>
        <w:trPr>
          <w:trHeight w:val="252"/>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Portfolio Company</w:t>
            </w:r>
          </w:p>
        </w:tc>
        <w:tc>
          <w:tcPr>
            <w:tcW w:w="202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December 31, 2018</w:t>
            </w:r>
          </w:p>
        </w:tc>
        <w:tc>
          <w:tcPr>
            <w:tcW w:w="640" w:type="dxa"/>
            <w:vAlign w:val="bottom"/>
          </w:tcPr>
          <w:p>
            <w:pPr>
              <w:spacing w:after="0"/>
              <w:rPr>
                <w:sz w:val="21"/>
                <w:szCs w:val="21"/>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Portfolio Company</w:t>
            </w:r>
          </w:p>
        </w:tc>
        <w:tc>
          <w:tcPr>
            <w:tcW w:w="190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w w:val="99"/>
              </w:rPr>
              <w:t>September 30, 2018</w:t>
            </w:r>
          </w:p>
        </w:tc>
      </w:tr>
      <w:tr>
        <w:trPr>
          <w:trHeight w:val="173"/>
        </w:trPr>
        <w:tc>
          <w:tcPr>
            <w:tcW w:w="3480" w:type="dxa"/>
            <w:vAlign w:val="bottom"/>
            <w:tcBorders>
              <w:top w:val="single" w:sz="8" w:color="CCEEFF"/>
            </w:tcBorders>
            <w:gridSpan w:val="2"/>
            <w:shd w:val="clear" w:color="auto" w:fill="CCEEFF"/>
          </w:tcPr>
          <w:p>
            <w:pPr>
              <w:spacing w:after="0" w:line="173" w:lineRule="exact"/>
              <w:rPr>
                <w:sz w:val="20"/>
                <w:szCs w:val="20"/>
                <w:color w:val="auto"/>
              </w:rPr>
            </w:pPr>
            <w:r>
              <w:rPr>
                <w:rFonts w:ascii="Arial" w:cs="Arial" w:eastAsia="Arial" w:hAnsi="Arial"/>
                <w:sz w:val="18"/>
                <w:szCs w:val="18"/>
                <w:color w:val="auto"/>
              </w:rPr>
              <w:t>RAM Energy Holdings</w:t>
            </w:r>
          </w:p>
        </w:tc>
        <w:tc>
          <w:tcPr>
            <w:tcW w:w="14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28"/>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LLC</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Parq Holdings Limited Partnership</w:t>
            </w:r>
          </w:p>
        </w:tc>
        <w:tc>
          <w:tcPr>
            <w:tcW w:w="17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7%</w:t>
            </w:r>
          </w:p>
        </w:tc>
      </w:tr>
      <w:tr>
        <w:trPr>
          <w:trHeight w:val="214"/>
        </w:trPr>
        <w:tc>
          <w:tcPr>
            <w:tcW w:w="3480" w:type="dxa"/>
            <w:vAlign w:val="bottom"/>
            <w:gridSpan w:val="2"/>
          </w:tcPr>
          <w:p>
            <w:pPr>
              <w:spacing w:after="0"/>
              <w:rPr>
                <w:sz w:val="20"/>
                <w:szCs w:val="20"/>
                <w:color w:val="auto"/>
              </w:rPr>
            </w:pPr>
            <w:r>
              <w:rPr>
                <w:rFonts w:ascii="Arial" w:cs="Arial" w:eastAsia="Arial" w:hAnsi="Arial"/>
                <w:sz w:val="18"/>
                <w:szCs w:val="18"/>
                <w:color w:val="auto"/>
              </w:rPr>
              <w:t>Parq Holdings Limited Partnership</w:t>
            </w: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RAM Energy Holdings LLC</w:t>
            </w:r>
          </w:p>
        </w:tc>
        <w:tc>
          <w:tcPr>
            <w:tcW w:w="1700" w:type="dxa"/>
            <w:vAlign w:val="bottom"/>
            <w:gridSpan w:val="2"/>
          </w:tcPr>
          <w:p>
            <w:pPr>
              <w:ind w:left="1400"/>
              <w:spacing w:after="0"/>
              <w:rPr>
                <w:sz w:val="20"/>
                <w:szCs w:val="20"/>
                <w:color w:val="auto"/>
              </w:rPr>
            </w:pPr>
            <w:r>
              <w:rPr>
                <w:rFonts w:ascii="Arial" w:cs="Arial" w:eastAsia="Arial" w:hAnsi="Arial"/>
                <w:sz w:val="18"/>
                <w:szCs w:val="18"/>
                <w:color w:val="auto"/>
              </w:rPr>
              <w:t>7</w:t>
            </w:r>
          </w:p>
        </w:tc>
      </w:tr>
      <w:tr>
        <w:trPr>
          <w:trHeight w:val="214"/>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AKW Holdings Limited</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AKW Holdings Limited</w:t>
            </w:r>
          </w:p>
        </w:tc>
        <w:tc>
          <w:tcPr>
            <w:tcW w:w="17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4</w:t>
            </w:r>
          </w:p>
        </w:tc>
      </w:tr>
      <w:tr>
        <w:trPr>
          <w:trHeight w:val="214"/>
        </w:trPr>
        <w:tc>
          <w:tcPr>
            <w:tcW w:w="3480" w:type="dxa"/>
            <w:vAlign w:val="bottom"/>
            <w:gridSpan w:val="2"/>
          </w:tcPr>
          <w:p>
            <w:pPr>
              <w:spacing w:after="0"/>
              <w:rPr>
                <w:sz w:val="20"/>
                <w:szCs w:val="20"/>
                <w:color w:val="auto"/>
              </w:rPr>
            </w:pPr>
            <w:r>
              <w:rPr>
                <w:rFonts w:ascii="Arial" w:cs="Arial" w:eastAsia="Arial" w:hAnsi="Arial"/>
                <w:sz w:val="18"/>
                <w:szCs w:val="18"/>
                <w:color w:val="auto"/>
              </w:rPr>
              <w:t>Halo Buyer, Inc.</w:t>
            </w: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Halo Buyer, Inc.</w:t>
            </w:r>
          </w:p>
        </w:tc>
        <w:tc>
          <w:tcPr>
            <w:tcW w:w="1700" w:type="dxa"/>
            <w:vAlign w:val="bottom"/>
            <w:gridSpan w:val="2"/>
          </w:tcPr>
          <w:p>
            <w:pPr>
              <w:ind w:left="1400"/>
              <w:spacing w:after="0"/>
              <w:rPr>
                <w:sz w:val="20"/>
                <w:szCs w:val="20"/>
                <w:color w:val="auto"/>
              </w:rPr>
            </w:pPr>
            <w:r>
              <w:rPr>
                <w:rFonts w:ascii="Arial" w:cs="Arial" w:eastAsia="Arial" w:hAnsi="Arial"/>
                <w:sz w:val="18"/>
                <w:szCs w:val="18"/>
                <w:color w:val="auto"/>
              </w:rPr>
              <w:t>4</w:t>
            </w:r>
          </w:p>
        </w:tc>
      </w:tr>
      <w:tr>
        <w:trPr>
          <w:trHeight w:val="214"/>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MailSouth, Inc.</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MailSouth, Inc.</w:t>
            </w:r>
          </w:p>
        </w:tc>
        <w:tc>
          <w:tcPr>
            <w:tcW w:w="17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4</w:t>
            </w:r>
          </w:p>
        </w:tc>
      </w:tr>
      <w:tr>
        <w:trPr>
          <w:trHeight w:val="214"/>
        </w:trPr>
        <w:tc>
          <w:tcPr>
            <w:tcW w:w="3480" w:type="dxa"/>
            <w:vAlign w:val="bottom"/>
            <w:gridSpan w:val="2"/>
          </w:tcPr>
          <w:p>
            <w:pPr>
              <w:spacing w:after="0"/>
              <w:rPr>
                <w:sz w:val="20"/>
                <w:szCs w:val="20"/>
                <w:color w:val="auto"/>
              </w:rPr>
            </w:pPr>
            <w:r>
              <w:rPr>
                <w:rFonts w:ascii="Arial" w:cs="Arial" w:eastAsia="Arial" w:hAnsi="Arial"/>
                <w:sz w:val="18"/>
                <w:szCs w:val="18"/>
                <w:color w:val="auto"/>
              </w:rPr>
              <w:t>PT Network, LLC</w:t>
            </w: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PT Network, LLC</w:t>
            </w:r>
          </w:p>
        </w:tc>
        <w:tc>
          <w:tcPr>
            <w:tcW w:w="1700" w:type="dxa"/>
            <w:vAlign w:val="bottom"/>
            <w:gridSpan w:val="2"/>
          </w:tcPr>
          <w:p>
            <w:pPr>
              <w:ind w:left="1400"/>
              <w:spacing w:after="0"/>
              <w:rPr>
                <w:sz w:val="20"/>
                <w:szCs w:val="20"/>
                <w:color w:val="auto"/>
              </w:rPr>
            </w:pPr>
            <w:r>
              <w:rPr>
                <w:rFonts w:ascii="Arial" w:cs="Arial" w:eastAsia="Arial" w:hAnsi="Arial"/>
                <w:sz w:val="18"/>
                <w:szCs w:val="18"/>
                <w:color w:val="auto"/>
              </w:rPr>
              <w:t>4</w:t>
            </w:r>
          </w:p>
        </w:tc>
      </w:tr>
      <w:tr>
        <w:trPr>
          <w:trHeight w:val="214"/>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Cano Health, LLC</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Cano Health, LLC</w:t>
            </w:r>
          </w:p>
        </w:tc>
        <w:tc>
          <w:tcPr>
            <w:tcW w:w="17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3</w:t>
            </w:r>
          </w:p>
        </w:tc>
      </w:tr>
      <w:tr>
        <w:trPr>
          <w:trHeight w:val="214"/>
        </w:trPr>
        <w:tc>
          <w:tcPr>
            <w:tcW w:w="3480" w:type="dxa"/>
            <w:vAlign w:val="bottom"/>
            <w:gridSpan w:val="2"/>
          </w:tcPr>
          <w:p>
            <w:pPr>
              <w:spacing w:after="0"/>
              <w:rPr>
                <w:sz w:val="20"/>
                <w:szCs w:val="20"/>
                <w:color w:val="auto"/>
              </w:rPr>
            </w:pPr>
            <w:r>
              <w:rPr>
                <w:rFonts w:ascii="Arial" w:cs="Arial" w:eastAsia="Arial" w:hAnsi="Arial"/>
                <w:sz w:val="18"/>
                <w:szCs w:val="18"/>
                <w:color w:val="auto"/>
              </w:rPr>
              <w:t>Cascade Environmental LLC</w:t>
            </w: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Cascade Environmental LLC</w:t>
            </w:r>
          </w:p>
        </w:tc>
        <w:tc>
          <w:tcPr>
            <w:tcW w:w="1700" w:type="dxa"/>
            <w:vAlign w:val="bottom"/>
            <w:gridSpan w:val="2"/>
          </w:tcPr>
          <w:p>
            <w:pPr>
              <w:ind w:left="1400"/>
              <w:spacing w:after="0"/>
              <w:rPr>
                <w:sz w:val="20"/>
                <w:szCs w:val="20"/>
                <w:color w:val="auto"/>
              </w:rPr>
            </w:pPr>
            <w:r>
              <w:rPr>
                <w:rFonts w:ascii="Arial" w:cs="Arial" w:eastAsia="Arial" w:hAnsi="Arial"/>
                <w:sz w:val="18"/>
                <w:szCs w:val="18"/>
                <w:color w:val="auto"/>
              </w:rPr>
              <w:t>3</w:t>
            </w:r>
          </w:p>
        </w:tc>
      </w:tr>
      <w:tr>
        <w:trPr>
          <w:trHeight w:val="214"/>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Shift4 Payments, LLC</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Shift4 Payments, LLC</w:t>
            </w:r>
          </w:p>
        </w:tc>
        <w:tc>
          <w:tcPr>
            <w:tcW w:w="17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3</w:t>
            </w:r>
          </w:p>
        </w:tc>
      </w:tr>
      <w:tr>
        <w:trPr>
          <w:trHeight w:val="227"/>
        </w:trPr>
        <w:tc>
          <w:tcPr>
            <w:tcW w:w="3480" w:type="dxa"/>
            <w:vAlign w:val="bottom"/>
            <w:gridSpan w:val="2"/>
          </w:tcPr>
          <w:p>
            <w:pPr>
              <w:spacing w:after="0"/>
              <w:rPr>
                <w:sz w:val="20"/>
                <w:szCs w:val="20"/>
                <w:color w:val="auto"/>
              </w:rPr>
            </w:pPr>
            <w:r>
              <w:rPr>
                <w:rFonts w:ascii="Arial" w:cs="Arial" w:eastAsia="Arial" w:hAnsi="Arial"/>
                <w:sz w:val="18"/>
                <w:szCs w:val="18"/>
                <w:color w:val="auto"/>
              </w:rPr>
              <w:t>Winter Park Intermediate, Inc.</w:t>
            </w: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Winter Park Intermediate, Inc.</w:t>
            </w:r>
          </w:p>
        </w:tc>
        <w:tc>
          <w:tcPr>
            <w:tcW w:w="1700" w:type="dxa"/>
            <w:vAlign w:val="bottom"/>
            <w:gridSpan w:val="2"/>
          </w:tcPr>
          <w:p>
            <w:pPr>
              <w:ind w:left="1400"/>
              <w:spacing w:after="0"/>
              <w:rPr>
                <w:sz w:val="20"/>
                <w:szCs w:val="20"/>
                <w:color w:val="auto"/>
              </w:rPr>
            </w:pPr>
            <w:r>
              <w:rPr>
                <w:rFonts w:ascii="Arial" w:cs="Arial" w:eastAsia="Arial" w:hAnsi="Arial"/>
                <w:sz w:val="18"/>
                <w:szCs w:val="18"/>
                <w:color w:val="auto"/>
              </w:rPr>
              <w:t>3</w:t>
            </w:r>
          </w:p>
        </w:tc>
      </w:tr>
      <w:tr>
        <w:trPr>
          <w:trHeight w:val="347"/>
        </w:trPr>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ind w:right="231"/>
              <w:spacing w:after="0"/>
              <w:rPr>
                <w:sz w:val="20"/>
                <w:szCs w:val="20"/>
                <w:color w:val="auto"/>
              </w:rPr>
            </w:pPr>
            <w:r>
              <w:rPr>
                <w:rFonts w:ascii="Arial" w:cs="Arial" w:eastAsia="Arial" w:hAnsi="Arial"/>
                <w:sz w:val="18"/>
                <w:szCs w:val="18"/>
                <w:color w:val="auto"/>
              </w:rPr>
              <w:t>79</w:t>
            </w:r>
          </w:p>
        </w:tc>
        <w:tc>
          <w:tcPr>
            <w:tcW w:w="1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2240" w:h="15840" w:orient="portrait"/>
          <w:cols w:equalWidth="0" w:num="1">
            <w:col w:w="11060"/>
          </w:cols>
          <w:pgMar w:left="520" w:top="301" w:right="66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140" w:type="dxa"/>
        <w:tblCellMar>
          <w:top w:w="0" w:type="dxa"/>
          <w:left w:w="0" w:type="dxa"/>
          <w:bottom w:w="0" w:type="dxa"/>
          <w:right w:w="0" w:type="dxa"/>
        </w:tblCellMar>
      </w:tblPr>
      <w:tr>
        <w:trPr>
          <w:trHeight w:val="252"/>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Industry</w:t>
            </w:r>
          </w:p>
        </w:tc>
        <w:tc>
          <w:tcPr>
            <w:tcW w:w="2760" w:type="dxa"/>
            <w:vAlign w:val="bottom"/>
          </w:tcPr>
          <w:p>
            <w:pPr>
              <w:spacing w:after="0"/>
              <w:rPr>
                <w:sz w:val="21"/>
                <w:szCs w:val="21"/>
                <w:color w:val="auto"/>
              </w:rPr>
            </w:pPr>
          </w:p>
        </w:tc>
        <w:tc>
          <w:tcPr>
            <w:tcW w:w="240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w w:val="87"/>
              </w:rPr>
              <w:t>December 31, 2018</w:t>
            </w: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Industry</w:t>
            </w:r>
          </w:p>
        </w:tc>
        <w:tc>
          <w:tcPr>
            <w:tcW w:w="27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September 30, 2018</w:t>
            </w:r>
          </w:p>
        </w:tc>
      </w:tr>
      <w:tr>
        <w:trPr>
          <w:trHeight w:val="173"/>
        </w:trPr>
        <w:tc>
          <w:tcPr>
            <w:tcW w:w="3420" w:type="dxa"/>
            <w:vAlign w:val="bottom"/>
            <w:tcBorders>
              <w:top w:val="single" w:sz="8" w:color="CCEEFF"/>
            </w:tcBorders>
            <w:gridSpan w:val="2"/>
            <w:shd w:val="clear" w:color="auto" w:fill="CCEEFF"/>
          </w:tcPr>
          <w:p>
            <w:pPr>
              <w:spacing w:after="0" w:line="173" w:lineRule="exact"/>
              <w:rPr>
                <w:sz w:val="20"/>
                <w:szCs w:val="20"/>
                <w:color w:val="auto"/>
              </w:rPr>
            </w:pPr>
            <w:r>
              <w:rPr>
                <w:rFonts w:ascii="Arial" w:cs="Arial" w:eastAsia="Arial" w:hAnsi="Arial"/>
                <w:sz w:val="18"/>
                <w:szCs w:val="18"/>
                <w:color w:val="auto"/>
              </w:rPr>
              <w:t>Healthcare, Education and Childcare</w:t>
            </w:r>
          </w:p>
        </w:tc>
        <w:tc>
          <w:tcPr>
            <w:tcW w:w="14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3400" w:type="dxa"/>
            <w:vAlign w:val="bottom"/>
            <w:tcBorders>
              <w:top w:val="single" w:sz="8" w:color="CCEEFF"/>
            </w:tcBorders>
            <w:gridSpan w:val="2"/>
            <w:shd w:val="clear" w:color="auto" w:fill="CCEEFF"/>
          </w:tcPr>
          <w:p>
            <w:pPr>
              <w:spacing w:after="0" w:line="173" w:lineRule="exact"/>
              <w:rPr>
                <w:sz w:val="20"/>
                <w:szCs w:val="20"/>
                <w:color w:val="auto"/>
              </w:rPr>
            </w:pPr>
            <w:r>
              <w:rPr>
                <w:rFonts w:ascii="Arial" w:cs="Arial" w:eastAsia="Arial" w:hAnsi="Arial"/>
                <w:sz w:val="18"/>
                <w:szCs w:val="18"/>
                <w:color w:val="auto"/>
              </w:rPr>
              <w:t>Healthcare, Education and</w:t>
            </w:r>
          </w:p>
        </w:tc>
        <w:tc>
          <w:tcPr>
            <w:tcW w:w="1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28"/>
        </w:trPr>
        <w:tc>
          <w:tcPr>
            <w:tcW w:w="66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w:t>
            </w: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Childcare</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9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2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2400" w:type="dxa"/>
            <w:vAlign w:val="bottom"/>
            <w:gridSpan w:val="2"/>
          </w:tcPr>
          <w:p>
            <w:pPr>
              <w:jc w:val="right"/>
              <w:ind w:right="960"/>
              <w:spacing w:after="0"/>
              <w:rPr>
                <w:sz w:val="20"/>
                <w:szCs w:val="20"/>
                <w:color w:val="auto"/>
              </w:rPr>
            </w:pPr>
            <w:r>
              <w:rPr>
                <w:rFonts w:ascii="Arial" w:cs="Arial" w:eastAsia="Arial" w:hAnsi="Arial"/>
                <w:sz w:val="18"/>
                <w:szCs w:val="18"/>
                <w:color w:val="auto"/>
              </w:rPr>
              <w:t>8</w:t>
            </w:r>
          </w:p>
        </w:tc>
        <w:tc>
          <w:tcPr>
            <w:tcW w:w="340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2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5</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2400" w:type="dxa"/>
            <w:vAlign w:val="bottom"/>
            <w:gridSpan w:val="2"/>
          </w:tcPr>
          <w:p>
            <w:pPr>
              <w:jc w:val="right"/>
              <w:ind w:right="960"/>
              <w:spacing w:after="0"/>
              <w:rPr>
                <w:sz w:val="20"/>
                <w:szCs w:val="20"/>
                <w:color w:val="auto"/>
              </w:rPr>
            </w:pPr>
            <w:r>
              <w:rPr>
                <w:rFonts w:ascii="Arial" w:cs="Arial" w:eastAsia="Arial" w:hAnsi="Arial"/>
                <w:sz w:val="18"/>
                <w:szCs w:val="18"/>
                <w:color w:val="auto"/>
              </w:rPr>
              <w:t>5</w:t>
            </w:r>
          </w:p>
        </w:tc>
        <w:tc>
          <w:tcPr>
            <w:tcW w:w="340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5</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400" w:type="dxa"/>
            <w:vAlign w:val="bottom"/>
            <w:gridSpan w:val="2"/>
          </w:tcPr>
          <w:p>
            <w:pPr>
              <w:jc w:val="right"/>
              <w:ind w:right="960"/>
              <w:spacing w:after="0"/>
              <w:rPr>
                <w:sz w:val="20"/>
                <w:szCs w:val="20"/>
                <w:color w:val="auto"/>
              </w:rPr>
            </w:pPr>
            <w:r>
              <w:rPr>
                <w:rFonts w:ascii="Arial" w:cs="Arial" w:eastAsia="Arial" w:hAnsi="Arial"/>
                <w:sz w:val="18"/>
                <w:szCs w:val="18"/>
                <w:color w:val="auto"/>
              </w:rPr>
              <w:t>4</w:t>
            </w:r>
          </w:p>
        </w:tc>
        <w:tc>
          <w:tcPr>
            <w:tcW w:w="34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2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r>
      <w:tr>
        <w:trPr>
          <w:trHeight w:val="200"/>
        </w:trPr>
        <w:tc>
          <w:tcPr>
            <w:tcW w:w="3420" w:type="dxa"/>
            <w:vAlign w:val="bottom"/>
            <w:gridSpan w:val="2"/>
          </w:tcPr>
          <w:p>
            <w:pPr>
              <w:spacing w:after="0" w:line="200" w:lineRule="exact"/>
              <w:rPr>
                <w:sz w:val="20"/>
                <w:szCs w:val="20"/>
                <w:color w:val="auto"/>
              </w:rPr>
            </w:pPr>
            <w:r>
              <w:rPr>
                <w:rFonts w:ascii="Arial" w:cs="Arial" w:eastAsia="Arial" w:hAnsi="Arial"/>
                <w:sz w:val="18"/>
                <w:szCs w:val="18"/>
                <w:color w:val="auto"/>
              </w:rPr>
              <w:t>Personal, Food and Miscellaneous</w:t>
            </w: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0" w:type="dxa"/>
            <w:vAlign w:val="bottom"/>
            <w:gridSpan w:val="2"/>
          </w:tcPr>
          <w:p>
            <w:pPr>
              <w:spacing w:after="0" w:line="200" w:lineRule="exact"/>
              <w:rPr>
                <w:sz w:val="20"/>
                <w:szCs w:val="20"/>
                <w:color w:val="auto"/>
              </w:rPr>
            </w:pPr>
            <w:r>
              <w:rPr>
                <w:rFonts w:ascii="Arial" w:cs="Arial" w:eastAsia="Arial" w:hAnsi="Arial"/>
                <w:sz w:val="18"/>
                <w:szCs w:val="18"/>
                <w:color w:val="auto"/>
              </w:rPr>
              <w:t>Personal, Food and Miscellaneous</w:t>
            </w: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7"/>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2400" w:type="dxa"/>
            <w:vAlign w:val="bottom"/>
            <w:gridSpan w:val="2"/>
          </w:tcPr>
          <w:p>
            <w:pPr>
              <w:jc w:val="right"/>
              <w:ind w:right="960"/>
              <w:spacing w:after="0"/>
              <w:rPr>
                <w:sz w:val="20"/>
                <w:szCs w:val="20"/>
                <w:color w:val="auto"/>
              </w:rPr>
            </w:pPr>
            <w:r>
              <w:rPr>
                <w:rFonts w:ascii="Arial" w:cs="Arial" w:eastAsia="Arial" w:hAnsi="Arial"/>
                <w:sz w:val="18"/>
                <w:szCs w:val="18"/>
                <w:color w:val="auto"/>
              </w:rPr>
              <w:t>4</w:t>
            </w: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r>
    </w:tbl>
    <w:p>
      <w:pPr>
        <w:spacing w:after="0" w:line="201" w:lineRule="exact"/>
        <w:rPr>
          <w:sz w:val="20"/>
          <w:szCs w:val="20"/>
          <w:color w:val="auto"/>
        </w:rPr>
      </w:pPr>
    </w:p>
    <w:p>
      <w:pPr>
        <w:ind w:left="140" w:right="40" w:firstLine="437"/>
        <w:spacing w:after="0" w:line="284"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71" w:lineRule="exact"/>
        <w:rPr>
          <w:sz w:val="20"/>
          <w:szCs w:val="20"/>
          <w:color w:val="auto"/>
        </w:rPr>
      </w:pPr>
    </w:p>
    <w:p>
      <w:pPr>
        <w:ind w:left="140" w:right="160" w:firstLine="437"/>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2240" w:h="15840" w:orient="portrait"/>
          <w:cols w:equalWidth="0" w:num="1">
            <w:col w:w="11060"/>
          </w:cols>
          <w:pgMar w:left="520" w:top="316" w:right="66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PORTFOLIO COMPANIES</w:t>
      </w:r>
    </w:p>
    <w:p>
      <w:pPr>
        <w:spacing w:after="0" w:line="225" w:lineRule="exact"/>
        <w:rPr>
          <w:sz w:val="20"/>
          <w:szCs w:val="20"/>
          <w:color w:val="auto"/>
        </w:rPr>
      </w:pPr>
    </w:p>
    <w:p>
      <w:pPr>
        <w:ind w:left="140" w:right="160" w:firstLine="437"/>
        <w:spacing w:after="0" w:line="254"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December 31, 2018.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December 31, 2018 Consolidated Financial Statements included elsewhere in this prospectus.</w:t>
      </w:r>
    </w:p>
    <w:p>
      <w:pPr>
        <w:spacing w:after="0" w:line="189" w:lineRule="exact"/>
        <w:rPr>
          <w:sz w:val="20"/>
          <w:szCs w:val="20"/>
          <w:color w:val="auto"/>
        </w:rPr>
      </w:pPr>
    </w:p>
    <w:p>
      <w:pPr>
        <w:ind w:left="140" w:right="80" w:firstLine="437"/>
        <w:spacing w:after="0" w:line="268"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8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Type of Investment,</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Voting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3"/>
        </w:trPr>
        <w:tc>
          <w:tcPr>
            <w:tcW w:w="3780" w:type="dxa"/>
            <w:vAlign w:val="bottom"/>
            <w:gridSpan w:val="3"/>
            <w:vMerge w:val="continue"/>
          </w:tcPr>
          <w:p>
            <w:pPr>
              <w:spacing w:after="0"/>
              <w:rPr>
                <w:sz w:val="12"/>
                <w:szCs w:val="12"/>
                <w:color w:val="auto"/>
              </w:rPr>
            </w:pPr>
          </w:p>
        </w:tc>
        <w:tc>
          <w:tcPr>
            <w:tcW w:w="17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Nature of Business</w:t>
            </w:r>
          </w:p>
        </w:tc>
        <w:tc>
          <w:tcPr>
            <w:tcW w:w="3180" w:type="dxa"/>
            <w:vAlign w:val="bottom"/>
            <w:gridSpan w:val="2"/>
            <w:vMerge w:val="continue"/>
          </w:tcPr>
          <w:p>
            <w:pPr>
              <w:spacing w:after="0"/>
              <w:rPr>
                <w:sz w:val="12"/>
                <w:szCs w:val="12"/>
                <w:color w:val="auto"/>
              </w:rPr>
            </w:pPr>
          </w:p>
        </w:tc>
        <w:tc>
          <w:tcPr>
            <w:tcW w:w="112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w w:val="95"/>
              </w:rPr>
              <w:t>Percentage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20" w:type="dxa"/>
            <w:vAlign w:val="bottom"/>
            <w:gridSpan w:val="2"/>
            <w:vMerge w:val="continue"/>
          </w:tcPr>
          <w:p>
            <w:pPr>
              <w:spacing w:after="0"/>
              <w:rPr>
                <w:sz w:val="13"/>
                <w:szCs w:val="13"/>
                <w:color w:val="auto"/>
              </w:rPr>
            </w:pPr>
          </w:p>
        </w:tc>
        <w:tc>
          <w:tcPr>
            <w:tcW w:w="3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37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Companies Less than 5% Owned</w:t>
            </w:r>
          </w:p>
        </w:tc>
        <w:tc>
          <w:tcPr>
            <w:tcW w:w="13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8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gridSpan w:val="2"/>
          </w:tcPr>
          <w:p>
            <w:pPr>
              <w:spacing w:after="0" w:line="129" w:lineRule="exact"/>
              <w:rPr>
                <w:sz w:val="20"/>
                <w:szCs w:val="20"/>
                <w:color w:val="auto"/>
              </w:rPr>
            </w:pPr>
            <w:r>
              <w:rPr>
                <w:rFonts w:ascii="Arial" w:cs="Arial" w:eastAsia="Arial" w:hAnsi="Arial"/>
                <w:sz w:val="14"/>
                <w:szCs w:val="14"/>
                <w:color w:val="auto"/>
              </w:rPr>
              <w:t>AH Holdings, Inc.</w:t>
            </w:r>
          </w:p>
        </w:tc>
        <w:tc>
          <w:tcPr>
            <w:tcW w:w="1720" w:type="dxa"/>
            <w:vAlign w:val="bottom"/>
            <w:gridSpan w:val="2"/>
          </w:tcPr>
          <w:p>
            <w:pPr>
              <w:jc w:val="center"/>
              <w:ind w:right="340"/>
              <w:spacing w:after="0" w:line="129" w:lineRule="exact"/>
              <w:rPr>
                <w:sz w:val="20"/>
                <w:szCs w:val="20"/>
                <w:color w:val="auto"/>
              </w:rPr>
            </w:pPr>
            <w:r>
              <w:rPr>
                <w:rFonts w:ascii="Arial" w:cs="Arial" w:eastAsia="Arial" w:hAnsi="Arial"/>
                <w:sz w:val="14"/>
                <w:szCs w:val="14"/>
                <w:color w:val="auto"/>
                <w:w w:val="91"/>
              </w:rPr>
              <w:t>Healthcare, Education</w:t>
            </w:r>
          </w:p>
        </w:tc>
        <w:tc>
          <w:tcPr>
            <w:tcW w:w="3180" w:type="dxa"/>
            <w:vAlign w:val="bottom"/>
            <w:gridSpan w:val="2"/>
          </w:tcPr>
          <w:p>
            <w:pPr>
              <w:jc w:val="center"/>
              <w:ind w:right="340"/>
              <w:spacing w:after="0" w:line="129" w:lineRule="exact"/>
              <w:rPr>
                <w:sz w:val="20"/>
                <w:szCs w:val="20"/>
                <w:color w:val="auto"/>
              </w:rPr>
            </w:pPr>
            <w:r>
              <w:rPr>
                <w:rFonts w:ascii="Arial" w:cs="Arial" w:eastAsia="Arial" w:hAnsi="Arial"/>
                <w:sz w:val="14"/>
                <w:szCs w:val="14"/>
                <w:color w:val="auto"/>
                <w:w w:val="94"/>
              </w:rPr>
              <w:t>Preferred Equity</w:t>
            </w:r>
          </w:p>
        </w:tc>
        <w:tc>
          <w:tcPr>
            <w:tcW w:w="1120" w:type="dxa"/>
            <w:vAlign w:val="bottom"/>
            <w:gridSpan w:val="2"/>
          </w:tcPr>
          <w:p>
            <w:pPr>
              <w:jc w:val="right"/>
              <w:ind w:right="380"/>
              <w:spacing w:after="0" w:line="12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2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29"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47"/>
        </w:trPr>
        <w:tc>
          <w:tcPr>
            <w:tcW w:w="3780" w:type="dxa"/>
            <w:vAlign w:val="bottom"/>
            <w:gridSpan w:val="3"/>
          </w:tcPr>
          <w:p>
            <w:pPr>
              <w:spacing w:after="0" w:line="147" w:lineRule="exact"/>
              <w:rPr>
                <w:sz w:val="20"/>
                <w:szCs w:val="20"/>
                <w:color w:val="auto"/>
              </w:rPr>
            </w:pPr>
            <w:r>
              <w:rPr>
                <w:rFonts w:ascii="Arial" w:cs="Arial" w:eastAsia="Arial" w:hAnsi="Arial"/>
                <w:sz w:val="14"/>
                <w:szCs w:val="14"/>
                <w:color w:val="auto"/>
              </w:rPr>
              <w:t>10039 Bissonnet Street, Ste. 250</w:t>
            </w:r>
          </w:p>
        </w:tc>
        <w:tc>
          <w:tcPr>
            <w:tcW w:w="172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90"/>
              </w:rPr>
              <w:t>and Childcare</w:t>
            </w:r>
          </w:p>
        </w:tc>
        <w:tc>
          <w:tcPr>
            <w:tcW w:w="318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91"/>
              </w:rPr>
              <w:t>Warrants</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80" w:type="dxa"/>
            <w:vAlign w:val="bottom"/>
            <w:gridSpan w:val="3"/>
          </w:tcPr>
          <w:p>
            <w:pPr>
              <w:spacing w:after="0"/>
              <w:rPr>
                <w:sz w:val="20"/>
                <w:szCs w:val="20"/>
                <w:color w:val="auto"/>
              </w:rPr>
            </w:pPr>
            <w:r>
              <w:rPr>
                <w:rFonts w:ascii="Arial" w:cs="Arial" w:eastAsia="Arial" w:hAnsi="Arial"/>
                <w:sz w:val="14"/>
                <w:szCs w:val="14"/>
                <w:color w:val="auto"/>
              </w:rPr>
              <w:t>Houston, TX 77036</w:t>
            </w: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AG Investco LP</w:t>
            </w:r>
            <w:r>
              <w:rPr>
                <w:rFonts w:ascii="Arial" w:cs="Arial" w:eastAsia="Arial" w:hAnsi="Arial"/>
                <w:sz w:val="12"/>
                <w:szCs w:val="12"/>
                <w:color w:val="auto"/>
              </w:rPr>
              <w:t>(5)</w:t>
            </w:r>
          </w:p>
        </w:tc>
        <w:tc>
          <w:tcPr>
            <w:tcW w:w="1720" w:type="dxa"/>
            <w:vAlign w:val="bottom"/>
            <w:gridSpan w:val="2"/>
            <w:shd w:val="clear" w:color="auto" w:fill="CCEEFF"/>
          </w:tcPr>
          <w:p>
            <w:pPr>
              <w:jc w:val="center"/>
              <w:ind w:right="340"/>
              <w:spacing w:after="0" w:line="129" w:lineRule="exact"/>
              <w:rPr>
                <w:sz w:val="20"/>
                <w:szCs w:val="20"/>
                <w:color w:val="auto"/>
              </w:rPr>
            </w:pPr>
            <w:r>
              <w:rPr>
                <w:rFonts w:ascii="Arial" w:cs="Arial" w:eastAsia="Arial" w:hAnsi="Arial"/>
                <w:sz w:val="14"/>
                <w:szCs w:val="14"/>
                <w:color w:val="auto"/>
                <w:w w:val="89"/>
              </w:rPr>
              <w:t>Business Services</w:t>
            </w:r>
          </w:p>
        </w:tc>
        <w:tc>
          <w:tcPr>
            <w:tcW w:w="3180" w:type="dxa"/>
            <w:vAlign w:val="bottom"/>
            <w:gridSpan w:val="2"/>
            <w:shd w:val="clear" w:color="auto" w:fill="CCEEFF"/>
          </w:tcPr>
          <w:p>
            <w:pPr>
              <w:jc w:val="center"/>
              <w:ind w:right="340"/>
              <w:spacing w:after="0" w:line="129" w:lineRule="exact"/>
              <w:rPr>
                <w:sz w:val="20"/>
                <w:szCs w:val="20"/>
                <w:color w:val="auto"/>
              </w:rPr>
            </w:pPr>
            <w:r>
              <w:rPr>
                <w:rFonts w:ascii="Arial" w:cs="Arial" w:eastAsia="Arial" w:hAnsi="Arial"/>
                <w:sz w:val="14"/>
                <w:szCs w:val="14"/>
                <w:color w:val="auto"/>
                <w:w w:val="94"/>
              </w:rPr>
              <w:t>Common Equity</w:t>
            </w:r>
            <w:r>
              <w:rPr>
                <w:rFonts w:ascii="Arial" w:cs="Arial" w:eastAsia="Arial" w:hAnsi="Arial"/>
                <w:sz w:val="12"/>
                <w:szCs w:val="12"/>
                <w:color w:val="auto"/>
                <w:w w:val="94"/>
              </w:rPr>
              <w:t>(4)</w:t>
            </w:r>
          </w:p>
        </w:tc>
        <w:tc>
          <w:tcPr>
            <w:tcW w:w="112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251 Little Falls Drive</w:t>
            </w:r>
          </w:p>
        </w:tc>
        <w:tc>
          <w:tcPr>
            <w:tcW w:w="1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19808</w:t>
            </w:r>
          </w:p>
        </w:tc>
        <w:tc>
          <w:tcPr>
            <w:tcW w:w="1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80" w:type="dxa"/>
            <w:vAlign w:val="bottom"/>
            <w:gridSpan w:val="3"/>
          </w:tcPr>
          <w:p>
            <w:pPr>
              <w:spacing w:after="0"/>
              <w:rPr>
                <w:sz w:val="20"/>
                <w:szCs w:val="20"/>
                <w:color w:val="auto"/>
              </w:rPr>
            </w:pPr>
            <w:r>
              <w:rPr>
                <w:rFonts w:ascii="Arial" w:cs="Arial" w:eastAsia="Arial" w:hAnsi="Arial"/>
                <w:sz w:val="14"/>
                <w:szCs w:val="14"/>
                <w:color w:val="auto"/>
              </w:rPr>
              <w:t>Allied America, Inc.</w:t>
            </w: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Business Services</w:t>
            </w:r>
          </w:p>
        </w:tc>
        <w:tc>
          <w:tcPr>
            <w:tcW w:w="318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22,698</w:t>
            </w:r>
          </w:p>
        </w:tc>
        <w:tc>
          <w:tcPr>
            <w:tcW w:w="0" w:type="dxa"/>
            <w:vAlign w:val="bottom"/>
          </w:tcPr>
          <w:p>
            <w:pPr>
              <w:spacing w:after="0"/>
              <w:rPr>
                <w:sz w:val="1"/>
                <w:szCs w:val="1"/>
                <w:color w:val="auto"/>
              </w:rPr>
            </w:pPr>
          </w:p>
        </w:tc>
      </w:tr>
      <w:tr>
        <w:trPr>
          <w:trHeight w:val="147"/>
        </w:trPr>
        <w:tc>
          <w:tcPr>
            <w:tcW w:w="3780" w:type="dxa"/>
            <w:vAlign w:val="bottom"/>
            <w:gridSpan w:val="3"/>
          </w:tcPr>
          <w:p>
            <w:pPr>
              <w:spacing w:after="0" w:line="147" w:lineRule="exact"/>
              <w:rPr>
                <w:sz w:val="20"/>
                <w:szCs w:val="20"/>
                <w:color w:val="auto"/>
              </w:rPr>
            </w:pPr>
            <w:r>
              <w:rPr>
                <w:rFonts w:ascii="Arial" w:cs="Arial" w:eastAsia="Arial" w:hAnsi="Arial"/>
                <w:sz w:val="14"/>
                <w:szCs w:val="14"/>
                <w:color w:val="auto"/>
              </w:rPr>
              <w:t>(CI (Allied) Investment Holdings, LLC</w:t>
            </w:r>
            <w:r>
              <w:rPr>
                <w:rFonts w:ascii="Arial" w:cs="Arial" w:eastAsia="Arial" w:hAnsi="Arial"/>
                <w:sz w:val="12"/>
                <w:szCs w:val="12"/>
                <w:color w:val="auto"/>
              </w:rPr>
              <w:t>(5)</w:t>
            </w:r>
            <w:r>
              <w:rPr>
                <w:rFonts w:ascii="Arial" w:cs="Arial" w:eastAsia="Arial" w:hAnsi="Arial"/>
                <w:sz w:val="14"/>
                <w:szCs w:val="14"/>
                <w:color w:val="auto"/>
              </w:rPr>
              <w:t>)</w:t>
            </w: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8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93"/>
              </w:rPr>
              <w:t>3M L+700, 08/08/2022</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80" w:type="dxa"/>
            <w:vAlign w:val="bottom"/>
            <w:gridSpan w:val="3"/>
          </w:tcPr>
          <w:p>
            <w:pPr>
              <w:spacing w:after="0" w:line="147" w:lineRule="exact"/>
              <w:rPr>
                <w:sz w:val="20"/>
                <w:szCs w:val="20"/>
                <w:color w:val="auto"/>
              </w:rPr>
            </w:pPr>
            <w:r>
              <w:rPr>
                <w:rFonts w:ascii="Arial" w:cs="Arial" w:eastAsia="Arial" w:hAnsi="Arial"/>
                <w:sz w:val="14"/>
                <w:szCs w:val="14"/>
                <w:color w:val="auto"/>
              </w:rPr>
              <w:t>One North LaSalle Street</w:t>
            </w: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8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80" w:type="dxa"/>
            <w:vAlign w:val="bottom"/>
            <w:gridSpan w:val="3"/>
          </w:tcPr>
          <w:p>
            <w:pPr>
              <w:spacing w:after="0"/>
              <w:rPr>
                <w:sz w:val="20"/>
                <w:szCs w:val="20"/>
                <w:color w:val="auto"/>
              </w:rPr>
            </w:pPr>
            <w:r>
              <w:rPr>
                <w:rFonts w:ascii="Arial" w:cs="Arial" w:eastAsia="Arial" w:hAnsi="Arial"/>
                <w:sz w:val="14"/>
                <w:szCs w:val="14"/>
                <w:color w:val="auto"/>
              </w:rPr>
              <w:t>Chicago, IL 60602</w:t>
            </w: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American Insulated Glass, LLC</w:t>
            </w:r>
          </w:p>
        </w:tc>
        <w:tc>
          <w:tcPr>
            <w:tcW w:w="1720" w:type="dxa"/>
            <w:vAlign w:val="bottom"/>
            <w:gridSpan w:val="2"/>
            <w:shd w:val="clear" w:color="auto" w:fill="CCEEFF"/>
          </w:tcPr>
          <w:p>
            <w:pPr>
              <w:jc w:val="center"/>
              <w:ind w:right="340"/>
              <w:spacing w:after="0" w:line="129" w:lineRule="exact"/>
              <w:rPr>
                <w:sz w:val="20"/>
                <w:szCs w:val="20"/>
                <w:color w:val="auto"/>
              </w:rPr>
            </w:pPr>
            <w:r>
              <w:rPr>
                <w:rFonts w:ascii="Arial" w:cs="Arial" w:eastAsia="Arial" w:hAnsi="Arial"/>
                <w:sz w:val="14"/>
                <w:szCs w:val="14"/>
                <w:color w:val="auto"/>
                <w:w w:val="95"/>
              </w:rPr>
              <w:t>Building Materials</w:t>
            </w:r>
          </w:p>
        </w:tc>
        <w:tc>
          <w:tcPr>
            <w:tcW w:w="3180" w:type="dxa"/>
            <w:vAlign w:val="bottom"/>
            <w:gridSpan w:val="2"/>
            <w:shd w:val="clear" w:color="auto" w:fill="CCEEFF"/>
          </w:tcPr>
          <w:p>
            <w:pPr>
              <w:jc w:val="center"/>
              <w:ind w:right="340"/>
              <w:spacing w:after="0" w:line="129"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12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31,251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(Go Dawgs Capital III, LP</w:t>
            </w:r>
            <w:r>
              <w:rPr>
                <w:rFonts w:ascii="Arial" w:cs="Arial" w:eastAsia="Arial" w:hAnsi="Arial"/>
                <w:sz w:val="12"/>
                <w:szCs w:val="12"/>
                <w:color w:val="auto"/>
              </w:rPr>
              <w:t>(5)</w:t>
            </w:r>
            <w:r>
              <w:rPr>
                <w:rFonts w:ascii="Arial" w:cs="Arial" w:eastAsia="Arial" w:hAnsi="Arial"/>
                <w:sz w:val="14"/>
                <w:szCs w:val="14"/>
                <w:color w:val="auto"/>
              </w:rPr>
              <w:t>)</w:t>
            </w:r>
          </w:p>
        </w:tc>
        <w:tc>
          <w:tcPr>
            <w:tcW w:w="1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180" w:type="dxa"/>
            <w:vAlign w:val="bottom"/>
            <w:gridSpan w:val="2"/>
            <w:shd w:val="clear" w:color="auto" w:fill="CCEEFF"/>
          </w:tcPr>
          <w:p>
            <w:pPr>
              <w:jc w:val="center"/>
              <w:ind w:right="340"/>
              <w:spacing w:after="0" w:line="147" w:lineRule="exact"/>
              <w:rPr>
                <w:sz w:val="20"/>
                <w:szCs w:val="20"/>
                <w:color w:val="auto"/>
              </w:rPr>
            </w:pPr>
            <w:r>
              <w:rPr>
                <w:rFonts w:ascii="Arial" w:cs="Arial" w:eastAsia="Arial" w:hAnsi="Arial"/>
                <w:sz w:val="14"/>
                <w:szCs w:val="14"/>
                <w:color w:val="auto"/>
                <w:w w:val="93"/>
              </w:rPr>
              <w:t>3M L+550, 12/21/2023</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3965 E. Conley Road</w:t>
            </w:r>
          </w:p>
        </w:tc>
        <w:tc>
          <w:tcPr>
            <w:tcW w:w="1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180" w:type="dxa"/>
            <w:vAlign w:val="bottom"/>
            <w:gridSpan w:val="2"/>
            <w:shd w:val="clear" w:color="auto" w:fill="CCEEFF"/>
          </w:tcPr>
          <w:p>
            <w:pPr>
              <w:jc w:val="center"/>
              <w:ind w:right="340"/>
              <w:spacing w:after="0" w:line="147"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Conley, GA 30288</w:t>
            </w:r>
          </w:p>
        </w:tc>
        <w:tc>
          <w:tcPr>
            <w:tcW w:w="1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80" w:type="dxa"/>
            <w:vAlign w:val="bottom"/>
            <w:gridSpan w:val="3"/>
          </w:tcPr>
          <w:p>
            <w:pPr>
              <w:spacing w:after="0"/>
              <w:rPr>
                <w:sz w:val="20"/>
                <w:szCs w:val="20"/>
                <w:color w:val="auto"/>
              </w:rPr>
            </w:pPr>
            <w:r>
              <w:rPr>
                <w:rFonts w:ascii="Arial" w:cs="Arial" w:eastAsia="Arial" w:hAnsi="Arial"/>
                <w:sz w:val="14"/>
                <w:szCs w:val="14"/>
                <w:color w:val="auto"/>
              </w:rPr>
              <w:t>ASP LCG Holdings, Inc.</w:t>
            </w: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Education</w:t>
            </w:r>
          </w:p>
        </w:tc>
        <w:tc>
          <w:tcPr>
            <w:tcW w:w="318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Warrants</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1,866</w:t>
            </w:r>
          </w:p>
        </w:tc>
        <w:tc>
          <w:tcPr>
            <w:tcW w:w="0" w:type="dxa"/>
            <w:vAlign w:val="bottom"/>
          </w:tcPr>
          <w:p>
            <w:pPr>
              <w:spacing w:after="0"/>
              <w:rPr>
                <w:sz w:val="1"/>
                <w:szCs w:val="1"/>
                <w:color w:val="auto"/>
              </w:rPr>
            </w:pPr>
          </w:p>
        </w:tc>
      </w:tr>
      <w:tr>
        <w:trPr>
          <w:trHeight w:val="147"/>
        </w:trPr>
        <w:tc>
          <w:tcPr>
            <w:tcW w:w="3780" w:type="dxa"/>
            <w:vAlign w:val="bottom"/>
            <w:gridSpan w:val="3"/>
          </w:tcPr>
          <w:p>
            <w:pPr>
              <w:spacing w:after="0" w:line="147" w:lineRule="exact"/>
              <w:rPr>
                <w:sz w:val="20"/>
                <w:szCs w:val="20"/>
                <w:color w:val="auto"/>
              </w:rPr>
            </w:pPr>
            <w:r>
              <w:rPr>
                <w:rFonts w:ascii="Arial" w:cs="Arial" w:eastAsia="Arial" w:hAnsi="Arial"/>
                <w:sz w:val="14"/>
                <w:szCs w:val="14"/>
                <w:color w:val="auto"/>
              </w:rPr>
              <w:t>21333 Haggerty Road, Ste. 300</w:t>
            </w: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80" w:type="dxa"/>
            <w:vAlign w:val="bottom"/>
            <w:gridSpan w:val="3"/>
          </w:tcPr>
          <w:p>
            <w:pPr>
              <w:spacing w:after="0"/>
              <w:rPr>
                <w:sz w:val="20"/>
                <w:szCs w:val="20"/>
                <w:color w:val="auto"/>
              </w:rPr>
            </w:pPr>
            <w:r>
              <w:rPr>
                <w:rFonts w:ascii="Arial" w:cs="Arial" w:eastAsia="Arial" w:hAnsi="Arial"/>
                <w:sz w:val="14"/>
                <w:szCs w:val="14"/>
                <w:color w:val="auto"/>
              </w:rPr>
              <w:t>Novi, MI 48375</w:t>
            </w: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Autumn Games, LLC</w:t>
            </w:r>
          </w:p>
        </w:tc>
        <w:tc>
          <w:tcPr>
            <w:tcW w:w="1720" w:type="dxa"/>
            <w:vAlign w:val="bottom"/>
            <w:gridSpan w:val="2"/>
            <w:shd w:val="clear" w:color="auto" w:fill="CCEEFF"/>
          </w:tcPr>
          <w:p>
            <w:pPr>
              <w:jc w:val="center"/>
              <w:ind w:right="340"/>
              <w:spacing w:after="0" w:line="129" w:lineRule="exact"/>
              <w:rPr>
                <w:sz w:val="20"/>
                <w:szCs w:val="20"/>
                <w:color w:val="auto"/>
              </w:rPr>
            </w:pPr>
            <w:r>
              <w:rPr>
                <w:rFonts w:ascii="Arial" w:cs="Arial" w:eastAsia="Arial" w:hAnsi="Arial"/>
                <w:sz w:val="14"/>
                <w:szCs w:val="14"/>
                <w:color w:val="auto"/>
                <w:w w:val="89"/>
              </w:rPr>
              <w:t>Broadcasting and</w:t>
            </w:r>
          </w:p>
        </w:tc>
        <w:tc>
          <w:tcPr>
            <w:tcW w:w="3180" w:type="dxa"/>
            <w:vAlign w:val="bottom"/>
            <w:gridSpan w:val="2"/>
            <w:shd w:val="clear" w:color="auto" w:fill="CCEEFF"/>
          </w:tcPr>
          <w:p>
            <w:pPr>
              <w:jc w:val="center"/>
              <w:ind w:right="340"/>
              <w:spacing w:after="0" w:line="129" w:lineRule="exact"/>
              <w:rPr>
                <w:sz w:val="20"/>
                <w:szCs w:val="20"/>
                <w:color w:val="auto"/>
              </w:rPr>
            </w:pPr>
            <w:r>
              <w:rPr>
                <w:rFonts w:ascii="Arial" w:cs="Arial" w:eastAsia="Arial" w:hAnsi="Arial"/>
                <w:sz w:val="14"/>
                <w:szCs w:val="14"/>
                <w:color w:val="auto"/>
                <w:w w:val="96"/>
              </w:rPr>
              <w:t>Common Equity</w:t>
            </w:r>
          </w:p>
        </w:tc>
        <w:tc>
          <w:tcPr>
            <w:tcW w:w="112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54 Thompson St.</w:t>
            </w:r>
          </w:p>
        </w:tc>
        <w:tc>
          <w:tcPr>
            <w:tcW w:w="1720" w:type="dxa"/>
            <w:vAlign w:val="bottom"/>
            <w:gridSpan w:val="2"/>
            <w:shd w:val="clear" w:color="auto" w:fill="CCEEFF"/>
          </w:tcPr>
          <w:p>
            <w:pPr>
              <w:jc w:val="center"/>
              <w:ind w:right="340"/>
              <w:spacing w:after="0" w:line="147" w:lineRule="exact"/>
              <w:rPr>
                <w:sz w:val="20"/>
                <w:szCs w:val="20"/>
                <w:color w:val="auto"/>
              </w:rPr>
            </w:pPr>
            <w:r>
              <w:rPr>
                <w:rFonts w:ascii="Arial" w:cs="Arial" w:eastAsia="Arial" w:hAnsi="Arial"/>
                <w:sz w:val="14"/>
                <w:szCs w:val="14"/>
                <w:color w:val="auto"/>
                <w:w w:val="94"/>
              </w:rPr>
              <w:t>Entertainment</w:t>
            </w:r>
          </w:p>
        </w:tc>
        <w:tc>
          <w:tcPr>
            <w:tcW w:w="2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80" w:type="dxa"/>
            <w:vAlign w:val="bottom"/>
            <w:gridSpan w:val="3"/>
          </w:tcPr>
          <w:p>
            <w:pPr>
              <w:spacing w:after="0"/>
              <w:rPr>
                <w:sz w:val="20"/>
                <w:szCs w:val="20"/>
                <w:color w:val="auto"/>
              </w:rPr>
            </w:pPr>
            <w:r>
              <w:rPr>
                <w:rFonts w:ascii="Arial" w:cs="Arial" w:eastAsia="Arial" w:hAnsi="Arial"/>
                <w:sz w:val="14"/>
                <w:szCs w:val="14"/>
                <w:color w:val="auto"/>
              </w:rPr>
              <w:t>Bazaarvoice, Inc.</w:t>
            </w: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Printing and Publishing</w:t>
            </w:r>
          </w:p>
        </w:tc>
        <w:tc>
          <w:tcPr>
            <w:tcW w:w="318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First Lien Secured Debt,</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14,739</w:t>
            </w:r>
          </w:p>
        </w:tc>
        <w:tc>
          <w:tcPr>
            <w:tcW w:w="0" w:type="dxa"/>
            <w:vAlign w:val="bottom"/>
          </w:tcPr>
          <w:p>
            <w:pPr>
              <w:spacing w:after="0"/>
              <w:rPr>
                <w:sz w:val="1"/>
                <w:szCs w:val="1"/>
                <w:color w:val="auto"/>
              </w:rPr>
            </w:pPr>
          </w:p>
        </w:tc>
      </w:tr>
      <w:tr>
        <w:trPr>
          <w:trHeight w:val="147"/>
        </w:trPr>
        <w:tc>
          <w:tcPr>
            <w:tcW w:w="3780" w:type="dxa"/>
            <w:vAlign w:val="bottom"/>
            <w:gridSpan w:val="3"/>
          </w:tcPr>
          <w:p>
            <w:pPr>
              <w:spacing w:after="0" w:line="147" w:lineRule="exact"/>
              <w:rPr>
                <w:sz w:val="20"/>
                <w:szCs w:val="20"/>
                <w:color w:val="auto"/>
              </w:rPr>
            </w:pPr>
            <w:r>
              <w:rPr>
                <w:rFonts w:ascii="Arial" w:cs="Arial" w:eastAsia="Arial" w:hAnsi="Arial"/>
                <w:sz w:val="14"/>
                <w:szCs w:val="14"/>
                <w:color w:val="auto"/>
              </w:rPr>
              <w:t>10901 South Stonelake Blvd.</w:t>
            </w: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8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93"/>
              </w:rPr>
              <w:t>1M L+575, 02/01/2024</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80" w:type="dxa"/>
            <w:vAlign w:val="bottom"/>
            <w:gridSpan w:val="3"/>
          </w:tcPr>
          <w:p>
            <w:pPr>
              <w:spacing w:after="0"/>
              <w:rPr>
                <w:sz w:val="20"/>
                <w:szCs w:val="20"/>
                <w:color w:val="auto"/>
              </w:rPr>
            </w:pPr>
            <w:r>
              <w:rPr>
                <w:rFonts w:ascii="Arial" w:cs="Arial" w:eastAsia="Arial" w:hAnsi="Arial"/>
                <w:sz w:val="14"/>
                <w:szCs w:val="14"/>
                <w:color w:val="auto"/>
              </w:rPr>
              <w:t>Austin, TX 78759</w:t>
            </w: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Bottom Line Systems, LLC</w:t>
            </w:r>
          </w:p>
        </w:tc>
        <w:tc>
          <w:tcPr>
            <w:tcW w:w="1720" w:type="dxa"/>
            <w:vAlign w:val="bottom"/>
            <w:gridSpan w:val="2"/>
            <w:shd w:val="clear" w:color="auto" w:fill="CCEEFF"/>
          </w:tcPr>
          <w:p>
            <w:pPr>
              <w:jc w:val="center"/>
              <w:ind w:right="340"/>
              <w:spacing w:after="0" w:line="129" w:lineRule="exact"/>
              <w:rPr>
                <w:sz w:val="20"/>
                <w:szCs w:val="20"/>
                <w:color w:val="auto"/>
              </w:rPr>
            </w:pPr>
            <w:r>
              <w:rPr>
                <w:rFonts w:ascii="Arial" w:cs="Arial" w:eastAsia="Arial" w:hAnsi="Arial"/>
                <w:sz w:val="14"/>
                <w:szCs w:val="14"/>
                <w:color w:val="auto"/>
                <w:w w:val="91"/>
              </w:rPr>
              <w:t>Healthcare, Education</w:t>
            </w:r>
          </w:p>
        </w:tc>
        <w:tc>
          <w:tcPr>
            <w:tcW w:w="3180" w:type="dxa"/>
            <w:vAlign w:val="bottom"/>
            <w:gridSpan w:val="2"/>
            <w:shd w:val="clear" w:color="auto" w:fill="CCEEFF"/>
          </w:tcPr>
          <w:p>
            <w:pPr>
              <w:jc w:val="center"/>
              <w:ind w:right="340"/>
              <w:spacing w:after="0" w:line="129" w:lineRule="exact"/>
              <w:rPr>
                <w:sz w:val="20"/>
                <w:szCs w:val="20"/>
                <w:color w:val="auto"/>
              </w:rPr>
            </w:pPr>
            <w:r>
              <w:rPr>
                <w:rFonts w:ascii="Arial" w:cs="Arial" w:eastAsia="Arial" w:hAnsi="Arial"/>
                <w:sz w:val="14"/>
                <w:szCs w:val="14"/>
                <w:color w:val="auto"/>
                <w:w w:val="92"/>
              </w:rPr>
              <w:t>First Lien Secured Debt,</w:t>
            </w:r>
          </w:p>
        </w:tc>
        <w:tc>
          <w:tcPr>
            <w:tcW w:w="1120" w:type="dxa"/>
            <w:vAlign w:val="bottom"/>
            <w:gridSpan w:val="2"/>
            <w:shd w:val="clear" w:color="auto" w:fill="CCEEFF"/>
          </w:tcPr>
          <w:p>
            <w:pPr>
              <w:jc w:val="right"/>
              <w:ind w:right="380"/>
              <w:spacing w:after="0" w:line="12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19,583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541 Buttermilk Pike, Suite 401</w:t>
            </w:r>
          </w:p>
        </w:tc>
        <w:tc>
          <w:tcPr>
            <w:tcW w:w="1720" w:type="dxa"/>
            <w:vAlign w:val="bottom"/>
            <w:gridSpan w:val="2"/>
            <w:shd w:val="clear" w:color="auto" w:fill="CCEEFF"/>
          </w:tcPr>
          <w:p>
            <w:pPr>
              <w:jc w:val="center"/>
              <w:ind w:right="340"/>
              <w:spacing w:after="0" w:line="147" w:lineRule="exact"/>
              <w:rPr>
                <w:sz w:val="20"/>
                <w:szCs w:val="20"/>
                <w:color w:val="auto"/>
              </w:rPr>
            </w:pPr>
            <w:r>
              <w:rPr>
                <w:rFonts w:ascii="Arial" w:cs="Arial" w:eastAsia="Arial" w:hAnsi="Arial"/>
                <w:sz w:val="14"/>
                <w:szCs w:val="14"/>
                <w:color w:val="auto"/>
                <w:w w:val="90"/>
              </w:rPr>
              <w:t>and Childcare</w:t>
            </w:r>
          </w:p>
        </w:tc>
        <w:tc>
          <w:tcPr>
            <w:tcW w:w="3180" w:type="dxa"/>
            <w:vAlign w:val="bottom"/>
            <w:gridSpan w:val="2"/>
            <w:shd w:val="clear" w:color="auto" w:fill="CCEEFF"/>
          </w:tcPr>
          <w:p>
            <w:pPr>
              <w:jc w:val="center"/>
              <w:ind w:right="340"/>
              <w:spacing w:after="0" w:line="147" w:lineRule="exact"/>
              <w:rPr>
                <w:sz w:val="20"/>
                <w:szCs w:val="20"/>
                <w:color w:val="auto"/>
              </w:rPr>
            </w:pPr>
            <w:r>
              <w:rPr>
                <w:rFonts w:ascii="Arial" w:cs="Arial" w:eastAsia="Arial" w:hAnsi="Arial"/>
                <w:sz w:val="14"/>
                <w:szCs w:val="14"/>
                <w:color w:val="auto"/>
                <w:w w:val="93"/>
              </w:rPr>
              <w:t>1M L+750, 02/13/2023</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Crescent Springs, KY 41017</w:t>
            </w:r>
          </w:p>
        </w:tc>
        <w:tc>
          <w:tcPr>
            <w:tcW w:w="1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80" w:type="dxa"/>
            <w:vAlign w:val="bottom"/>
            <w:gridSpan w:val="3"/>
          </w:tcPr>
          <w:p>
            <w:pPr>
              <w:spacing w:after="0"/>
              <w:rPr>
                <w:sz w:val="20"/>
                <w:szCs w:val="20"/>
                <w:color w:val="auto"/>
              </w:rPr>
            </w:pPr>
            <w:r>
              <w:rPr>
                <w:rFonts w:ascii="Arial" w:cs="Arial" w:eastAsia="Arial" w:hAnsi="Arial"/>
                <w:sz w:val="14"/>
                <w:szCs w:val="14"/>
                <w:color w:val="auto"/>
              </w:rPr>
              <w:t>Broder Bros., Co.</w:t>
            </w: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Consumer Products</w:t>
            </w:r>
          </w:p>
        </w:tc>
        <w:tc>
          <w:tcPr>
            <w:tcW w:w="318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First Lien Secured Debt,</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31,515</w:t>
            </w:r>
          </w:p>
        </w:tc>
        <w:tc>
          <w:tcPr>
            <w:tcW w:w="0" w:type="dxa"/>
            <w:vAlign w:val="bottom"/>
          </w:tcPr>
          <w:p>
            <w:pPr>
              <w:spacing w:after="0"/>
              <w:rPr>
                <w:sz w:val="1"/>
                <w:szCs w:val="1"/>
                <w:color w:val="auto"/>
              </w:rPr>
            </w:pPr>
          </w:p>
        </w:tc>
      </w:tr>
      <w:tr>
        <w:trPr>
          <w:trHeight w:val="147"/>
        </w:trPr>
        <w:tc>
          <w:tcPr>
            <w:tcW w:w="3780" w:type="dxa"/>
            <w:vAlign w:val="bottom"/>
            <w:gridSpan w:val="3"/>
          </w:tcPr>
          <w:p>
            <w:pPr>
              <w:spacing w:after="0" w:line="147" w:lineRule="exact"/>
              <w:rPr>
                <w:sz w:val="20"/>
                <w:szCs w:val="20"/>
                <w:color w:val="auto"/>
              </w:rPr>
            </w:pPr>
            <w:r>
              <w:rPr>
                <w:rFonts w:ascii="Arial" w:cs="Arial" w:eastAsia="Arial" w:hAnsi="Arial"/>
                <w:sz w:val="14"/>
                <w:szCs w:val="14"/>
                <w:color w:val="auto"/>
              </w:rPr>
              <w:t>Six Neshaminy Interplex, 6 Floor</w:t>
            </w: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8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93"/>
              </w:rPr>
              <w:t>3M L+850, 12/02/2022</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80" w:type="dxa"/>
            <w:vAlign w:val="bottom"/>
            <w:gridSpan w:val="3"/>
          </w:tcPr>
          <w:p>
            <w:pPr>
              <w:spacing w:after="0"/>
              <w:rPr>
                <w:sz w:val="20"/>
                <w:szCs w:val="20"/>
                <w:color w:val="auto"/>
              </w:rPr>
            </w:pPr>
            <w:r>
              <w:rPr>
                <w:rFonts w:ascii="Arial" w:cs="Arial" w:eastAsia="Arial" w:hAnsi="Arial"/>
                <w:sz w:val="14"/>
                <w:szCs w:val="14"/>
                <w:color w:val="auto"/>
              </w:rPr>
              <w:t>Trevose, PA 19053</w:t>
            </w: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2240" w:h="15840" w:orient="portrait"/>
          <w:cols w:equalWidth="0" w:num="1">
            <w:col w:w="11060"/>
          </w:cols>
          <w:pgMar w:left="520" w:top="316" w:right="660"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Type of Investment,</w:t>
            </w:r>
          </w:p>
        </w:tc>
        <w:tc>
          <w:tcPr>
            <w:tcW w:w="1260" w:type="dxa"/>
            <w:vAlign w:val="bottom"/>
            <w:gridSpan w:val="2"/>
          </w:tcPr>
          <w:p>
            <w:pPr>
              <w:jc w:val="right"/>
              <w:ind w:right="579"/>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3"/>
        </w:trPr>
        <w:tc>
          <w:tcPr>
            <w:tcW w:w="3740" w:type="dxa"/>
            <w:vAlign w:val="bottom"/>
            <w:gridSpan w:val="3"/>
            <w:vMerge w:val="continue"/>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220" w:type="dxa"/>
            <w:vAlign w:val="bottom"/>
            <w:gridSpan w:val="2"/>
            <w:vMerge w:val="continue"/>
          </w:tcPr>
          <w:p>
            <w:pPr>
              <w:spacing w:after="0"/>
              <w:rPr>
                <w:sz w:val="12"/>
                <w:szCs w:val="12"/>
                <w:color w:val="auto"/>
              </w:rPr>
            </w:pPr>
          </w:p>
        </w:tc>
        <w:tc>
          <w:tcPr>
            <w:tcW w:w="1260" w:type="dxa"/>
            <w:vAlign w:val="bottom"/>
            <w:gridSpan w:val="2"/>
          </w:tcPr>
          <w:p>
            <w:pPr>
              <w:jc w:val="right"/>
              <w:ind w:right="459"/>
              <w:spacing w:after="0" w:line="143" w:lineRule="exact"/>
              <w:rPr>
                <w:sz w:val="20"/>
                <w:szCs w:val="20"/>
                <w:color w:val="auto"/>
              </w:rPr>
            </w:pPr>
            <w:r>
              <w:rPr>
                <w:rFonts w:ascii="Arial" w:cs="Arial" w:eastAsia="Arial" w:hAnsi="Arial"/>
                <w:sz w:val="14"/>
                <w:szCs w:val="14"/>
                <w:b w:val="1"/>
                <w:bCs w:val="1"/>
                <w:color w:val="auto"/>
                <w:w w:val="95"/>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80" w:type="dxa"/>
            <w:vAlign w:val="bottom"/>
            <w:gridSpan w:val="2"/>
            <w:vMerge w:val="continue"/>
          </w:tcPr>
          <w:p>
            <w:pPr>
              <w:spacing w:after="0"/>
              <w:rPr>
                <w:sz w:val="13"/>
                <w:szCs w:val="13"/>
                <w:color w:val="auto"/>
              </w:rPr>
            </w:pPr>
          </w:p>
        </w:tc>
        <w:tc>
          <w:tcPr>
            <w:tcW w:w="3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6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07" w:lineRule="exact"/>
              <w:rPr>
                <w:sz w:val="20"/>
                <w:szCs w:val="20"/>
                <w:color w:val="auto"/>
              </w:rPr>
            </w:pPr>
            <w:r>
              <w:rPr>
                <w:rFonts w:ascii="Arial" w:cs="Arial" w:eastAsia="Arial" w:hAnsi="Arial"/>
                <w:sz w:val="12"/>
                <w:szCs w:val="12"/>
                <w:color w:val="auto"/>
              </w:rPr>
              <w:t>Blackhawk Industrial Distribution, Inc.</w:t>
            </w:r>
          </w:p>
        </w:tc>
        <w:tc>
          <w:tcPr>
            <w:tcW w:w="1500" w:type="dxa"/>
            <w:vAlign w:val="bottom"/>
            <w:shd w:val="clear" w:color="auto" w:fill="CCEEFF"/>
          </w:tcPr>
          <w:p>
            <w:pPr>
              <w:jc w:val="center"/>
              <w:spacing w:after="0" w:line="107" w:lineRule="exact"/>
              <w:rPr>
                <w:sz w:val="20"/>
                <w:szCs w:val="20"/>
                <w:color w:val="auto"/>
              </w:rPr>
            </w:pPr>
            <w:r>
              <w:rPr>
                <w:rFonts w:ascii="Arial" w:cs="Arial" w:eastAsia="Arial" w:hAnsi="Arial"/>
                <w:sz w:val="12"/>
                <w:szCs w:val="12"/>
                <w:color w:val="auto"/>
              </w:rPr>
              <w:t>Distribution</w:t>
            </w:r>
          </w:p>
        </w:tc>
        <w:tc>
          <w:tcPr>
            <w:tcW w:w="280" w:type="dxa"/>
            <w:vAlign w:val="bottom"/>
            <w:shd w:val="clear" w:color="auto" w:fill="CCEEFF"/>
          </w:tcPr>
          <w:p>
            <w:pPr>
              <w:spacing w:after="0"/>
              <w:rPr>
                <w:sz w:val="9"/>
                <w:szCs w:val="9"/>
                <w:color w:val="auto"/>
              </w:rPr>
            </w:pPr>
          </w:p>
        </w:tc>
        <w:tc>
          <w:tcPr>
            <w:tcW w:w="2940" w:type="dxa"/>
            <w:vAlign w:val="bottom"/>
            <w:shd w:val="clear" w:color="auto" w:fill="CCEEFF"/>
          </w:tcPr>
          <w:p>
            <w:pPr>
              <w:jc w:val="center"/>
              <w:spacing w:after="0" w:line="107" w:lineRule="exact"/>
              <w:rPr>
                <w:sz w:val="20"/>
                <w:szCs w:val="20"/>
                <w:color w:val="auto"/>
              </w:rPr>
            </w:pPr>
            <w:r>
              <w:rPr>
                <w:rFonts w:ascii="Arial" w:cs="Arial" w:eastAsia="Arial" w:hAnsi="Arial"/>
                <w:sz w:val="12"/>
                <w:szCs w:val="12"/>
                <w:color w:val="auto"/>
              </w:rPr>
              <w:t>Subordinated Debt,</w:t>
            </w:r>
          </w:p>
        </w:tc>
        <w:tc>
          <w:tcPr>
            <w:tcW w:w="2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7" w:lineRule="exact"/>
              <w:rPr>
                <w:sz w:val="20"/>
                <w:szCs w:val="20"/>
                <w:color w:val="auto"/>
              </w:rPr>
            </w:pPr>
            <w:r>
              <w:rPr>
                <w:rFonts w:ascii="Arial" w:cs="Arial" w:eastAsia="Arial" w:hAnsi="Arial"/>
                <w:sz w:val="12"/>
                <w:szCs w:val="12"/>
                <w:color w:val="auto"/>
              </w:rPr>
              <w:t>1.5</w:t>
            </w:r>
          </w:p>
        </w:tc>
        <w:tc>
          <w:tcPr>
            <w:tcW w:w="440" w:type="dxa"/>
            <w:vAlign w:val="bottom"/>
            <w:shd w:val="clear" w:color="auto" w:fill="CCEEFF"/>
          </w:tcPr>
          <w:p>
            <w:pPr>
              <w:jc w:val="right"/>
              <w:ind w:right="259"/>
              <w:spacing w:after="0" w:line="107" w:lineRule="exact"/>
              <w:rPr>
                <w:sz w:val="20"/>
                <w:szCs w:val="20"/>
                <w:color w:val="auto"/>
              </w:rPr>
            </w:pPr>
            <w:r>
              <w:rPr>
                <w:rFonts w:ascii="Arial" w:cs="Arial" w:eastAsia="Arial" w:hAnsi="Arial"/>
                <w:sz w:val="12"/>
                <w:szCs w:val="12"/>
                <w:color w:val="auto"/>
                <w:w w:val="93"/>
              </w:rPr>
              <w:t>%</w:t>
            </w:r>
          </w:p>
        </w:tc>
        <w:tc>
          <w:tcPr>
            <w:tcW w:w="880" w:type="dxa"/>
            <w:vAlign w:val="bottom"/>
            <w:shd w:val="clear" w:color="auto" w:fill="CCEEFF"/>
          </w:tcPr>
          <w:p>
            <w:pPr>
              <w:jc w:val="right"/>
              <w:spacing w:after="0" w:line="107" w:lineRule="exact"/>
              <w:rPr>
                <w:sz w:val="20"/>
                <w:szCs w:val="20"/>
                <w:color w:val="auto"/>
              </w:rPr>
            </w:pPr>
            <w:r>
              <w:rPr>
                <w:rFonts w:ascii="Arial" w:cs="Arial" w:eastAsia="Arial" w:hAnsi="Arial"/>
                <w:sz w:val="12"/>
                <w:szCs w:val="12"/>
                <w:color w:val="auto"/>
              </w:rPr>
              <w:t>16,105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(Cowboy Parent LLC)</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4"/>
              </w:rPr>
              <w:t>12.0% fixed (PIK 2.0%), 03/17/2025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1501 SW Expressway Drive</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Broken Arrow, OK 74012</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40" w:type="dxa"/>
            <w:vAlign w:val="bottom"/>
            <w:gridSpan w:val="3"/>
          </w:tcPr>
          <w:p>
            <w:pPr>
              <w:spacing w:after="0"/>
              <w:rPr>
                <w:sz w:val="20"/>
                <w:szCs w:val="20"/>
                <w:color w:val="auto"/>
              </w:rPr>
            </w:pPr>
            <w:r>
              <w:rPr>
                <w:rFonts w:ascii="Arial" w:cs="Arial" w:eastAsia="Arial" w:hAnsi="Arial"/>
                <w:sz w:val="14"/>
                <w:szCs w:val="14"/>
                <w:color w:val="auto"/>
              </w:rPr>
              <w:t>Cano Health, LLC</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Healthcare, Education</w:t>
            </w:r>
          </w:p>
        </w:tc>
        <w:tc>
          <w:tcPr>
            <w:tcW w:w="32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First Lien Secured Debt,</w:t>
            </w:r>
          </w:p>
        </w:tc>
        <w:tc>
          <w:tcPr>
            <w:tcW w:w="1260" w:type="dxa"/>
            <w:vAlign w:val="bottom"/>
            <w:gridSpan w:val="2"/>
          </w:tcPr>
          <w:p>
            <w:pPr>
              <w:jc w:val="right"/>
              <w:ind w:right="259"/>
              <w:spacing w:after="0"/>
              <w:rPr>
                <w:sz w:val="20"/>
                <w:szCs w:val="20"/>
                <w:color w:val="auto"/>
              </w:rPr>
            </w:pPr>
            <w:r>
              <w:rPr>
                <w:rFonts w:ascii="Arial" w:cs="Arial" w:eastAsia="Arial" w:hAnsi="Arial"/>
                <w:sz w:val="14"/>
                <w:szCs w:val="14"/>
                <w:color w:val="auto"/>
              </w:rPr>
              <w:t>3.7%</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41,198</w:t>
            </w:r>
          </w:p>
        </w:tc>
        <w:tc>
          <w:tcPr>
            <w:tcW w:w="0" w:type="dxa"/>
            <w:vAlign w:val="bottom"/>
          </w:tcPr>
          <w:p>
            <w:pPr>
              <w:spacing w:after="0"/>
              <w:rPr>
                <w:sz w:val="1"/>
                <w:szCs w:val="1"/>
                <w:color w:val="auto"/>
              </w:rPr>
            </w:pPr>
          </w:p>
        </w:tc>
      </w:tr>
      <w:tr>
        <w:trPr>
          <w:trHeight w:val="147"/>
        </w:trPr>
        <w:tc>
          <w:tcPr>
            <w:tcW w:w="3740" w:type="dxa"/>
            <w:vAlign w:val="bottom"/>
            <w:gridSpan w:val="3"/>
          </w:tcPr>
          <w:p>
            <w:pPr>
              <w:spacing w:after="0" w:line="147" w:lineRule="exact"/>
              <w:rPr>
                <w:sz w:val="20"/>
                <w:szCs w:val="20"/>
                <w:color w:val="auto"/>
              </w:rPr>
            </w:pPr>
            <w:r>
              <w:rPr>
                <w:rFonts w:ascii="Arial" w:cs="Arial" w:eastAsia="Arial" w:hAnsi="Arial"/>
                <w:sz w:val="14"/>
                <w:szCs w:val="14"/>
                <w:color w:val="auto"/>
              </w:rPr>
              <w:t>(ITC Rumba, LLC</w:t>
            </w:r>
            <w:r>
              <w:rPr>
                <w:rFonts w:ascii="Arial" w:cs="Arial" w:eastAsia="Arial" w:hAnsi="Arial"/>
                <w:sz w:val="12"/>
                <w:szCs w:val="12"/>
                <w:color w:val="auto"/>
              </w:rPr>
              <w:t>(5)</w:t>
            </w:r>
            <w:r>
              <w:rPr>
                <w:rFonts w:ascii="Arial" w:cs="Arial" w:eastAsia="Arial" w:hAnsi="Arial"/>
                <w:sz w:val="14"/>
                <w:szCs w:val="14"/>
                <w:color w:val="auto"/>
              </w:rPr>
              <w:t>)</w:t>
            </w:r>
          </w:p>
        </w:tc>
        <w:tc>
          <w:tcPr>
            <w:tcW w:w="178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0"/>
              </w:rPr>
              <w:t>and Childcare</w:t>
            </w: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5"/>
              </w:rPr>
              <w:t>1M L+625, 12/23/2021</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3"/>
          </w:tcPr>
          <w:p>
            <w:pPr>
              <w:spacing w:after="0" w:line="147" w:lineRule="exact"/>
              <w:rPr>
                <w:sz w:val="20"/>
                <w:szCs w:val="20"/>
                <w:color w:val="auto"/>
              </w:rPr>
            </w:pPr>
            <w:r>
              <w:rPr>
                <w:rFonts w:ascii="Arial" w:cs="Arial" w:eastAsia="Arial" w:hAnsi="Arial"/>
                <w:sz w:val="14"/>
                <w:szCs w:val="14"/>
                <w:color w:val="auto"/>
              </w:rPr>
              <w:t>680 N. University Drive</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40" w:type="dxa"/>
            <w:vAlign w:val="bottom"/>
            <w:gridSpan w:val="3"/>
          </w:tcPr>
          <w:p>
            <w:pPr>
              <w:spacing w:after="0"/>
              <w:rPr>
                <w:sz w:val="20"/>
                <w:szCs w:val="20"/>
                <w:color w:val="auto"/>
              </w:rPr>
            </w:pPr>
            <w:r>
              <w:rPr>
                <w:rFonts w:ascii="Arial" w:cs="Arial" w:eastAsia="Arial" w:hAnsi="Arial"/>
                <w:sz w:val="14"/>
                <w:szCs w:val="14"/>
                <w:color w:val="auto"/>
              </w:rPr>
              <w:t>Pembroke Pines, FL 33024</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Cardinal Logistics Holdings LLC</w:t>
            </w:r>
            <w:r>
              <w:rPr>
                <w:rFonts w:ascii="Arial" w:cs="Arial" w:eastAsia="Arial" w:hAnsi="Arial"/>
                <w:sz w:val="12"/>
                <w:szCs w:val="12"/>
                <w:color w:val="auto"/>
              </w:rPr>
              <w:t>(5)</w:t>
            </w:r>
          </w:p>
        </w:tc>
        <w:tc>
          <w:tcPr>
            <w:tcW w:w="178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92"/>
              </w:rPr>
              <w:t>Cargo Transport</w:t>
            </w:r>
          </w:p>
        </w:tc>
        <w:tc>
          <w:tcPr>
            <w:tcW w:w="322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91"/>
              </w:rPr>
              <w:t>Second Lien Secured Debt,</w:t>
            </w:r>
          </w:p>
        </w:tc>
        <w:tc>
          <w:tcPr>
            <w:tcW w:w="1260" w:type="dxa"/>
            <w:vAlign w:val="bottom"/>
            <w:gridSpan w:val="2"/>
            <w:shd w:val="clear" w:color="auto" w:fill="CCEEFF"/>
          </w:tcPr>
          <w:p>
            <w:pPr>
              <w:jc w:val="right"/>
              <w:ind w:right="259"/>
              <w:spacing w:after="0" w:line="129" w:lineRule="exact"/>
              <w:rPr>
                <w:sz w:val="20"/>
                <w:szCs w:val="20"/>
                <w:color w:val="auto"/>
              </w:rPr>
            </w:pPr>
            <w:r>
              <w:rPr>
                <w:rFonts w:ascii="Arial" w:cs="Arial" w:eastAsia="Arial" w:hAnsi="Arial"/>
                <w:sz w:val="14"/>
                <w:szCs w:val="14"/>
                <w:color w:val="auto"/>
              </w:rPr>
              <w:t>2.1%</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4,092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(Intermediate Transportation 100, LLC)</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60"/>
              <w:spacing w:after="0" w:line="147" w:lineRule="exact"/>
              <w:rPr>
                <w:sz w:val="20"/>
                <w:szCs w:val="20"/>
                <w:color w:val="auto"/>
              </w:rPr>
            </w:pPr>
            <w:r>
              <w:rPr>
                <w:rFonts w:ascii="Arial" w:cs="Arial" w:eastAsia="Arial" w:hAnsi="Arial"/>
                <w:sz w:val="14"/>
                <w:szCs w:val="14"/>
                <w:color w:val="auto"/>
                <w:w w:val="94"/>
              </w:rPr>
              <w:t>11.0% fixed PIK, 03/01/2019</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12404 Park Central Drive, Ste. 300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Dallas, TX 75251</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40" w:type="dxa"/>
            <w:vAlign w:val="bottom"/>
            <w:gridSpan w:val="3"/>
          </w:tcPr>
          <w:p>
            <w:pPr>
              <w:spacing w:after="0"/>
              <w:rPr>
                <w:sz w:val="20"/>
                <w:szCs w:val="20"/>
                <w:color w:val="auto"/>
              </w:rPr>
            </w:pPr>
            <w:r>
              <w:rPr>
                <w:rFonts w:ascii="Arial" w:cs="Arial" w:eastAsia="Arial" w:hAnsi="Arial"/>
                <w:sz w:val="14"/>
                <w:szCs w:val="14"/>
                <w:color w:val="auto"/>
              </w:rPr>
              <w:t>Cascade Environmental LLC</w:t>
            </w:r>
            <w:r>
              <w:rPr>
                <w:rFonts w:ascii="Arial" w:cs="Arial" w:eastAsia="Arial" w:hAnsi="Arial"/>
                <w:sz w:val="12"/>
                <w:szCs w:val="12"/>
                <w:color w:val="auto"/>
              </w:rPr>
              <w:t>(5)</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Environmental Services</w:t>
            </w:r>
          </w:p>
        </w:tc>
        <w:tc>
          <w:tcPr>
            <w:tcW w:w="322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Subordinated Debt,</w:t>
            </w:r>
          </w:p>
        </w:tc>
        <w:tc>
          <w:tcPr>
            <w:tcW w:w="1260" w:type="dxa"/>
            <w:vAlign w:val="bottom"/>
            <w:gridSpan w:val="2"/>
          </w:tcPr>
          <w:p>
            <w:pPr>
              <w:jc w:val="right"/>
              <w:ind w:right="259"/>
              <w:spacing w:after="0"/>
              <w:rPr>
                <w:sz w:val="20"/>
                <w:szCs w:val="20"/>
                <w:color w:val="auto"/>
              </w:rPr>
            </w:pPr>
            <w:r>
              <w:rPr>
                <w:rFonts w:ascii="Arial" w:cs="Arial" w:eastAsia="Arial" w:hAnsi="Arial"/>
                <w:sz w:val="14"/>
                <w:szCs w:val="14"/>
                <w:color w:val="auto"/>
              </w:rPr>
              <w:t>2.8%</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35,074</w:t>
            </w:r>
          </w:p>
        </w:tc>
        <w:tc>
          <w:tcPr>
            <w:tcW w:w="0" w:type="dxa"/>
            <w:vAlign w:val="bottom"/>
          </w:tcPr>
          <w:p>
            <w:pPr>
              <w:spacing w:after="0"/>
              <w:rPr>
                <w:sz w:val="1"/>
                <w:szCs w:val="1"/>
                <w:color w:val="auto"/>
              </w:rPr>
            </w:pPr>
          </w:p>
        </w:tc>
      </w:tr>
      <w:tr>
        <w:trPr>
          <w:trHeight w:val="147"/>
        </w:trPr>
        <w:tc>
          <w:tcPr>
            <w:tcW w:w="3740" w:type="dxa"/>
            <w:vAlign w:val="bottom"/>
            <w:gridSpan w:val="3"/>
          </w:tcPr>
          <w:p>
            <w:pPr>
              <w:spacing w:after="0" w:line="147" w:lineRule="exact"/>
              <w:rPr>
                <w:sz w:val="20"/>
                <w:szCs w:val="20"/>
                <w:color w:val="auto"/>
              </w:rPr>
            </w:pPr>
            <w:r>
              <w:rPr>
                <w:rFonts w:ascii="Arial" w:cs="Arial" w:eastAsia="Arial" w:hAnsi="Arial"/>
                <w:sz w:val="14"/>
                <w:szCs w:val="14"/>
                <w:color w:val="auto"/>
              </w:rPr>
              <w:t>17270 Woodinville-Redmond Road</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4"/>
              </w:rPr>
              <w:t>15.0% fixed (PIK 13.0%), 08/20/2021</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40" w:type="dxa"/>
            <w:vAlign w:val="bottom"/>
            <w:gridSpan w:val="3"/>
          </w:tcPr>
          <w:p>
            <w:pPr>
              <w:spacing w:after="0"/>
              <w:rPr>
                <w:sz w:val="20"/>
                <w:szCs w:val="20"/>
                <w:color w:val="auto"/>
              </w:rPr>
            </w:pPr>
            <w:r>
              <w:rPr>
                <w:rFonts w:ascii="Arial" w:cs="Arial" w:eastAsia="Arial" w:hAnsi="Arial"/>
                <w:sz w:val="14"/>
                <w:szCs w:val="14"/>
                <w:color w:val="auto"/>
              </w:rPr>
              <w:t>Woodinville, WA 98072</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Condor Borrower, LLC</w:t>
            </w:r>
          </w:p>
        </w:tc>
        <w:tc>
          <w:tcPr>
            <w:tcW w:w="178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89"/>
              </w:rPr>
              <w:t>Business Services</w:t>
            </w:r>
          </w:p>
        </w:tc>
        <w:tc>
          <w:tcPr>
            <w:tcW w:w="322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91"/>
              </w:rPr>
              <w:t>Second Lien Secured Debt,</w:t>
            </w:r>
          </w:p>
        </w:tc>
        <w:tc>
          <w:tcPr>
            <w:tcW w:w="1260" w:type="dxa"/>
            <w:vAlign w:val="bottom"/>
            <w:gridSpan w:val="2"/>
            <w:shd w:val="clear" w:color="auto" w:fill="CCEEFF"/>
          </w:tcPr>
          <w:p>
            <w:pPr>
              <w:jc w:val="right"/>
              <w:ind w:right="259"/>
              <w:spacing w:after="0" w:line="129" w:lineRule="exact"/>
              <w:rPr>
                <w:sz w:val="20"/>
                <w:szCs w:val="20"/>
                <w:color w:val="auto"/>
              </w:rPr>
            </w:pPr>
            <w:r>
              <w:rPr>
                <w:rFonts w:ascii="Arial" w:cs="Arial" w:eastAsia="Arial" w:hAnsi="Arial"/>
                <w:sz w:val="14"/>
                <w:szCs w:val="14"/>
                <w:color w:val="auto"/>
              </w:rPr>
              <w:t>0.3%</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13,034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(6)</w:t>
            </w:r>
            <w:r>
              <w:rPr>
                <w:rFonts w:ascii="Arial" w:cs="Arial" w:eastAsia="Arial" w:hAnsi="Arial"/>
                <w:sz w:val="14"/>
                <w:szCs w:val="14"/>
                <w:color w:val="auto"/>
              </w:rPr>
              <w:t>)</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5"/>
              </w:rPr>
              <w:t>3M L+875, 04/25/2025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(6)</w:t>
            </w:r>
            <w:r>
              <w:rPr>
                <w:rFonts w:ascii="Arial" w:cs="Arial" w:eastAsia="Arial" w:hAnsi="Arial"/>
                <w:sz w:val="14"/>
                <w:szCs w:val="14"/>
                <w:color w:val="auto"/>
              </w:rPr>
              <w:t>)</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2"/>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5 Becker Farm Road</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40" w:type="dxa"/>
            <w:vAlign w:val="bottom"/>
            <w:gridSpan w:val="3"/>
          </w:tcPr>
          <w:p>
            <w:pPr>
              <w:spacing w:after="0"/>
              <w:rPr>
                <w:sz w:val="20"/>
                <w:szCs w:val="20"/>
                <w:color w:val="auto"/>
              </w:rPr>
            </w:pPr>
            <w:r>
              <w:rPr>
                <w:rFonts w:ascii="Arial" w:cs="Arial" w:eastAsia="Arial" w:hAnsi="Arial"/>
                <w:sz w:val="14"/>
                <w:szCs w:val="14"/>
                <w:color w:val="auto"/>
              </w:rPr>
              <w:t>Confie Seguros Holding Co.</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87"/>
              </w:rPr>
              <w:t>Insurance</w:t>
            </w:r>
          </w:p>
        </w:tc>
        <w:tc>
          <w:tcPr>
            <w:tcW w:w="32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Second Lien Secured Debt,</w:t>
            </w:r>
          </w:p>
        </w:tc>
        <w:tc>
          <w:tcPr>
            <w:tcW w:w="1260" w:type="dxa"/>
            <w:vAlign w:val="bottom"/>
            <w:gridSpan w:val="2"/>
          </w:tcPr>
          <w:p>
            <w:pPr>
              <w:jc w:val="right"/>
              <w:ind w:right="4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14,041</w:t>
            </w:r>
          </w:p>
        </w:tc>
        <w:tc>
          <w:tcPr>
            <w:tcW w:w="0" w:type="dxa"/>
            <w:vAlign w:val="bottom"/>
          </w:tcPr>
          <w:p>
            <w:pPr>
              <w:spacing w:after="0"/>
              <w:rPr>
                <w:sz w:val="1"/>
                <w:szCs w:val="1"/>
                <w:color w:val="auto"/>
              </w:rPr>
            </w:pPr>
          </w:p>
        </w:tc>
      </w:tr>
      <w:tr>
        <w:trPr>
          <w:trHeight w:val="147"/>
        </w:trPr>
        <w:tc>
          <w:tcPr>
            <w:tcW w:w="3740" w:type="dxa"/>
            <w:vAlign w:val="bottom"/>
            <w:gridSpan w:val="3"/>
          </w:tcPr>
          <w:p>
            <w:pPr>
              <w:spacing w:after="0" w:line="147" w:lineRule="exact"/>
              <w:rPr>
                <w:sz w:val="20"/>
                <w:szCs w:val="20"/>
                <w:color w:val="auto"/>
              </w:rPr>
            </w:pPr>
            <w:r>
              <w:rPr>
                <w:rFonts w:ascii="Arial" w:cs="Arial" w:eastAsia="Arial" w:hAnsi="Arial"/>
                <w:sz w:val="14"/>
                <w:szCs w:val="14"/>
                <w:color w:val="auto"/>
              </w:rPr>
              <w:t>7711 Center Avenue, Suite 200</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5"/>
              </w:rPr>
              <w:t>3M L+850, 10/31/2025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40" w:type="dxa"/>
            <w:vAlign w:val="bottom"/>
            <w:gridSpan w:val="3"/>
          </w:tcPr>
          <w:p>
            <w:pPr>
              <w:spacing w:after="0"/>
              <w:rPr>
                <w:sz w:val="20"/>
                <w:szCs w:val="20"/>
                <w:color w:val="auto"/>
              </w:rPr>
            </w:pPr>
            <w:r>
              <w:rPr>
                <w:rFonts w:ascii="Arial" w:cs="Arial" w:eastAsia="Arial" w:hAnsi="Arial"/>
                <w:sz w:val="14"/>
                <w:szCs w:val="14"/>
                <w:color w:val="auto"/>
              </w:rPr>
              <w:t>Huntington Beach, CA 92647</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DecoPac, Inc.</w:t>
            </w:r>
          </w:p>
        </w:tc>
        <w:tc>
          <w:tcPr>
            <w:tcW w:w="178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89"/>
              </w:rPr>
              <w:t>Beverage, Food and</w:t>
            </w:r>
          </w:p>
        </w:tc>
        <w:tc>
          <w:tcPr>
            <w:tcW w:w="322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91"/>
              </w:rPr>
              <w:t>Second Lien Secured Debt,</w:t>
            </w:r>
          </w:p>
        </w:tc>
        <w:tc>
          <w:tcPr>
            <w:tcW w:w="1260" w:type="dxa"/>
            <w:vAlign w:val="bottom"/>
            <w:gridSpan w:val="2"/>
            <w:shd w:val="clear" w:color="auto" w:fill="CCEEFF"/>
          </w:tcPr>
          <w:p>
            <w:pPr>
              <w:jc w:val="right"/>
              <w:ind w:right="259"/>
              <w:spacing w:after="0" w:line="129" w:lineRule="exact"/>
              <w:rPr>
                <w:sz w:val="20"/>
                <w:szCs w:val="20"/>
                <w:color w:val="auto"/>
              </w:rPr>
            </w:pPr>
            <w:r>
              <w:rPr>
                <w:rFonts w:ascii="Arial" w:cs="Arial" w:eastAsia="Arial" w:hAnsi="Arial"/>
                <w:sz w:val="14"/>
                <w:szCs w:val="14"/>
                <w:color w:val="auto"/>
              </w:rPr>
              <w:t>2.0%</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28,237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(DecoPac Holdings Inc.)</w:t>
            </w:r>
          </w:p>
        </w:tc>
        <w:tc>
          <w:tcPr>
            <w:tcW w:w="178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3"/>
              </w:rPr>
              <w:t>Tobacco</w:t>
            </w: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5"/>
              </w:rPr>
              <w:t>3M L+825, 03/31/2025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3500 Thurston Avenue</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40" w:type="dxa"/>
            <w:vAlign w:val="bottom"/>
            <w:gridSpan w:val="3"/>
          </w:tcPr>
          <w:p>
            <w:pPr>
              <w:spacing w:after="0"/>
              <w:rPr>
                <w:sz w:val="20"/>
                <w:szCs w:val="20"/>
                <w:color w:val="auto"/>
              </w:rPr>
            </w:pPr>
            <w:r>
              <w:rPr>
                <w:rFonts w:ascii="Arial" w:cs="Arial" w:eastAsia="Arial" w:hAnsi="Arial"/>
                <w:sz w:val="14"/>
                <w:szCs w:val="14"/>
                <w:color w:val="auto"/>
              </w:rPr>
              <w:t>DermaRite Industries LLC</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Manufacturing / Basic</w:t>
            </w:r>
          </w:p>
        </w:tc>
        <w:tc>
          <w:tcPr>
            <w:tcW w:w="32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First Lien Secured Debt,</w:t>
            </w:r>
          </w:p>
        </w:tc>
        <w:tc>
          <w:tcPr>
            <w:tcW w:w="1260" w:type="dxa"/>
            <w:vAlign w:val="bottom"/>
            <w:gridSpan w:val="2"/>
          </w:tcPr>
          <w:p>
            <w:pPr>
              <w:jc w:val="right"/>
              <w:ind w:right="4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9,557</w:t>
            </w:r>
          </w:p>
        </w:tc>
        <w:tc>
          <w:tcPr>
            <w:tcW w:w="0" w:type="dxa"/>
            <w:vAlign w:val="bottom"/>
          </w:tcPr>
          <w:p>
            <w:pPr>
              <w:spacing w:after="0"/>
              <w:rPr>
                <w:sz w:val="1"/>
                <w:szCs w:val="1"/>
                <w:color w:val="auto"/>
              </w:rPr>
            </w:pPr>
          </w:p>
        </w:tc>
      </w:tr>
      <w:tr>
        <w:trPr>
          <w:trHeight w:val="147"/>
        </w:trPr>
        <w:tc>
          <w:tcPr>
            <w:tcW w:w="3740" w:type="dxa"/>
            <w:vAlign w:val="bottom"/>
            <w:gridSpan w:val="3"/>
          </w:tcPr>
          <w:p>
            <w:pPr>
              <w:spacing w:after="0" w:line="147" w:lineRule="exact"/>
              <w:rPr>
                <w:sz w:val="20"/>
                <w:szCs w:val="20"/>
                <w:color w:val="auto"/>
              </w:rPr>
            </w:pPr>
            <w:r>
              <w:rPr>
                <w:rFonts w:ascii="Arial" w:cs="Arial" w:eastAsia="Arial" w:hAnsi="Arial"/>
                <w:sz w:val="14"/>
                <w:szCs w:val="14"/>
                <w:color w:val="auto"/>
              </w:rPr>
              <w:t>7777 West Side Avenue</w:t>
            </w:r>
          </w:p>
        </w:tc>
        <w:tc>
          <w:tcPr>
            <w:tcW w:w="178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5"/>
              </w:rPr>
              <w:t>Industries</w:t>
            </w: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5"/>
              </w:rPr>
              <w:t>1M L+700, 03/03/2022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40" w:type="dxa"/>
            <w:vAlign w:val="bottom"/>
            <w:gridSpan w:val="3"/>
          </w:tcPr>
          <w:p>
            <w:pPr>
              <w:spacing w:after="0"/>
              <w:rPr>
                <w:sz w:val="20"/>
                <w:szCs w:val="20"/>
                <w:color w:val="auto"/>
              </w:rPr>
            </w:pPr>
            <w:r>
              <w:rPr>
                <w:rFonts w:ascii="Arial" w:cs="Arial" w:eastAsia="Arial" w:hAnsi="Arial"/>
                <w:sz w:val="14"/>
                <w:szCs w:val="14"/>
                <w:color w:val="auto"/>
              </w:rPr>
              <w:t>North Bergen, NJ 07047</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Deva Holdings, Inc.</w:t>
            </w:r>
          </w:p>
        </w:tc>
        <w:tc>
          <w:tcPr>
            <w:tcW w:w="178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92"/>
              </w:rPr>
              <w:t>Consumer Products</w:t>
            </w:r>
          </w:p>
        </w:tc>
        <w:tc>
          <w:tcPr>
            <w:tcW w:w="322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439"/>
              <w:spacing w:after="0" w:line="12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4,520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75 Spring Street Floor 8</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5"/>
              </w:rPr>
              <w:t>3M L+625, 10/31/2023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40" w:type="dxa"/>
            <w:vAlign w:val="bottom"/>
            <w:gridSpan w:val="3"/>
          </w:tcPr>
          <w:p>
            <w:pPr>
              <w:spacing w:after="0"/>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(6)</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Financial Services</w:t>
            </w:r>
          </w:p>
        </w:tc>
        <w:tc>
          <w:tcPr>
            <w:tcW w:w="32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2"/>
          </w:tcPr>
          <w:p>
            <w:pPr>
              <w:jc w:val="right"/>
              <w:ind w:right="259"/>
              <w:spacing w:after="0"/>
              <w:rPr>
                <w:sz w:val="20"/>
                <w:szCs w:val="20"/>
                <w:color w:val="auto"/>
              </w:rPr>
            </w:pPr>
            <w:r>
              <w:rPr>
                <w:rFonts w:ascii="Arial" w:cs="Arial" w:eastAsia="Arial" w:hAnsi="Arial"/>
                <w:sz w:val="14"/>
                <w:szCs w:val="14"/>
                <w:color w:val="auto"/>
              </w:rPr>
              <w:t>1.3%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47"/>
        </w:trPr>
        <w:tc>
          <w:tcPr>
            <w:tcW w:w="3740" w:type="dxa"/>
            <w:vAlign w:val="bottom"/>
            <w:gridSpan w:val="3"/>
          </w:tcPr>
          <w:p>
            <w:pPr>
              <w:spacing w:after="0" w:line="147" w:lineRule="exact"/>
              <w:rPr>
                <w:sz w:val="20"/>
                <w:szCs w:val="20"/>
                <w:color w:val="auto"/>
              </w:rPr>
            </w:pPr>
            <w:r>
              <w:rPr>
                <w:rFonts w:ascii="Arial" w:cs="Arial" w:eastAsia="Arial" w:hAnsi="Arial"/>
                <w:sz w:val="14"/>
                <w:szCs w:val="14"/>
                <w:color w:val="auto"/>
              </w:rPr>
              <w:t>11612 Bee Caves Road, Building II, Suite 200</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40" w:type="dxa"/>
            <w:vAlign w:val="bottom"/>
            <w:gridSpan w:val="3"/>
          </w:tcPr>
          <w:p>
            <w:pPr>
              <w:spacing w:after="0"/>
              <w:rPr>
                <w:sz w:val="20"/>
                <w:szCs w:val="20"/>
                <w:color w:val="auto"/>
              </w:rPr>
            </w:pPr>
            <w:r>
              <w:rPr>
                <w:rFonts w:ascii="Arial" w:cs="Arial" w:eastAsia="Arial" w:hAnsi="Arial"/>
                <w:sz w:val="14"/>
                <w:szCs w:val="14"/>
                <w:color w:val="auto"/>
              </w:rPr>
              <w:t>Austin, TX, 78738</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Faraday Holdings, LLC</w:t>
            </w:r>
          </w:p>
        </w:tc>
        <w:tc>
          <w:tcPr>
            <w:tcW w:w="178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95"/>
              </w:rPr>
              <w:t>Building Materials</w:t>
            </w:r>
          </w:p>
        </w:tc>
        <w:tc>
          <w:tcPr>
            <w:tcW w:w="322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94"/>
              </w:rPr>
              <w:t>Common Equity</w:t>
            </w:r>
          </w:p>
        </w:tc>
        <w:tc>
          <w:tcPr>
            <w:tcW w:w="1260" w:type="dxa"/>
            <w:vAlign w:val="bottom"/>
            <w:gridSpan w:val="2"/>
            <w:shd w:val="clear" w:color="auto" w:fill="CCEEFF"/>
          </w:tcPr>
          <w:p>
            <w:pPr>
              <w:jc w:val="right"/>
              <w:ind w:right="259"/>
              <w:spacing w:after="0" w:line="129" w:lineRule="exact"/>
              <w:rPr>
                <w:sz w:val="20"/>
                <w:szCs w:val="20"/>
                <w:color w:val="auto"/>
              </w:rPr>
            </w:pPr>
            <w:r>
              <w:rPr>
                <w:rFonts w:ascii="Arial" w:cs="Arial" w:eastAsia="Arial" w:hAnsi="Arial"/>
                <w:sz w:val="14"/>
                <w:szCs w:val="14"/>
                <w:color w:val="auto"/>
              </w:rPr>
              <w:t>0.2%</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1630 Faraday Avenue</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40" w:type="dxa"/>
            <w:vAlign w:val="bottom"/>
            <w:gridSpan w:val="3"/>
          </w:tcPr>
          <w:p>
            <w:pPr>
              <w:spacing w:after="0"/>
              <w:rPr>
                <w:sz w:val="20"/>
                <w:szCs w:val="20"/>
                <w:color w:val="auto"/>
              </w:rPr>
            </w:pPr>
            <w:r>
              <w:rPr>
                <w:rFonts w:ascii="Arial" w:cs="Arial" w:eastAsia="Arial" w:hAnsi="Arial"/>
                <w:sz w:val="14"/>
                <w:szCs w:val="14"/>
                <w:color w:val="auto"/>
              </w:rPr>
              <w:t>Halo Buyer, Inc.</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Consumer Products</w:t>
            </w:r>
          </w:p>
        </w:tc>
        <w:tc>
          <w:tcPr>
            <w:tcW w:w="32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Second Lien Secured Debt,</w:t>
            </w:r>
          </w:p>
        </w:tc>
        <w:tc>
          <w:tcPr>
            <w:tcW w:w="1260" w:type="dxa"/>
            <w:vAlign w:val="bottom"/>
            <w:gridSpan w:val="2"/>
          </w:tcPr>
          <w:p>
            <w:pPr>
              <w:jc w:val="right"/>
              <w:ind w:right="4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44,325</w:t>
            </w:r>
          </w:p>
        </w:tc>
        <w:tc>
          <w:tcPr>
            <w:tcW w:w="0" w:type="dxa"/>
            <w:vAlign w:val="bottom"/>
          </w:tcPr>
          <w:p>
            <w:pPr>
              <w:spacing w:after="0"/>
              <w:rPr>
                <w:sz w:val="1"/>
                <w:szCs w:val="1"/>
                <w:color w:val="auto"/>
              </w:rPr>
            </w:pPr>
          </w:p>
        </w:tc>
      </w:tr>
      <w:tr>
        <w:trPr>
          <w:trHeight w:val="147"/>
        </w:trPr>
        <w:tc>
          <w:tcPr>
            <w:tcW w:w="3740" w:type="dxa"/>
            <w:vAlign w:val="bottom"/>
            <w:gridSpan w:val="3"/>
          </w:tcPr>
          <w:p>
            <w:pPr>
              <w:spacing w:after="0" w:line="147" w:lineRule="exact"/>
              <w:rPr>
                <w:sz w:val="20"/>
                <w:szCs w:val="20"/>
                <w:color w:val="auto"/>
              </w:rPr>
            </w:pPr>
            <w:r>
              <w:rPr>
                <w:rFonts w:ascii="Arial" w:cs="Arial" w:eastAsia="Arial" w:hAnsi="Arial"/>
                <w:sz w:val="14"/>
                <w:szCs w:val="14"/>
                <w:color w:val="auto"/>
              </w:rPr>
              <w:t>1980 Industrial Drive</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5"/>
              </w:rPr>
              <w:t>1M L+825, 07/06/2026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40" w:type="dxa"/>
            <w:vAlign w:val="bottom"/>
            <w:gridSpan w:val="3"/>
          </w:tcPr>
          <w:p>
            <w:pPr>
              <w:spacing w:after="0"/>
              <w:rPr>
                <w:sz w:val="20"/>
                <w:szCs w:val="20"/>
                <w:color w:val="auto"/>
              </w:rPr>
            </w:pPr>
            <w:r>
              <w:rPr>
                <w:rFonts w:ascii="Arial" w:cs="Arial" w:eastAsia="Arial" w:hAnsi="Arial"/>
                <w:sz w:val="14"/>
                <w:szCs w:val="14"/>
                <w:color w:val="auto"/>
              </w:rPr>
              <w:t>Sterling, IL 61081</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Hollander Sleep Products, LLC</w:t>
            </w:r>
          </w:p>
        </w:tc>
        <w:tc>
          <w:tcPr>
            <w:tcW w:w="178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92"/>
              </w:rPr>
              <w:t>Consumer Products</w:t>
            </w:r>
          </w:p>
        </w:tc>
        <w:tc>
          <w:tcPr>
            <w:tcW w:w="322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92"/>
              </w:rPr>
              <w:t>First Lien Secured Debt,</w:t>
            </w:r>
          </w:p>
        </w:tc>
        <w:tc>
          <w:tcPr>
            <w:tcW w:w="1260" w:type="dxa"/>
            <w:vAlign w:val="bottom"/>
            <w:gridSpan w:val="2"/>
            <w:shd w:val="clear" w:color="auto" w:fill="CCEEFF"/>
          </w:tcPr>
          <w:p>
            <w:pPr>
              <w:jc w:val="right"/>
              <w:ind w:right="439"/>
              <w:spacing w:after="0" w:line="12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18,728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6501 Congress Avenue, Ste. 300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5"/>
              </w:rPr>
              <w:t>3M L+800, 06/09/2023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Boca Raton, FL 33487</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40" w:type="dxa"/>
            <w:vAlign w:val="bottom"/>
            <w:gridSpan w:val="3"/>
          </w:tcPr>
          <w:p>
            <w:pPr>
              <w:spacing w:after="0"/>
              <w:rPr>
                <w:sz w:val="20"/>
                <w:szCs w:val="20"/>
                <w:color w:val="auto"/>
              </w:rPr>
            </w:pPr>
            <w:r>
              <w:rPr>
                <w:rFonts w:ascii="Arial" w:cs="Arial" w:eastAsia="Arial" w:hAnsi="Arial"/>
                <w:sz w:val="14"/>
                <w:szCs w:val="14"/>
                <w:color w:val="auto"/>
              </w:rPr>
              <w:t>Impact Group, LLC</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Personal, Food and</w:t>
            </w:r>
          </w:p>
        </w:tc>
        <w:tc>
          <w:tcPr>
            <w:tcW w:w="32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First Lien Secured Debt,</w:t>
            </w:r>
          </w:p>
        </w:tc>
        <w:tc>
          <w:tcPr>
            <w:tcW w:w="1260" w:type="dxa"/>
            <w:vAlign w:val="bottom"/>
            <w:gridSpan w:val="2"/>
          </w:tcPr>
          <w:p>
            <w:pPr>
              <w:jc w:val="right"/>
              <w:ind w:right="4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27,273</w:t>
            </w:r>
          </w:p>
        </w:tc>
        <w:tc>
          <w:tcPr>
            <w:tcW w:w="0" w:type="dxa"/>
            <w:vAlign w:val="bottom"/>
          </w:tcPr>
          <w:p>
            <w:pPr>
              <w:spacing w:after="0"/>
              <w:rPr>
                <w:sz w:val="1"/>
                <w:szCs w:val="1"/>
                <w:color w:val="auto"/>
              </w:rPr>
            </w:pPr>
          </w:p>
        </w:tc>
      </w:tr>
      <w:tr>
        <w:trPr>
          <w:trHeight w:val="147"/>
        </w:trPr>
        <w:tc>
          <w:tcPr>
            <w:tcW w:w="3740" w:type="dxa"/>
            <w:vAlign w:val="bottom"/>
            <w:gridSpan w:val="3"/>
          </w:tcPr>
          <w:p>
            <w:pPr>
              <w:spacing w:after="0" w:line="147" w:lineRule="exact"/>
              <w:rPr>
                <w:sz w:val="20"/>
                <w:szCs w:val="20"/>
                <w:color w:val="auto"/>
              </w:rPr>
            </w:pPr>
            <w:r>
              <w:rPr>
                <w:rFonts w:ascii="Arial" w:cs="Arial" w:eastAsia="Arial" w:hAnsi="Arial"/>
                <w:sz w:val="14"/>
                <w:szCs w:val="14"/>
                <w:color w:val="auto"/>
              </w:rPr>
              <w:t>915 W. Jefferson Street</w:t>
            </w:r>
          </w:p>
        </w:tc>
        <w:tc>
          <w:tcPr>
            <w:tcW w:w="178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1"/>
              </w:rPr>
              <w:t>Miscelleneous Services</w:t>
            </w: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5"/>
              </w:rPr>
              <w:t>3M L+650, 06/27/2023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40" w:type="dxa"/>
            <w:vAlign w:val="bottom"/>
            <w:gridSpan w:val="3"/>
          </w:tcPr>
          <w:p>
            <w:pPr>
              <w:spacing w:after="0"/>
              <w:rPr>
                <w:sz w:val="20"/>
                <w:szCs w:val="20"/>
                <w:color w:val="auto"/>
              </w:rPr>
            </w:pPr>
            <w:r>
              <w:rPr>
                <w:rFonts w:ascii="Arial" w:cs="Arial" w:eastAsia="Arial" w:hAnsi="Arial"/>
                <w:sz w:val="14"/>
                <w:szCs w:val="14"/>
                <w:color w:val="auto"/>
              </w:rPr>
              <w:t>Boise, ID 83702</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2240" w:h="15840" w:orient="portrait"/>
          <w:cols w:equalWidth="0" w:num="1">
            <w:col w:w="11060"/>
          </w:cols>
          <w:pgMar w:left="520" w:top="316" w:right="660"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Type of Investment,</w:t>
            </w:r>
          </w:p>
        </w:tc>
        <w:tc>
          <w:tcPr>
            <w:tcW w:w="1260" w:type="dxa"/>
            <w:vAlign w:val="bottom"/>
            <w:gridSpan w:val="2"/>
          </w:tcPr>
          <w:p>
            <w:pPr>
              <w:jc w:val="right"/>
              <w:ind w:right="579"/>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3"/>
        </w:trPr>
        <w:tc>
          <w:tcPr>
            <w:tcW w:w="3760" w:type="dxa"/>
            <w:vAlign w:val="bottom"/>
            <w:gridSpan w:val="3"/>
            <w:vMerge w:val="continue"/>
          </w:tcPr>
          <w:p>
            <w:pPr>
              <w:spacing w:after="0"/>
              <w:rPr>
                <w:sz w:val="12"/>
                <w:szCs w:val="12"/>
                <w:color w:val="auto"/>
              </w:rPr>
            </w:pPr>
          </w:p>
        </w:tc>
        <w:tc>
          <w:tcPr>
            <w:tcW w:w="1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Nature of Business</w:t>
            </w:r>
          </w:p>
        </w:tc>
        <w:tc>
          <w:tcPr>
            <w:tcW w:w="3220" w:type="dxa"/>
            <w:vAlign w:val="bottom"/>
            <w:gridSpan w:val="2"/>
            <w:vMerge w:val="continue"/>
          </w:tcPr>
          <w:p>
            <w:pPr>
              <w:spacing w:after="0"/>
              <w:rPr>
                <w:sz w:val="12"/>
                <w:szCs w:val="12"/>
                <w:color w:val="auto"/>
              </w:rPr>
            </w:pPr>
          </w:p>
        </w:tc>
        <w:tc>
          <w:tcPr>
            <w:tcW w:w="1260" w:type="dxa"/>
            <w:vAlign w:val="bottom"/>
            <w:gridSpan w:val="2"/>
          </w:tcPr>
          <w:p>
            <w:pPr>
              <w:jc w:val="right"/>
              <w:ind w:right="459"/>
              <w:spacing w:after="0" w:line="143" w:lineRule="exact"/>
              <w:rPr>
                <w:sz w:val="20"/>
                <w:szCs w:val="20"/>
                <w:color w:val="auto"/>
              </w:rPr>
            </w:pPr>
            <w:r>
              <w:rPr>
                <w:rFonts w:ascii="Arial" w:cs="Arial" w:eastAsia="Arial" w:hAnsi="Arial"/>
                <w:sz w:val="14"/>
                <w:szCs w:val="14"/>
                <w:b w:val="1"/>
                <w:bCs w:val="1"/>
                <w:color w:val="auto"/>
                <w:w w:val="95"/>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60" w:type="dxa"/>
            <w:vAlign w:val="bottom"/>
            <w:gridSpan w:val="2"/>
            <w:vMerge w:val="continue"/>
          </w:tcPr>
          <w:p>
            <w:pPr>
              <w:spacing w:after="0"/>
              <w:rPr>
                <w:sz w:val="15"/>
                <w:szCs w:val="15"/>
                <w:color w:val="auto"/>
              </w:rPr>
            </w:pPr>
          </w:p>
        </w:tc>
        <w:tc>
          <w:tcPr>
            <w:tcW w:w="3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6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4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2"/>
                <w:szCs w:val="12"/>
                <w:color w:val="auto"/>
              </w:rPr>
              <w:t>Infogroup, Inc.</w:t>
            </w:r>
          </w:p>
        </w:tc>
        <w:tc>
          <w:tcPr>
            <w:tcW w:w="1900" w:type="dxa"/>
            <w:vAlign w:val="bottom"/>
            <w:tcBorders>
              <w:top w:val="single" w:sz="8" w:color="CCEEFF"/>
            </w:tcBorders>
            <w:shd w:val="clear" w:color="auto" w:fill="CCEEFF"/>
          </w:tcPr>
          <w:p>
            <w:pPr>
              <w:spacing w:after="0"/>
              <w:rPr>
                <w:sz w:val="9"/>
                <w:szCs w:val="9"/>
                <w:color w:val="auto"/>
              </w:rPr>
            </w:pPr>
          </w:p>
        </w:tc>
        <w:tc>
          <w:tcPr>
            <w:tcW w:w="148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2"/>
                <w:szCs w:val="12"/>
                <w:color w:val="auto"/>
              </w:rPr>
              <w:t>Other Media</w:t>
            </w:r>
          </w:p>
        </w:tc>
        <w:tc>
          <w:tcPr>
            <w:tcW w:w="280" w:type="dxa"/>
            <w:vAlign w:val="bottom"/>
            <w:tcBorders>
              <w:top w:val="single" w:sz="8" w:color="CCEEFF"/>
            </w:tcBorders>
            <w:shd w:val="clear" w:color="auto" w:fill="CCEEFF"/>
          </w:tcPr>
          <w:p>
            <w:pPr>
              <w:spacing w:after="0"/>
              <w:rPr>
                <w:sz w:val="9"/>
                <w:szCs w:val="9"/>
                <w:color w:val="auto"/>
              </w:rPr>
            </w:pPr>
          </w:p>
        </w:tc>
        <w:tc>
          <w:tcPr>
            <w:tcW w:w="294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2"/>
                <w:szCs w:val="12"/>
                <w:color w:val="auto"/>
              </w:rPr>
              <w:t>Second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2"/>
                <w:szCs w:val="12"/>
                <w:color w:val="auto"/>
              </w:rPr>
              <w:t>1.0</w:t>
            </w:r>
          </w:p>
        </w:tc>
        <w:tc>
          <w:tcPr>
            <w:tcW w:w="440" w:type="dxa"/>
            <w:vAlign w:val="bottom"/>
            <w:tcBorders>
              <w:top w:val="single" w:sz="8" w:color="CCEEFF"/>
            </w:tcBorders>
            <w:shd w:val="clear" w:color="auto" w:fill="CCEEFF"/>
          </w:tcPr>
          <w:p>
            <w:pPr>
              <w:jc w:val="right"/>
              <w:ind w:right="259"/>
              <w:spacing w:after="0" w:line="107" w:lineRule="exact"/>
              <w:rPr>
                <w:sz w:val="20"/>
                <w:szCs w:val="20"/>
                <w:color w:val="auto"/>
              </w:rPr>
            </w:pPr>
            <w:r>
              <w:rPr>
                <w:rFonts w:ascii="Arial" w:cs="Arial" w:eastAsia="Arial" w:hAnsi="Arial"/>
                <w:sz w:val="12"/>
                <w:szCs w:val="12"/>
                <w:color w:val="auto"/>
                <w:w w:val="93"/>
              </w:rPr>
              <w:t>%</w:t>
            </w:r>
          </w:p>
        </w:tc>
        <w:tc>
          <w:tcPr>
            <w:tcW w:w="8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2"/>
                <w:szCs w:val="12"/>
                <w:color w:val="auto"/>
              </w:rPr>
              <w:t>22,340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(Infogroup Parent Holdings, Inc.)</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5"/>
              </w:rPr>
              <w:t>3M L+925, 04/03/2024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1020 E 1st Street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Papillion, NE, 68046</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60" w:type="dxa"/>
            <w:vAlign w:val="bottom"/>
            <w:gridSpan w:val="3"/>
          </w:tcPr>
          <w:p>
            <w:pPr>
              <w:spacing w:after="0"/>
              <w:rPr>
                <w:sz w:val="20"/>
                <w:szCs w:val="20"/>
                <w:color w:val="auto"/>
              </w:rPr>
            </w:pPr>
            <w:r>
              <w:rPr>
                <w:rFonts w:ascii="Arial" w:cs="Arial" w:eastAsia="Arial" w:hAnsi="Arial"/>
                <w:sz w:val="14"/>
                <w:szCs w:val="14"/>
                <w:color w:val="auto"/>
              </w:rPr>
              <w:t>Integrity Marketing Acquisition,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Insurance</w:t>
            </w:r>
          </w:p>
        </w:tc>
        <w:tc>
          <w:tcPr>
            <w:tcW w:w="322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Second Lien Secured Debt</w:t>
            </w:r>
            <w:r>
              <w:rPr>
                <w:rFonts w:ascii="Arial" w:cs="Arial" w:eastAsia="Arial" w:hAnsi="Arial"/>
                <w:sz w:val="12"/>
                <w:szCs w:val="12"/>
                <w:color w:val="auto"/>
                <w:w w:val="91"/>
              </w:rPr>
              <w:t>(4)</w:t>
            </w:r>
            <w:r>
              <w:rPr>
                <w:rFonts w:ascii="Arial" w:cs="Arial" w:eastAsia="Arial" w:hAnsi="Arial"/>
                <w:sz w:val="14"/>
                <w:szCs w:val="14"/>
                <w:color w:val="auto"/>
                <w:w w:val="91"/>
              </w:rPr>
              <w:t>,</w:t>
            </w:r>
          </w:p>
        </w:tc>
        <w:tc>
          <w:tcPr>
            <w:tcW w:w="1260" w:type="dxa"/>
            <w:vAlign w:val="bottom"/>
            <w:gridSpan w:val="2"/>
          </w:tcPr>
          <w:p>
            <w:pPr>
              <w:jc w:val="right"/>
              <w:ind w:right="4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20,538</w:t>
            </w:r>
          </w:p>
        </w:tc>
        <w:tc>
          <w:tcPr>
            <w:tcW w:w="0" w:type="dxa"/>
            <w:vAlign w:val="bottom"/>
          </w:tcPr>
          <w:p>
            <w:pPr>
              <w:spacing w:after="0"/>
              <w:rPr>
                <w:sz w:val="1"/>
                <w:szCs w:val="1"/>
                <w:color w:val="auto"/>
              </w:rPr>
            </w:pPr>
          </w:p>
        </w:tc>
      </w:tr>
      <w:tr>
        <w:trPr>
          <w:trHeight w:val="147"/>
        </w:trPr>
        <w:tc>
          <w:tcPr>
            <w:tcW w:w="3760" w:type="dxa"/>
            <w:vAlign w:val="bottom"/>
            <w:gridSpan w:val="3"/>
          </w:tcPr>
          <w:p>
            <w:pPr>
              <w:spacing w:after="0" w:line="147" w:lineRule="exact"/>
              <w:rPr>
                <w:sz w:val="20"/>
                <w:szCs w:val="20"/>
                <w:color w:val="auto"/>
              </w:rPr>
            </w:pPr>
            <w:r>
              <w:rPr>
                <w:rFonts w:ascii="Arial" w:cs="Arial" w:eastAsia="Arial" w:hAnsi="Arial"/>
                <w:sz w:val="14"/>
                <w:szCs w:val="14"/>
                <w:color w:val="auto"/>
              </w:rPr>
              <w:t>9111 Cypress Waters Blvd. Ste. 450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5"/>
              </w:rPr>
              <w:t>3M L+850, 11/30/2026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60" w:type="dxa"/>
            <w:vAlign w:val="bottom"/>
            <w:gridSpan w:val="3"/>
          </w:tcPr>
          <w:p>
            <w:pPr>
              <w:spacing w:after="0"/>
              <w:rPr>
                <w:sz w:val="20"/>
                <w:szCs w:val="20"/>
                <w:color w:val="auto"/>
              </w:rPr>
            </w:pPr>
            <w:r>
              <w:rPr>
                <w:rFonts w:ascii="Arial" w:cs="Arial" w:eastAsia="Arial" w:hAnsi="Arial"/>
                <w:sz w:val="14"/>
                <w:szCs w:val="14"/>
                <w:color w:val="auto"/>
              </w:rPr>
              <w:t>Dallas, TX 75019</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Juniper Landscaping of Florida, LLC</w:t>
            </w:r>
          </w:p>
        </w:tc>
        <w:tc>
          <w:tcPr>
            <w:tcW w:w="176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89"/>
              </w:rPr>
              <w:t>Personal, Food and</w:t>
            </w:r>
          </w:p>
        </w:tc>
        <w:tc>
          <w:tcPr>
            <w:tcW w:w="322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92"/>
              </w:rPr>
              <w:t>First Lien Secured Debt,</w:t>
            </w:r>
          </w:p>
        </w:tc>
        <w:tc>
          <w:tcPr>
            <w:tcW w:w="1260" w:type="dxa"/>
            <w:vAlign w:val="bottom"/>
            <w:gridSpan w:val="2"/>
            <w:shd w:val="clear" w:color="auto" w:fill="CCEEFF"/>
          </w:tcPr>
          <w:p>
            <w:pPr>
              <w:jc w:val="right"/>
              <w:ind w:right="259"/>
              <w:spacing w:after="0" w:line="129" w:lineRule="exact"/>
              <w:rPr>
                <w:sz w:val="20"/>
                <w:szCs w:val="20"/>
                <w:color w:val="auto"/>
              </w:rPr>
            </w:pPr>
            <w:r>
              <w:rPr>
                <w:rFonts w:ascii="Arial" w:cs="Arial" w:eastAsia="Arial" w:hAnsi="Arial"/>
                <w:sz w:val="14"/>
                <w:szCs w:val="14"/>
                <w:color w:val="auto"/>
              </w:rPr>
              <w:t>4.0%</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15,010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(ZS Juniper L.P.</w:t>
            </w:r>
            <w:r>
              <w:rPr>
                <w:rFonts w:ascii="Arial" w:cs="Arial" w:eastAsia="Arial" w:hAnsi="Arial"/>
                <w:sz w:val="12"/>
                <w:szCs w:val="12"/>
                <w:color w:val="auto"/>
              </w:rPr>
              <w:t>(5)</w:t>
            </w:r>
            <w:r>
              <w:rPr>
                <w:rFonts w:ascii="Arial" w:cs="Arial" w:eastAsia="Arial" w:hAnsi="Arial"/>
                <w:sz w:val="14"/>
                <w:szCs w:val="14"/>
                <w:color w:val="auto"/>
              </w:rPr>
              <w:t>)</w:t>
            </w:r>
          </w:p>
        </w:tc>
        <w:tc>
          <w:tcPr>
            <w:tcW w:w="1760" w:type="dxa"/>
            <w:vAlign w:val="bottom"/>
            <w:gridSpan w:val="2"/>
            <w:shd w:val="clear" w:color="auto" w:fill="CCEEFF"/>
          </w:tcPr>
          <w:p>
            <w:pPr>
              <w:jc w:val="center"/>
              <w:ind w:right="260"/>
              <w:spacing w:after="0" w:line="147" w:lineRule="exact"/>
              <w:rPr>
                <w:sz w:val="20"/>
                <w:szCs w:val="20"/>
                <w:color w:val="auto"/>
              </w:rPr>
            </w:pPr>
            <w:r>
              <w:rPr>
                <w:rFonts w:ascii="Arial" w:cs="Arial" w:eastAsia="Arial" w:hAnsi="Arial"/>
                <w:sz w:val="14"/>
                <w:szCs w:val="14"/>
                <w:color w:val="auto"/>
                <w:w w:val="91"/>
              </w:rPr>
              <w:t>Miscelleneous Services</w:t>
            </w: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5"/>
              </w:rPr>
              <w:t>1M L+950, 12/22/2021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5880 Staley Road</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Myers, FL 33905</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60" w:type="dxa"/>
            <w:vAlign w:val="bottom"/>
            <w:gridSpan w:val="3"/>
          </w:tcPr>
          <w:p>
            <w:pPr>
              <w:spacing w:after="0"/>
              <w:rPr>
                <w:sz w:val="20"/>
                <w:szCs w:val="20"/>
                <w:color w:val="auto"/>
              </w:rPr>
            </w:pPr>
            <w:r>
              <w:rPr>
                <w:rFonts w:ascii="Arial" w:cs="Arial" w:eastAsia="Arial" w:hAnsi="Arial"/>
                <w:sz w:val="14"/>
                <w:szCs w:val="14"/>
                <w:color w:val="auto"/>
              </w:rPr>
              <w:t>Kadmon Holdings, Inc.</w:t>
            </w: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Healthcare, Education</w:t>
            </w:r>
          </w:p>
        </w:tc>
        <w:tc>
          <w:tcPr>
            <w:tcW w:w="32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2"/>
          </w:tcPr>
          <w:p>
            <w:pPr>
              <w:jc w:val="right"/>
              <w:ind w:right="259"/>
              <w:spacing w:after="0"/>
              <w:rPr>
                <w:sz w:val="20"/>
                <w:szCs w:val="20"/>
                <w:color w:val="auto"/>
              </w:rPr>
            </w:pPr>
            <w:r>
              <w:rPr>
                <w:rFonts w:ascii="Arial" w:cs="Arial" w:eastAsia="Arial" w:hAnsi="Arial"/>
                <w:sz w:val="14"/>
                <w:szCs w:val="14"/>
                <w:color w:val="auto"/>
              </w:rPr>
              <w:t>0.2%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47"/>
        </w:trPr>
        <w:tc>
          <w:tcPr>
            <w:tcW w:w="3760" w:type="dxa"/>
            <w:vAlign w:val="bottom"/>
            <w:gridSpan w:val="3"/>
          </w:tcPr>
          <w:p>
            <w:pPr>
              <w:spacing w:after="0" w:line="147" w:lineRule="exact"/>
              <w:rPr>
                <w:sz w:val="20"/>
                <w:szCs w:val="20"/>
                <w:color w:val="auto"/>
              </w:rPr>
            </w:pPr>
            <w:r>
              <w:rPr>
                <w:rFonts w:ascii="Arial" w:cs="Arial" w:eastAsia="Arial" w:hAnsi="Arial"/>
                <w:sz w:val="14"/>
                <w:szCs w:val="14"/>
                <w:color w:val="auto"/>
              </w:rPr>
              <w:t>Alexandria Center for Life Sciences</w:t>
            </w:r>
          </w:p>
        </w:tc>
        <w:tc>
          <w:tcPr>
            <w:tcW w:w="176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2"/>
              </w:rPr>
              <w:t>and Childcare</w:t>
            </w: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60" w:type="dxa"/>
            <w:vAlign w:val="bottom"/>
            <w:gridSpan w:val="3"/>
          </w:tcPr>
          <w:p>
            <w:pPr>
              <w:spacing w:after="0" w:line="147" w:lineRule="exact"/>
              <w:rPr>
                <w:sz w:val="20"/>
                <w:szCs w:val="20"/>
                <w:color w:val="auto"/>
              </w:rPr>
            </w:pPr>
            <w:r>
              <w:rPr>
                <w:rFonts w:ascii="Arial" w:cs="Arial" w:eastAsia="Arial" w:hAnsi="Arial"/>
                <w:sz w:val="14"/>
                <w:szCs w:val="14"/>
                <w:color w:val="auto"/>
              </w:rPr>
              <w:t>450 East 29 Street, 5 Floor</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60" w:type="dxa"/>
            <w:vAlign w:val="bottom"/>
            <w:gridSpan w:val="3"/>
          </w:tcPr>
          <w:p>
            <w:pPr>
              <w:spacing w:after="0"/>
              <w:rPr>
                <w:sz w:val="20"/>
                <w:szCs w:val="20"/>
                <w:color w:val="auto"/>
              </w:rPr>
            </w:pPr>
            <w:r>
              <w:rPr>
                <w:rFonts w:ascii="Arial" w:cs="Arial" w:eastAsia="Arial" w:hAnsi="Arial"/>
                <w:sz w:val="14"/>
                <w:szCs w:val="14"/>
                <w:color w:val="auto"/>
              </w:rPr>
              <w:t>New York, NY 10016</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K2 Pure Solutions NoCal, L.P.</w:t>
            </w:r>
          </w:p>
        </w:tc>
        <w:tc>
          <w:tcPr>
            <w:tcW w:w="176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91"/>
              </w:rPr>
              <w:t>Chemicals, Plastics and</w:t>
            </w:r>
          </w:p>
        </w:tc>
        <w:tc>
          <w:tcPr>
            <w:tcW w:w="322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439"/>
              <w:spacing w:after="0" w:line="12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26,726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3515 Massillion Road, Ste. 290</w:t>
            </w:r>
          </w:p>
        </w:tc>
        <w:tc>
          <w:tcPr>
            <w:tcW w:w="1760" w:type="dxa"/>
            <w:vAlign w:val="bottom"/>
            <w:gridSpan w:val="2"/>
            <w:shd w:val="clear" w:color="auto" w:fill="CCEEFF"/>
          </w:tcPr>
          <w:p>
            <w:pPr>
              <w:jc w:val="center"/>
              <w:ind w:right="260"/>
              <w:spacing w:after="0" w:line="147" w:lineRule="exact"/>
              <w:rPr>
                <w:sz w:val="20"/>
                <w:szCs w:val="20"/>
                <w:color w:val="auto"/>
              </w:rPr>
            </w:pPr>
            <w:r>
              <w:rPr>
                <w:rFonts w:ascii="Arial" w:cs="Arial" w:eastAsia="Arial" w:hAnsi="Arial"/>
                <w:sz w:val="14"/>
                <w:szCs w:val="14"/>
                <w:color w:val="auto"/>
                <w:w w:val="91"/>
              </w:rPr>
              <w:t>Rubber</w:t>
            </w: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5"/>
              </w:rPr>
              <w:t>1M L+525, 12/20/2023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60" w:type="dxa"/>
            <w:vAlign w:val="bottom"/>
            <w:gridSpan w:val="3"/>
          </w:tcPr>
          <w:p>
            <w:pPr>
              <w:spacing w:after="0"/>
              <w:rPr>
                <w:sz w:val="20"/>
                <w:szCs w:val="20"/>
                <w:color w:val="auto"/>
              </w:rPr>
            </w:pPr>
            <w:r>
              <w:rPr>
                <w:rFonts w:ascii="Arial" w:cs="Arial" w:eastAsia="Arial" w:hAnsi="Arial"/>
                <w:sz w:val="14"/>
                <w:szCs w:val="14"/>
                <w:color w:val="auto"/>
              </w:rPr>
              <w:t>LaMi Acquisition, LLC</w:t>
            </w:r>
            <w:r>
              <w:rPr>
                <w:rFonts w:ascii="Arial" w:cs="Arial" w:eastAsia="Arial" w:hAnsi="Arial"/>
                <w:sz w:val="12"/>
                <w:szCs w:val="12"/>
                <w:color w:val="auto"/>
              </w:rPr>
              <w:t>(5)</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Distribution</w:t>
            </w:r>
          </w:p>
        </w:tc>
        <w:tc>
          <w:tcPr>
            <w:tcW w:w="32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2"/>
          </w:tcPr>
          <w:p>
            <w:pPr>
              <w:jc w:val="right"/>
              <w:ind w:right="259"/>
              <w:spacing w:after="0"/>
              <w:rPr>
                <w:sz w:val="20"/>
                <w:szCs w:val="20"/>
                <w:color w:val="auto"/>
              </w:rPr>
            </w:pPr>
            <w:r>
              <w:rPr>
                <w:rFonts w:ascii="Arial" w:cs="Arial" w:eastAsia="Arial" w:hAnsi="Arial"/>
                <w:sz w:val="14"/>
                <w:szCs w:val="14"/>
                <w:color w:val="auto"/>
              </w:rPr>
              <w:t>1.6%</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47"/>
        </w:trPr>
        <w:tc>
          <w:tcPr>
            <w:tcW w:w="3760" w:type="dxa"/>
            <w:vAlign w:val="bottom"/>
            <w:gridSpan w:val="3"/>
          </w:tcPr>
          <w:p>
            <w:pPr>
              <w:spacing w:after="0" w:line="147" w:lineRule="exact"/>
              <w:rPr>
                <w:sz w:val="20"/>
                <w:szCs w:val="20"/>
                <w:color w:val="auto"/>
              </w:rPr>
            </w:pPr>
            <w:r>
              <w:rPr>
                <w:rFonts w:ascii="Arial" w:cs="Arial" w:eastAsia="Arial" w:hAnsi="Arial"/>
                <w:sz w:val="14"/>
                <w:szCs w:val="14"/>
                <w:color w:val="auto"/>
              </w:rPr>
              <w:t>860 Welsh Road</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60" w:type="dxa"/>
            <w:vAlign w:val="bottom"/>
            <w:gridSpan w:val="3"/>
          </w:tcPr>
          <w:p>
            <w:pPr>
              <w:spacing w:after="0"/>
              <w:rPr>
                <w:sz w:val="20"/>
                <w:szCs w:val="20"/>
                <w:color w:val="auto"/>
              </w:rPr>
            </w:pPr>
            <w:r>
              <w:rPr>
                <w:rFonts w:ascii="Arial" w:cs="Arial" w:eastAsia="Arial" w:hAnsi="Arial"/>
                <w:sz w:val="14"/>
                <w:szCs w:val="14"/>
                <w:color w:val="auto"/>
              </w:rPr>
              <w:t>Huntingdon Valley, PA 19006</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Lariat ecoserv Co-invest Holdings, LLC(5)</w:t>
            </w:r>
          </w:p>
        </w:tc>
        <w:tc>
          <w:tcPr>
            <w:tcW w:w="176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92"/>
              </w:rPr>
              <w:t>Environmental Services</w:t>
            </w:r>
          </w:p>
        </w:tc>
        <w:tc>
          <w:tcPr>
            <w:tcW w:w="322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94"/>
              </w:rPr>
              <w:t>Common Equity</w:t>
            </w:r>
          </w:p>
        </w:tc>
        <w:tc>
          <w:tcPr>
            <w:tcW w:w="1260" w:type="dxa"/>
            <w:vAlign w:val="bottom"/>
            <w:gridSpan w:val="2"/>
            <w:shd w:val="clear" w:color="auto" w:fill="CCEEFF"/>
          </w:tcPr>
          <w:p>
            <w:pPr>
              <w:jc w:val="right"/>
              <w:ind w:right="439"/>
              <w:spacing w:after="0" w:line="12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1331 17th Street, Ste. 812</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60" w:type="dxa"/>
            <w:vAlign w:val="bottom"/>
            <w:gridSpan w:val="3"/>
          </w:tcPr>
          <w:p>
            <w:pPr>
              <w:spacing w:after="0"/>
              <w:rPr>
                <w:sz w:val="20"/>
                <w:szCs w:val="20"/>
                <w:color w:val="auto"/>
              </w:rPr>
            </w:pPr>
            <w:r>
              <w:rPr>
                <w:rFonts w:ascii="Arial" w:cs="Arial" w:eastAsia="Arial" w:hAnsi="Arial"/>
                <w:sz w:val="14"/>
                <w:szCs w:val="14"/>
                <w:color w:val="auto"/>
              </w:rPr>
              <w:t>MailSouth, Inc.</w:t>
            </w: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Printing and Publishing</w:t>
            </w:r>
          </w:p>
        </w:tc>
        <w:tc>
          <w:tcPr>
            <w:tcW w:w="32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Second Lien Secured Debt,</w:t>
            </w:r>
          </w:p>
        </w:tc>
        <w:tc>
          <w:tcPr>
            <w:tcW w:w="1260" w:type="dxa"/>
            <w:vAlign w:val="bottom"/>
            <w:gridSpan w:val="2"/>
          </w:tcPr>
          <w:p>
            <w:pPr>
              <w:jc w:val="right"/>
              <w:ind w:right="4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47,457</w:t>
            </w:r>
          </w:p>
        </w:tc>
        <w:tc>
          <w:tcPr>
            <w:tcW w:w="0" w:type="dxa"/>
            <w:vAlign w:val="bottom"/>
          </w:tcPr>
          <w:p>
            <w:pPr>
              <w:spacing w:after="0"/>
              <w:rPr>
                <w:sz w:val="1"/>
                <w:szCs w:val="1"/>
                <w:color w:val="auto"/>
              </w:rPr>
            </w:pPr>
          </w:p>
        </w:tc>
      </w:tr>
      <w:tr>
        <w:trPr>
          <w:trHeight w:val="147"/>
        </w:trPr>
        <w:tc>
          <w:tcPr>
            <w:tcW w:w="3760" w:type="dxa"/>
            <w:vAlign w:val="bottom"/>
            <w:gridSpan w:val="3"/>
          </w:tcPr>
          <w:p>
            <w:pPr>
              <w:spacing w:after="0" w:line="147" w:lineRule="exact"/>
              <w:rPr>
                <w:sz w:val="20"/>
                <w:szCs w:val="20"/>
                <w:color w:val="auto"/>
              </w:rPr>
            </w:pPr>
            <w:r>
              <w:rPr>
                <w:rFonts w:ascii="Arial" w:cs="Arial" w:eastAsia="Arial" w:hAnsi="Arial"/>
                <w:sz w:val="14"/>
                <w:szCs w:val="14"/>
                <w:color w:val="auto"/>
              </w:rPr>
              <w:t>5901 Highway 52 East</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5"/>
              </w:rPr>
              <w:t>6M L+925, 10/23/2024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60" w:type="dxa"/>
            <w:vAlign w:val="bottom"/>
            <w:gridSpan w:val="3"/>
          </w:tcPr>
          <w:p>
            <w:pPr>
              <w:spacing w:after="0"/>
              <w:rPr>
                <w:sz w:val="20"/>
                <w:szCs w:val="20"/>
                <w:color w:val="auto"/>
              </w:rPr>
            </w:pPr>
            <w:r>
              <w:rPr>
                <w:rFonts w:ascii="Arial" w:cs="Arial" w:eastAsia="Arial" w:hAnsi="Arial"/>
                <w:sz w:val="14"/>
                <w:szCs w:val="14"/>
                <w:color w:val="auto"/>
              </w:rPr>
              <w:t>Helena, AL 35080</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MBS Holdings, Inc.</w:t>
            </w:r>
          </w:p>
        </w:tc>
        <w:tc>
          <w:tcPr>
            <w:tcW w:w="176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91"/>
              </w:rPr>
              <w:t>Telecommunications</w:t>
            </w:r>
          </w:p>
        </w:tc>
        <w:tc>
          <w:tcPr>
            <w:tcW w:w="322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91"/>
              </w:rPr>
              <w:t>Second Lien Secured Debt,</w:t>
            </w:r>
          </w:p>
        </w:tc>
        <w:tc>
          <w:tcPr>
            <w:tcW w:w="1260" w:type="dxa"/>
            <w:vAlign w:val="bottom"/>
            <w:gridSpan w:val="2"/>
            <w:shd w:val="clear" w:color="auto" w:fill="CCEEFF"/>
          </w:tcPr>
          <w:p>
            <w:pPr>
              <w:jc w:val="right"/>
              <w:ind w:right="439"/>
              <w:spacing w:after="0" w:line="12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14,700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880 Montclair Road Suite 400</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5"/>
              </w:rPr>
              <w:t>1M L+850, 01/02/2024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Birmingham, AL 35213</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60" w:type="dxa"/>
            <w:vAlign w:val="bottom"/>
            <w:gridSpan w:val="3"/>
          </w:tcPr>
          <w:p>
            <w:pPr>
              <w:spacing w:after="0"/>
              <w:rPr>
                <w:sz w:val="20"/>
                <w:szCs w:val="20"/>
                <w:color w:val="auto"/>
              </w:rPr>
            </w:pPr>
            <w:r>
              <w:rPr>
                <w:rFonts w:ascii="Arial" w:cs="Arial" w:eastAsia="Arial" w:hAnsi="Arial"/>
                <w:sz w:val="14"/>
                <w:szCs w:val="14"/>
                <w:color w:val="auto"/>
              </w:rPr>
              <w:t>Ox Two,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Building Materials</w:t>
            </w:r>
          </w:p>
        </w:tc>
        <w:tc>
          <w:tcPr>
            <w:tcW w:w="32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22,801</w:t>
            </w:r>
          </w:p>
        </w:tc>
        <w:tc>
          <w:tcPr>
            <w:tcW w:w="0" w:type="dxa"/>
            <w:vAlign w:val="bottom"/>
          </w:tcPr>
          <w:p>
            <w:pPr>
              <w:spacing w:after="0"/>
              <w:rPr>
                <w:sz w:val="1"/>
                <w:szCs w:val="1"/>
                <w:color w:val="auto"/>
              </w:rPr>
            </w:pPr>
          </w:p>
        </w:tc>
      </w:tr>
      <w:tr>
        <w:trPr>
          <w:trHeight w:val="147"/>
        </w:trPr>
        <w:tc>
          <w:tcPr>
            <w:tcW w:w="3760" w:type="dxa"/>
            <w:vAlign w:val="bottom"/>
            <w:gridSpan w:val="3"/>
          </w:tcPr>
          <w:p>
            <w:pPr>
              <w:spacing w:after="0" w:line="147" w:lineRule="exact"/>
              <w:rPr>
                <w:sz w:val="20"/>
                <w:szCs w:val="20"/>
                <w:color w:val="auto"/>
              </w:rPr>
            </w:pPr>
            <w:r>
              <w:rPr>
                <w:rFonts w:ascii="Arial" w:cs="Arial" w:eastAsia="Arial" w:hAnsi="Arial"/>
                <w:sz w:val="14"/>
                <w:szCs w:val="14"/>
                <w:color w:val="auto"/>
              </w:rPr>
              <w:t>22260 Haggerty Road #365</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5"/>
              </w:rPr>
              <w:t>1M L+625, 02/27/2023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60" w:type="dxa"/>
            <w:vAlign w:val="bottom"/>
            <w:gridSpan w:val="3"/>
          </w:tcPr>
          <w:p>
            <w:pPr>
              <w:spacing w:after="0"/>
              <w:rPr>
                <w:sz w:val="20"/>
                <w:szCs w:val="20"/>
                <w:color w:val="auto"/>
              </w:rPr>
            </w:pPr>
            <w:r>
              <w:rPr>
                <w:rFonts w:ascii="Arial" w:cs="Arial" w:eastAsia="Arial" w:hAnsi="Arial"/>
                <w:sz w:val="14"/>
                <w:szCs w:val="14"/>
                <w:color w:val="auto"/>
              </w:rPr>
              <w:t>Northville, MI 48167</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Parq Holdings Limited Partnership</w:t>
            </w:r>
            <w:r>
              <w:rPr>
                <w:rFonts w:ascii="Arial" w:cs="Arial" w:eastAsia="Arial" w:hAnsi="Arial"/>
                <w:sz w:val="12"/>
                <w:szCs w:val="12"/>
                <w:color w:val="auto"/>
              </w:rPr>
              <w:t>(6)</w:t>
            </w:r>
          </w:p>
        </w:tc>
        <w:tc>
          <w:tcPr>
            <w:tcW w:w="176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93"/>
              </w:rPr>
              <w:t>Hotels, Motels, Inns and</w:t>
            </w:r>
          </w:p>
        </w:tc>
        <w:tc>
          <w:tcPr>
            <w:tcW w:w="322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91"/>
              </w:rPr>
              <w:t>Second Lien Secured Debt,</w:t>
            </w:r>
          </w:p>
        </w:tc>
        <w:tc>
          <w:tcPr>
            <w:tcW w:w="1260" w:type="dxa"/>
            <w:vAlign w:val="bottom"/>
            <w:gridSpan w:val="2"/>
            <w:shd w:val="clear" w:color="auto" w:fill="CCEEFF"/>
          </w:tcPr>
          <w:p>
            <w:pPr>
              <w:jc w:val="right"/>
              <w:ind w:right="439"/>
              <w:spacing w:after="0" w:line="12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83,063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c/o Paragon Gaming, Inc.</w:t>
            </w:r>
          </w:p>
        </w:tc>
        <w:tc>
          <w:tcPr>
            <w:tcW w:w="1760" w:type="dxa"/>
            <w:vAlign w:val="bottom"/>
            <w:gridSpan w:val="2"/>
            <w:shd w:val="clear" w:color="auto" w:fill="CCEEFF"/>
          </w:tcPr>
          <w:p>
            <w:pPr>
              <w:jc w:val="center"/>
              <w:ind w:right="260"/>
              <w:spacing w:after="0" w:line="147" w:lineRule="exact"/>
              <w:rPr>
                <w:sz w:val="20"/>
                <w:szCs w:val="20"/>
                <w:color w:val="auto"/>
              </w:rPr>
            </w:pPr>
            <w:r>
              <w:rPr>
                <w:rFonts w:ascii="Arial" w:cs="Arial" w:eastAsia="Arial" w:hAnsi="Arial"/>
                <w:sz w:val="14"/>
                <w:szCs w:val="14"/>
                <w:color w:val="auto"/>
                <w:w w:val="93"/>
              </w:rPr>
              <w:t>Gaming</w:t>
            </w:r>
          </w:p>
        </w:tc>
        <w:tc>
          <w:tcPr>
            <w:tcW w:w="3220" w:type="dxa"/>
            <w:vAlign w:val="bottom"/>
            <w:gridSpan w:val="2"/>
            <w:shd w:val="clear" w:color="auto" w:fill="CCEEFF"/>
          </w:tcPr>
          <w:p>
            <w:pPr>
              <w:jc w:val="center"/>
              <w:ind w:right="260"/>
              <w:spacing w:after="0" w:line="147" w:lineRule="exact"/>
              <w:rPr>
                <w:sz w:val="20"/>
                <w:szCs w:val="20"/>
                <w:color w:val="auto"/>
              </w:rPr>
            </w:pPr>
            <w:r>
              <w:rPr>
                <w:rFonts w:ascii="Arial" w:cs="Arial" w:eastAsia="Arial" w:hAnsi="Arial"/>
                <w:sz w:val="14"/>
                <w:szCs w:val="14"/>
                <w:color w:val="auto"/>
                <w:w w:val="94"/>
              </w:rPr>
              <w:t>3M L+1,200, 12/17/2021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6650 Via Austi Parkway, Suite 150</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NV 89119</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60" w:type="dxa"/>
            <w:vAlign w:val="bottom"/>
            <w:gridSpan w:val="3"/>
          </w:tcPr>
          <w:p>
            <w:pPr>
              <w:spacing w:after="0"/>
              <w:rPr>
                <w:sz w:val="20"/>
                <w:szCs w:val="20"/>
                <w:color w:val="auto"/>
              </w:rPr>
            </w:pPr>
            <w:r>
              <w:rPr>
                <w:rFonts w:ascii="Arial" w:cs="Arial" w:eastAsia="Arial" w:hAnsi="Arial"/>
                <w:sz w:val="14"/>
                <w:szCs w:val="14"/>
                <w:color w:val="auto"/>
              </w:rPr>
              <w:t>Peninsula Pacific Entertainment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Hotels, Motels, Inns and</w:t>
            </w:r>
          </w:p>
        </w:tc>
        <w:tc>
          <w:tcPr>
            <w:tcW w:w="32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7,120</w:t>
            </w:r>
          </w:p>
        </w:tc>
        <w:tc>
          <w:tcPr>
            <w:tcW w:w="0" w:type="dxa"/>
            <w:vAlign w:val="bottom"/>
          </w:tcPr>
          <w:p>
            <w:pPr>
              <w:spacing w:after="0"/>
              <w:rPr>
                <w:sz w:val="1"/>
                <w:szCs w:val="1"/>
                <w:color w:val="auto"/>
              </w:rPr>
            </w:pPr>
          </w:p>
        </w:tc>
      </w:tr>
      <w:tr>
        <w:trPr>
          <w:trHeight w:val="147"/>
        </w:trPr>
        <w:tc>
          <w:tcPr>
            <w:tcW w:w="3760" w:type="dxa"/>
            <w:vAlign w:val="bottom"/>
            <w:gridSpan w:val="3"/>
          </w:tcPr>
          <w:p>
            <w:pPr>
              <w:spacing w:after="0" w:line="147" w:lineRule="exact"/>
              <w:rPr>
                <w:sz w:val="20"/>
                <w:szCs w:val="20"/>
                <w:color w:val="auto"/>
              </w:rPr>
            </w:pPr>
            <w:r>
              <w:rPr>
                <w:rFonts w:ascii="Arial" w:cs="Arial" w:eastAsia="Arial" w:hAnsi="Arial"/>
                <w:sz w:val="14"/>
                <w:szCs w:val="14"/>
                <w:color w:val="auto"/>
              </w:rPr>
              <w:t>10515 Colonial Downs Parkway</w:t>
            </w:r>
          </w:p>
        </w:tc>
        <w:tc>
          <w:tcPr>
            <w:tcW w:w="176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w w:val="93"/>
              </w:rPr>
              <w:t>Gaming</w:t>
            </w: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5"/>
              </w:rPr>
              <w:t>3M L+725, 11/13/2024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60" w:type="dxa"/>
            <w:vAlign w:val="bottom"/>
            <w:gridSpan w:val="3"/>
          </w:tcPr>
          <w:p>
            <w:pPr>
              <w:spacing w:after="0"/>
              <w:rPr>
                <w:sz w:val="20"/>
                <w:szCs w:val="20"/>
                <w:color w:val="auto"/>
              </w:rPr>
            </w:pPr>
            <w:r>
              <w:rPr>
                <w:rFonts w:ascii="Arial" w:cs="Arial" w:eastAsia="Arial" w:hAnsi="Arial"/>
                <w:sz w:val="14"/>
                <w:szCs w:val="14"/>
                <w:color w:val="auto"/>
              </w:rPr>
              <w:t>New Kent, VA 23124</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(6)</w:t>
            </w:r>
          </w:p>
        </w:tc>
        <w:tc>
          <w:tcPr>
            <w:tcW w:w="176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89"/>
              </w:rPr>
              <w:t>Beverage, Food and</w:t>
            </w:r>
          </w:p>
        </w:tc>
        <w:tc>
          <w:tcPr>
            <w:tcW w:w="322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92"/>
              </w:rPr>
              <w:t>First Lien Secured Debt,</w:t>
            </w:r>
          </w:p>
        </w:tc>
        <w:tc>
          <w:tcPr>
            <w:tcW w:w="1260" w:type="dxa"/>
            <w:vAlign w:val="bottom"/>
            <w:gridSpan w:val="2"/>
            <w:shd w:val="clear" w:color="auto" w:fill="CCEEFF"/>
          </w:tcPr>
          <w:p>
            <w:pPr>
              <w:jc w:val="right"/>
              <w:ind w:right="439"/>
              <w:spacing w:after="0" w:line="12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5,423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141 Hamilton Road</w:t>
            </w:r>
          </w:p>
        </w:tc>
        <w:tc>
          <w:tcPr>
            <w:tcW w:w="176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89"/>
              </w:rPr>
              <w:t>Tobacco</w:t>
            </w: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5"/>
              </w:rPr>
              <w:t>1M L+525, 06/01/2023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Hamburg, Ontario, Canada N3A 2H1</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60" w:type="dxa"/>
            <w:vAlign w:val="bottom"/>
            <w:gridSpan w:val="3"/>
          </w:tcPr>
          <w:p>
            <w:pPr>
              <w:spacing w:after="0"/>
              <w:rPr>
                <w:sz w:val="20"/>
                <w:szCs w:val="20"/>
                <w:color w:val="auto"/>
              </w:rPr>
            </w:pPr>
            <w:r>
              <w:rPr>
                <w:rFonts w:ascii="Arial" w:cs="Arial" w:eastAsia="Arial" w:hAnsi="Arial"/>
                <w:sz w:val="14"/>
                <w:szCs w:val="14"/>
                <w:color w:val="auto"/>
              </w:rPr>
              <w:t>Provation Medical, Inc.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Electronics</w:t>
            </w:r>
          </w:p>
        </w:tc>
        <w:tc>
          <w:tcPr>
            <w:tcW w:w="32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First Lien Secured Debt,</w:t>
            </w:r>
          </w:p>
        </w:tc>
        <w:tc>
          <w:tcPr>
            <w:tcW w:w="1260" w:type="dxa"/>
            <w:vAlign w:val="bottom"/>
            <w:gridSpan w:val="2"/>
          </w:tcPr>
          <w:p>
            <w:pPr>
              <w:jc w:val="right"/>
              <w:ind w:right="4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26,393</w:t>
            </w:r>
          </w:p>
        </w:tc>
        <w:tc>
          <w:tcPr>
            <w:tcW w:w="0" w:type="dxa"/>
            <w:vAlign w:val="bottom"/>
          </w:tcPr>
          <w:p>
            <w:pPr>
              <w:spacing w:after="0"/>
              <w:rPr>
                <w:sz w:val="1"/>
                <w:szCs w:val="1"/>
                <w:color w:val="auto"/>
              </w:rPr>
            </w:pPr>
          </w:p>
        </w:tc>
      </w:tr>
      <w:tr>
        <w:trPr>
          <w:trHeight w:val="147"/>
        </w:trPr>
        <w:tc>
          <w:tcPr>
            <w:tcW w:w="3760" w:type="dxa"/>
            <w:vAlign w:val="bottom"/>
            <w:gridSpan w:val="3"/>
          </w:tcPr>
          <w:p>
            <w:pPr>
              <w:spacing w:after="0" w:line="147" w:lineRule="exact"/>
              <w:rPr>
                <w:sz w:val="20"/>
                <w:szCs w:val="20"/>
                <w:color w:val="auto"/>
              </w:rPr>
            </w:pPr>
            <w:r>
              <w:rPr>
                <w:rFonts w:ascii="Arial" w:cs="Arial" w:eastAsia="Arial" w:hAnsi="Arial"/>
                <w:sz w:val="14"/>
                <w:szCs w:val="14"/>
                <w:color w:val="auto"/>
              </w:rPr>
              <w:t>800 Washington Avenue North, Suite 400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5"/>
              </w:rPr>
              <w:t>1M L+700, 03/11/2024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60" w:type="dxa"/>
            <w:vAlign w:val="bottom"/>
            <w:gridSpan w:val="3"/>
          </w:tcPr>
          <w:p>
            <w:pPr>
              <w:spacing w:after="0"/>
              <w:rPr>
                <w:sz w:val="20"/>
                <w:szCs w:val="20"/>
                <w:color w:val="auto"/>
              </w:rPr>
            </w:pPr>
            <w:r>
              <w:rPr>
                <w:rFonts w:ascii="Arial" w:cs="Arial" w:eastAsia="Arial" w:hAnsi="Arial"/>
                <w:sz w:val="14"/>
                <w:szCs w:val="14"/>
                <w:color w:val="auto"/>
              </w:rPr>
              <w:t>Minneapolis, MN, 55401</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2240" w:h="15840" w:orient="portrait"/>
          <w:cols w:equalWidth="0" w:num="1">
            <w:col w:w="11060"/>
          </w:cols>
          <w:pgMar w:left="520" w:top="316" w:right="660"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Type of Investment,</w:t>
            </w:r>
          </w:p>
        </w:tc>
        <w:tc>
          <w:tcPr>
            <w:tcW w:w="1260" w:type="dxa"/>
            <w:vAlign w:val="bottom"/>
            <w:gridSpan w:val="2"/>
          </w:tcPr>
          <w:p>
            <w:pPr>
              <w:jc w:val="right"/>
              <w:ind w:right="599"/>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3"/>
        </w:trPr>
        <w:tc>
          <w:tcPr>
            <w:tcW w:w="3720" w:type="dxa"/>
            <w:vAlign w:val="bottom"/>
            <w:gridSpan w:val="3"/>
            <w:vMerge w:val="continue"/>
          </w:tcPr>
          <w:p>
            <w:pPr>
              <w:spacing w:after="0"/>
              <w:rPr>
                <w:sz w:val="12"/>
                <w:szCs w:val="12"/>
                <w:color w:val="auto"/>
              </w:rPr>
            </w:pPr>
          </w:p>
        </w:tc>
        <w:tc>
          <w:tcPr>
            <w:tcW w:w="17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Nature of Business</w:t>
            </w:r>
          </w:p>
        </w:tc>
        <w:tc>
          <w:tcPr>
            <w:tcW w:w="3300" w:type="dxa"/>
            <w:vAlign w:val="bottom"/>
            <w:gridSpan w:val="2"/>
            <w:vMerge w:val="continue"/>
          </w:tcPr>
          <w:p>
            <w:pPr>
              <w:spacing w:after="0"/>
              <w:rPr>
                <w:sz w:val="12"/>
                <w:szCs w:val="12"/>
                <w:color w:val="auto"/>
              </w:rPr>
            </w:pPr>
          </w:p>
        </w:tc>
        <w:tc>
          <w:tcPr>
            <w:tcW w:w="1260" w:type="dxa"/>
            <w:vAlign w:val="bottom"/>
            <w:gridSpan w:val="2"/>
          </w:tcPr>
          <w:p>
            <w:pPr>
              <w:jc w:val="right"/>
              <w:ind w:right="459"/>
              <w:spacing w:after="0" w:line="143" w:lineRule="exact"/>
              <w:rPr>
                <w:sz w:val="20"/>
                <w:szCs w:val="20"/>
                <w:color w:val="auto"/>
              </w:rPr>
            </w:pPr>
            <w:r>
              <w:rPr>
                <w:rFonts w:ascii="Arial" w:cs="Arial" w:eastAsia="Arial" w:hAnsi="Arial"/>
                <w:sz w:val="14"/>
                <w:szCs w:val="14"/>
                <w:b w:val="1"/>
                <w:bCs w:val="1"/>
                <w:color w:val="auto"/>
                <w:w w:val="95"/>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20" w:type="dxa"/>
            <w:vAlign w:val="bottom"/>
            <w:gridSpan w:val="2"/>
            <w:vMerge w:val="continue"/>
          </w:tcPr>
          <w:p>
            <w:pPr>
              <w:spacing w:after="0"/>
              <w:rPr>
                <w:sz w:val="15"/>
                <w:szCs w:val="15"/>
                <w:color w:val="auto"/>
              </w:rPr>
            </w:pPr>
          </w:p>
        </w:tc>
        <w:tc>
          <w:tcPr>
            <w:tcW w:w="3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6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w w:val="89"/>
              </w:rPr>
              <w:t>Ownership</w:t>
            </w:r>
            <w:r>
              <w:rPr>
                <w:rFonts w:ascii="Arial" w:cs="Arial" w:eastAsia="Arial" w:hAnsi="Arial"/>
                <w:sz w:val="12"/>
                <w:szCs w:val="12"/>
                <w:b w:val="1"/>
                <w:bCs w:val="1"/>
                <w:color w:val="auto"/>
                <w:w w:val="89"/>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4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2"/>
                <w:szCs w:val="12"/>
                <w:color w:val="auto"/>
              </w:rPr>
              <w:t>PT Network, LLC</w:t>
            </w:r>
          </w:p>
        </w:tc>
        <w:tc>
          <w:tcPr>
            <w:tcW w:w="1860" w:type="dxa"/>
            <w:vAlign w:val="bottom"/>
            <w:tcBorders>
              <w:top w:val="single" w:sz="8" w:color="CCEEFF"/>
            </w:tcBorders>
            <w:shd w:val="clear" w:color="auto" w:fill="CCEEFF"/>
          </w:tcPr>
          <w:p>
            <w:pPr>
              <w:spacing w:after="0"/>
              <w:rPr>
                <w:sz w:val="9"/>
                <w:szCs w:val="9"/>
                <w:color w:val="auto"/>
              </w:rPr>
            </w:pPr>
          </w:p>
        </w:tc>
        <w:tc>
          <w:tcPr>
            <w:tcW w:w="142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2"/>
                <w:szCs w:val="12"/>
                <w:color w:val="auto"/>
              </w:rPr>
              <w:t>Healthcare, Education</w:t>
            </w:r>
          </w:p>
        </w:tc>
        <w:tc>
          <w:tcPr>
            <w:tcW w:w="300" w:type="dxa"/>
            <w:vAlign w:val="bottom"/>
            <w:tcBorders>
              <w:top w:val="single" w:sz="8" w:color="CCEEFF"/>
            </w:tcBorders>
            <w:shd w:val="clear" w:color="auto" w:fill="CCEEFF"/>
          </w:tcPr>
          <w:p>
            <w:pPr>
              <w:spacing w:after="0"/>
              <w:rPr>
                <w:sz w:val="9"/>
                <w:szCs w:val="9"/>
                <w:color w:val="auto"/>
              </w:rPr>
            </w:pPr>
          </w:p>
        </w:tc>
        <w:tc>
          <w:tcPr>
            <w:tcW w:w="300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2"/>
                <w:szCs w:val="12"/>
                <w:color w:val="auto"/>
              </w:rPr>
              <w:t>Second Lien Secured Debt,</w:t>
            </w:r>
          </w:p>
        </w:tc>
        <w:tc>
          <w:tcPr>
            <w:tcW w:w="3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2"/>
                <w:szCs w:val="12"/>
                <w:color w:val="auto"/>
              </w:rPr>
              <w:t>2.7</w:t>
            </w:r>
          </w:p>
        </w:tc>
        <w:tc>
          <w:tcPr>
            <w:tcW w:w="460" w:type="dxa"/>
            <w:vAlign w:val="bottom"/>
            <w:tcBorders>
              <w:top w:val="single" w:sz="8" w:color="CCEEFF"/>
            </w:tcBorders>
            <w:shd w:val="clear" w:color="auto" w:fill="CCEEFF"/>
          </w:tcPr>
          <w:p>
            <w:pPr>
              <w:jc w:val="right"/>
              <w:ind w:right="279"/>
              <w:spacing w:after="0" w:line="107" w:lineRule="exact"/>
              <w:rPr>
                <w:sz w:val="20"/>
                <w:szCs w:val="20"/>
                <w:color w:val="auto"/>
              </w:rPr>
            </w:pPr>
            <w:r>
              <w:rPr>
                <w:rFonts w:ascii="Arial" w:cs="Arial" w:eastAsia="Arial" w:hAnsi="Arial"/>
                <w:sz w:val="12"/>
                <w:szCs w:val="12"/>
                <w:color w:val="auto"/>
                <w:w w:val="93"/>
              </w:rPr>
              <w:t>%</w:t>
            </w:r>
          </w:p>
        </w:tc>
        <w:tc>
          <w:tcPr>
            <w:tcW w:w="8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2"/>
                <w:szCs w:val="12"/>
                <w:color w:val="auto"/>
              </w:rPr>
              <w:t>46,626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(CI (PTN) Investment Holdings II, LLC</w:t>
            </w:r>
            <w:r>
              <w:rPr>
                <w:rFonts w:ascii="Arial" w:cs="Arial" w:eastAsia="Arial" w:hAnsi="Arial"/>
                <w:sz w:val="12"/>
                <w:szCs w:val="12"/>
                <w:color w:val="auto"/>
              </w:rPr>
              <w:t>(5)</w:t>
            </w:r>
            <w:r>
              <w:rPr>
                <w:rFonts w:ascii="Arial" w:cs="Arial" w:eastAsia="Arial" w:hAnsi="Arial"/>
                <w:sz w:val="14"/>
                <w:szCs w:val="14"/>
                <w:color w:val="auto"/>
              </w:rPr>
              <w:t>)</w:t>
            </w:r>
          </w:p>
        </w:tc>
        <w:tc>
          <w:tcPr>
            <w:tcW w:w="1720" w:type="dxa"/>
            <w:vAlign w:val="bottom"/>
            <w:gridSpan w:val="2"/>
            <w:shd w:val="clear" w:color="auto" w:fill="CCEEFF"/>
          </w:tcPr>
          <w:p>
            <w:pPr>
              <w:jc w:val="center"/>
              <w:ind w:right="300"/>
              <w:spacing w:after="0" w:line="147" w:lineRule="exact"/>
              <w:rPr>
                <w:sz w:val="20"/>
                <w:szCs w:val="20"/>
                <w:color w:val="auto"/>
              </w:rPr>
            </w:pPr>
            <w:r>
              <w:rPr>
                <w:rFonts w:ascii="Arial" w:cs="Arial" w:eastAsia="Arial" w:hAnsi="Arial"/>
                <w:sz w:val="14"/>
                <w:szCs w:val="14"/>
                <w:color w:val="auto"/>
                <w:w w:val="90"/>
              </w:rPr>
              <w:t>and Childcare</w:t>
            </w:r>
          </w:p>
        </w:tc>
        <w:tc>
          <w:tcPr>
            <w:tcW w:w="3300" w:type="dxa"/>
            <w:vAlign w:val="bottom"/>
            <w:gridSpan w:val="2"/>
            <w:shd w:val="clear" w:color="auto" w:fill="CCEEFF"/>
          </w:tcPr>
          <w:p>
            <w:pPr>
              <w:jc w:val="center"/>
              <w:ind w:right="300"/>
              <w:spacing w:after="0" w:line="147" w:lineRule="exact"/>
              <w:rPr>
                <w:sz w:val="20"/>
                <w:szCs w:val="20"/>
                <w:color w:val="auto"/>
              </w:rPr>
            </w:pPr>
            <w:r>
              <w:rPr>
                <w:rFonts w:ascii="Arial" w:cs="Arial" w:eastAsia="Arial" w:hAnsi="Arial"/>
                <w:sz w:val="14"/>
                <w:szCs w:val="14"/>
                <w:color w:val="auto"/>
                <w:w w:val="94"/>
              </w:rPr>
              <w:t>3M L+1,000, 04/12/2023</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500 Park Avenue, 8th Floor</w:t>
            </w:r>
          </w:p>
        </w:tc>
        <w:tc>
          <w:tcPr>
            <w:tcW w:w="1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300"/>
              <w:spacing w:after="0" w:line="147" w:lineRule="exact"/>
              <w:rPr>
                <w:sz w:val="20"/>
                <w:szCs w:val="20"/>
                <w:color w:val="auto"/>
              </w:rPr>
            </w:pPr>
            <w:r>
              <w:rPr>
                <w:rFonts w:ascii="Arial" w:cs="Arial" w:eastAsia="Arial" w:hAnsi="Arial"/>
                <w:sz w:val="14"/>
                <w:szCs w:val="14"/>
                <w:color w:val="auto"/>
                <w:w w:val="94"/>
              </w:rPr>
              <w:t>Preferred Equity</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6"/>
              </w:rPr>
              <w:t>Common Equity</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spacing w:after="0"/>
              <w:rPr>
                <w:sz w:val="20"/>
                <w:szCs w:val="20"/>
                <w:color w:val="auto"/>
              </w:rPr>
            </w:pPr>
            <w:r>
              <w:rPr>
                <w:rFonts w:ascii="Arial" w:cs="Arial" w:eastAsia="Arial" w:hAnsi="Arial"/>
                <w:sz w:val="14"/>
                <w:szCs w:val="14"/>
                <w:color w:val="auto"/>
              </w:rPr>
              <w:t>Questex, LLC</w:t>
            </w: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Media</w:t>
            </w:r>
          </w:p>
        </w:tc>
        <w:tc>
          <w:tcPr>
            <w:tcW w:w="33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4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22,581</w:t>
            </w:r>
          </w:p>
        </w:tc>
        <w:tc>
          <w:tcPr>
            <w:tcW w:w="0" w:type="dxa"/>
            <w:vAlign w:val="bottom"/>
          </w:tcPr>
          <w:p>
            <w:pPr>
              <w:spacing w:after="0"/>
              <w:rPr>
                <w:sz w:val="1"/>
                <w:szCs w:val="1"/>
                <w:color w:val="auto"/>
              </w:rPr>
            </w:pPr>
          </w:p>
        </w:tc>
      </w:tr>
      <w:tr>
        <w:trPr>
          <w:trHeight w:val="147"/>
        </w:trPr>
        <w:tc>
          <w:tcPr>
            <w:tcW w:w="3720" w:type="dxa"/>
            <w:vAlign w:val="bottom"/>
            <w:gridSpan w:val="3"/>
          </w:tcPr>
          <w:p>
            <w:pPr>
              <w:spacing w:after="0" w:line="147" w:lineRule="exact"/>
              <w:rPr>
                <w:sz w:val="20"/>
                <w:szCs w:val="20"/>
                <w:color w:val="auto"/>
              </w:rPr>
            </w:pPr>
            <w:r>
              <w:rPr>
                <w:rFonts w:ascii="Arial" w:cs="Arial" w:eastAsia="Arial" w:hAnsi="Arial"/>
                <w:sz w:val="14"/>
                <w:szCs w:val="14"/>
                <w:color w:val="auto"/>
              </w:rPr>
              <w:t>275 Grove Street, Suite 2-130</w:t>
            </w: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3"/>
              </w:rPr>
              <w:t>3M L+625, 09/09/2024</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3"/>
          </w:tcPr>
          <w:p>
            <w:pPr>
              <w:spacing w:after="0"/>
              <w:rPr>
                <w:sz w:val="20"/>
                <w:szCs w:val="20"/>
                <w:color w:val="auto"/>
              </w:rPr>
            </w:pPr>
            <w:r>
              <w:rPr>
                <w:rFonts w:ascii="Arial" w:cs="Arial" w:eastAsia="Arial" w:hAnsi="Arial"/>
                <w:sz w:val="14"/>
                <w:szCs w:val="14"/>
                <w:color w:val="auto"/>
              </w:rPr>
              <w:t>Newton, MA 02466</w:t>
            </w: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Research Horizons, LLC</w:t>
            </w:r>
          </w:p>
        </w:tc>
        <w:tc>
          <w:tcPr>
            <w:tcW w:w="172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9"/>
              </w:rPr>
              <w:t>Media</w:t>
            </w:r>
          </w:p>
        </w:tc>
        <w:tc>
          <w:tcPr>
            <w:tcW w:w="330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459"/>
              <w:spacing w:after="0" w:line="12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22,282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1140 Broadway, Suite 1002</w:t>
            </w:r>
          </w:p>
        </w:tc>
        <w:tc>
          <w:tcPr>
            <w:tcW w:w="1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300"/>
              <w:spacing w:after="0" w:line="147" w:lineRule="exact"/>
              <w:rPr>
                <w:sz w:val="20"/>
                <w:szCs w:val="20"/>
                <w:color w:val="auto"/>
              </w:rPr>
            </w:pPr>
            <w:r>
              <w:rPr>
                <w:rFonts w:ascii="Arial" w:cs="Arial" w:eastAsia="Arial" w:hAnsi="Arial"/>
                <w:sz w:val="14"/>
                <w:szCs w:val="14"/>
                <w:color w:val="auto"/>
                <w:w w:val="93"/>
              </w:rPr>
              <w:t>1M L+625, 06/28/2022</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10001</w:t>
            </w: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spacing w:after="0"/>
              <w:rPr>
                <w:sz w:val="20"/>
                <w:szCs w:val="20"/>
                <w:color w:val="auto"/>
              </w:rPr>
            </w:pPr>
            <w:r>
              <w:rPr>
                <w:rFonts w:ascii="Arial" w:cs="Arial" w:eastAsia="Arial" w:hAnsi="Arial"/>
                <w:sz w:val="14"/>
                <w:szCs w:val="14"/>
                <w:color w:val="auto"/>
              </w:rPr>
              <w:t>SFP Holding, Inc.</w:t>
            </w: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Buildings and Real</w:t>
            </w:r>
          </w:p>
        </w:tc>
        <w:tc>
          <w:tcPr>
            <w:tcW w:w="33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279"/>
              <w:spacing w:after="0"/>
              <w:rPr>
                <w:sz w:val="20"/>
                <w:szCs w:val="20"/>
                <w:color w:val="auto"/>
              </w:rPr>
            </w:pPr>
            <w:r>
              <w:rPr>
                <w:rFonts w:ascii="Arial" w:cs="Arial" w:eastAsia="Arial" w:hAnsi="Arial"/>
                <w:sz w:val="14"/>
                <w:szCs w:val="14"/>
                <w:color w:val="auto"/>
              </w:rPr>
              <w:t>1.7%</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22,348</w:t>
            </w:r>
          </w:p>
        </w:tc>
        <w:tc>
          <w:tcPr>
            <w:tcW w:w="0" w:type="dxa"/>
            <w:vAlign w:val="bottom"/>
          </w:tcPr>
          <w:p>
            <w:pPr>
              <w:spacing w:after="0"/>
              <w:rPr>
                <w:sz w:val="1"/>
                <w:szCs w:val="1"/>
                <w:color w:val="auto"/>
              </w:rPr>
            </w:pPr>
          </w:p>
        </w:tc>
      </w:tr>
      <w:tr>
        <w:trPr>
          <w:trHeight w:val="147"/>
        </w:trPr>
        <w:tc>
          <w:tcPr>
            <w:tcW w:w="3720" w:type="dxa"/>
            <w:vAlign w:val="bottom"/>
            <w:gridSpan w:val="3"/>
          </w:tcPr>
          <w:p>
            <w:pPr>
              <w:spacing w:after="0" w:line="147" w:lineRule="exact"/>
              <w:rPr>
                <w:sz w:val="20"/>
                <w:szCs w:val="20"/>
                <w:color w:val="auto"/>
              </w:rPr>
            </w:pPr>
            <w:r>
              <w:rPr>
                <w:rFonts w:ascii="Arial" w:cs="Arial" w:eastAsia="Arial" w:hAnsi="Arial"/>
                <w:sz w:val="14"/>
                <w:szCs w:val="14"/>
                <w:color w:val="auto"/>
              </w:rPr>
              <w:t>(CI (Summit) Investment Holdings, LLC)</w:t>
            </w:r>
          </w:p>
        </w:tc>
        <w:tc>
          <w:tcPr>
            <w:tcW w:w="172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85"/>
              </w:rPr>
              <w:t>Estate</w:t>
            </w:r>
          </w:p>
        </w:tc>
        <w:tc>
          <w:tcPr>
            <w:tcW w:w="330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3"/>
              </w:rPr>
              <w:t>3M L+625, 09/01/2022</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20" w:type="dxa"/>
            <w:vAlign w:val="bottom"/>
            <w:gridSpan w:val="3"/>
          </w:tcPr>
          <w:p>
            <w:pPr>
              <w:spacing w:after="0" w:line="147" w:lineRule="exact"/>
              <w:rPr>
                <w:sz w:val="20"/>
                <w:szCs w:val="20"/>
                <w:color w:val="auto"/>
              </w:rPr>
            </w:pPr>
            <w:r>
              <w:rPr>
                <w:rFonts w:ascii="Arial" w:cs="Arial" w:eastAsia="Arial" w:hAnsi="Arial"/>
                <w:sz w:val="14"/>
                <w:szCs w:val="14"/>
                <w:color w:val="auto"/>
              </w:rPr>
              <w:t>575 Minnehaha Ave. W.</w:t>
            </w: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6"/>
              </w:rPr>
              <w:t>Common Equity</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3"/>
          </w:tcPr>
          <w:p>
            <w:pPr>
              <w:spacing w:after="0"/>
              <w:rPr>
                <w:sz w:val="20"/>
                <w:szCs w:val="20"/>
                <w:color w:val="auto"/>
              </w:rPr>
            </w:pPr>
            <w:r>
              <w:rPr>
                <w:rFonts w:ascii="Arial" w:cs="Arial" w:eastAsia="Arial" w:hAnsi="Arial"/>
                <w:sz w:val="14"/>
                <w:szCs w:val="14"/>
                <w:color w:val="auto"/>
              </w:rPr>
              <w:t>St. Paul, MN 55103</w:t>
            </w: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Shift4 Payments, LLC</w:t>
            </w:r>
          </w:p>
        </w:tc>
        <w:tc>
          <w:tcPr>
            <w:tcW w:w="172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3"/>
              </w:rPr>
              <w:t>Financial Services</w:t>
            </w:r>
          </w:p>
        </w:tc>
        <w:tc>
          <w:tcPr>
            <w:tcW w:w="330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1"/>
              </w:rPr>
              <w:t>Second Lien Secured Debt,</w:t>
            </w:r>
          </w:p>
        </w:tc>
        <w:tc>
          <w:tcPr>
            <w:tcW w:w="1260" w:type="dxa"/>
            <w:vAlign w:val="bottom"/>
            <w:gridSpan w:val="2"/>
            <w:shd w:val="clear" w:color="auto" w:fill="CCEEFF"/>
          </w:tcPr>
          <w:p>
            <w:pPr>
              <w:jc w:val="right"/>
              <w:ind w:right="459"/>
              <w:spacing w:after="0" w:line="12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36,723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1491 Center Crossing Road</w:t>
            </w:r>
          </w:p>
        </w:tc>
        <w:tc>
          <w:tcPr>
            <w:tcW w:w="1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300"/>
              <w:spacing w:after="0" w:line="147" w:lineRule="exact"/>
              <w:rPr>
                <w:sz w:val="20"/>
                <w:szCs w:val="20"/>
                <w:color w:val="auto"/>
              </w:rPr>
            </w:pPr>
            <w:r>
              <w:rPr>
                <w:rFonts w:ascii="Arial" w:cs="Arial" w:eastAsia="Arial" w:hAnsi="Arial"/>
                <w:sz w:val="14"/>
                <w:szCs w:val="14"/>
                <w:color w:val="auto"/>
                <w:w w:val="93"/>
              </w:rPr>
              <w:t>3M L+850, 11/28/2025</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NV 89144</w:t>
            </w: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spacing w:after="0"/>
              <w:rPr>
                <w:sz w:val="20"/>
                <w:szCs w:val="20"/>
                <w:color w:val="auto"/>
              </w:rPr>
            </w:pPr>
            <w:r>
              <w:rPr>
                <w:rFonts w:ascii="Arial" w:cs="Arial" w:eastAsia="Arial" w:hAnsi="Arial"/>
                <w:sz w:val="14"/>
                <w:szCs w:val="14"/>
                <w:color w:val="auto"/>
              </w:rPr>
              <w:t>Triad Manufacturing, Inc.</w:t>
            </w: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Manufacturing / Basic</w:t>
            </w:r>
          </w:p>
        </w:tc>
        <w:tc>
          <w:tcPr>
            <w:tcW w:w="33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p>
        </w:tc>
        <w:tc>
          <w:tcPr>
            <w:tcW w:w="1260" w:type="dxa"/>
            <w:vAlign w:val="bottom"/>
            <w:gridSpan w:val="2"/>
          </w:tcPr>
          <w:p>
            <w:pPr>
              <w:jc w:val="right"/>
              <w:ind w:right="4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21,326</w:t>
            </w:r>
          </w:p>
        </w:tc>
        <w:tc>
          <w:tcPr>
            <w:tcW w:w="0" w:type="dxa"/>
            <w:vAlign w:val="bottom"/>
          </w:tcPr>
          <w:p>
            <w:pPr>
              <w:spacing w:after="0"/>
              <w:rPr>
                <w:sz w:val="1"/>
                <w:szCs w:val="1"/>
                <w:color w:val="auto"/>
              </w:rPr>
            </w:pPr>
          </w:p>
        </w:tc>
      </w:tr>
      <w:tr>
        <w:trPr>
          <w:trHeight w:val="147"/>
        </w:trPr>
        <w:tc>
          <w:tcPr>
            <w:tcW w:w="3720" w:type="dxa"/>
            <w:vAlign w:val="bottom"/>
            <w:gridSpan w:val="3"/>
          </w:tcPr>
          <w:p>
            <w:pPr>
              <w:spacing w:after="0" w:line="147" w:lineRule="exact"/>
              <w:rPr>
                <w:sz w:val="20"/>
                <w:szCs w:val="20"/>
                <w:color w:val="auto"/>
              </w:rPr>
            </w:pPr>
            <w:r>
              <w:rPr>
                <w:rFonts w:ascii="Arial" w:cs="Arial" w:eastAsia="Arial" w:hAnsi="Arial"/>
                <w:sz w:val="14"/>
                <w:szCs w:val="14"/>
                <w:color w:val="auto"/>
              </w:rPr>
              <w:t>4321 Semple Avenue</w:t>
            </w:r>
          </w:p>
        </w:tc>
        <w:tc>
          <w:tcPr>
            <w:tcW w:w="172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5"/>
              </w:rPr>
              <w:t>Industries</w:t>
            </w:r>
          </w:p>
        </w:tc>
        <w:tc>
          <w:tcPr>
            <w:tcW w:w="330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4"/>
              </w:rPr>
              <w:t>3M L+1,325, 12/28/2020</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3"/>
          </w:tcPr>
          <w:p>
            <w:pPr>
              <w:spacing w:after="0"/>
              <w:rPr>
                <w:sz w:val="20"/>
                <w:szCs w:val="20"/>
                <w:color w:val="auto"/>
              </w:rPr>
            </w:pPr>
            <w:r>
              <w:rPr>
                <w:rFonts w:ascii="Arial" w:cs="Arial" w:eastAsia="Arial" w:hAnsi="Arial"/>
                <w:sz w:val="14"/>
                <w:szCs w:val="14"/>
                <w:color w:val="auto"/>
              </w:rPr>
              <w:t>St. Louis, MO 63120</w:t>
            </w: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US Dominion, Inc.</w:t>
            </w:r>
          </w:p>
        </w:tc>
        <w:tc>
          <w:tcPr>
            <w:tcW w:w="172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6"/>
              </w:rPr>
              <w:t>Electronics</w:t>
            </w:r>
          </w:p>
        </w:tc>
        <w:tc>
          <w:tcPr>
            <w:tcW w:w="330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279"/>
              <w:spacing w:after="0" w:line="129" w:lineRule="exact"/>
              <w:rPr>
                <w:sz w:val="20"/>
                <w:szCs w:val="20"/>
                <w:color w:val="auto"/>
              </w:rPr>
            </w:pPr>
            <w:r>
              <w:rPr>
                <w:rFonts w:ascii="Arial" w:cs="Arial" w:eastAsia="Arial" w:hAnsi="Arial"/>
                <w:sz w:val="14"/>
                <w:szCs w:val="14"/>
                <w:color w:val="auto"/>
              </w:rPr>
              <w:t>2.9%</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31,903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(SSC Dominion Holdings, LLC)</w:t>
            </w:r>
          </w:p>
        </w:tc>
        <w:tc>
          <w:tcPr>
            <w:tcW w:w="1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300"/>
              <w:spacing w:after="0" w:line="147" w:lineRule="exact"/>
              <w:rPr>
                <w:sz w:val="20"/>
                <w:szCs w:val="20"/>
                <w:color w:val="auto"/>
              </w:rPr>
            </w:pPr>
            <w:r>
              <w:rPr>
                <w:rFonts w:ascii="Arial" w:cs="Arial" w:eastAsia="Arial" w:hAnsi="Arial"/>
                <w:sz w:val="14"/>
                <w:szCs w:val="14"/>
                <w:color w:val="auto"/>
                <w:w w:val="93"/>
              </w:rPr>
              <w:t>3M L+675, 07/15/2024</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215 Spadina Ave, Suite 200</w:t>
            </w:r>
          </w:p>
        </w:tc>
        <w:tc>
          <w:tcPr>
            <w:tcW w:w="1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300"/>
              <w:spacing w:after="0" w:line="147" w:lineRule="exact"/>
              <w:rPr>
                <w:sz w:val="20"/>
                <w:szCs w:val="20"/>
                <w:color w:val="auto"/>
              </w:rPr>
            </w:pPr>
            <w:r>
              <w:rPr>
                <w:rFonts w:ascii="Arial" w:cs="Arial" w:eastAsia="Arial" w:hAnsi="Arial"/>
                <w:sz w:val="14"/>
                <w:szCs w:val="14"/>
                <w:color w:val="auto"/>
                <w:w w:val="96"/>
              </w:rPr>
              <w:t>Common Equity</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spacing w:after="0"/>
              <w:rPr>
                <w:sz w:val="20"/>
                <w:szCs w:val="20"/>
                <w:color w:val="auto"/>
              </w:rPr>
            </w:pPr>
            <w:r>
              <w:rPr>
                <w:rFonts w:ascii="Arial" w:cs="Arial" w:eastAsia="Arial" w:hAnsi="Arial"/>
                <w:sz w:val="14"/>
                <w:szCs w:val="14"/>
                <w:color w:val="auto"/>
              </w:rPr>
              <w:t>US Med Acquisition, Inc.</w:t>
            </w: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Healthcare, Education</w:t>
            </w:r>
          </w:p>
        </w:tc>
        <w:tc>
          <w:tcPr>
            <w:tcW w:w="33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p>
        </w:tc>
        <w:tc>
          <w:tcPr>
            <w:tcW w:w="1260" w:type="dxa"/>
            <w:vAlign w:val="bottom"/>
            <w:gridSpan w:val="2"/>
          </w:tcPr>
          <w:p>
            <w:pPr>
              <w:jc w:val="right"/>
              <w:ind w:right="4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8,032</w:t>
            </w:r>
          </w:p>
        </w:tc>
        <w:tc>
          <w:tcPr>
            <w:tcW w:w="0" w:type="dxa"/>
            <w:vAlign w:val="bottom"/>
          </w:tcPr>
          <w:p>
            <w:pPr>
              <w:spacing w:after="0"/>
              <w:rPr>
                <w:sz w:val="1"/>
                <w:szCs w:val="1"/>
                <w:color w:val="auto"/>
              </w:rPr>
            </w:pPr>
          </w:p>
        </w:tc>
      </w:tr>
      <w:tr>
        <w:trPr>
          <w:trHeight w:val="147"/>
        </w:trPr>
        <w:tc>
          <w:tcPr>
            <w:tcW w:w="3720" w:type="dxa"/>
            <w:vAlign w:val="bottom"/>
            <w:gridSpan w:val="3"/>
          </w:tcPr>
          <w:p>
            <w:pPr>
              <w:spacing w:after="0" w:line="147" w:lineRule="exact"/>
              <w:rPr>
                <w:sz w:val="20"/>
                <w:szCs w:val="20"/>
                <w:color w:val="auto"/>
              </w:rPr>
            </w:pPr>
            <w:r>
              <w:rPr>
                <w:rFonts w:ascii="Arial" w:cs="Arial" w:eastAsia="Arial" w:hAnsi="Arial"/>
                <w:sz w:val="14"/>
                <w:szCs w:val="14"/>
                <w:color w:val="auto"/>
              </w:rPr>
              <w:t>8260 NW 27th Street, Suite 401</w:t>
            </w:r>
          </w:p>
        </w:tc>
        <w:tc>
          <w:tcPr>
            <w:tcW w:w="172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0"/>
              </w:rPr>
              <w:t>and Childcare</w:t>
            </w:r>
          </w:p>
        </w:tc>
        <w:tc>
          <w:tcPr>
            <w:tcW w:w="330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3"/>
              </w:rPr>
              <w:t>1M L+900, 08/13/2021</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3"/>
          </w:tcPr>
          <w:p>
            <w:pPr>
              <w:spacing w:after="0"/>
              <w:rPr>
                <w:sz w:val="20"/>
                <w:szCs w:val="20"/>
                <w:color w:val="auto"/>
              </w:rPr>
            </w:pPr>
            <w:r>
              <w:rPr>
                <w:rFonts w:ascii="Arial" w:cs="Arial" w:eastAsia="Arial" w:hAnsi="Arial"/>
                <w:sz w:val="14"/>
                <w:szCs w:val="14"/>
                <w:color w:val="auto"/>
              </w:rPr>
              <w:t>Doral, Florida 33122</w:t>
            </w: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U.S. Well Services, Inc.</w:t>
            </w:r>
            <w:r>
              <w:rPr>
                <w:rFonts w:ascii="Arial" w:cs="Arial" w:eastAsia="Arial" w:hAnsi="Arial"/>
                <w:sz w:val="12"/>
                <w:szCs w:val="12"/>
                <w:color w:val="auto"/>
              </w:rPr>
              <w:t>(6)</w:t>
            </w:r>
          </w:p>
        </w:tc>
        <w:tc>
          <w:tcPr>
            <w:tcW w:w="172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4"/>
              </w:rPr>
              <w:t>Oil and Gas</w:t>
            </w:r>
          </w:p>
        </w:tc>
        <w:tc>
          <w:tcPr>
            <w:tcW w:w="330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2"/>
            <w:shd w:val="clear" w:color="auto" w:fill="CCEEFF"/>
          </w:tcPr>
          <w:p>
            <w:pPr>
              <w:jc w:val="right"/>
              <w:ind w:right="279"/>
              <w:spacing w:after="0" w:line="129" w:lineRule="exact"/>
              <w:rPr>
                <w:sz w:val="20"/>
                <w:szCs w:val="20"/>
                <w:color w:val="auto"/>
              </w:rPr>
            </w:pPr>
            <w:r>
              <w:rPr>
                <w:rFonts w:ascii="Arial" w:cs="Arial" w:eastAsia="Arial" w:hAnsi="Arial"/>
                <w:sz w:val="14"/>
                <w:szCs w:val="14"/>
                <w:color w:val="auto"/>
              </w:rPr>
              <w:t>2.5%</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6,902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(USWS Holdings, LLC</w:t>
            </w:r>
            <w:r>
              <w:rPr>
                <w:rFonts w:ascii="Arial" w:cs="Arial" w:eastAsia="Arial" w:hAnsi="Arial"/>
                <w:sz w:val="12"/>
                <w:szCs w:val="12"/>
                <w:color w:val="auto"/>
              </w:rPr>
              <w:t>(5)(6)</w:t>
            </w:r>
            <w:r>
              <w:rPr>
                <w:rFonts w:ascii="Arial" w:cs="Arial" w:eastAsia="Arial" w:hAnsi="Arial"/>
                <w:sz w:val="14"/>
                <w:szCs w:val="14"/>
                <w:color w:val="auto"/>
              </w:rPr>
              <w:t>)</w:t>
            </w:r>
          </w:p>
        </w:tc>
        <w:tc>
          <w:tcPr>
            <w:tcW w:w="1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770 South Post Oak Lane, Suite 405</w:t>
            </w:r>
          </w:p>
        </w:tc>
        <w:tc>
          <w:tcPr>
            <w:tcW w:w="1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spacing w:after="0"/>
              <w:rPr>
                <w:sz w:val="20"/>
                <w:szCs w:val="20"/>
                <w:color w:val="auto"/>
              </w:rPr>
            </w:pPr>
            <w:r>
              <w:rPr>
                <w:rFonts w:ascii="Arial" w:cs="Arial" w:eastAsia="Arial" w:hAnsi="Arial"/>
                <w:sz w:val="14"/>
                <w:szCs w:val="14"/>
                <w:color w:val="auto"/>
              </w:rPr>
              <w:t>VT Topco, Inc.</w:t>
            </w: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Business Services</w:t>
            </w:r>
          </w:p>
        </w:tc>
        <w:tc>
          <w:tcPr>
            <w:tcW w:w="33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Second Lien Secured Debt,</w:t>
            </w:r>
          </w:p>
        </w:tc>
        <w:tc>
          <w:tcPr>
            <w:tcW w:w="1260" w:type="dxa"/>
            <w:vAlign w:val="bottom"/>
            <w:gridSpan w:val="2"/>
          </w:tcPr>
          <w:p>
            <w:pPr>
              <w:jc w:val="right"/>
              <w:ind w:right="279"/>
              <w:spacing w:after="0"/>
              <w:rPr>
                <w:sz w:val="20"/>
                <w:szCs w:val="20"/>
                <w:color w:val="auto"/>
              </w:rPr>
            </w:pPr>
            <w:r>
              <w:rPr>
                <w:rFonts w:ascii="Arial" w:cs="Arial" w:eastAsia="Arial" w:hAnsi="Arial"/>
                <w:sz w:val="14"/>
                <w:szCs w:val="14"/>
                <w:color w:val="auto"/>
              </w:rPr>
              <w:t>0.3%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13,777</w:t>
            </w:r>
          </w:p>
        </w:tc>
        <w:tc>
          <w:tcPr>
            <w:tcW w:w="0" w:type="dxa"/>
            <w:vAlign w:val="bottom"/>
          </w:tcPr>
          <w:p>
            <w:pPr>
              <w:spacing w:after="0"/>
              <w:rPr>
                <w:sz w:val="1"/>
                <w:szCs w:val="1"/>
                <w:color w:val="auto"/>
              </w:rPr>
            </w:pPr>
          </w:p>
        </w:tc>
      </w:tr>
      <w:tr>
        <w:trPr>
          <w:trHeight w:val="147"/>
        </w:trPr>
        <w:tc>
          <w:tcPr>
            <w:tcW w:w="3720" w:type="dxa"/>
            <w:vAlign w:val="bottom"/>
            <w:gridSpan w:val="3"/>
          </w:tcPr>
          <w:p>
            <w:pPr>
              <w:spacing w:after="0" w:line="147" w:lineRule="exact"/>
              <w:rPr>
                <w:sz w:val="20"/>
                <w:szCs w:val="20"/>
                <w:color w:val="auto"/>
              </w:rPr>
            </w:pPr>
            <w:r>
              <w:rPr>
                <w:rFonts w:ascii="Arial" w:cs="Arial" w:eastAsia="Arial" w:hAnsi="Arial"/>
                <w:sz w:val="14"/>
                <w:szCs w:val="14"/>
                <w:color w:val="auto"/>
              </w:rPr>
              <w:t>(Green Veracity Holdings, LP)</w:t>
            </w: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3"/>
              </w:rPr>
              <w:t>1M L+700, 08/24/2026</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20" w:type="dxa"/>
            <w:vAlign w:val="bottom"/>
            <w:gridSpan w:val="3"/>
          </w:tcPr>
          <w:p>
            <w:pPr>
              <w:spacing w:after="0" w:line="147" w:lineRule="exact"/>
              <w:rPr>
                <w:sz w:val="20"/>
                <w:szCs w:val="20"/>
                <w:color w:val="auto"/>
              </w:rPr>
            </w:pPr>
            <w:r>
              <w:rPr>
                <w:rFonts w:ascii="Arial" w:cs="Arial" w:eastAsia="Arial" w:hAnsi="Arial"/>
                <w:sz w:val="14"/>
                <w:szCs w:val="14"/>
                <w:color w:val="auto"/>
              </w:rPr>
              <w:t>290 West Mount Pleasant Avenue, Suite 3200</w:t>
            </w: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6"/>
              </w:rPr>
              <w:t>Common Equity</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3"/>
          </w:tcPr>
          <w:p>
            <w:pPr>
              <w:spacing w:after="0"/>
              <w:rPr>
                <w:sz w:val="20"/>
                <w:szCs w:val="20"/>
                <w:color w:val="auto"/>
              </w:rPr>
            </w:pPr>
            <w:r>
              <w:rPr>
                <w:rFonts w:ascii="Arial" w:cs="Arial" w:eastAsia="Arial" w:hAnsi="Arial"/>
                <w:sz w:val="14"/>
                <w:szCs w:val="14"/>
                <w:color w:val="auto"/>
              </w:rPr>
              <w:t>Livingston, NJ 07039</w:t>
            </w: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Walker Edison Furniture Company LLC</w:t>
            </w:r>
          </w:p>
        </w:tc>
        <w:tc>
          <w:tcPr>
            <w:tcW w:w="172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3"/>
              </w:rPr>
              <w:t>Home and Office</w:t>
            </w:r>
          </w:p>
        </w:tc>
        <w:tc>
          <w:tcPr>
            <w:tcW w:w="330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2"/>
              </w:rPr>
              <w:t>First Lien Secured Debt,</w:t>
            </w:r>
          </w:p>
        </w:tc>
        <w:tc>
          <w:tcPr>
            <w:tcW w:w="1260" w:type="dxa"/>
            <w:vAlign w:val="bottom"/>
            <w:gridSpan w:val="2"/>
            <w:shd w:val="clear" w:color="auto" w:fill="CCEEFF"/>
          </w:tcPr>
          <w:p>
            <w:pPr>
              <w:jc w:val="right"/>
              <w:ind w:right="279"/>
              <w:spacing w:after="0" w:line="129" w:lineRule="exact"/>
              <w:rPr>
                <w:sz w:val="20"/>
                <w:szCs w:val="20"/>
                <w:color w:val="auto"/>
              </w:rPr>
            </w:pPr>
            <w:r>
              <w:rPr>
                <w:rFonts w:ascii="Arial" w:cs="Arial" w:eastAsia="Arial" w:hAnsi="Arial"/>
                <w:sz w:val="14"/>
                <w:szCs w:val="14"/>
                <w:color w:val="auto"/>
              </w:rPr>
              <w:t>1.8%</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23,956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(JWC-WE Holdings, L.P.)</w:t>
            </w:r>
          </w:p>
        </w:tc>
        <w:tc>
          <w:tcPr>
            <w:tcW w:w="1720" w:type="dxa"/>
            <w:vAlign w:val="bottom"/>
            <w:gridSpan w:val="2"/>
            <w:shd w:val="clear" w:color="auto" w:fill="CCEEFF"/>
          </w:tcPr>
          <w:p>
            <w:pPr>
              <w:jc w:val="center"/>
              <w:ind w:right="300"/>
              <w:spacing w:after="0" w:line="147" w:lineRule="exact"/>
              <w:rPr>
                <w:sz w:val="20"/>
                <w:szCs w:val="20"/>
                <w:color w:val="auto"/>
              </w:rPr>
            </w:pPr>
            <w:r>
              <w:rPr>
                <w:rFonts w:ascii="Arial" w:cs="Arial" w:eastAsia="Arial" w:hAnsi="Arial"/>
                <w:sz w:val="14"/>
                <w:szCs w:val="14"/>
                <w:color w:val="auto"/>
                <w:w w:val="91"/>
              </w:rPr>
              <w:t>Furnishings</w:t>
            </w:r>
          </w:p>
        </w:tc>
        <w:tc>
          <w:tcPr>
            <w:tcW w:w="3300" w:type="dxa"/>
            <w:vAlign w:val="bottom"/>
            <w:gridSpan w:val="2"/>
            <w:shd w:val="clear" w:color="auto" w:fill="CCEEFF"/>
          </w:tcPr>
          <w:p>
            <w:pPr>
              <w:jc w:val="center"/>
              <w:ind w:right="300"/>
              <w:spacing w:after="0" w:line="147" w:lineRule="exact"/>
              <w:rPr>
                <w:sz w:val="20"/>
                <w:szCs w:val="20"/>
                <w:color w:val="auto"/>
              </w:rPr>
            </w:pPr>
            <w:r>
              <w:rPr>
                <w:rFonts w:ascii="Arial" w:cs="Arial" w:eastAsia="Arial" w:hAnsi="Arial"/>
                <w:sz w:val="14"/>
                <w:szCs w:val="14"/>
                <w:color w:val="auto"/>
                <w:w w:val="93"/>
              </w:rPr>
              <w:t>3M L+650, 09/26/2024</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4350 West 2100 South, Suite A</w:t>
            </w:r>
          </w:p>
        </w:tc>
        <w:tc>
          <w:tcPr>
            <w:tcW w:w="1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300"/>
              <w:spacing w:after="0" w:line="147" w:lineRule="exact"/>
              <w:rPr>
                <w:sz w:val="20"/>
                <w:szCs w:val="20"/>
                <w:color w:val="auto"/>
              </w:rPr>
            </w:pPr>
            <w:r>
              <w:rPr>
                <w:rFonts w:ascii="Arial" w:cs="Arial" w:eastAsia="Arial" w:hAnsi="Arial"/>
                <w:sz w:val="14"/>
                <w:szCs w:val="14"/>
                <w:color w:val="auto"/>
                <w:w w:val="96"/>
              </w:rPr>
              <w:t>Common Equity</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84120</w:t>
            </w: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spacing w:after="0"/>
              <w:rPr>
                <w:sz w:val="20"/>
                <w:szCs w:val="20"/>
                <w:color w:val="auto"/>
              </w:rPr>
            </w:pPr>
            <w:r>
              <w:rPr>
                <w:rFonts w:ascii="Arial" w:cs="Arial" w:eastAsia="Arial" w:hAnsi="Arial"/>
                <w:sz w:val="14"/>
                <w:szCs w:val="14"/>
                <w:color w:val="auto"/>
              </w:rPr>
              <w:t>Whitney, Bradley &amp; Brown, Inc.</w:t>
            </w: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Aerospace and Defense</w:t>
            </w:r>
          </w:p>
        </w:tc>
        <w:tc>
          <w:tcPr>
            <w:tcW w:w="33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p>
        </w:tc>
        <w:tc>
          <w:tcPr>
            <w:tcW w:w="1260" w:type="dxa"/>
            <w:vAlign w:val="bottom"/>
            <w:gridSpan w:val="2"/>
          </w:tcPr>
          <w:p>
            <w:pPr>
              <w:jc w:val="right"/>
              <w:ind w:right="279"/>
              <w:spacing w:after="0"/>
              <w:rPr>
                <w:sz w:val="20"/>
                <w:szCs w:val="20"/>
                <w:color w:val="auto"/>
              </w:rPr>
            </w:pPr>
            <w:r>
              <w:rPr>
                <w:rFonts w:ascii="Arial" w:cs="Arial" w:eastAsia="Arial" w:hAnsi="Arial"/>
                <w:sz w:val="14"/>
                <w:szCs w:val="14"/>
                <w:color w:val="auto"/>
              </w:rPr>
              <w:t>2.5%</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20,453</w:t>
            </w:r>
          </w:p>
        </w:tc>
        <w:tc>
          <w:tcPr>
            <w:tcW w:w="0" w:type="dxa"/>
            <w:vAlign w:val="bottom"/>
          </w:tcPr>
          <w:p>
            <w:pPr>
              <w:spacing w:after="0"/>
              <w:rPr>
                <w:sz w:val="1"/>
                <w:szCs w:val="1"/>
                <w:color w:val="auto"/>
              </w:rPr>
            </w:pPr>
          </w:p>
        </w:tc>
      </w:tr>
      <w:tr>
        <w:trPr>
          <w:trHeight w:val="147"/>
        </w:trPr>
        <w:tc>
          <w:tcPr>
            <w:tcW w:w="3720" w:type="dxa"/>
            <w:vAlign w:val="bottom"/>
            <w:gridSpan w:val="3"/>
          </w:tcPr>
          <w:p>
            <w:pPr>
              <w:spacing w:after="0" w:line="147" w:lineRule="exact"/>
              <w:rPr>
                <w:sz w:val="20"/>
                <w:szCs w:val="20"/>
                <w:color w:val="auto"/>
              </w:rPr>
            </w:pPr>
            <w:r>
              <w:rPr>
                <w:rFonts w:ascii="Arial" w:cs="Arial" w:eastAsia="Arial" w:hAnsi="Arial"/>
                <w:sz w:val="14"/>
                <w:szCs w:val="14"/>
                <w:color w:val="auto"/>
              </w:rPr>
              <w:t>(WBB Equity, LLC</w:t>
            </w:r>
            <w:r>
              <w:rPr>
                <w:rFonts w:ascii="Arial" w:cs="Arial" w:eastAsia="Arial" w:hAnsi="Arial"/>
                <w:sz w:val="12"/>
                <w:szCs w:val="12"/>
                <w:color w:val="auto"/>
              </w:rPr>
              <w:t>(5)</w:t>
            </w:r>
            <w:r>
              <w:rPr>
                <w:rFonts w:ascii="Arial" w:cs="Arial" w:eastAsia="Arial" w:hAnsi="Arial"/>
                <w:sz w:val="14"/>
                <w:szCs w:val="14"/>
                <w:color w:val="auto"/>
              </w:rPr>
              <w:t>)</w:t>
            </w: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3"/>
              </w:rPr>
              <w:t>1M L+900, 10/18/2022</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20" w:type="dxa"/>
            <w:vAlign w:val="bottom"/>
            <w:gridSpan w:val="3"/>
          </w:tcPr>
          <w:p>
            <w:pPr>
              <w:spacing w:after="0" w:line="147" w:lineRule="exact"/>
              <w:rPr>
                <w:sz w:val="20"/>
                <w:szCs w:val="20"/>
                <w:color w:val="auto"/>
              </w:rPr>
            </w:pPr>
            <w:r>
              <w:rPr>
                <w:rFonts w:ascii="Arial" w:cs="Arial" w:eastAsia="Arial" w:hAnsi="Arial"/>
                <w:sz w:val="14"/>
                <w:szCs w:val="14"/>
                <w:color w:val="auto"/>
              </w:rPr>
              <w:t>11790 Sunrise Valley Drive</w:t>
            </w: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6"/>
              </w:rPr>
              <w:t>Common Equity</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3"/>
          </w:tcPr>
          <w:p>
            <w:pPr>
              <w:spacing w:after="0"/>
              <w:rPr>
                <w:sz w:val="20"/>
                <w:szCs w:val="20"/>
                <w:color w:val="auto"/>
              </w:rPr>
            </w:pPr>
            <w:r>
              <w:rPr>
                <w:rFonts w:ascii="Arial" w:cs="Arial" w:eastAsia="Arial" w:hAnsi="Arial"/>
                <w:sz w:val="14"/>
                <w:szCs w:val="14"/>
                <w:color w:val="auto"/>
              </w:rPr>
              <w:t>Reston, VA 20191</w:t>
            </w: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Winter Park Intermediate, Inc.</w:t>
            </w:r>
          </w:p>
        </w:tc>
        <w:tc>
          <w:tcPr>
            <w:tcW w:w="172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5"/>
              </w:rPr>
              <w:t>Auto Sector</w:t>
            </w:r>
          </w:p>
        </w:tc>
        <w:tc>
          <w:tcPr>
            <w:tcW w:w="330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1"/>
              </w:rPr>
              <w:t>Second Lien Secured Debt,</w:t>
            </w:r>
          </w:p>
        </w:tc>
        <w:tc>
          <w:tcPr>
            <w:tcW w:w="1260" w:type="dxa"/>
            <w:vAlign w:val="bottom"/>
            <w:gridSpan w:val="2"/>
            <w:shd w:val="clear" w:color="auto" w:fill="CCEEFF"/>
          </w:tcPr>
          <w:p>
            <w:pPr>
              <w:jc w:val="right"/>
              <w:ind w:right="279"/>
              <w:spacing w:after="0" w:line="129" w:lineRule="exact"/>
              <w:rPr>
                <w:sz w:val="20"/>
                <w:szCs w:val="20"/>
                <w:color w:val="auto"/>
              </w:rPr>
            </w:pPr>
            <w:r>
              <w:rPr>
                <w:rFonts w:ascii="Arial" w:cs="Arial" w:eastAsia="Arial" w:hAnsi="Arial"/>
                <w:sz w:val="14"/>
                <w:szCs w:val="14"/>
                <w:color w:val="auto"/>
              </w:rPr>
              <w:t>2.5%</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38,065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(Wheel Pros Holdings, L.P.)</w:t>
            </w:r>
          </w:p>
        </w:tc>
        <w:tc>
          <w:tcPr>
            <w:tcW w:w="1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300"/>
              <w:spacing w:after="0" w:line="147" w:lineRule="exact"/>
              <w:rPr>
                <w:sz w:val="20"/>
                <w:szCs w:val="20"/>
                <w:color w:val="auto"/>
              </w:rPr>
            </w:pPr>
            <w:r>
              <w:rPr>
                <w:rFonts w:ascii="Arial" w:cs="Arial" w:eastAsia="Arial" w:hAnsi="Arial"/>
                <w:sz w:val="14"/>
                <w:szCs w:val="14"/>
                <w:color w:val="auto"/>
                <w:w w:val="93"/>
              </w:rPr>
              <w:t>1M L+850, 04/06/2026</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44 Union Boulevard, Suite 620</w:t>
            </w:r>
          </w:p>
        </w:tc>
        <w:tc>
          <w:tcPr>
            <w:tcW w:w="1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300"/>
              <w:spacing w:after="0" w:line="147" w:lineRule="exact"/>
              <w:rPr>
                <w:sz w:val="20"/>
                <w:szCs w:val="20"/>
                <w:color w:val="auto"/>
              </w:rPr>
            </w:pPr>
            <w:r>
              <w:rPr>
                <w:rFonts w:ascii="Arial" w:cs="Arial" w:eastAsia="Arial" w:hAnsi="Arial"/>
                <w:sz w:val="14"/>
                <w:szCs w:val="14"/>
                <w:color w:val="auto"/>
                <w:w w:val="96"/>
              </w:rPr>
              <w:t>Common Equity</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Lakewood, CO 80228</w:t>
            </w: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Companies 5% to 24% Owned</w:t>
            </w: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Affinion Group Holdings, Inc.</w:t>
            </w:r>
          </w:p>
        </w:tc>
        <w:tc>
          <w:tcPr>
            <w:tcW w:w="172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2"/>
              </w:rPr>
              <w:t>Consumer Products</w:t>
            </w:r>
          </w:p>
        </w:tc>
        <w:tc>
          <w:tcPr>
            <w:tcW w:w="3300" w:type="dxa"/>
            <w:vAlign w:val="bottom"/>
            <w:gridSpan w:val="2"/>
            <w:shd w:val="clear" w:color="auto" w:fill="CCEEFF"/>
          </w:tcPr>
          <w:p>
            <w:pPr>
              <w:jc w:val="center"/>
              <w:ind w:right="300"/>
              <w:spacing w:after="0" w:line="129"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2"/>
            <w:shd w:val="clear" w:color="auto" w:fill="CCEEFF"/>
          </w:tcPr>
          <w:p>
            <w:pPr>
              <w:jc w:val="right"/>
              <w:ind w:right="279"/>
              <w:spacing w:after="0" w:line="129" w:lineRule="exact"/>
              <w:rPr>
                <w:sz w:val="20"/>
                <w:szCs w:val="20"/>
                <w:color w:val="auto"/>
              </w:rPr>
            </w:pPr>
            <w:r>
              <w:rPr>
                <w:rFonts w:ascii="Arial" w:cs="Arial" w:eastAsia="Arial" w:hAnsi="Arial"/>
                <w:sz w:val="14"/>
                <w:szCs w:val="14"/>
                <w:color w:val="auto"/>
              </w:rPr>
              <w:t>8.9%</w:t>
            </w: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16,821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100 Connecticut Avenue</w:t>
            </w:r>
          </w:p>
        </w:tc>
        <w:tc>
          <w:tcPr>
            <w:tcW w:w="1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2240" w:h="15840" w:orient="portrait"/>
          <w:cols w:equalWidth="0" w:num="1">
            <w:col w:w="11060"/>
          </w:cols>
          <w:pgMar w:left="520" w:top="316" w:right="660"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4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91"/>
              </w:rPr>
              <w:t>Voting</w:t>
            </w:r>
          </w:p>
        </w:tc>
        <w:tc>
          <w:tcPr>
            <w:tcW w:w="160" w:type="dxa"/>
            <w:vAlign w:val="bottom"/>
          </w:tcPr>
          <w:p>
            <w:pPr>
              <w:spacing w:after="0"/>
              <w:rPr>
                <w:sz w:val="14"/>
                <w:szCs w:val="14"/>
                <w:color w:val="auto"/>
              </w:rPr>
            </w:pP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3"/>
        </w:trPr>
        <w:tc>
          <w:tcPr>
            <w:tcW w:w="3720" w:type="dxa"/>
            <w:vAlign w:val="bottom"/>
            <w:gridSpan w:val="3"/>
            <w:vMerge w:val="continue"/>
          </w:tcPr>
          <w:p>
            <w:pPr>
              <w:spacing w:after="0"/>
              <w:rPr>
                <w:sz w:val="12"/>
                <w:szCs w:val="12"/>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220" w:type="dxa"/>
            <w:vAlign w:val="bottom"/>
            <w:gridSpan w:val="2"/>
            <w:vMerge w:val="continue"/>
          </w:tcPr>
          <w:p>
            <w:pPr>
              <w:spacing w:after="0"/>
              <w:rPr>
                <w:sz w:val="12"/>
                <w:szCs w:val="12"/>
                <w:color w:val="auto"/>
              </w:rPr>
            </w:pPr>
          </w:p>
        </w:tc>
        <w:tc>
          <w:tcPr>
            <w:tcW w:w="1240" w:type="dxa"/>
            <w:vAlign w:val="bottom"/>
            <w:gridSpan w:val="2"/>
          </w:tcPr>
          <w:p>
            <w:pPr>
              <w:jc w:val="center"/>
              <w:ind w:right="359"/>
              <w:spacing w:after="0" w:line="143" w:lineRule="exact"/>
              <w:rPr>
                <w:sz w:val="20"/>
                <w:szCs w:val="20"/>
                <w:color w:val="auto"/>
              </w:rPr>
            </w:pPr>
            <w:r>
              <w:rPr>
                <w:rFonts w:ascii="Arial" w:cs="Arial" w:eastAsia="Arial" w:hAnsi="Arial"/>
                <w:sz w:val="14"/>
                <w:szCs w:val="14"/>
                <w:b w:val="1"/>
                <w:bCs w:val="1"/>
                <w:color w:val="auto"/>
                <w:w w:val="87"/>
              </w:rPr>
              <w:t>Percentage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660" w:type="dxa"/>
            <w:vAlign w:val="bottom"/>
            <w:gridSpan w:val="2"/>
            <w:vMerge w:val="continue"/>
          </w:tcPr>
          <w:p>
            <w:pPr>
              <w:spacing w:after="0"/>
              <w:rPr>
                <w:sz w:val="15"/>
                <w:szCs w:val="15"/>
                <w:color w:val="auto"/>
              </w:rPr>
            </w:pPr>
          </w:p>
        </w:tc>
        <w:tc>
          <w:tcPr>
            <w:tcW w:w="3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4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6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4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2"/>
                <w:szCs w:val="12"/>
                <w:color w:val="auto"/>
              </w:rPr>
              <w:t>ETX Energy , LLC</w:t>
            </w:r>
            <w:r>
              <w:rPr>
                <w:rFonts w:ascii="Arial" w:cs="Arial" w:eastAsia="Arial" w:hAnsi="Arial"/>
                <w:sz w:val="10"/>
                <w:szCs w:val="10"/>
                <w:color w:val="auto"/>
              </w:rPr>
              <w:t>(5)</w:t>
            </w:r>
          </w:p>
        </w:tc>
        <w:tc>
          <w:tcPr>
            <w:tcW w:w="186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2"/>
                <w:szCs w:val="12"/>
                <w:color w:val="auto"/>
              </w:rPr>
              <w:t>Oil and Gas</w:t>
            </w:r>
          </w:p>
        </w:tc>
        <w:tc>
          <w:tcPr>
            <w:tcW w:w="280" w:type="dxa"/>
            <w:vAlign w:val="bottom"/>
            <w:tcBorders>
              <w:top w:val="single" w:sz="8" w:color="CCEEFF"/>
            </w:tcBorders>
            <w:shd w:val="clear" w:color="auto" w:fill="CCEEFF"/>
          </w:tcPr>
          <w:p>
            <w:pPr>
              <w:spacing w:after="0"/>
              <w:rPr>
                <w:sz w:val="9"/>
                <w:szCs w:val="9"/>
                <w:color w:val="auto"/>
              </w:rPr>
            </w:pPr>
          </w:p>
        </w:tc>
        <w:tc>
          <w:tcPr>
            <w:tcW w:w="294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2"/>
                <w:szCs w:val="12"/>
                <w:color w:val="auto"/>
              </w:rPr>
              <w:t>Preferred Equity</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2"/>
                <w:szCs w:val="12"/>
                <w:color w:val="auto"/>
              </w:rPr>
              <w:t>14.0</w:t>
            </w:r>
          </w:p>
        </w:tc>
        <w:tc>
          <w:tcPr>
            <w:tcW w:w="420" w:type="dxa"/>
            <w:vAlign w:val="bottom"/>
            <w:tcBorders>
              <w:top w:val="single" w:sz="8" w:color="CCEEFF"/>
            </w:tcBorders>
            <w:shd w:val="clear" w:color="auto" w:fill="CCEEFF"/>
          </w:tcPr>
          <w:p>
            <w:pPr>
              <w:jc w:val="right"/>
              <w:ind w:right="99"/>
              <w:spacing w:after="0" w:line="107" w:lineRule="exact"/>
              <w:rPr>
                <w:sz w:val="20"/>
                <w:szCs w:val="20"/>
                <w:color w:val="auto"/>
              </w:rPr>
            </w:pPr>
            <w:r>
              <w:rPr>
                <w:rFonts w:ascii="Arial" w:cs="Arial" w:eastAsia="Arial" w:hAnsi="Arial"/>
                <w:sz w:val="12"/>
                <w:szCs w:val="12"/>
                <w:color w:val="auto"/>
              </w:rPr>
              <w:t>%</w:t>
            </w:r>
            <w:r>
              <w:rPr>
                <w:rFonts w:ascii="Arial" w:cs="Arial" w:eastAsia="Arial" w:hAnsi="Arial"/>
                <w:sz w:val="10"/>
                <w:szCs w:val="10"/>
                <w:color w:val="auto"/>
              </w:rPr>
              <w:t>(3)</w:t>
            </w:r>
          </w:p>
        </w:tc>
        <w:tc>
          <w:tcPr>
            <w:tcW w:w="16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2"/>
                <w:szCs w:val="12"/>
                <w:color w:val="auto"/>
              </w:rPr>
              <w:t>32,237</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(ETX Energy Management Company, LLC)</w:t>
            </w: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10441 S. Regal Blvd. Ste. 210</w:t>
            </w: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Tulsa, OK 74133</w:t>
            </w: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Companies 25% or More Owned</w:t>
            </w:r>
          </w:p>
        </w:tc>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AKW Holdings Limited</w:t>
            </w:r>
            <w:r>
              <w:rPr>
                <w:rFonts w:ascii="Arial" w:cs="Arial" w:eastAsia="Arial" w:hAnsi="Arial"/>
                <w:sz w:val="12"/>
                <w:szCs w:val="12"/>
                <w:color w:val="auto"/>
              </w:rPr>
              <w:t>(6)</w:t>
            </w:r>
          </w:p>
        </w:tc>
        <w:tc>
          <w:tcPr>
            <w:tcW w:w="166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92"/>
              </w:rPr>
              <w:t>Healthcare, Education</w:t>
            </w:r>
          </w:p>
        </w:tc>
        <w:tc>
          <w:tcPr>
            <w:tcW w:w="322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92"/>
              </w:rPr>
              <w:t>First Lien Secured Debt,</w:t>
            </w:r>
          </w:p>
        </w:tc>
        <w:tc>
          <w:tcPr>
            <w:tcW w:w="1240" w:type="dxa"/>
            <w:vAlign w:val="bottom"/>
            <w:gridSpan w:val="2"/>
            <w:shd w:val="clear" w:color="auto" w:fill="CCEEFF"/>
          </w:tcPr>
          <w:p>
            <w:pPr>
              <w:jc w:val="right"/>
              <w:ind w:right="99"/>
              <w:spacing w:after="0" w:line="129" w:lineRule="exact"/>
              <w:rPr>
                <w:sz w:val="20"/>
                <w:szCs w:val="20"/>
                <w:color w:val="auto"/>
              </w:rPr>
            </w:pPr>
            <w:r>
              <w:rPr>
                <w:rFonts w:ascii="Arial" w:cs="Arial" w:eastAsia="Arial" w:hAnsi="Arial"/>
                <w:sz w:val="14"/>
                <w:szCs w:val="14"/>
                <w:color w:val="auto"/>
              </w:rPr>
              <w:t>83.5%</w:t>
            </w:r>
            <w:r>
              <w:rPr>
                <w:rFonts w:ascii="Arial" w:cs="Arial" w:eastAsia="Arial" w:hAnsi="Arial"/>
                <w:sz w:val="12"/>
                <w:szCs w:val="12"/>
                <w:color w:val="auto"/>
              </w:rPr>
              <w:t>(3)</w:t>
            </w:r>
          </w:p>
        </w:tc>
        <w:tc>
          <w:tcPr>
            <w:tcW w:w="108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42,968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Unit L, Snugborough Trading Estate</w:t>
            </w:r>
          </w:p>
        </w:tc>
        <w:tc>
          <w:tcPr>
            <w:tcW w:w="1660" w:type="dxa"/>
            <w:vAlign w:val="bottom"/>
            <w:gridSpan w:val="2"/>
            <w:shd w:val="clear" w:color="auto" w:fill="CCEEFF"/>
          </w:tcPr>
          <w:p>
            <w:pPr>
              <w:jc w:val="center"/>
              <w:ind w:right="260"/>
              <w:spacing w:after="0" w:line="147" w:lineRule="exact"/>
              <w:rPr>
                <w:sz w:val="20"/>
                <w:szCs w:val="20"/>
                <w:color w:val="auto"/>
              </w:rPr>
            </w:pPr>
            <w:r>
              <w:rPr>
                <w:rFonts w:ascii="Arial" w:cs="Arial" w:eastAsia="Arial" w:hAnsi="Arial"/>
                <w:sz w:val="14"/>
                <w:szCs w:val="14"/>
                <w:color w:val="auto"/>
                <w:w w:val="92"/>
              </w:rPr>
              <w:t>and Childcare</w:t>
            </w: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5"/>
              </w:rPr>
              <w:t>3M L+575, 03/13/2024</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Braddan, Isle of Man IM4 4LH</w:t>
            </w: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spacing w:after="0"/>
              <w:rPr>
                <w:sz w:val="20"/>
                <w:szCs w:val="20"/>
                <w:color w:val="auto"/>
              </w:rPr>
            </w:pPr>
            <w:r>
              <w:rPr>
                <w:rFonts w:ascii="Arial" w:cs="Arial" w:eastAsia="Arial" w:hAnsi="Arial"/>
                <w:sz w:val="14"/>
                <w:szCs w:val="14"/>
                <w:color w:val="auto"/>
              </w:rPr>
              <w:t>MidOcean JF Holdings Corp.</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Distribution</w:t>
            </w:r>
          </w:p>
        </w:tc>
        <w:tc>
          <w:tcPr>
            <w:tcW w:w="32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Preferred Equity</w:t>
            </w:r>
          </w:p>
        </w:tc>
        <w:tc>
          <w:tcPr>
            <w:tcW w:w="1240" w:type="dxa"/>
            <w:vAlign w:val="bottom"/>
            <w:gridSpan w:val="2"/>
          </w:tcPr>
          <w:p>
            <w:pPr>
              <w:jc w:val="right"/>
              <w:ind w:right="99"/>
              <w:spacing w:after="0"/>
              <w:rPr>
                <w:sz w:val="20"/>
                <w:szCs w:val="20"/>
                <w:color w:val="auto"/>
              </w:rPr>
            </w:pPr>
            <w:r>
              <w:rPr>
                <w:rFonts w:ascii="Arial" w:cs="Arial" w:eastAsia="Arial" w:hAnsi="Arial"/>
                <w:sz w:val="14"/>
                <w:szCs w:val="14"/>
                <w:color w:val="auto"/>
              </w:rPr>
              <w:t>35.7%</w:t>
            </w:r>
            <w:r>
              <w:rPr>
                <w:rFonts w:ascii="Arial" w:cs="Arial" w:eastAsia="Arial" w:hAnsi="Arial"/>
                <w:sz w:val="12"/>
                <w:szCs w:val="12"/>
                <w:color w:val="auto"/>
              </w:rPr>
              <w:t>(3)</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9,082</w:t>
            </w:r>
          </w:p>
        </w:tc>
        <w:tc>
          <w:tcPr>
            <w:tcW w:w="0" w:type="dxa"/>
            <w:vAlign w:val="bottom"/>
          </w:tcPr>
          <w:p>
            <w:pPr>
              <w:spacing w:after="0"/>
              <w:rPr>
                <w:sz w:val="1"/>
                <w:szCs w:val="1"/>
                <w:color w:val="auto"/>
              </w:rPr>
            </w:pPr>
          </w:p>
        </w:tc>
      </w:tr>
      <w:tr>
        <w:trPr>
          <w:trHeight w:val="147"/>
        </w:trPr>
        <w:tc>
          <w:tcPr>
            <w:tcW w:w="3720" w:type="dxa"/>
            <w:vAlign w:val="bottom"/>
            <w:gridSpan w:val="3"/>
          </w:tcPr>
          <w:p>
            <w:pPr>
              <w:spacing w:after="0" w:line="147" w:lineRule="exact"/>
              <w:rPr>
                <w:sz w:val="20"/>
                <w:szCs w:val="20"/>
                <w:color w:val="auto"/>
              </w:rPr>
            </w:pPr>
            <w:r>
              <w:rPr>
                <w:rFonts w:ascii="Arial" w:cs="Arial" w:eastAsia="Arial" w:hAnsi="Arial"/>
                <w:sz w:val="14"/>
                <w:szCs w:val="14"/>
                <w:color w:val="auto"/>
              </w:rPr>
              <w:t>1330 St. Mary’s Street, Ste. 210</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3"/>
          </w:tcPr>
          <w:p>
            <w:pPr>
              <w:spacing w:after="0"/>
              <w:rPr>
                <w:sz w:val="20"/>
                <w:szCs w:val="20"/>
                <w:color w:val="auto"/>
              </w:rPr>
            </w:pPr>
            <w:r>
              <w:rPr>
                <w:rFonts w:ascii="Arial" w:cs="Arial" w:eastAsia="Arial" w:hAnsi="Arial"/>
                <w:sz w:val="14"/>
                <w:szCs w:val="14"/>
                <w:color w:val="auto"/>
              </w:rPr>
              <w:t>Raleigh, NC 27605</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7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RAM Energy LLC</w:t>
            </w:r>
          </w:p>
        </w:tc>
        <w:tc>
          <w:tcPr>
            <w:tcW w:w="1660" w:type="dxa"/>
            <w:vAlign w:val="bottom"/>
            <w:gridSpan w:val="2"/>
            <w:shd w:val="clear" w:color="auto" w:fill="CCEEFF"/>
          </w:tcPr>
          <w:p>
            <w:pPr>
              <w:jc w:val="center"/>
              <w:ind w:right="280"/>
              <w:spacing w:after="0" w:line="129" w:lineRule="exact"/>
              <w:rPr>
                <w:sz w:val="20"/>
                <w:szCs w:val="20"/>
                <w:color w:val="auto"/>
              </w:rPr>
            </w:pPr>
            <w:r>
              <w:rPr>
                <w:rFonts w:ascii="Arial" w:cs="Arial" w:eastAsia="Arial" w:hAnsi="Arial"/>
                <w:sz w:val="14"/>
                <w:szCs w:val="14"/>
                <w:color w:val="auto"/>
                <w:w w:val="94"/>
              </w:rPr>
              <w:t>Energy and Utilities</w:t>
            </w:r>
          </w:p>
        </w:tc>
        <w:tc>
          <w:tcPr>
            <w:tcW w:w="322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color w:val="auto"/>
                <w:w w:val="92"/>
              </w:rPr>
              <w:t>First Lien Secured Debt,</w:t>
            </w:r>
          </w:p>
        </w:tc>
        <w:tc>
          <w:tcPr>
            <w:tcW w:w="1240" w:type="dxa"/>
            <w:vAlign w:val="bottom"/>
            <w:gridSpan w:val="2"/>
            <w:shd w:val="clear" w:color="auto" w:fill="CCEEFF"/>
          </w:tcPr>
          <w:p>
            <w:pPr>
              <w:jc w:val="right"/>
              <w:ind w:right="99"/>
              <w:spacing w:after="0" w:line="129" w:lineRule="exact"/>
              <w:rPr>
                <w:sz w:val="20"/>
                <w:szCs w:val="20"/>
                <w:color w:val="auto"/>
              </w:rPr>
            </w:pPr>
            <w:r>
              <w:rPr>
                <w:rFonts w:ascii="Arial" w:cs="Arial" w:eastAsia="Arial" w:hAnsi="Arial"/>
                <w:sz w:val="14"/>
                <w:szCs w:val="14"/>
                <w:color w:val="auto"/>
              </w:rPr>
              <w:t>100.0%</w:t>
            </w:r>
            <w:r>
              <w:rPr>
                <w:rFonts w:ascii="Arial" w:cs="Arial" w:eastAsia="Arial" w:hAnsi="Arial"/>
                <w:sz w:val="12"/>
                <w:szCs w:val="12"/>
                <w:color w:val="auto"/>
              </w:rPr>
              <w:t>(3)</w:t>
            </w:r>
          </w:p>
        </w:tc>
        <w:tc>
          <w:tcPr>
            <w:tcW w:w="108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93,330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(RAM Energy Holdings LLC)</w:t>
            </w: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3"/>
              </w:rPr>
              <w:t>8.0% fixed, 07/01/2022</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2100 South Utica Avenue, Ste. 165</w:t>
            </w: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Tulsa, OK 74114</w:t>
            </w: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spacing w:after="0"/>
              <w:rPr>
                <w:sz w:val="20"/>
                <w:szCs w:val="20"/>
                <w:color w:val="auto"/>
              </w:rPr>
            </w:pPr>
            <w:r>
              <w:rPr>
                <w:rFonts w:ascii="Arial" w:cs="Arial" w:eastAsia="Arial" w:hAnsi="Arial"/>
                <w:sz w:val="14"/>
                <w:szCs w:val="14"/>
                <w:color w:val="auto"/>
              </w:rPr>
              <w:t>Superior Digital Displays, LLC</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Media</w:t>
            </w:r>
          </w:p>
        </w:tc>
        <w:tc>
          <w:tcPr>
            <w:tcW w:w="32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First Lien Secured Debt,</w:t>
            </w:r>
          </w:p>
        </w:tc>
        <w:tc>
          <w:tcPr>
            <w:tcW w:w="1240" w:type="dxa"/>
            <w:vAlign w:val="bottom"/>
            <w:gridSpan w:val="2"/>
          </w:tcPr>
          <w:p>
            <w:pPr>
              <w:jc w:val="right"/>
              <w:ind w:right="99"/>
              <w:spacing w:after="0"/>
              <w:rPr>
                <w:sz w:val="20"/>
                <w:szCs w:val="20"/>
                <w:color w:val="auto"/>
              </w:rPr>
            </w:pPr>
            <w:r>
              <w:rPr>
                <w:rFonts w:ascii="Arial" w:cs="Arial" w:eastAsia="Arial" w:hAnsi="Arial"/>
                <w:sz w:val="14"/>
                <w:szCs w:val="14"/>
                <w:color w:val="auto"/>
              </w:rPr>
              <w:t>99.4%</w:t>
            </w:r>
            <w:r>
              <w:rPr>
                <w:rFonts w:ascii="Arial" w:cs="Arial" w:eastAsia="Arial" w:hAnsi="Arial"/>
                <w:sz w:val="12"/>
                <w:szCs w:val="12"/>
                <w:color w:val="auto"/>
              </w:rPr>
              <w:t>(3)</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7"/>
        </w:trPr>
        <w:tc>
          <w:tcPr>
            <w:tcW w:w="3720" w:type="dxa"/>
            <w:vAlign w:val="bottom"/>
            <w:gridSpan w:val="3"/>
          </w:tcPr>
          <w:p>
            <w:pPr>
              <w:spacing w:after="0" w:line="147" w:lineRule="exact"/>
              <w:rPr>
                <w:sz w:val="20"/>
                <w:szCs w:val="20"/>
                <w:color w:val="auto"/>
              </w:rPr>
            </w:pPr>
            <w:r>
              <w:rPr>
                <w:rFonts w:ascii="Arial" w:cs="Arial" w:eastAsia="Arial" w:hAnsi="Arial"/>
                <w:sz w:val="14"/>
                <w:szCs w:val="14"/>
                <w:color w:val="auto"/>
              </w:rPr>
              <w:t>(Superior Digital Displays Holdings, Inc)</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5"/>
              </w:rPr>
              <w:t>3.0% fixed PIK, 12/31/2019</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20" w:type="dxa"/>
            <w:vAlign w:val="bottom"/>
            <w:gridSpan w:val="3"/>
          </w:tcPr>
          <w:p>
            <w:pPr>
              <w:spacing w:after="0" w:line="147" w:lineRule="exact"/>
              <w:rPr>
                <w:sz w:val="20"/>
                <w:szCs w:val="20"/>
                <w:color w:val="auto"/>
              </w:rPr>
            </w:pPr>
            <w:r>
              <w:rPr>
                <w:rFonts w:ascii="Arial" w:cs="Arial" w:eastAsia="Arial" w:hAnsi="Arial"/>
                <w:sz w:val="14"/>
                <w:szCs w:val="14"/>
                <w:color w:val="auto"/>
              </w:rPr>
              <w:t>1501 Broadway, 12th Floor</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2"/>
              </w:rPr>
              <w:t>Preferred Equity</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20" w:type="dxa"/>
            <w:vAlign w:val="bottom"/>
            <w:gridSpan w:val="3"/>
          </w:tcPr>
          <w:p>
            <w:pPr>
              <w:spacing w:after="0"/>
              <w:rPr>
                <w:sz w:val="20"/>
                <w:szCs w:val="20"/>
                <w:color w:val="auto"/>
              </w:rPr>
            </w:pPr>
            <w:r>
              <w:rPr>
                <w:rFonts w:ascii="Arial" w:cs="Arial" w:eastAsia="Arial" w:hAnsi="Arial"/>
                <w:sz w:val="14"/>
                <w:szCs w:val="14"/>
                <w:color w:val="auto"/>
              </w:rPr>
              <w:t>New York, NY 10036</w:t>
            </w: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Total Investments</w:t>
            </w: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   1,191,454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62" w:lineRule="exact"/>
        <w:rPr>
          <w:sz w:val="20"/>
          <w:szCs w:val="20"/>
          <w:color w:val="auto"/>
        </w:rPr>
      </w:pPr>
    </w:p>
    <w:p>
      <w:pPr>
        <w:ind w:left="460" w:right="60" w:hanging="326"/>
        <w:spacing w:after="0" w:line="223"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12/31/18.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rPr>
      </w:pPr>
    </w:p>
    <w:p>
      <w:pPr>
        <w:ind w:left="460" w:hanging="326"/>
        <w:spacing w:after="0" w:line="219"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460" w:hanging="326"/>
        <w:spacing w:after="0" w:line="219"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ind w:left="460" w:right="160" w:hanging="326"/>
        <w:spacing w:after="0" w:line="219"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460" w:hanging="326"/>
        <w:spacing w:after="0" w:line="219"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Investment is held through our Taxable Subsidiaries.</w:t>
      </w:r>
    </w:p>
    <w:p>
      <w:pPr>
        <w:ind w:left="460" w:right="520" w:hanging="326"/>
        <w:spacing w:after="0" w:line="230"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2018, qualifying assets represent 89% of the Company’s total assets and non-qualifying assets represent 11% of the Company’s total assets.</w:t>
      </w:r>
    </w:p>
    <w:p>
      <w:pPr>
        <w:spacing w:after="0" w:line="185" w:lineRule="exact"/>
        <w:rPr>
          <w:sz w:val="20"/>
          <w:szCs w:val="20"/>
          <w:color w:val="auto"/>
        </w:rPr>
      </w:pPr>
    </w:p>
    <w:p>
      <w:pPr>
        <w:ind w:left="140" w:right="100" w:firstLine="437"/>
        <w:spacing w:after="0" w:line="271"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December 31, 2018:</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Parq Holdings Limited Partnership (Hotels, Motels, Inns and Gaming)</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Parq Holdings Limited Partnership is a gaming and hotel complex in downtown Vancouver, Canada.</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RAM Energy LLC (Energy and Utilities)</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RAM Energy LLC is an exploration and production company focused on operations in the Arkansas-Louisiana-Texas and Permian regions.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2240" w:h="15840" w:orient="portrait"/>
          <w:cols w:equalWidth="0" w:num="1">
            <w:col w:w="11060"/>
          </w:cols>
          <w:pgMar w:left="520" w:top="316" w:right="660"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firstLine="437"/>
        <w:spacing w:after="0" w:line="271"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93" w:lineRule="exact"/>
        <w:rPr>
          <w:sz w:val="20"/>
          <w:szCs w:val="20"/>
          <w:color w:val="auto"/>
        </w:rPr>
      </w:pPr>
    </w:p>
    <w:tbl>
      <w:tblPr>
        <w:tblLayout w:type="fixed"/>
        <w:tblInd w:w="1020" w:type="dxa"/>
        <w:tblCellMar>
          <w:top w:w="0" w:type="dxa"/>
          <w:left w:w="0" w:type="dxa"/>
          <w:bottom w:w="0" w:type="dxa"/>
          <w:right w:w="0" w:type="dxa"/>
        </w:tblCellMar>
      </w:tblPr>
      <w:tr>
        <w:trPr>
          <w:trHeight w:val="170"/>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4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December 31, 2018</w:t>
            </w:r>
          </w:p>
        </w:tc>
        <w:tc>
          <w:tcPr>
            <w:tcW w:w="1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Healthcare, Education and Childcare</w:t>
            </w:r>
          </w:p>
        </w:tc>
        <w:tc>
          <w:tcPr>
            <w:tcW w:w="15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80" w:type="dxa"/>
            <w:vAlign w:val="bottom"/>
            <w:vMerge w:val="restart"/>
          </w:tcPr>
          <w:p>
            <w:pPr>
              <w:jc w:val="right"/>
              <w:ind w:right="612"/>
              <w:spacing w:after="0"/>
              <w:rPr>
                <w:sz w:val="20"/>
                <w:szCs w:val="20"/>
                <w:color w:val="auto"/>
              </w:rPr>
            </w:pPr>
            <w:r>
              <w:rPr>
                <w:rFonts w:ascii="Arial" w:cs="Arial" w:eastAsia="Arial" w:hAnsi="Arial"/>
                <w:sz w:val="18"/>
                <w:szCs w:val="18"/>
                <w:color w:val="auto"/>
              </w:rPr>
              <w:t>86</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380"/>
          </w:cols>
          <w:pgMar w:left="520" w:top="316" w:right="1340"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40" w:right="200" w:firstLine="437"/>
        <w:spacing w:after="0" w:line="307" w:lineRule="auto"/>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 five members, or directors,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5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Board of Directors</w:t>
      </w:r>
    </w:p>
    <w:p>
      <w:pPr>
        <w:spacing w:after="0" w:line="118" w:lineRule="exact"/>
        <w:rPr>
          <w:sz w:val="20"/>
          <w:szCs w:val="20"/>
          <w:color w:val="auto"/>
        </w:rPr>
      </w:pPr>
    </w:p>
    <w:p>
      <w:pPr>
        <w:jc w:val="both"/>
        <w:ind w:left="140" w:right="160" w:firstLine="437"/>
        <w:spacing w:after="0" w:line="259"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2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200" w:type="dxa"/>
            <w:vAlign w:val="bottom"/>
            <w:vMerge w:val="restart"/>
          </w:tcPr>
          <w:p>
            <w:pPr>
              <w:spacing w:after="0"/>
              <w:rPr>
                <w:sz w:val="14"/>
                <w:szCs w:val="14"/>
                <w:color w:val="auto"/>
              </w:rPr>
            </w:pPr>
          </w:p>
        </w:tc>
        <w:tc>
          <w:tcPr>
            <w:tcW w:w="6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3"/>
              </w:rPr>
              <w:t>Age</w:t>
            </w:r>
          </w:p>
        </w:tc>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Director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56"/>
        </w:trPr>
        <w:tc>
          <w:tcPr>
            <w:tcW w:w="360" w:type="dxa"/>
            <w:vAlign w:val="bottom"/>
            <w:vMerge w:val="continue"/>
          </w:tcPr>
          <w:p>
            <w:pPr>
              <w:spacing w:after="0"/>
              <w:rPr>
                <w:sz w:val="13"/>
                <w:szCs w:val="13"/>
                <w:color w:val="auto"/>
              </w:rPr>
            </w:pPr>
          </w:p>
        </w:tc>
        <w:tc>
          <w:tcPr>
            <w:tcW w:w="320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240" w:type="dxa"/>
            <w:vAlign w:val="bottom"/>
            <w:gridSpan w:val="2"/>
            <w:vMerge w:val="continue"/>
          </w:tcPr>
          <w:p>
            <w:pPr>
              <w:spacing w:after="0"/>
              <w:rPr>
                <w:sz w:val="13"/>
                <w:szCs w:val="13"/>
                <w:color w:val="auto"/>
              </w:rPr>
            </w:pPr>
          </w:p>
        </w:tc>
        <w:tc>
          <w:tcPr>
            <w:tcW w:w="8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5"/>
              </w:rPr>
              <w:t>Since</w:t>
            </w:r>
          </w:p>
        </w:tc>
        <w:tc>
          <w:tcPr>
            <w:tcW w:w="6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56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55</w:t>
            </w:r>
          </w:p>
        </w:tc>
        <w:tc>
          <w:tcPr>
            <w:tcW w:w="3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4"/>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3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4"/>
        </w:trPr>
        <w:tc>
          <w:tcPr>
            <w:tcW w:w="35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3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4"/>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w:t>
            </w:r>
          </w:p>
        </w:tc>
        <w:tc>
          <w:tcPr>
            <w:tcW w:w="3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3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 Corporation.</w:t>
      </w:r>
    </w:p>
    <w:p>
      <w:pPr>
        <w:spacing w:after="0" w:line="240"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20" w:type="dxa"/>
            <w:vAlign w:val="bottom"/>
          </w:tcPr>
          <w:p>
            <w:pPr>
              <w:spacing w:after="0"/>
              <w:rPr>
                <w:sz w:val="16"/>
                <w:szCs w:val="16"/>
                <w:color w:val="auto"/>
              </w:rPr>
            </w:pPr>
          </w:p>
        </w:tc>
        <w:tc>
          <w:tcPr>
            <w:tcW w:w="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6380" w:type="dxa"/>
            <w:vAlign w:val="bottom"/>
          </w:tcPr>
          <w:p>
            <w:pPr>
              <w:spacing w:after="0"/>
              <w:rPr>
                <w:sz w:val="16"/>
                <w:szCs w:val="16"/>
                <w:color w:val="auto"/>
              </w:rPr>
            </w:pPr>
          </w:p>
        </w:tc>
      </w:tr>
      <w:tr>
        <w:trPr>
          <w:trHeight w:val="201"/>
        </w:trPr>
        <w:tc>
          <w:tcPr>
            <w:tcW w:w="35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Aviv Efrat</w:t>
            </w:r>
          </w:p>
        </w:tc>
        <w:tc>
          <w:tcPr>
            <w:tcW w:w="2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54</w:t>
            </w:r>
          </w:p>
        </w:tc>
        <w:tc>
          <w:tcPr>
            <w:tcW w:w="220" w:type="dxa"/>
            <w:vAlign w:val="bottom"/>
            <w:tcBorders>
              <w:top w:val="single" w:sz="8" w:color="CCEEFF"/>
            </w:tcBorders>
            <w:shd w:val="clear" w:color="auto" w:fill="CCEEFF"/>
          </w:tcPr>
          <w:p>
            <w:pPr>
              <w:spacing w:after="0"/>
              <w:rPr>
                <w:sz w:val="17"/>
                <w:szCs w:val="17"/>
                <w:color w:val="auto"/>
              </w:rPr>
            </w:pPr>
          </w:p>
        </w:tc>
        <w:tc>
          <w:tcPr>
            <w:tcW w:w="68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Financial Officer and Treasurer</w:t>
            </w:r>
          </w:p>
        </w:tc>
      </w:tr>
    </w:tbl>
    <w:p>
      <w:pPr>
        <w:spacing w:after="0" w:line="30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Officer Who is Not a Director</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 Corporation.</w:t>
      </w:r>
    </w:p>
    <w:p>
      <w:pPr>
        <w:spacing w:after="0" w:line="240"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20" w:type="dxa"/>
            <w:vAlign w:val="bottom"/>
          </w:tcPr>
          <w:p>
            <w:pPr>
              <w:spacing w:after="0"/>
              <w:rPr>
                <w:sz w:val="16"/>
                <w:szCs w:val="16"/>
                <w:color w:val="auto"/>
              </w:rPr>
            </w:pPr>
          </w:p>
        </w:tc>
        <w:tc>
          <w:tcPr>
            <w:tcW w:w="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6380" w:type="dxa"/>
            <w:vAlign w:val="bottom"/>
          </w:tcPr>
          <w:p>
            <w:pPr>
              <w:spacing w:after="0"/>
              <w:rPr>
                <w:sz w:val="16"/>
                <w:szCs w:val="16"/>
                <w:color w:val="auto"/>
              </w:rPr>
            </w:pPr>
          </w:p>
        </w:tc>
      </w:tr>
      <w:tr>
        <w:trPr>
          <w:trHeight w:val="201"/>
        </w:trPr>
        <w:tc>
          <w:tcPr>
            <w:tcW w:w="35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Guy F. Talarico</w:t>
            </w:r>
          </w:p>
        </w:tc>
        <w:tc>
          <w:tcPr>
            <w:tcW w:w="2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63</w:t>
            </w:r>
          </w:p>
        </w:tc>
        <w:tc>
          <w:tcPr>
            <w:tcW w:w="220" w:type="dxa"/>
            <w:vAlign w:val="bottom"/>
            <w:tcBorders>
              <w:top w:val="single" w:sz="8" w:color="CCEEFF"/>
            </w:tcBorders>
            <w:shd w:val="clear" w:color="auto" w:fill="CCEEFF"/>
          </w:tcPr>
          <w:p>
            <w:pPr>
              <w:spacing w:after="0"/>
              <w:rPr>
                <w:sz w:val="17"/>
                <w:szCs w:val="17"/>
                <w:color w:val="auto"/>
              </w:rPr>
            </w:pPr>
          </w:p>
        </w:tc>
        <w:tc>
          <w:tcPr>
            <w:tcW w:w="68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Compliance Officer</w:t>
            </w:r>
          </w:p>
        </w:tc>
      </w:tr>
    </w:tbl>
    <w:p>
      <w:pPr>
        <w:spacing w:after="0" w:line="200" w:lineRule="exact"/>
        <w:rPr>
          <w:sz w:val="20"/>
          <w:szCs w:val="20"/>
          <w:color w:val="auto"/>
        </w:rPr>
      </w:pPr>
    </w:p>
    <w:p>
      <w:pPr>
        <w:ind w:left="140" w:right="60" w:firstLine="437"/>
        <w:spacing w:after="0" w:line="271" w:lineRule="auto"/>
        <w:rPr>
          <w:sz w:val="20"/>
          <w:szCs w:val="20"/>
          <w:color w:val="auto"/>
        </w:rPr>
      </w:pPr>
      <w:r>
        <w:rPr>
          <w:rFonts w:ascii="Arial" w:cs="Arial" w:eastAsia="Arial" w:hAnsi="Arial"/>
          <w:sz w:val="18"/>
          <w:szCs w:val="18"/>
          <w:color w:val="auto"/>
        </w:rPr>
        <w:t>The address for each director and executive officer is c/o PennantPark Investment Corporation, 590 Madison Avenue, 15th Floor, New York, New York 10022.</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4" w:lineRule="exact"/>
        <w:rPr>
          <w:sz w:val="20"/>
          <w:szCs w:val="20"/>
          <w:color w:val="auto"/>
        </w:rPr>
      </w:pPr>
    </w:p>
    <w:p>
      <w:pPr>
        <w:ind w:left="140" w:right="100" w:firstLine="437"/>
        <w:spacing w:after="0" w:line="272" w:lineRule="auto"/>
        <w:rPr>
          <w:sz w:val="20"/>
          <w:szCs w:val="20"/>
          <w:color w:val="auto"/>
        </w:rPr>
      </w:pPr>
      <w:r>
        <w:rPr>
          <w:rFonts w:ascii="Arial" w:cs="Arial" w:eastAsia="Arial" w:hAnsi="Arial"/>
          <w:sz w:val="17"/>
          <w:szCs w:val="17"/>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2240" w:h="15840" w:orient="portrait"/>
          <w:cols w:equalWidth="0" w:num="1">
            <w:col w:w="11060"/>
          </w:cols>
          <w:pgMar w:left="520" w:top="316" w:right="66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240"/>
        <w:spacing w:after="0" w:line="255" w:lineRule="auto"/>
        <w:rPr>
          <w:sz w:val="20"/>
          <w:szCs w:val="20"/>
          <w:color w:val="auto"/>
        </w:rPr>
      </w:pPr>
      <w:r>
        <w:rPr>
          <w:rFonts w:ascii="Arial" w:cs="Arial" w:eastAsia="Arial" w:hAnsi="Arial"/>
          <w:sz w:val="18"/>
          <w:szCs w:val="18"/>
          <w:color w:val="auto"/>
        </w:rPr>
        <w:t>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to us and the potential conflicts of interest that could arise from these relationships.</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4" w:lineRule="exact"/>
        <w:rPr>
          <w:sz w:val="20"/>
          <w:szCs w:val="20"/>
          <w:color w:val="auto"/>
        </w:rPr>
      </w:pPr>
    </w:p>
    <w:p>
      <w:pPr>
        <w:ind w:left="140" w:right="60" w:firstLine="437"/>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186" w:lineRule="exact"/>
        <w:rPr>
          <w:sz w:val="20"/>
          <w:szCs w:val="20"/>
          <w:color w:val="auto"/>
        </w:rPr>
      </w:pPr>
    </w:p>
    <w:p>
      <w:pPr>
        <w:ind w:left="140" w:firstLine="437"/>
        <w:spacing w:after="0" w:line="284"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71" w:lineRule="exact"/>
        <w:rPr>
          <w:sz w:val="20"/>
          <w:szCs w:val="20"/>
          <w:color w:val="auto"/>
        </w:rPr>
      </w:pPr>
    </w:p>
    <w:p>
      <w:pPr>
        <w:ind w:left="140" w:right="60" w:firstLine="437"/>
        <w:spacing w:after="0" w:line="268" w:lineRule="auto"/>
        <w:rPr>
          <w:sz w:val="20"/>
          <w:szCs w:val="20"/>
          <w:color w:val="auto"/>
        </w:rPr>
      </w:pPr>
      <w:r>
        <w:rPr>
          <w:rFonts w:ascii="Arial" w:cs="Arial" w:eastAsia="Arial" w:hAnsi="Arial"/>
          <w:sz w:val="17"/>
          <w:szCs w:val="17"/>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81" w:lineRule="exact"/>
        <w:rPr>
          <w:sz w:val="20"/>
          <w:szCs w:val="20"/>
          <w:color w:val="auto"/>
        </w:rPr>
      </w:pPr>
    </w:p>
    <w:p>
      <w:pPr>
        <w:ind w:left="140" w:right="100" w:firstLine="437"/>
        <w:spacing w:after="0" w:line="293"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62" w:lineRule="exact"/>
        <w:rPr>
          <w:sz w:val="20"/>
          <w:szCs w:val="20"/>
          <w:color w:val="auto"/>
        </w:rPr>
      </w:pPr>
    </w:p>
    <w:p>
      <w:pPr>
        <w:ind w:left="140" w:firstLine="437"/>
        <w:spacing w:after="0" w:line="259"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 able to</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2240" w:h="15840" w:orient="portrait"/>
          <w:cols w:equalWidth="0" w:num="1">
            <w:col w:w="11040"/>
          </w:cols>
          <w:pgMar w:left="520" w:top="316" w:right="68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line="255" w:lineRule="auto"/>
        <w:rPr>
          <w:sz w:val="20"/>
          <w:szCs w:val="20"/>
          <w:color w:val="auto"/>
        </w:rPr>
      </w:pPr>
      <w:r>
        <w:rPr>
          <w:rFonts w:ascii="Arial" w:cs="Arial" w:eastAsia="Arial" w:hAnsi="Arial"/>
          <w:sz w:val="18"/>
          <w:szCs w:val="18"/>
          <w:color w:val="auto"/>
        </w:rPr>
        <w:t>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91" w:lineRule="exact"/>
        <w:rPr>
          <w:sz w:val="20"/>
          <w:szCs w:val="20"/>
          <w:color w:val="auto"/>
        </w:rPr>
      </w:pPr>
    </w:p>
    <w:p>
      <w:pPr>
        <w:ind w:left="140" w:right="80" w:firstLine="437"/>
        <w:spacing w:after="0" w:line="255"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Biographical Information</w:t>
      </w:r>
    </w:p>
    <w:p>
      <w:pPr>
        <w:spacing w:after="0" w:line="118" w:lineRule="exact"/>
        <w:rPr>
          <w:sz w:val="20"/>
          <w:szCs w:val="20"/>
          <w:color w:val="auto"/>
        </w:rPr>
      </w:pPr>
    </w:p>
    <w:p>
      <w:pPr>
        <w:ind w:left="140" w:right="60" w:firstLine="437"/>
        <w:spacing w:after="0" w:line="254" w:lineRule="auto"/>
        <w:rPr>
          <w:sz w:val="20"/>
          <w:szCs w:val="20"/>
          <w:color w:val="auto"/>
        </w:rPr>
      </w:pPr>
      <w:r>
        <w:rPr>
          <w:rFonts w:ascii="Arial" w:cs="Arial" w:eastAsia="Arial" w:hAnsi="Arial"/>
          <w:sz w:val="18"/>
          <w:szCs w:val="18"/>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4" w:lineRule="exact"/>
        <w:rPr>
          <w:sz w:val="20"/>
          <w:szCs w:val="20"/>
          <w:color w:val="auto"/>
        </w:rPr>
      </w:pPr>
    </w:p>
    <w:p>
      <w:pPr>
        <w:ind w:left="140" w:right="40" w:firstLine="437"/>
        <w:spacing w:after="0" w:line="293" w:lineRule="auto"/>
        <w:rPr>
          <w:sz w:val="20"/>
          <w:szCs w:val="20"/>
          <w:color w:val="auto"/>
        </w:rPr>
      </w:pPr>
      <w:r>
        <w:rPr>
          <w:rFonts w:ascii="Arial" w:cs="Arial" w:eastAsia="Arial" w:hAnsi="Arial"/>
          <w:sz w:val="16"/>
          <w:szCs w:val="16"/>
          <w:color w:val="auto"/>
        </w:rPr>
        <w:t>Adam K. Bernstein (55), Director. Mr. Bernstein became a Director of PennantPark Investment and PennantPark Floating Rate Capital Ltd. in February 2007 and October 2010,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62" w:lineRule="exact"/>
        <w:rPr>
          <w:sz w:val="20"/>
          <w:szCs w:val="20"/>
          <w:color w:val="auto"/>
        </w:rPr>
      </w:pPr>
    </w:p>
    <w:p>
      <w:pPr>
        <w:ind w:left="140" w:right="20" w:firstLine="437"/>
        <w:spacing w:after="0" w:line="293" w:lineRule="auto"/>
        <w:rPr>
          <w:sz w:val="20"/>
          <w:szCs w:val="20"/>
          <w:color w:val="auto"/>
        </w:rPr>
      </w:pPr>
      <w:r>
        <w:rPr>
          <w:rFonts w:ascii="Arial" w:cs="Arial" w:eastAsia="Arial" w:hAnsi="Arial"/>
          <w:sz w:val="16"/>
          <w:szCs w:val="16"/>
          <w:color w:val="auto"/>
        </w:rPr>
        <w:t>Marshall Brozost (51), Director. Mr. Brozost became a Director of PennantPark Investment Corporation and PennantPark Floating Rate Capital Ltd. in February 2007 and October 2010, respectively.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162" w:lineRule="exact"/>
        <w:rPr>
          <w:sz w:val="20"/>
          <w:szCs w:val="20"/>
          <w:color w:val="auto"/>
        </w:rPr>
      </w:pPr>
    </w:p>
    <w:p>
      <w:pPr>
        <w:ind w:left="140" w:right="80" w:firstLine="437"/>
        <w:spacing w:after="0" w:line="288" w:lineRule="auto"/>
        <w:rPr>
          <w:sz w:val="20"/>
          <w:szCs w:val="20"/>
          <w:color w:val="auto"/>
        </w:rPr>
      </w:pPr>
      <w:r>
        <w:rPr>
          <w:rFonts w:ascii="Arial" w:cs="Arial" w:eastAsia="Arial" w:hAnsi="Arial"/>
          <w:sz w:val="16"/>
          <w:szCs w:val="16"/>
          <w:color w:val="auto"/>
        </w:rPr>
        <w:t>Jeffrey Flug (56), Director. Mr. Flug became a Director of PennantPark Investment and PennantPark Floating Rate Capital Ltd. in February 2007 and October 2010,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67" w:lineRule="exact"/>
        <w:rPr>
          <w:sz w:val="20"/>
          <w:szCs w:val="20"/>
          <w:color w:val="auto"/>
        </w:rPr>
      </w:pPr>
    </w:p>
    <w:p>
      <w:pPr>
        <w:ind w:left="140" w:right="220" w:firstLine="437"/>
        <w:spacing w:after="0" w:line="271" w:lineRule="auto"/>
        <w:rPr>
          <w:sz w:val="20"/>
          <w:szCs w:val="20"/>
          <w:color w:val="auto"/>
        </w:rPr>
      </w:pPr>
      <w:r>
        <w:rPr>
          <w:rFonts w:ascii="Arial" w:cs="Arial" w:eastAsia="Arial" w:hAnsi="Arial"/>
          <w:sz w:val="18"/>
          <w:szCs w:val="18"/>
          <w:color w:val="auto"/>
        </w:rPr>
        <w:t>Samuel L. Katz (53), Director. Mr. Katz became a Director of PennantPark Investment and PennantPark Floating Rate Capital Ltd. in February 2007 and October 2010, respectively. Mr. Katz is the Managing Partner of</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2240" w:h="15840" w:orient="portrait"/>
          <w:cols w:equalWidth="0" w:num="1">
            <w:col w:w="11000"/>
          </w:cols>
          <w:pgMar w:left="520" w:top="316" w:right="720"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line="269" w:lineRule="auto"/>
        <w:rPr>
          <w:sz w:val="20"/>
          <w:szCs w:val="20"/>
          <w:color w:val="auto"/>
        </w:rPr>
      </w:pPr>
      <w:r>
        <w:rPr>
          <w:rFonts w:ascii="Arial" w:cs="Arial" w:eastAsia="Arial" w:hAnsi="Arial"/>
          <w:sz w:val="17"/>
          <w:szCs w:val="17"/>
          <w:color w:val="auto"/>
        </w:rPr>
        <w:t>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4" w:lineRule="exact"/>
        <w:rPr>
          <w:sz w:val="20"/>
          <w:szCs w:val="20"/>
          <w:color w:val="auto"/>
        </w:rPr>
      </w:pPr>
    </w:p>
    <w:p>
      <w:pPr>
        <w:ind w:left="140" w:right="40" w:firstLine="437"/>
        <w:spacing w:after="0" w:line="266" w:lineRule="auto"/>
        <w:rPr>
          <w:sz w:val="20"/>
          <w:szCs w:val="20"/>
          <w:color w:val="auto"/>
        </w:rPr>
      </w:pPr>
      <w:r>
        <w:rPr>
          <w:rFonts w:ascii="Arial" w:cs="Arial" w:eastAsia="Arial" w:hAnsi="Arial"/>
          <w:sz w:val="17"/>
          <w:szCs w:val="17"/>
          <w:color w:val="auto"/>
        </w:rPr>
        <w:t>Arthur H. Penn (55), Founder, Chief Executive Officer and Chairman of the board of directors. Mr. Penn became the Chief Executive Officer and a Director of PennantPark Investment and PennantPark Floating Rate Capital Ltd. at their inception in 2007 and 2010, respectively.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4" w:lineRule="exact"/>
        <w:rPr>
          <w:sz w:val="20"/>
          <w:szCs w:val="20"/>
          <w:color w:val="auto"/>
        </w:rPr>
      </w:pPr>
    </w:p>
    <w:p>
      <w:pPr>
        <w:ind w:left="140" w:firstLine="437"/>
        <w:spacing w:after="0" w:line="252" w:lineRule="auto"/>
        <w:rPr>
          <w:sz w:val="20"/>
          <w:szCs w:val="20"/>
          <w:color w:val="auto"/>
        </w:rPr>
      </w:pPr>
      <w:r>
        <w:rPr>
          <w:rFonts w:ascii="Arial" w:cs="Arial" w:eastAsia="Arial" w:hAnsi="Arial"/>
          <w:sz w:val="18"/>
          <w:szCs w:val="18"/>
          <w:color w:val="auto"/>
        </w:rPr>
        <w:t>Aviv Efrat (54), Chief Financial Officer and Treasurer. Mr. Efrat became the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5" w:lineRule="exact"/>
        <w:rPr>
          <w:sz w:val="20"/>
          <w:szCs w:val="20"/>
          <w:color w:val="auto"/>
        </w:rPr>
      </w:pPr>
    </w:p>
    <w:p>
      <w:pPr>
        <w:jc w:val="both"/>
        <w:ind w:left="140" w:right="120" w:firstLine="437"/>
        <w:spacing w:after="0" w:line="307" w:lineRule="auto"/>
        <w:rPr>
          <w:sz w:val="20"/>
          <w:szCs w:val="20"/>
          <w:color w:val="auto"/>
        </w:rPr>
      </w:pPr>
      <w:r>
        <w:rPr>
          <w:rFonts w:ascii="Arial" w:cs="Arial" w:eastAsia="Arial" w:hAnsi="Arial"/>
          <w:sz w:val="16"/>
          <w:szCs w:val="16"/>
          <w:color w:val="auto"/>
        </w:rPr>
        <w:t>Guy F. Talarico (63), Chief Compliance Officer. Mr. Talarico became the Chief Compliance Officer of PennantPark Investment and PennantPark Floating Rate Capital Ltd. in May 2008 and March 2011, respectively. Mr. Talarico has held the position of Chief Compliance Officer for a number of investment advisers, private funds and investment companies from 2004 when he founded Alaric Compliance Services, LLC.</w:t>
      </w:r>
    </w:p>
    <w:p>
      <w:pPr>
        <w:spacing w:after="0" w:line="25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18" w:lineRule="exact"/>
        <w:rPr>
          <w:sz w:val="20"/>
          <w:szCs w:val="20"/>
          <w:color w:val="auto"/>
        </w:rPr>
      </w:pPr>
    </w:p>
    <w:p>
      <w:pPr>
        <w:ind w:left="140" w:right="160" w:firstLine="437"/>
        <w:spacing w:after="0" w:line="293" w:lineRule="auto"/>
        <w:rPr>
          <w:sz w:val="20"/>
          <w:szCs w:val="20"/>
          <w:color w:val="auto"/>
        </w:rPr>
      </w:pPr>
      <w:r>
        <w:rPr>
          <w:rFonts w:ascii="Arial" w:cs="Arial" w:eastAsia="Arial" w:hAnsi="Arial"/>
          <w:sz w:val="16"/>
          <w:szCs w:val="16"/>
          <w:color w:val="auto"/>
        </w:rPr>
        <w:t>For the fiscal year ended September 30, 2018, the board of directors held four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Company’s annual stockholders’ meeting. For the year ended September 30, 2018, all of the directors attended the annual stockholders’ meeting.</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2240" w:h="15840" w:orient="portrait"/>
          <w:cols w:equalWidth="0" w:num="1">
            <w:col w:w="11020"/>
          </w:cols>
          <w:pgMar w:left="520" w:top="316" w:right="700"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4" w:lineRule="exact"/>
        <w:rPr>
          <w:sz w:val="20"/>
          <w:szCs w:val="20"/>
          <w:color w:val="auto"/>
        </w:rPr>
      </w:pPr>
    </w:p>
    <w:p>
      <w:pPr>
        <w:ind w:left="140" w:right="60" w:firstLine="546"/>
        <w:spacing w:after="0" w:line="283"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and NYSE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Such investments are valued at fair value as determined in good faith by or under the direction of our board of directors using a documented valuation policy and a consistently applied valuation process.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Securities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4" w:lineRule="exact"/>
        <w:rPr>
          <w:sz w:val="20"/>
          <w:szCs w:val="20"/>
          <w:color w:val="auto"/>
        </w:rPr>
      </w:pPr>
    </w:p>
    <w:p>
      <w:pPr>
        <w:ind w:left="140" w:right="40" w:firstLine="437"/>
        <w:spacing w:after="0" w:line="269" w:lineRule="auto"/>
        <w:rPr>
          <w:sz w:val="20"/>
          <w:szCs w:val="20"/>
          <w:color w:val="auto"/>
        </w:rPr>
      </w:pPr>
      <w:r>
        <w:rPr>
          <w:rFonts w:ascii="Arial" w:cs="Arial" w:eastAsia="Arial" w:hAnsi="Arial"/>
          <w:sz w:val="17"/>
          <w:szCs w:val="17"/>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p>
    <w:p>
      <w:pPr>
        <w:spacing w:after="0" w:line="179" w:lineRule="exact"/>
        <w:rPr>
          <w:sz w:val="20"/>
          <w:szCs w:val="20"/>
          <w:color w:val="auto"/>
        </w:rPr>
      </w:pPr>
    </w:p>
    <w:p>
      <w:pPr>
        <w:ind w:left="140" w:right="20" w:firstLine="437"/>
        <w:spacing w:after="0" w:line="287"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J.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67" w:lineRule="exact"/>
        <w:rPr>
          <w:sz w:val="20"/>
          <w:szCs w:val="20"/>
          <w:color w:val="auto"/>
        </w:rPr>
      </w:pPr>
    </w:p>
    <w:p>
      <w:pPr>
        <w:ind w:left="140" w:firstLine="437"/>
        <w:spacing w:after="0" w:line="293"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w:t>
      </w:r>
    </w:p>
    <w:p>
      <w:pPr>
        <w:spacing w:after="0" w:line="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2240" w:h="15840" w:orient="portrait"/>
          <w:cols w:equalWidth="0" w:num="1">
            <w:col w:w="11060"/>
          </w:cols>
          <w:pgMar w:left="520" w:top="316" w:right="660"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40"/>
        <w:spacing w:after="0" w:line="252" w:lineRule="auto"/>
        <w:rPr>
          <w:sz w:val="20"/>
          <w:szCs w:val="20"/>
          <w:color w:val="auto"/>
        </w:rPr>
      </w:pPr>
      <w:r>
        <w:rPr>
          <w:rFonts w:ascii="Arial" w:cs="Arial" w:eastAsia="Arial" w:hAnsi="Arial"/>
          <w:sz w:val="18"/>
          <w:szCs w:val="18"/>
          <w:color w:val="auto"/>
        </w:rPr>
        <w:t>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4" w:lineRule="exact"/>
        <w:rPr>
          <w:sz w:val="20"/>
          <w:szCs w:val="20"/>
          <w:color w:val="auto"/>
        </w:rPr>
      </w:pPr>
    </w:p>
    <w:p>
      <w:pPr>
        <w:ind w:left="140" w:right="60" w:firstLine="437"/>
        <w:spacing w:after="0" w:line="269" w:lineRule="auto"/>
        <w:rPr>
          <w:sz w:val="20"/>
          <w:szCs w:val="20"/>
          <w:color w:val="auto"/>
        </w:rPr>
      </w:pPr>
      <w:r>
        <w:rPr>
          <w:rFonts w:ascii="Arial" w:cs="Arial" w:eastAsia="Arial" w:hAnsi="Arial"/>
          <w:sz w:val="17"/>
          <w:szCs w:val="17"/>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114" w:lineRule="exact"/>
        <w:rPr>
          <w:sz w:val="20"/>
          <w:szCs w:val="20"/>
          <w:color w:val="auto"/>
        </w:rPr>
      </w:pPr>
    </w:p>
    <w:p>
      <w:pPr>
        <w:ind w:left="140" w:right="220" w:firstLine="437"/>
        <w:spacing w:after="0" w:line="271"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2018. No compensation is paid directly by us to any interested director or executive officer of the Company.</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Aggregate</w:t>
            </w:r>
          </w:p>
        </w:tc>
        <w:tc>
          <w:tcPr>
            <w:tcW w:w="17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1"/>
              </w:rPr>
              <w:t>Pension or</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compensation</w:t>
            </w:r>
          </w:p>
        </w:tc>
        <w:tc>
          <w:tcPr>
            <w:tcW w:w="1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780"/>
              <w:spacing w:after="0" w:line="147" w:lineRule="exact"/>
              <w:rPr>
                <w:sz w:val="20"/>
                <w:szCs w:val="20"/>
                <w:color w:val="auto"/>
              </w:rPr>
            </w:pPr>
            <w:r>
              <w:rPr>
                <w:rFonts w:ascii="Arial" w:cs="Arial" w:eastAsia="Arial" w:hAnsi="Arial"/>
                <w:sz w:val="14"/>
                <w:szCs w:val="14"/>
                <w:b w:val="1"/>
                <w:bCs w:val="1"/>
                <w:color w:val="auto"/>
                <w:w w:val="96"/>
              </w:rPr>
              <w:t>from</w:t>
            </w:r>
          </w:p>
        </w:tc>
        <w:tc>
          <w:tcPr>
            <w:tcW w:w="174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3"/>
              </w:rPr>
              <w:t>retirement</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6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PennantPark</w:t>
            </w:r>
          </w:p>
        </w:tc>
        <w:tc>
          <w:tcPr>
            <w:tcW w:w="174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89"/>
              </w:rPr>
              <w:t>benefits</w:t>
            </w:r>
          </w:p>
        </w:tc>
        <w:tc>
          <w:tcPr>
            <w:tcW w:w="8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47"/>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740" w:type="dxa"/>
            <w:vAlign w:val="bottom"/>
            <w:gridSpan w:val="4"/>
            <w:vMerge w:val="restart"/>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800"/>
              <w:spacing w:after="0" w:line="147" w:lineRule="exact"/>
              <w:rPr>
                <w:sz w:val="20"/>
                <w:szCs w:val="20"/>
                <w:color w:val="auto"/>
              </w:rPr>
            </w:pPr>
            <w:r>
              <w:rPr>
                <w:rFonts w:ascii="Arial" w:cs="Arial" w:eastAsia="Arial" w:hAnsi="Arial"/>
                <w:sz w:val="14"/>
                <w:szCs w:val="14"/>
                <w:b w:val="1"/>
                <w:bCs w:val="1"/>
                <w:color w:val="auto"/>
                <w:w w:val="91"/>
              </w:rPr>
              <w:t>Investment</w:t>
            </w:r>
          </w:p>
        </w:tc>
        <w:tc>
          <w:tcPr>
            <w:tcW w:w="1740" w:type="dxa"/>
            <w:vAlign w:val="bottom"/>
            <w:gridSpan w:val="2"/>
          </w:tcPr>
          <w:p>
            <w:pPr>
              <w:jc w:val="center"/>
              <w:ind w:right="720"/>
              <w:spacing w:after="0" w:line="147" w:lineRule="exact"/>
              <w:rPr>
                <w:sz w:val="20"/>
                <w:szCs w:val="20"/>
                <w:color w:val="auto"/>
              </w:rPr>
            </w:pPr>
            <w:r>
              <w:rPr>
                <w:rFonts w:ascii="Arial" w:cs="Arial" w:eastAsia="Arial" w:hAnsi="Arial"/>
                <w:sz w:val="14"/>
                <w:szCs w:val="14"/>
                <w:b w:val="1"/>
                <w:bCs w:val="1"/>
                <w:color w:val="auto"/>
                <w:w w:val="90"/>
              </w:rPr>
              <w:t>accrued as part</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740" w:type="dxa"/>
            <w:vAlign w:val="bottom"/>
            <w:gridSpan w:val="4"/>
            <w:vMerge w:val="continue"/>
          </w:tcPr>
          <w:p>
            <w:pPr>
              <w:spacing w:after="0"/>
              <w:rPr>
                <w:sz w:val="15"/>
                <w:szCs w:val="15"/>
                <w:color w:val="auto"/>
              </w:rPr>
            </w:pPr>
          </w:p>
        </w:tc>
        <w:tc>
          <w:tcPr>
            <w:tcW w:w="2540" w:type="dxa"/>
            <w:vAlign w:val="bottom"/>
          </w:tcPr>
          <w:p>
            <w:pPr>
              <w:spacing w:after="0"/>
              <w:rPr>
                <w:sz w:val="15"/>
                <w:szCs w:val="15"/>
                <w:color w:val="auto"/>
              </w:rPr>
            </w:pPr>
          </w:p>
        </w:tc>
        <w:tc>
          <w:tcPr>
            <w:tcW w:w="1560" w:type="dxa"/>
            <w:vAlign w:val="bottom"/>
            <w:gridSpan w:val="3"/>
          </w:tcPr>
          <w:p>
            <w:pPr>
              <w:jc w:val="center"/>
              <w:ind w:right="720"/>
              <w:spacing w:after="0" w:line="157" w:lineRule="exact"/>
              <w:rPr>
                <w:sz w:val="20"/>
                <w:szCs w:val="20"/>
                <w:color w:val="auto"/>
              </w:rPr>
            </w:pPr>
            <w:r>
              <w:rPr>
                <w:rFonts w:ascii="Arial" w:cs="Arial" w:eastAsia="Arial" w:hAnsi="Arial"/>
                <w:sz w:val="14"/>
                <w:szCs w:val="14"/>
                <w:b w:val="1"/>
                <w:bCs w:val="1"/>
                <w:color w:val="auto"/>
                <w:w w:val="94"/>
              </w:rPr>
              <w:t>Corporation</w:t>
            </w:r>
          </w:p>
        </w:tc>
        <w:tc>
          <w:tcPr>
            <w:tcW w:w="1740" w:type="dxa"/>
            <w:vAlign w:val="bottom"/>
            <w:gridSpan w:val="2"/>
          </w:tcPr>
          <w:p>
            <w:pPr>
              <w:jc w:val="right"/>
              <w:ind w:right="720"/>
              <w:spacing w:after="0" w:line="157" w:lineRule="exact"/>
              <w:rPr>
                <w:sz w:val="20"/>
                <w:szCs w:val="20"/>
                <w:color w:val="auto"/>
              </w:rPr>
            </w:pPr>
            <w:r>
              <w:rPr>
                <w:rFonts w:ascii="Arial" w:cs="Arial" w:eastAsia="Arial" w:hAnsi="Arial"/>
                <w:sz w:val="14"/>
                <w:szCs w:val="14"/>
                <w:b w:val="1"/>
                <w:bCs w:val="1"/>
                <w:color w:val="auto"/>
                <w:w w:val="87"/>
              </w:rPr>
              <w:t>of our expense</w:t>
            </w:r>
            <w:r>
              <w:rPr>
                <w:rFonts w:ascii="Arial" w:cs="Arial" w:eastAsia="Arial" w:hAnsi="Arial"/>
                <w:sz w:val="12"/>
                <w:szCs w:val="12"/>
                <w:b w:val="1"/>
                <w:bCs w:val="1"/>
                <w:color w:val="auto"/>
                <w:w w:val="87"/>
              </w:rPr>
              <w:t>(1)</w:t>
            </w:r>
          </w:p>
        </w:tc>
        <w:tc>
          <w:tcPr>
            <w:tcW w:w="9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7"/>
              </w:rPr>
              <w:t>director/officer</w:t>
            </w:r>
          </w:p>
        </w:tc>
        <w:tc>
          <w:tcPr>
            <w:tcW w:w="0" w:type="dxa"/>
            <w:vAlign w:val="bottom"/>
          </w:tcPr>
          <w:p>
            <w:pPr>
              <w:spacing w:after="0"/>
              <w:rPr>
                <w:sz w:val="1"/>
                <w:szCs w:val="1"/>
                <w:color w:val="auto"/>
              </w:rPr>
            </w:pPr>
          </w:p>
        </w:tc>
      </w:tr>
      <w:tr>
        <w:trPr>
          <w:trHeight w:val="154"/>
        </w:trPr>
        <w:tc>
          <w:tcPr>
            <w:tcW w:w="1520" w:type="dxa"/>
            <w:vAlign w:val="bottom"/>
            <w:tcBorders>
              <w:top w:val="single" w:sz="8" w:color="CCEEFF"/>
              <w:bottom w:val="single" w:sz="8" w:color="auto"/>
            </w:tcBorders>
            <w:gridSpan w:val="4"/>
            <w:shd w:val="clear" w:color="auto" w:fill="CCEEFF"/>
          </w:tcPr>
          <w:p>
            <w:pPr>
              <w:spacing w:after="0" w:line="134" w:lineRule="exact"/>
              <w:rPr>
                <w:sz w:val="20"/>
                <w:szCs w:val="20"/>
                <w:color w:val="auto"/>
              </w:rPr>
            </w:pPr>
            <w:r>
              <w:rPr>
                <w:rFonts w:ascii="Arial" w:cs="Arial" w:eastAsia="Arial" w:hAnsi="Arial"/>
                <w:sz w:val="15"/>
                <w:szCs w:val="15"/>
                <w:b w:val="1"/>
                <w:bCs w:val="1"/>
                <w:color w:val="auto"/>
                <w:w w:val="95"/>
              </w:rPr>
              <w:t>Independent directors</w:t>
            </w:r>
          </w:p>
        </w:tc>
        <w:tc>
          <w:tcPr>
            <w:tcW w:w="2580" w:type="dxa"/>
            <w:vAlign w:val="bottom"/>
            <w:tcBorders>
              <w:top w:val="single" w:sz="8" w:color="CCEEFF"/>
              <w:bottom w:val="single" w:sz="8" w:color="CCEEFF"/>
            </w:tcBorders>
            <w:shd w:val="clear" w:color="auto" w:fill="CCEEFF"/>
          </w:tcPr>
          <w:p>
            <w:pPr>
              <w:spacing w:after="0"/>
              <w:rPr>
                <w:sz w:val="13"/>
                <w:szCs w:val="13"/>
                <w:color w:val="auto"/>
              </w:rPr>
            </w:pPr>
          </w:p>
        </w:tc>
        <w:tc>
          <w:tcPr>
            <w:tcW w:w="25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100" w:type="dxa"/>
            <w:vAlign w:val="bottom"/>
            <w:gridSpan w:val="5"/>
          </w:tcPr>
          <w:p>
            <w:pPr>
              <w:ind w:left="320"/>
              <w:spacing w:after="0"/>
              <w:rPr>
                <w:sz w:val="20"/>
                <w:szCs w:val="20"/>
                <w:color w:val="auto"/>
              </w:rPr>
            </w:pPr>
            <w:r>
              <w:rPr>
                <w:rFonts w:ascii="Arial" w:cs="Arial" w:eastAsia="Arial" w:hAnsi="Arial"/>
                <w:sz w:val="16"/>
                <w:szCs w:val="16"/>
                <w:color w:val="auto"/>
              </w:rPr>
              <w:t>Adam K. Bernstein</w:t>
            </w:r>
          </w:p>
        </w:tc>
        <w:tc>
          <w:tcPr>
            <w:tcW w:w="2620" w:type="dxa"/>
            <w:vAlign w:val="bottom"/>
            <w:gridSpan w:val="2"/>
          </w:tcPr>
          <w:p>
            <w:pPr>
              <w:ind w:left="25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20"/>
              <w:spacing w:after="0"/>
              <w:rPr>
                <w:sz w:val="20"/>
                <w:szCs w:val="20"/>
                <w:color w:val="auto"/>
              </w:rPr>
            </w:pPr>
            <w:r>
              <w:rPr>
                <w:rFonts w:ascii="Arial" w:cs="Arial" w:eastAsia="Arial" w:hAnsi="Arial"/>
                <w:sz w:val="16"/>
                <w:szCs w:val="16"/>
                <w:color w:val="auto"/>
              </w:rPr>
              <w:t>122,500</w:t>
            </w:r>
          </w:p>
        </w:tc>
        <w:tc>
          <w:tcPr>
            <w:tcW w:w="1740" w:type="dxa"/>
            <w:vAlign w:val="bottom"/>
            <w:gridSpan w:val="2"/>
          </w:tcPr>
          <w:p>
            <w:pPr>
              <w:jc w:val="right"/>
              <w:ind w:right="720"/>
              <w:spacing w:after="0"/>
              <w:rPr>
                <w:sz w:val="20"/>
                <w:szCs w:val="20"/>
                <w:color w:val="auto"/>
              </w:rPr>
            </w:pPr>
            <w:r>
              <w:rPr>
                <w:rFonts w:ascii="Arial" w:cs="Arial" w:eastAsia="Arial" w:hAnsi="Arial"/>
                <w:sz w:val="16"/>
                <w:szCs w:val="16"/>
                <w:color w:val="auto"/>
              </w:rPr>
              <w:t>None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122,500</w:t>
            </w:r>
          </w:p>
        </w:tc>
        <w:tc>
          <w:tcPr>
            <w:tcW w:w="0" w:type="dxa"/>
            <w:vAlign w:val="bottom"/>
          </w:tcPr>
          <w:p>
            <w:pPr>
              <w:spacing w:after="0"/>
              <w:rPr>
                <w:sz w:val="1"/>
                <w:szCs w:val="1"/>
                <w:color w:val="auto"/>
              </w:rPr>
            </w:pPr>
          </w:p>
        </w:tc>
      </w:tr>
      <w:tr>
        <w:trPr>
          <w:trHeight w:val="201"/>
        </w:trPr>
        <w:tc>
          <w:tcPr>
            <w:tcW w:w="4100" w:type="dxa"/>
            <w:vAlign w:val="bottom"/>
            <w:gridSpan w:val="5"/>
            <w:shd w:val="clear" w:color="auto" w:fill="CCEEFF"/>
          </w:tcPr>
          <w:p>
            <w:pPr>
              <w:ind w:left="320"/>
              <w:spacing w:after="0"/>
              <w:rPr>
                <w:sz w:val="20"/>
                <w:szCs w:val="20"/>
                <w:color w:val="auto"/>
              </w:rPr>
            </w:pPr>
            <w:r>
              <w:rPr>
                <w:rFonts w:ascii="Arial" w:cs="Arial" w:eastAsia="Arial" w:hAnsi="Arial"/>
                <w:sz w:val="16"/>
                <w:szCs w:val="16"/>
                <w:color w:val="auto"/>
              </w:rPr>
              <w:t>Marshall Brozost</w:t>
            </w:r>
          </w:p>
        </w:tc>
        <w:tc>
          <w:tcPr>
            <w:tcW w:w="2620" w:type="dxa"/>
            <w:vAlign w:val="bottom"/>
            <w:gridSpan w:val="2"/>
            <w:shd w:val="clear" w:color="auto" w:fill="CCEEFF"/>
          </w:tcPr>
          <w:p>
            <w:pPr>
              <w:ind w:left="25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122,500</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None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122,500</w:t>
            </w:r>
          </w:p>
        </w:tc>
        <w:tc>
          <w:tcPr>
            <w:tcW w:w="0" w:type="dxa"/>
            <w:vAlign w:val="bottom"/>
          </w:tcPr>
          <w:p>
            <w:pPr>
              <w:spacing w:after="0"/>
              <w:rPr>
                <w:sz w:val="1"/>
                <w:szCs w:val="1"/>
                <w:color w:val="auto"/>
              </w:rPr>
            </w:pPr>
          </w:p>
        </w:tc>
      </w:tr>
      <w:tr>
        <w:trPr>
          <w:trHeight w:val="201"/>
        </w:trPr>
        <w:tc>
          <w:tcPr>
            <w:tcW w:w="4100" w:type="dxa"/>
            <w:vAlign w:val="bottom"/>
            <w:gridSpan w:val="5"/>
          </w:tcPr>
          <w:p>
            <w:pPr>
              <w:ind w:left="320"/>
              <w:spacing w:after="0"/>
              <w:rPr>
                <w:sz w:val="20"/>
                <w:szCs w:val="20"/>
                <w:color w:val="auto"/>
              </w:rPr>
            </w:pPr>
            <w:r>
              <w:rPr>
                <w:rFonts w:ascii="Arial" w:cs="Arial" w:eastAsia="Arial" w:hAnsi="Arial"/>
                <w:sz w:val="16"/>
                <w:szCs w:val="16"/>
                <w:color w:val="auto"/>
              </w:rPr>
              <w:t>Jeffrey Flug</w:t>
            </w:r>
          </w:p>
        </w:tc>
        <w:tc>
          <w:tcPr>
            <w:tcW w:w="2620" w:type="dxa"/>
            <w:vAlign w:val="bottom"/>
            <w:gridSpan w:val="2"/>
          </w:tcPr>
          <w:p>
            <w:pPr>
              <w:ind w:left="25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20"/>
              <w:spacing w:after="0"/>
              <w:rPr>
                <w:sz w:val="20"/>
                <w:szCs w:val="20"/>
                <w:color w:val="auto"/>
              </w:rPr>
            </w:pPr>
            <w:r>
              <w:rPr>
                <w:rFonts w:ascii="Arial" w:cs="Arial" w:eastAsia="Arial" w:hAnsi="Arial"/>
                <w:sz w:val="16"/>
                <w:szCs w:val="16"/>
                <w:color w:val="auto"/>
              </w:rPr>
              <w:t>132,500</w:t>
            </w:r>
          </w:p>
        </w:tc>
        <w:tc>
          <w:tcPr>
            <w:tcW w:w="1740" w:type="dxa"/>
            <w:vAlign w:val="bottom"/>
            <w:gridSpan w:val="2"/>
          </w:tcPr>
          <w:p>
            <w:pPr>
              <w:jc w:val="right"/>
              <w:ind w:right="720"/>
              <w:spacing w:after="0"/>
              <w:rPr>
                <w:sz w:val="20"/>
                <w:szCs w:val="20"/>
                <w:color w:val="auto"/>
              </w:rPr>
            </w:pPr>
            <w:r>
              <w:rPr>
                <w:rFonts w:ascii="Arial" w:cs="Arial" w:eastAsia="Arial" w:hAnsi="Arial"/>
                <w:sz w:val="16"/>
                <w:szCs w:val="16"/>
                <w:color w:val="auto"/>
              </w:rPr>
              <w:t>None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132,500</w:t>
            </w:r>
          </w:p>
        </w:tc>
        <w:tc>
          <w:tcPr>
            <w:tcW w:w="0" w:type="dxa"/>
            <w:vAlign w:val="bottom"/>
          </w:tcPr>
          <w:p>
            <w:pPr>
              <w:spacing w:after="0"/>
              <w:rPr>
                <w:sz w:val="1"/>
                <w:szCs w:val="1"/>
                <w:color w:val="auto"/>
              </w:rPr>
            </w:pPr>
          </w:p>
        </w:tc>
      </w:tr>
      <w:tr>
        <w:trPr>
          <w:trHeight w:val="201"/>
        </w:trPr>
        <w:tc>
          <w:tcPr>
            <w:tcW w:w="4100" w:type="dxa"/>
            <w:vAlign w:val="bottom"/>
            <w:gridSpan w:val="5"/>
            <w:shd w:val="clear" w:color="auto" w:fill="CCEEFF"/>
          </w:tcPr>
          <w:p>
            <w:pPr>
              <w:ind w:left="320"/>
              <w:spacing w:after="0"/>
              <w:rPr>
                <w:sz w:val="20"/>
                <w:szCs w:val="20"/>
                <w:color w:val="auto"/>
              </w:rPr>
            </w:pPr>
            <w:r>
              <w:rPr>
                <w:rFonts w:ascii="Arial" w:cs="Arial" w:eastAsia="Arial" w:hAnsi="Arial"/>
                <w:sz w:val="16"/>
                <w:szCs w:val="16"/>
                <w:color w:val="auto"/>
              </w:rPr>
              <w:t>Samuel L. Katz</w:t>
            </w:r>
          </w:p>
        </w:tc>
        <w:tc>
          <w:tcPr>
            <w:tcW w:w="2620" w:type="dxa"/>
            <w:vAlign w:val="bottom"/>
            <w:gridSpan w:val="2"/>
            <w:shd w:val="clear" w:color="auto" w:fill="CCEEFF"/>
          </w:tcPr>
          <w:p>
            <w:pPr>
              <w:ind w:left="25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132,500</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None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132,500</w:t>
            </w:r>
          </w:p>
        </w:tc>
        <w:tc>
          <w:tcPr>
            <w:tcW w:w="0" w:type="dxa"/>
            <w:vAlign w:val="bottom"/>
          </w:tcPr>
          <w:p>
            <w:pPr>
              <w:spacing w:after="0"/>
              <w:rPr>
                <w:sz w:val="1"/>
                <w:szCs w:val="1"/>
                <w:color w:val="auto"/>
              </w:rPr>
            </w:pPr>
          </w:p>
        </w:tc>
      </w:tr>
      <w:tr>
        <w:trPr>
          <w:trHeight w:val="161"/>
        </w:trPr>
        <w:tc>
          <w:tcPr>
            <w:tcW w:w="4100" w:type="dxa"/>
            <w:vAlign w:val="bottom"/>
            <w:gridSpan w:val="5"/>
          </w:tcPr>
          <w:p>
            <w:pPr>
              <w:spacing w:after="0" w:line="161" w:lineRule="exact"/>
              <w:rPr>
                <w:sz w:val="20"/>
                <w:szCs w:val="20"/>
                <w:color w:val="auto"/>
              </w:rPr>
            </w:pPr>
            <w:r>
              <w:rPr>
                <w:rFonts w:ascii="Arial" w:cs="Arial" w:eastAsia="Arial" w:hAnsi="Arial"/>
                <w:sz w:val="16"/>
                <w:szCs w:val="16"/>
                <w:b w:val="1"/>
                <w:bCs w:val="1"/>
                <w:color w:val="auto"/>
              </w:rPr>
              <w:t>Interested director</w:t>
            </w: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00" w:type="dxa"/>
            <w:vAlign w:val="bottom"/>
            <w:gridSpan w:val="5"/>
            <w:shd w:val="clear" w:color="auto" w:fill="CCEEFF"/>
          </w:tcPr>
          <w:p>
            <w:pPr>
              <w:ind w:left="320"/>
              <w:spacing w:after="0"/>
              <w:rPr>
                <w:sz w:val="20"/>
                <w:szCs w:val="20"/>
                <w:color w:val="auto"/>
              </w:rPr>
            </w:pPr>
            <w:r>
              <w:rPr>
                <w:rFonts w:ascii="Arial" w:cs="Arial" w:eastAsia="Arial" w:hAnsi="Arial"/>
                <w:sz w:val="16"/>
                <w:szCs w:val="16"/>
                <w:color w:val="auto"/>
              </w:rPr>
              <w:t>Arthur H. Penn</w:t>
            </w: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None</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None</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161"/>
        </w:trPr>
        <w:tc>
          <w:tcPr>
            <w:tcW w:w="4100" w:type="dxa"/>
            <w:vAlign w:val="bottom"/>
            <w:gridSpan w:val="5"/>
          </w:tcPr>
          <w:p>
            <w:pPr>
              <w:spacing w:after="0" w:line="161" w:lineRule="exact"/>
              <w:rPr>
                <w:sz w:val="20"/>
                <w:szCs w:val="20"/>
                <w:color w:val="auto"/>
              </w:rPr>
            </w:pPr>
            <w:r>
              <w:rPr>
                <w:rFonts w:ascii="Arial" w:cs="Arial" w:eastAsia="Arial" w:hAnsi="Arial"/>
                <w:sz w:val="16"/>
                <w:szCs w:val="16"/>
                <w:b w:val="1"/>
                <w:bCs w:val="1"/>
                <w:color w:val="auto"/>
              </w:rPr>
              <w:t>Executive officer</w:t>
            </w: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00" w:type="dxa"/>
            <w:vAlign w:val="bottom"/>
            <w:gridSpan w:val="5"/>
            <w:shd w:val="clear" w:color="auto" w:fill="CCEEFF"/>
          </w:tcPr>
          <w:p>
            <w:pPr>
              <w:ind w:left="320"/>
              <w:spacing w:after="0" w:line="201" w:lineRule="exact"/>
              <w:rPr>
                <w:sz w:val="20"/>
                <w:szCs w:val="20"/>
                <w:color w:val="auto"/>
              </w:rPr>
            </w:pPr>
            <w:r>
              <w:rPr>
                <w:rFonts w:ascii="Arial" w:cs="Arial" w:eastAsia="Arial" w:hAnsi="Arial"/>
                <w:sz w:val="14"/>
                <w:szCs w:val="14"/>
                <w:color w:val="auto"/>
              </w:rPr>
              <w:t>Aviv Efrat</w:t>
            </w:r>
            <w:r>
              <w:rPr>
                <w:rFonts w:ascii="Arial" w:cs="Arial" w:eastAsia="Arial" w:hAnsi="Arial"/>
                <w:sz w:val="23"/>
                <w:szCs w:val="23"/>
                <w:color w:val="auto"/>
                <w:vertAlign w:val="superscript"/>
              </w:rPr>
              <w:t>(2)</w:t>
            </w: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None</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None</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85090</wp:posOffset>
            </wp:positionV>
            <wp:extent cx="6965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53" w:lineRule="exact"/>
        <w:rPr>
          <w:sz w:val="20"/>
          <w:szCs w:val="20"/>
          <w:color w:val="auto"/>
        </w:rPr>
      </w:pPr>
    </w:p>
    <w:p>
      <w:pPr>
        <w:ind w:left="560" w:hanging="426"/>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9" w:lineRule="exact"/>
        <w:rPr>
          <w:rFonts w:ascii="Arial" w:cs="Arial" w:eastAsia="Arial" w:hAnsi="Arial"/>
          <w:sz w:val="18"/>
          <w:szCs w:val="18"/>
          <w:color w:val="auto"/>
        </w:rPr>
      </w:pPr>
    </w:p>
    <w:p>
      <w:pPr>
        <w:ind w:left="560" w:hanging="426"/>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08" w:lineRule="exact"/>
        <w:rPr>
          <w:sz w:val="20"/>
          <w:szCs w:val="20"/>
          <w:color w:val="auto"/>
        </w:rPr>
      </w:pPr>
    </w:p>
    <w:p>
      <w:pPr>
        <w:ind w:left="140" w:right="40" w:firstLine="437"/>
        <w:spacing w:after="0" w:line="290" w:lineRule="auto"/>
        <w:rPr>
          <w:sz w:val="20"/>
          <w:szCs w:val="20"/>
          <w:color w:val="auto"/>
        </w:rPr>
      </w:pPr>
      <w:r>
        <w:rPr>
          <w:rFonts w:ascii="Arial" w:cs="Arial" w:eastAsia="Arial" w:hAnsi="Arial"/>
          <w:sz w:val="16"/>
          <w:szCs w:val="16"/>
          <w:color w:val="auto"/>
        </w:rPr>
        <w:t>Each Independent Director receives an annual payment of $110,000 for services performed on behalf of us as a director. The Independent Directors also receive $2,500 plus reimbursement of reasonable out-of-pocket expenses incurred in connection with attending each board of directors meeting and receive $1,000 plus reimbursement of reasonable out-of-pocket expenses incurred in connection with attending each committee meeting (unless combined with a board of directors meeting). In addition, each Co-Chairman of the Audit Committee receives an annual fee of $12,500 and each Co-Chairman of any other committee receives an annual fee of $2,500 for his additional services in these capacities. Also, we have purchased directors’ and officers’ liability insurance on behalf of our directors and officers and indemnify such persons against certain losses.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2240" w:h="15840" w:orient="portrait"/>
          <w:cols w:equalWidth="0" w:num="1">
            <w:col w:w="11060"/>
          </w:cols>
          <w:pgMar w:left="520" w:top="316" w:right="660"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40" w:right="80"/>
        <w:spacing w:after="0" w:line="259" w:lineRule="auto"/>
        <w:rPr>
          <w:sz w:val="20"/>
          <w:szCs w:val="20"/>
          <w:color w:val="auto"/>
        </w:rPr>
      </w:pPr>
      <w:r>
        <w:rPr>
          <w:rFonts w:ascii="Arial" w:cs="Arial" w:eastAsia="Arial" w:hAnsi="Arial"/>
          <w:sz w:val="18"/>
          <w:szCs w:val="18"/>
          <w:color w:val="auto"/>
        </w:rPr>
        <w:t>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4" w:lineRule="exact"/>
        <w:rPr>
          <w:sz w:val="20"/>
          <w:szCs w:val="20"/>
          <w:color w:val="auto"/>
        </w:rPr>
      </w:pPr>
    </w:p>
    <w:p>
      <w:pPr>
        <w:ind w:left="140" w:firstLine="437"/>
        <w:spacing w:after="0" w:line="287"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67" w:lineRule="exact"/>
        <w:rPr>
          <w:sz w:val="20"/>
          <w:szCs w:val="20"/>
          <w:color w:val="auto"/>
        </w:rPr>
      </w:pPr>
    </w:p>
    <w:p>
      <w:pPr>
        <w:ind w:left="140" w:right="300" w:firstLine="437"/>
        <w:spacing w:after="0" w:line="254"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9" w:lineRule="exact"/>
        <w:rPr>
          <w:sz w:val="20"/>
          <w:szCs w:val="20"/>
          <w:color w:val="auto"/>
        </w:rPr>
      </w:pPr>
    </w:p>
    <w:p>
      <w:pPr>
        <w:ind w:left="140" w:right="60" w:firstLine="437"/>
        <w:spacing w:after="0" w:line="272"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7" w:lineRule="exact"/>
        <w:rPr>
          <w:sz w:val="20"/>
          <w:szCs w:val="20"/>
          <w:color w:val="auto"/>
        </w:rPr>
      </w:pPr>
    </w:p>
    <w:p>
      <w:pPr>
        <w:ind w:left="140" w:right="160" w:firstLine="437"/>
        <w:spacing w:after="0" w:line="255"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91" w:lineRule="exact"/>
        <w:rPr>
          <w:sz w:val="20"/>
          <w:szCs w:val="20"/>
          <w:color w:val="auto"/>
        </w:rPr>
      </w:pPr>
    </w:p>
    <w:p>
      <w:pPr>
        <w:ind w:left="140" w:right="100" w:firstLine="437"/>
        <w:spacing w:after="0" w:line="271" w:lineRule="auto"/>
        <w:rPr>
          <w:sz w:val="20"/>
          <w:szCs w:val="20"/>
          <w:color w:val="auto"/>
        </w:rPr>
      </w:pPr>
      <w:r>
        <w:rPr>
          <w:rFonts w:ascii="Arial" w:cs="Arial" w:eastAsia="Arial" w:hAnsi="Arial"/>
          <w:sz w:val="18"/>
          <w:szCs w:val="18"/>
          <w:color w:val="auto"/>
        </w:rPr>
        <w:t>In addition to managing our investments, as of September 30, 2018, our portfolio managers also managed investments on behalf of the following entities:</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60" w:type="dxa"/>
            <w:vAlign w:val="bottom"/>
            <w:vMerge w:val="restart"/>
          </w:tcPr>
          <w:p>
            <w:pPr>
              <w:spacing w:after="0"/>
              <w:rPr>
                <w:sz w:val="14"/>
                <w:szCs w:val="14"/>
                <w:color w:val="auto"/>
              </w:rPr>
            </w:pPr>
          </w:p>
        </w:tc>
        <w:tc>
          <w:tcPr>
            <w:tcW w:w="214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Entity</w:t>
            </w:r>
          </w:p>
        </w:tc>
        <w:tc>
          <w:tcPr>
            <w:tcW w:w="418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Investment Focus</w:t>
            </w: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Gross Assets</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4180" w:type="dxa"/>
            <w:vAlign w:val="bottom"/>
            <w:gridSpan w:val="2"/>
            <w:vMerge w:val="continue"/>
          </w:tcPr>
          <w:p>
            <w:pPr>
              <w:spacing w:after="0"/>
              <w:rPr>
                <w:sz w:val="15"/>
                <w:szCs w:val="15"/>
                <w:color w:val="auto"/>
              </w:rPr>
            </w:pPr>
          </w:p>
        </w:tc>
        <w:tc>
          <w:tcPr>
            <w:tcW w:w="86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78"/>
        </w:trPr>
        <w:tc>
          <w:tcPr>
            <w:tcW w:w="3720" w:type="dxa"/>
            <w:vAlign w:val="bottom"/>
            <w:gridSpan w:val="2"/>
          </w:tcPr>
          <w:p>
            <w:pPr>
              <w:spacing w:after="0" w:line="178" w:lineRule="exact"/>
              <w:rPr>
                <w:sz w:val="20"/>
                <w:szCs w:val="20"/>
                <w:color w:val="auto"/>
              </w:rPr>
            </w:pPr>
            <w:r>
              <w:rPr>
                <w:rFonts w:ascii="Arial" w:cs="Arial" w:eastAsia="Arial" w:hAnsi="Arial"/>
                <w:sz w:val="16"/>
                <w:szCs w:val="16"/>
                <w:color w:val="auto"/>
              </w:rPr>
              <w:t>PennantPark Floating Rate Capital Ltd.</w:t>
            </w:r>
          </w:p>
        </w:tc>
        <w:tc>
          <w:tcPr>
            <w:tcW w:w="184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Business development</w:t>
            </w:r>
          </w:p>
        </w:tc>
        <w:tc>
          <w:tcPr>
            <w:tcW w:w="300" w:type="dxa"/>
            <w:vAlign w:val="bottom"/>
          </w:tcPr>
          <w:p>
            <w:pPr>
              <w:spacing w:after="0"/>
              <w:rPr>
                <w:sz w:val="15"/>
                <w:szCs w:val="15"/>
                <w:color w:val="auto"/>
              </w:rPr>
            </w:pPr>
          </w:p>
        </w:tc>
        <w:tc>
          <w:tcPr>
            <w:tcW w:w="384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w w:val="96"/>
              </w:rPr>
              <w:t>Primarily floating rate loans, with an emphasis on senior</w:t>
            </w:r>
          </w:p>
        </w:tc>
        <w:tc>
          <w:tcPr>
            <w:tcW w:w="340" w:type="dxa"/>
            <w:vAlign w:val="bottom"/>
          </w:tcPr>
          <w:p>
            <w:pPr>
              <w:spacing w:after="0"/>
              <w:rPr>
                <w:sz w:val="15"/>
                <w:szCs w:val="15"/>
                <w:color w:val="auto"/>
              </w:rPr>
            </w:pPr>
          </w:p>
        </w:tc>
        <w:tc>
          <w:tcPr>
            <w:tcW w:w="8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$1,076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140" w:type="dxa"/>
            <w:vAlign w:val="bottom"/>
            <w:gridSpan w:val="2"/>
          </w:tcPr>
          <w:p>
            <w:pPr>
              <w:spacing w:after="0"/>
              <w:rPr>
                <w:sz w:val="20"/>
                <w:szCs w:val="20"/>
                <w:color w:val="auto"/>
              </w:rPr>
            </w:pPr>
            <w:r>
              <w:rPr>
                <w:rFonts w:ascii="Arial" w:cs="Arial" w:eastAsia="Arial" w:hAnsi="Arial"/>
                <w:sz w:val="16"/>
                <w:szCs w:val="16"/>
                <w:color w:val="auto"/>
              </w:rPr>
              <w:t>company</w:t>
            </w:r>
          </w:p>
        </w:tc>
        <w:tc>
          <w:tcPr>
            <w:tcW w:w="4180" w:type="dxa"/>
            <w:vAlign w:val="bottom"/>
            <w:gridSpan w:val="2"/>
          </w:tcPr>
          <w:p>
            <w:pPr>
              <w:spacing w:after="0"/>
              <w:rPr>
                <w:sz w:val="20"/>
                <w:szCs w:val="20"/>
                <w:color w:val="auto"/>
              </w:rPr>
            </w:pPr>
            <w:r>
              <w:rPr>
                <w:rFonts w:ascii="Arial" w:cs="Arial" w:eastAsia="Arial" w:hAnsi="Arial"/>
                <w:sz w:val="16"/>
                <w:szCs w:val="16"/>
                <w:color w:val="auto"/>
              </w:rPr>
              <w:t>secured loans, in middle-market leveraged companies.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720" w:type="dxa"/>
            <w:vAlign w:val="bottom"/>
            <w:gridSpan w:val="2"/>
          </w:tcPr>
          <w:p>
            <w:pPr>
              <w:spacing w:after="0"/>
              <w:rPr>
                <w:sz w:val="20"/>
                <w:szCs w:val="20"/>
                <w:color w:val="auto"/>
              </w:rPr>
            </w:pPr>
            <w:r>
              <w:rPr>
                <w:rFonts w:ascii="Arial" w:cs="Arial" w:eastAsia="Arial" w:hAnsi="Arial"/>
                <w:sz w:val="16"/>
                <w:szCs w:val="16"/>
                <w:color w:val="auto"/>
              </w:rPr>
              <w:t>PennantPark Senior Secured</w:t>
            </w:r>
          </w:p>
        </w:tc>
        <w:tc>
          <w:tcPr>
            <w:tcW w:w="2140" w:type="dxa"/>
            <w:vAlign w:val="bottom"/>
            <w:gridSpan w:val="2"/>
          </w:tcPr>
          <w:p>
            <w:pPr>
              <w:spacing w:after="0"/>
              <w:rPr>
                <w:sz w:val="20"/>
                <w:szCs w:val="20"/>
                <w:color w:val="auto"/>
              </w:rPr>
            </w:pPr>
            <w:r>
              <w:rPr>
                <w:rFonts w:ascii="Arial" w:cs="Arial" w:eastAsia="Arial" w:hAnsi="Arial"/>
                <w:sz w:val="16"/>
                <w:szCs w:val="16"/>
                <w:color w:val="auto"/>
              </w:rPr>
              <w:t>Joint Venture</w:t>
            </w:r>
          </w:p>
        </w:tc>
        <w:tc>
          <w:tcPr>
            <w:tcW w:w="4180" w:type="dxa"/>
            <w:vAlign w:val="bottom"/>
            <w:gridSpan w:val="2"/>
          </w:tcPr>
          <w:p>
            <w:pPr>
              <w:spacing w:after="0"/>
              <w:rPr>
                <w:sz w:val="20"/>
                <w:szCs w:val="20"/>
                <w:color w:val="auto"/>
              </w:rPr>
            </w:pPr>
            <w:r>
              <w:rPr>
                <w:rFonts w:ascii="Arial" w:cs="Arial" w:eastAsia="Arial" w:hAnsi="Arial"/>
                <w:sz w:val="16"/>
                <w:szCs w:val="16"/>
                <w:color w:val="auto"/>
              </w:rPr>
              <w:t>Primarily floating rate loans, with an emphasis on senior</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Arial" w:cs="Arial" w:eastAsia="Arial" w:hAnsi="Arial"/>
                <w:sz w:val="16"/>
                <w:szCs w:val="16"/>
                <w:color w:val="auto"/>
              </w:rPr>
              <w:t>Loan Fund I LLC</w:t>
            </w: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6"/>
                <w:szCs w:val="16"/>
                <w:color w:val="auto"/>
              </w:rPr>
              <w:t>secured loans, in middle-market leveraged companies.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720" w:type="dxa"/>
            <w:vAlign w:val="bottom"/>
            <w:gridSpan w:val="2"/>
          </w:tcPr>
          <w:p>
            <w:pPr>
              <w:spacing w:after="0"/>
              <w:rPr>
                <w:sz w:val="20"/>
                <w:szCs w:val="20"/>
                <w:color w:val="auto"/>
              </w:rPr>
            </w:pPr>
            <w:r>
              <w:rPr>
                <w:rFonts w:ascii="Arial" w:cs="Arial" w:eastAsia="Arial" w:hAnsi="Arial"/>
                <w:sz w:val="16"/>
                <w:szCs w:val="16"/>
                <w:color w:val="auto"/>
              </w:rPr>
              <w:t>Other Managed Fund</w:t>
            </w:r>
          </w:p>
        </w:tc>
        <w:tc>
          <w:tcPr>
            <w:tcW w:w="2140" w:type="dxa"/>
            <w:vAlign w:val="bottom"/>
            <w:gridSpan w:val="2"/>
          </w:tcPr>
          <w:p>
            <w:pPr>
              <w:spacing w:after="0"/>
              <w:rPr>
                <w:sz w:val="20"/>
                <w:szCs w:val="20"/>
                <w:color w:val="auto"/>
              </w:rPr>
            </w:pPr>
            <w:r>
              <w:rPr>
                <w:rFonts w:ascii="Arial" w:cs="Arial" w:eastAsia="Arial" w:hAnsi="Arial"/>
                <w:sz w:val="16"/>
                <w:szCs w:val="16"/>
                <w:color w:val="auto"/>
              </w:rPr>
              <w:t>Direct Lending</w:t>
            </w:r>
          </w:p>
        </w:tc>
        <w:tc>
          <w:tcPr>
            <w:tcW w:w="4180" w:type="dxa"/>
            <w:vAlign w:val="bottom"/>
            <w:gridSpan w:val="2"/>
          </w:tcPr>
          <w:p>
            <w:pPr>
              <w:spacing w:after="0"/>
              <w:rPr>
                <w:sz w:val="20"/>
                <w:szCs w:val="20"/>
                <w:color w:val="auto"/>
              </w:rPr>
            </w:pPr>
            <w:r>
              <w:rPr>
                <w:rFonts w:ascii="Arial" w:cs="Arial" w:eastAsia="Arial" w:hAnsi="Arial"/>
                <w:sz w:val="16"/>
                <w:szCs w:val="16"/>
                <w:color w:val="auto"/>
              </w:rPr>
              <w:t>Other credit opportunities</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5"/>
        </w:trPr>
        <w:tc>
          <w:tcPr>
            <w:tcW w:w="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140" w:type="dxa"/>
            <w:vAlign w:val="bottom"/>
            <w:gridSpan w:val="2"/>
          </w:tcPr>
          <w:p>
            <w:pPr>
              <w:spacing w:after="0"/>
              <w:rPr>
                <w:sz w:val="20"/>
                <w:szCs w:val="20"/>
                <w:color w:val="auto"/>
              </w:rPr>
            </w:pPr>
            <w:r>
              <w:rPr>
                <w:rFonts w:ascii="Arial" w:cs="Arial" w:eastAsia="Arial" w:hAnsi="Arial"/>
                <w:sz w:val="16"/>
                <w:szCs w:val="16"/>
                <w:color w:val="auto"/>
              </w:rPr>
              <w:t>Fund</w:t>
            </w:r>
          </w:p>
        </w:tc>
        <w:tc>
          <w:tcPr>
            <w:tcW w:w="3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40" w:right="680" w:firstLine="437"/>
        <w:spacing w:after="0" w:line="271"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2240" w:h="15840" w:orient="portrait"/>
          <w:cols w:equalWidth="0" w:num="1">
            <w:col w:w="11020"/>
          </w:cols>
          <w:pgMar w:left="520" w:top="316" w:right="700"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5" w:lineRule="exact"/>
        <w:rPr>
          <w:sz w:val="20"/>
          <w:szCs w:val="20"/>
          <w:color w:val="auto"/>
        </w:rPr>
      </w:pPr>
    </w:p>
    <w:p>
      <w:pPr>
        <w:ind w:left="140" w:right="340" w:firstLine="437"/>
        <w:spacing w:after="0" w:line="271" w:lineRule="auto"/>
        <w:rPr>
          <w:sz w:val="20"/>
          <w:szCs w:val="20"/>
          <w:color w:val="auto"/>
        </w:rPr>
      </w:pPr>
      <w:r>
        <w:rPr>
          <w:rFonts w:ascii="Arial" w:cs="Arial" w:eastAsia="Arial" w:hAnsi="Arial"/>
          <w:sz w:val="18"/>
          <w:szCs w:val="18"/>
          <w:color w:val="auto"/>
        </w:rPr>
        <w:t>As of February 28, 2019, to our knowledge, no person would be deemed to “control” us, as such term is defined in the 1940 Act. Our board of directors consists of an interested director and Independent Directors.</w:t>
      </w:r>
    </w:p>
    <w:p>
      <w:pPr>
        <w:spacing w:after="0" w:line="175" w:lineRule="exact"/>
        <w:rPr>
          <w:sz w:val="20"/>
          <w:szCs w:val="20"/>
          <w:color w:val="auto"/>
        </w:rPr>
      </w:pPr>
    </w:p>
    <w:p>
      <w:pPr>
        <w:ind w:left="140" w:right="80" w:firstLine="437"/>
        <w:spacing w:after="0" w:line="259" w:lineRule="auto"/>
        <w:rPr>
          <w:sz w:val="20"/>
          <w:szCs w:val="20"/>
          <w:color w:val="auto"/>
        </w:rPr>
      </w:pPr>
      <w:r>
        <w:rPr>
          <w:rFonts w:ascii="Arial" w:cs="Arial" w:eastAsia="Arial" w:hAnsi="Arial"/>
          <w:sz w:val="18"/>
          <w:szCs w:val="18"/>
          <w:color w:val="auto"/>
        </w:rPr>
        <w:t>The following table sets forth, as of February 28, 2019,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9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of Common</w:t>
            </w:r>
          </w:p>
        </w:tc>
        <w:tc>
          <w:tcPr>
            <w:tcW w:w="0" w:type="dxa"/>
            <w:vAlign w:val="bottom"/>
          </w:tcPr>
          <w:p>
            <w:pPr>
              <w:spacing w:after="0"/>
              <w:rPr>
                <w:sz w:val="1"/>
                <w:szCs w:val="1"/>
                <w:color w:val="auto"/>
              </w:rPr>
            </w:pPr>
          </w:p>
        </w:tc>
      </w:tr>
      <w:tr>
        <w:trPr>
          <w:trHeight w:val="147"/>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Address</w:t>
            </w:r>
            <w:r>
              <w:rPr>
                <w:rFonts w:ascii="Arial" w:cs="Arial" w:eastAsia="Arial" w:hAnsi="Arial"/>
                <w:sz w:val="12"/>
                <w:szCs w:val="12"/>
                <w:b w:val="1"/>
                <w:bCs w:val="1"/>
                <w:color w:val="auto"/>
                <w:w w:val="90"/>
              </w:rPr>
              <w:t>(1)</w:t>
            </w:r>
          </w:p>
        </w:tc>
        <w:tc>
          <w:tcPr>
            <w:tcW w:w="5820" w:type="dxa"/>
            <w:vAlign w:val="bottom"/>
            <w:vMerge w:val="restart"/>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(3)</w:t>
            </w: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90"/>
        </w:trPr>
        <w:tc>
          <w:tcPr>
            <w:tcW w:w="1300" w:type="dxa"/>
            <w:vAlign w:val="bottom"/>
            <w:tcBorders>
              <w:bottom w:val="single" w:sz="8" w:color="auto"/>
            </w:tcBorders>
            <w:vMerge w:val="continue"/>
          </w:tcPr>
          <w:p>
            <w:pPr>
              <w:spacing w:after="0"/>
              <w:rPr>
                <w:sz w:val="16"/>
                <w:szCs w:val="16"/>
                <w:color w:val="auto"/>
              </w:rPr>
            </w:pPr>
          </w:p>
        </w:tc>
        <w:tc>
          <w:tcPr>
            <w:tcW w:w="5820" w:type="dxa"/>
            <w:vAlign w:val="bottom"/>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760" w:type="dxa"/>
            <w:vAlign w:val="bottom"/>
          </w:tcPr>
          <w:p>
            <w:pPr>
              <w:jc w:val="right"/>
              <w:ind w:right="82"/>
              <w:spacing w:after="0"/>
              <w:rPr>
                <w:sz w:val="20"/>
                <w:szCs w:val="20"/>
                <w:color w:val="auto"/>
              </w:rPr>
            </w:pPr>
            <w:r>
              <w:rPr>
                <w:rFonts w:ascii="Arial" w:cs="Arial" w:eastAsia="Arial" w:hAnsi="Arial"/>
                <w:sz w:val="14"/>
                <w:szCs w:val="14"/>
                <w:b w:val="1"/>
                <w:bCs w:val="1"/>
                <w:color w:val="auto"/>
              </w:rPr>
              <w:t>Owned</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4"/>
        </w:trPr>
        <w:tc>
          <w:tcPr>
            <w:tcW w:w="7120" w:type="dxa"/>
            <w:vAlign w:val="bottom"/>
            <w:tcBorders>
              <w:top w:val="single" w:sz="8" w:color="CCEEFF"/>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Independent directors</w:t>
            </w:r>
          </w:p>
        </w:tc>
        <w:tc>
          <w:tcPr>
            <w:tcW w:w="1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120" w:type="dxa"/>
            <w:vAlign w:val="bottom"/>
            <w:gridSpan w:val="2"/>
          </w:tcPr>
          <w:p>
            <w:pPr>
              <w:ind w:left="320"/>
              <w:spacing w:after="0"/>
              <w:rPr>
                <w:sz w:val="20"/>
                <w:szCs w:val="20"/>
                <w:color w:val="auto"/>
              </w:rPr>
            </w:pPr>
            <w:r>
              <w:rPr>
                <w:rFonts w:ascii="Arial" w:cs="Arial" w:eastAsia="Arial" w:hAnsi="Arial"/>
                <w:sz w:val="16"/>
                <w:szCs w:val="16"/>
                <w:color w:val="auto"/>
              </w:rPr>
              <w:t>Adam K. Bernstein</w:t>
            </w:r>
          </w:p>
        </w:tc>
        <w:tc>
          <w:tcPr>
            <w:tcW w:w="1840" w:type="dxa"/>
            <w:vAlign w:val="bottom"/>
            <w:gridSpan w:val="2"/>
          </w:tcPr>
          <w:p>
            <w:pPr>
              <w:ind w:left="460"/>
              <w:spacing w:after="0"/>
              <w:rPr>
                <w:sz w:val="20"/>
                <w:szCs w:val="20"/>
                <w:color w:val="auto"/>
              </w:rPr>
            </w:pPr>
            <w:r>
              <w:rPr>
                <w:rFonts w:ascii="Arial" w:cs="Arial" w:eastAsia="Arial" w:hAnsi="Arial"/>
                <w:sz w:val="16"/>
                <w:szCs w:val="16"/>
                <w:color w:val="auto"/>
              </w:rPr>
              <w:t>Record/Beneficial</w:t>
            </w:r>
          </w:p>
        </w:tc>
        <w:tc>
          <w:tcPr>
            <w:tcW w:w="760" w:type="dxa"/>
            <w:vAlign w:val="bottom"/>
          </w:tcPr>
          <w:p>
            <w:pPr>
              <w:jc w:val="right"/>
              <w:spacing w:after="0"/>
              <w:rPr>
                <w:sz w:val="20"/>
                <w:szCs w:val="20"/>
                <w:color w:val="auto"/>
              </w:rPr>
            </w:pPr>
            <w:r>
              <w:rPr>
                <w:rFonts w:ascii="Arial" w:cs="Arial" w:eastAsia="Arial" w:hAnsi="Arial"/>
                <w:sz w:val="16"/>
                <w:szCs w:val="16"/>
                <w:color w:val="auto"/>
              </w:rPr>
              <w:t>46,430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Marshall Brozost</w:t>
            </w:r>
          </w:p>
        </w:tc>
        <w:tc>
          <w:tcPr>
            <w:tcW w:w="1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7120" w:type="dxa"/>
            <w:vAlign w:val="bottom"/>
            <w:gridSpan w:val="2"/>
          </w:tcPr>
          <w:p>
            <w:pPr>
              <w:ind w:left="320"/>
              <w:spacing w:after="0"/>
              <w:rPr>
                <w:sz w:val="20"/>
                <w:szCs w:val="20"/>
                <w:color w:val="auto"/>
              </w:rPr>
            </w:pPr>
            <w:r>
              <w:rPr>
                <w:rFonts w:ascii="Arial" w:cs="Arial" w:eastAsia="Arial" w:hAnsi="Arial"/>
                <w:sz w:val="16"/>
                <w:szCs w:val="16"/>
                <w:color w:val="auto"/>
              </w:rPr>
              <w:t>Jeffrey Flug</w:t>
            </w:r>
          </w:p>
        </w:tc>
        <w:tc>
          <w:tcPr>
            <w:tcW w:w="1840" w:type="dxa"/>
            <w:vAlign w:val="bottom"/>
            <w:gridSpan w:val="2"/>
          </w:tcPr>
          <w:p>
            <w:pPr>
              <w:ind w:left="460"/>
              <w:spacing w:after="0"/>
              <w:rPr>
                <w:sz w:val="20"/>
                <w:szCs w:val="20"/>
                <w:color w:val="auto"/>
              </w:rPr>
            </w:pPr>
            <w:r>
              <w:rPr>
                <w:rFonts w:ascii="Arial" w:cs="Arial" w:eastAsia="Arial" w:hAnsi="Arial"/>
                <w:sz w:val="16"/>
                <w:szCs w:val="16"/>
                <w:color w:val="auto"/>
              </w:rPr>
              <w:t>Record/Beneficial</w:t>
            </w:r>
          </w:p>
        </w:tc>
        <w:tc>
          <w:tcPr>
            <w:tcW w:w="760" w:type="dxa"/>
            <w:vAlign w:val="bottom"/>
          </w:tcPr>
          <w:p>
            <w:pPr>
              <w:jc w:val="right"/>
              <w:spacing w:after="0"/>
              <w:rPr>
                <w:sz w:val="20"/>
                <w:szCs w:val="20"/>
                <w:color w:val="auto"/>
              </w:rPr>
            </w:pPr>
            <w:r>
              <w:rPr>
                <w:rFonts w:ascii="Arial" w:cs="Arial" w:eastAsia="Arial" w:hAnsi="Arial"/>
                <w:sz w:val="16"/>
                <w:szCs w:val="16"/>
                <w:color w:val="auto"/>
              </w:rPr>
              <w:t>320,560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71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Samuel L. Katz</w:t>
            </w:r>
          </w:p>
        </w:tc>
        <w:tc>
          <w:tcPr>
            <w:tcW w:w="1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189,291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7120" w:type="dxa"/>
            <w:vAlign w:val="bottom"/>
            <w:gridSpan w:val="2"/>
          </w:tcPr>
          <w:p>
            <w:pPr>
              <w:spacing w:after="0"/>
              <w:rPr>
                <w:sz w:val="20"/>
                <w:szCs w:val="20"/>
                <w:color w:val="auto"/>
              </w:rPr>
            </w:pPr>
            <w:r>
              <w:rPr>
                <w:rFonts w:ascii="Arial" w:cs="Arial" w:eastAsia="Arial" w:hAnsi="Arial"/>
                <w:sz w:val="16"/>
                <w:szCs w:val="16"/>
                <w:b w:val="1"/>
                <w:bCs w:val="1"/>
                <w:color w:val="auto"/>
              </w:rPr>
              <w:t>Interested director</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4"/>
                <w:szCs w:val="14"/>
                <w:color w:val="auto"/>
              </w:rPr>
              <w:t>Arthur H. Penn</w:t>
            </w:r>
            <w:r>
              <w:rPr>
                <w:rFonts w:ascii="Arial" w:cs="Arial" w:eastAsia="Arial" w:hAnsi="Arial"/>
                <w:sz w:val="23"/>
                <w:szCs w:val="23"/>
                <w:color w:val="auto"/>
                <w:vertAlign w:val="superscript"/>
              </w:rPr>
              <w:t>(2)</w:t>
            </w:r>
          </w:p>
        </w:tc>
        <w:tc>
          <w:tcPr>
            <w:tcW w:w="1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844,333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1"/>
        </w:trPr>
        <w:tc>
          <w:tcPr>
            <w:tcW w:w="712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Aviv Efrat</w:t>
            </w:r>
          </w:p>
        </w:tc>
        <w:tc>
          <w:tcPr>
            <w:tcW w:w="1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Record/Beneficial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106,102</w:t>
            </w:r>
          </w:p>
        </w:tc>
        <w:tc>
          <w:tcPr>
            <w:tcW w:w="2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120" w:type="dxa"/>
            <w:vAlign w:val="bottom"/>
            <w:gridSpan w:val="2"/>
          </w:tcPr>
          <w:p>
            <w:pPr>
              <w:ind w:left="320"/>
              <w:spacing w:after="0"/>
              <w:rPr>
                <w:sz w:val="20"/>
                <w:szCs w:val="20"/>
                <w:color w:val="auto"/>
              </w:rPr>
            </w:pPr>
            <w:r>
              <w:rPr>
                <w:rFonts w:ascii="Arial" w:cs="Arial" w:eastAsia="Arial" w:hAnsi="Arial"/>
                <w:sz w:val="16"/>
                <w:szCs w:val="16"/>
                <w:color w:val="auto"/>
              </w:rPr>
              <w:t>All directors and executive officer as a group (6 persons)</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1,528,394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88265</wp:posOffset>
            </wp:positionV>
            <wp:extent cx="6965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59" w:lineRule="exact"/>
        <w:rPr>
          <w:sz w:val="20"/>
          <w:szCs w:val="20"/>
          <w:color w:val="auto"/>
        </w:rPr>
      </w:pPr>
    </w:p>
    <w:p>
      <w:pPr>
        <w:ind w:left="560" w:right="400" w:hanging="426"/>
        <w:spacing w:after="0" w:line="255"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Investment Corporation, 590 Madison Avenue, 15th Floor, New York, New York 10022.</w:t>
      </w:r>
    </w:p>
    <w:p>
      <w:pPr>
        <w:spacing w:after="0" w:line="1" w:lineRule="exact"/>
        <w:rPr>
          <w:rFonts w:ascii="Arial" w:cs="Arial" w:eastAsia="Arial" w:hAnsi="Arial"/>
          <w:sz w:val="18"/>
          <w:szCs w:val="18"/>
          <w:color w:val="auto"/>
        </w:rPr>
      </w:pPr>
    </w:p>
    <w:p>
      <w:pPr>
        <w:ind w:left="560" w:hanging="426"/>
        <w:spacing w:after="0" w:line="248"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Penn is the Managing Member of the Investment Adviser and may therefore be deemed to own beneficially the 650,923 shares of PennantPark Investment Corporation held by the Investment Adviser.</w:t>
      </w:r>
    </w:p>
    <w:p>
      <w:pPr>
        <w:ind w:left="560" w:hanging="426"/>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7" w:lineRule="exact"/>
        <w:rPr>
          <w:sz w:val="20"/>
          <w:szCs w:val="20"/>
          <w:color w:val="auto"/>
        </w:rPr>
      </w:pPr>
    </w:p>
    <w:p>
      <w:pPr>
        <w:ind w:left="560" w:hanging="426"/>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3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and Senior Investment Professionals</w:t>
      </w:r>
    </w:p>
    <w:p>
      <w:pPr>
        <w:spacing w:after="0" w:line="114" w:lineRule="exact"/>
        <w:rPr>
          <w:sz w:val="20"/>
          <w:szCs w:val="20"/>
          <w:color w:val="auto"/>
        </w:rPr>
      </w:pPr>
    </w:p>
    <w:p>
      <w:pPr>
        <w:ind w:left="140" w:right="100" w:firstLine="437"/>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2018. Information as to the beneficial ownerships is based on information furnished to us by such persons. We are not part of a “family of investment companies,” as that term is defined in the 1940 Act.</w:t>
      </w:r>
    </w:p>
    <w:p>
      <w:pPr>
        <w:spacing w:after="0" w:line="19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the</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2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Common Stock of</w:t>
            </w:r>
          </w:p>
        </w:tc>
        <w:tc>
          <w:tcPr>
            <w:tcW w:w="0" w:type="dxa"/>
            <w:vAlign w:val="bottom"/>
          </w:tcPr>
          <w:p>
            <w:pPr>
              <w:spacing w:after="0"/>
              <w:rPr>
                <w:sz w:val="1"/>
                <w:szCs w:val="1"/>
                <w:color w:val="auto"/>
              </w:rPr>
            </w:pPr>
          </w:p>
        </w:tc>
      </w:tr>
      <w:tr>
        <w:trPr>
          <w:trHeight w:val="147"/>
        </w:trPr>
        <w:tc>
          <w:tcPr>
            <w:tcW w:w="8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Directors</w:t>
            </w:r>
          </w:p>
        </w:tc>
        <w:tc>
          <w:tcPr>
            <w:tcW w:w="2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PennantPark Investment</w:t>
            </w:r>
          </w:p>
        </w:tc>
        <w:tc>
          <w:tcPr>
            <w:tcW w:w="0" w:type="dxa"/>
            <w:vAlign w:val="bottom"/>
          </w:tcPr>
          <w:p>
            <w:pPr>
              <w:spacing w:after="0"/>
              <w:rPr>
                <w:sz w:val="1"/>
                <w:szCs w:val="1"/>
                <w:color w:val="auto"/>
              </w:rPr>
            </w:pPr>
          </w:p>
        </w:tc>
      </w:tr>
      <w:tr>
        <w:trPr>
          <w:trHeight w:val="170"/>
        </w:trPr>
        <w:tc>
          <w:tcPr>
            <w:tcW w:w="8840" w:type="dxa"/>
            <w:vAlign w:val="bottom"/>
            <w:gridSpan w:val="2"/>
            <w:vMerge w:val="continue"/>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Corporation</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shd w:val="clear" w:color="auto" w:fill="000000"/>
          </w:tcPr>
          <w:p>
            <w:pPr>
              <w:spacing w:after="0" w:line="20" w:lineRule="exact"/>
              <w:rPr>
                <w:sz w:val="1"/>
                <w:szCs w:val="1"/>
                <w:color w:val="auto"/>
              </w:rPr>
            </w:pPr>
          </w:p>
        </w:tc>
        <w:tc>
          <w:tcPr>
            <w:tcW w:w="828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8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Independent directors</w:t>
            </w: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840" w:type="dxa"/>
            <w:vAlign w:val="bottom"/>
            <w:gridSpan w:val="2"/>
          </w:tcPr>
          <w:p>
            <w:pPr>
              <w:ind w:left="320"/>
              <w:spacing w:after="0"/>
              <w:rPr>
                <w:sz w:val="20"/>
                <w:szCs w:val="20"/>
                <w:color w:val="auto"/>
              </w:rPr>
            </w:pPr>
            <w:r>
              <w:rPr>
                <w:rFonts w:ascii="Arial" w:cs="Arial" w:eastAsia="Arial" w:hAnsi="Arial"/>
                <w:sz w:val="16"/>
                <w:szCs w:val="16"/>
                <w:color w:val="auto"/>
              </w:rPr>
              <w:t>Adam K. Bernstein</w:t>
            </w:r>
          </w:p>
        </w:tc>
        <w:tc>
          <w:tcPr>
            <w:tcW w:w="2080" w:type="dxa"/>
            <w:vAlign w:val="bottom"/>
          </w:tcPr>
          <w:p>
            <w:pPr>
              <w:jc w:val="right"/>
              <w:spacing w:after="0"/>
              <w:rPr>
                <w:sz w:val="20"/>
                <w:szCs w:val="20"/>
                <w:color w:val="auto"/>
              </w:rPr>
            </w:pPr>
            <w:r>
              <w:rPr>
                <w:rFonts w:ascii="Arial" w:cs="Arial" w:eastAsia="Arial" w:hAnsi="Arial"/>
                <w:sz w:val="16"/>
                <w:szCs w:val="16"/>
                <w:color w:val="auto"/>
              </w:rPr>
              <w:t>$100,001 - $500,000</w:t>
            </w:r>
          </w:p>
        </w:tc>
        <w:tc>
          <w:tcPr>
            <w:tcW w:w="0" w:type="dxa"/>
            <w:vAlign w:val="bottom"/>
          </w:tcPr>
          <w:p>
            <w:pPr>
              <w:spacing w:after="0"/>
              <w:rPr>
                <w:sz w:val="1"/>
                <w:szCs w:val="1"/>
                <w:color w:val="auto"/>
              </w:rPr>
            </w:pPr>
          </w:p>
        </w:tc>
      </w:tr>
      <w:tr>
        <w:trPr>
          <w:trHeight w:val="210"/>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Marshall Brozost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$100,001 - $500,000</w:t>
            </w:r>
          </w:p>
        </w:tc>
        <w:tc>
          <w:tcPr>
            <w:tcW w:w="0" w:type="dxa"/>
            <w:vAlign w:val="bottom"/>
          </w:tcPr>
          <w:p>
            <w:pPr>
              <w:spacing w:after="0"/>
              <w:rPr>
                <w:sz w:val="1"/>
                <w:szCs w:val="1"/>
                <w:color w:val="auto"/>
              </w:rPr>
            </w:pPr>
          </w:p>
        </w:tc>
      </w:tr>
      <w:tr>
        <w:trPr>
          <w:trHeight w:val="201"/>
        </w:trPr>
        <w:tc>
          <w:tcPr>
            <w:tcW w:w="8840" w:type="dxa"/>
            <w:vAlign w:val="bottom"/>
            <w:gridSpan w:val="2"/>
          </w:tcPr>
          <w:p>
            <w:pPr>
              <w:ind w:left="320"/>
              <w:spacing w:after="0"/>
              <w:rPr>
                <w:sz w:val="20"/>
                <w:szCs w:val="20"/>
                <w:color w:val="auto"/>
              </w:rPr>
            </w:pPr>
            <w:r>
              <w:rPr>
                <w:rFonts w:ascii="Arial" w:cs="Arial" w:eastAsia="Arial" w:hAnsi="Arial"/>
                <w:sz w:val="16"/>
                <w:szCs w:val="16"/>
                <w:color w:val="auto"/>
              </w:rPr>
              <w:t>Jeffrey Flug</w:t>
            </w:r>
          </w:p>
        </w:tc>
        <w:tc>
          <w:tcPr>
            <w:tcW w:w="2080" w:type="dxa"/>
            <w:vAlign w:val="bottom"/>
          </w:tcPr>
          <w:p>
            <w:pPr>
              <w:jc w:val="right"/>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01"/>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Samuel L. Katz</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302"/>
        </w:trPr>
        <w:tc>
          <w:tcPr>
            <w:tcW w:w="8840" w:type="dxa"/>
            <w:vAlign w:val="bottom"/>
            <w:gridSpan w:val="2"/>
          </w:tcPr>
          <w:p>
            <w:pPr>
              <w:spacing w:after="0"/>
              <w:rPr>
                <w:sz w:val="20"/>
                <w:szCs w:val="20"/>
                <w:color w:val="auto"/>
              </w:rPr>
            </w:pPr>
            <w:r>
              <w:rPr>
                <w:rFonts w:ascii="Arial" w:cs="Arial" w:eastAsia="Arial" w:hAnsi="Arial"/>
                <w:sz w:val="16"/>
                <w:szCs w:val="16"/>
                <w:b w:val="1"/>
                <w:bCs w:val="1"/>
                <w:color w:val="auto"/>
              </w:rPr>
              <w:t>Interested director</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840" w:type="dxa"/>
            <w:vAlign w:val="bottom"/>
            <w:gridSpan w:val="2"/>
            <w:shd w:val="clear" w:color="auto" w:fill="CCEEFF"/>
          </w:tcPr>
          <w:p>
            <w:pPr>
              <w:ind w:left="320"/>
              <w:spacing w:after="0" w:line="207" w:lineRule="exact"/>
              <w:rPr>
                <w:sz w:val="20"/>
                <w:szCs w:val="20"/>
                <w:color w:val="auto"/>
              </w:rPr>
            </w:pPr>
            <w:r>
              <w:rPr>
                <w:rFonts w:ascii="Arial" w:cs="Arial" w:eastAsia="Arial" w:hAnsi="Arial"/>
                <w:sz w:val="14"/>
                <w:szCs w:val="14"/>
                <w:color w:val="auto"/>
              </w:rPr>
              <w:t>Arthur H. Penn</w:t>
            </w:r>
            <w:r>
              <w:rPr>
                <w:rFonts w:ascii="Arial" w:cs="Arial" w:eastAsia="Arial" w:hAnsi="Arial"/>
                <w:sz w:val="23"/>
                <w:szCs w:val="23"/>
                <w:color w:val="auto"/>
                <w:vertAlign w:val="superscript"/>
              </w:rPr>
              <w:t>(2)</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302"/>
        </w:trPr>
        <w:tc>
          <w:tcPr>
            <w:tcW w:w="8840" w:type="dxa"/>
            <w:vAlign w:val="bottom"/>
            <w:gridSpan w:val="2"/>
          </w:tcPr>
          <w:p>
            <w:pPr>
              <w:spacing w:after="0"/>
              <w:rPr>
                <w:sz w:val="20"/>
                <w:szCs w:val="20"/>
                <w:color w:val="auto"/>
              </w:rPr>
            </w:pPr>
            <w:r>
              <w:rPr>
                <w:rFonts w:ascii="Arial" w:cs="Arial" w:eastAsia="Arial" w:hAnsi="Arial"/>
                <w:sz w:val="16"/>
                <w:szCs w:val="16"/>
                <w:b w:val="1"/>
                <w:bCs w:val="1"/>
                <w:color w:val="auto"/>
              </w:rPr>
              <w:t>Senior Investment Professionals</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Jose A. Briones</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c>
          <w:tcPr>
            <w:tcW w:w="0" w:type="dxa"/>
            <w:vAlign w:val="bottom"/>
          </w:tcPr>
          <w:p>
            <w:pPr>
              <w:spacing w:after="0"/>
              <w:rPr>
                <w:sz w:val="1"/>
                <w:szCs w:val="1"/>
                <w:color w:val="auto"/>
              </w:rPr>
            </w:pPr>
          </w:p>
        </w:tc>
      </w:tr>
      <w:tr>
        <w:trPr>
          <w:trHeight w:val="201"/>
        </w:trPr>
        <w:tc>
          <w:tcPr>
            <w:tcW w:w="8840" w:type="dxa"/>
            <w:vAlign w:val="bottom"/>
            <w:gridSpan w:val="2"/>
          </w:tcPr>
          <w:p>
            <w:pPr>
              <w:ind w:left="320"/>
              <w:spacing w:after="0"/>
              <w:rPr>
                <w:sz w:val="20"/>
                <w:szCs w:val="20"/>
                <w:color w:val="auto"/>
              </w:rPr>
            </w:pPr>
            <w:r>
              <w:rPr>
                <w:rFonts w:ascii="Arial" w:cs="Arial" w:eastAsia="Arial" w:hAnsi="Arial"/>
                <w:sz w:val="16"/>
                <w:szCs w:val="16"/>
                <w:color w:val="auto"/>
              </w:rPr>
              <w:t>Salvatore Giannetti III</w:t>
            </w:r>
          </w:p>
        </w:tc>
        <w:tc>
          <w:tcPr>
            <w:tcW w:w="2080" w:type="dxa"/>
            <w:vAlign w:val="bottom"/>
          </w:tcPr>
          <w:p>
            <w:pPr>
              <w:jc w:val="right"/>
              <w:spacing w:after="0"/>
              <w:rPr>
                <w:sz w:val="20"/>
                <w:szCs w:val="20"/>
                <w:color w:val="auto"/>
              </w:rPr>
            </w:pPr>
            <w:r>
              <w:rPr>
                <w:rFonts w:ascii="Arial" w:cs="Arial" w:eastAsia="Arial" w:hAnsi="Arial"/>
                <w:sz w:val="16"/>
                <w:szCs w:val="16"/>
                <w:color w:val="auto"/>
              </w:rPr>
              <w:t>$500,001 - $1,000,000</w:t>
            </w:r>
          </w:p>
        </w:tc>
        <w:tc>
          <w:tcPr>
            <w:tcW w:w="0" w:type="dxa"/>
            <w:vAlign w:val="bottom"/>
          </w:tcPr>
          <w:p>
            <w:pPr>
              <w:spacing w:after="0"/>
              <w:rPr>
                <w:sz w:val="1"/>
                <w:szCs w:val="1"/>
                <w:color w:val="auto"/>
              </w:rPr>
            </w:pPr>
          </w:p>
        </w:tc>
      </w:tr>
      <w:tr>
        <w:trPr>
          <w:trHeight w:val="201"/>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 Whitridge Williams, Jr.</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85090</wp:posOffset>
            </wp:positionV>
            <wp:extent cx="6965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53" w:lineRule="exact"/>
        <w:rPr>
          <w:sz w:val="20"/>
          <w:szCs w:val="20"/>
          <w:color w:val="auto"/>
        </w:rPr>
      </w:pPr>
    </w:p>
    <w:p>
      <w:pPr>
        <w:ind w:left="560" w:right="660" w:hanging="426"/>
        <w:spacing w:after="0" w:line="255"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w:t>
      </w:r>
    </w:p>
    <w:p>
      <w:pPr>
        <w:spacing w:after="0" w:line="1" w:lineRule="exact"/>
        <w:rPr>
          <w:rFonts w:ascii="Arial" w:cs="Arial" w:eastAsia="Arial" w:hAnsi="Arial"/>
          <w:sz w:val="18"/>
          <w:szCs w:val="18"/>
          <w:color w:val="auto"/>
        </w:rPr>
      </w:pPr>
    </w:p>
    <w:p>
      <w:pPr>
        <w:ind w:left="560" w:hanging="426"/>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2240" w:h="15840" w:orient="portrait"/>
          <w:cols w:equalWidth="0" w:num="1">
            <w:col w:w="11060"/>
          </w:cols>
          <w:pgMar w:left="520" w:top="316" w:right="660"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Investment Management Agreement</w:t>
      </w:r>
    </w:p>
    <w:p>
      <w:pPr>
        <w:spacing w:after="0" w:line="118" w:lineRule="exact"/>
        <w:rPr>
          <w:sz w:val="20"/>
          <w:szCs w:val="20"/>
          <w:color w:val="auto"/>
        </w:rPr>
      </w:pPr>
    </w:p>
    <w:p>
      <w:pPr>
        <w:ind w:left="140" w:firstLine="437"/>
        <w:spacing w:after="0" w:line="252" w:lineRule="auto"/>
        <w:rPr>
          <w:sz w:val="20"/>
          <w:szCs w:val="20"/>
          <w:color w:val="auto"/>
        </w:rPr>
      </w:pPr>
      <w:r>
        <w:rPr>
          <w:rFonts w:ascii="Arial" w:cs="Arial" w:eastAsia="Arial" w:hAnsi="Arial"/>
          <w:sz w:val="18"/>
          <w:szCs w:val="18"/>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respective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98" w:lineRule="exact"/>
        <w:rPr>
          <w:sz w:val="20"/>
          <w:szCs w:val="20"/>
          <w:color w:val="auto"/>
        </w:rPr>
      </w:pPr>
    </w:p>
    <w:p>
      <w:pPr>
        <w:ind w:left="1000" w:right="340" w:hanging="331"/>
        <w:spacing w:after="0" w:line="271"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27" w:lineRule="exact"/>
        <w:rPr>
          <w:rFonts w:ascii="Arial" w:cs="Arial" w:eastAsia="Arial" w:hAnsi="Arial"/>
          <w:sz w:val="18"/>
          <w:szCs w:val="18"/>
          <w:color w:val="auto"/>
        </w:rPr>
      </w:pPr>
    </w:p>
    <w:p>
      <w:pPr>
        <w:ind w:left="1000" w:right="560" w:hanging="331"/>
        <w:spacing w:after="0" w:line="271"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7" w:lineRule="exact"/>
        <w:rPr>
          <w:rFonts w:ascii="Arial" w:cs="Arial" w:eastAsia="Arial" w:hAnsi="Arial"/>
          <w:sz w:val="18"/>
          <w:szCs w:val="18"/>
          <w:color w:val="auto"/>
        </w:rPr>
      </w:pPr>
    </w:p>
    <w:p>
      <w:pPr>
        <w:ind w:left="1000" w:hanging="331"/>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4" w:lineRule="exact"/>
        <w:rPr>
          <w:rFonts w:ascii="Arial" w:cs="Arial" w:eastAsia="Arial" w:hAnsi="Arial"/>
          <w:sz w:val="18"/>
          <w:szCs w:val="18"/>
          <w:color w:val="auto"/>
        </w:rPr>
      </w:pPr>
    </w:p>
    <w:p>
      <w:pPr>
        <w:ind w:left="1000" w:hanging="331"/>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221" w:lineRule="exact"/>
        <w:rPr>
          <w:sz w:val="20"/>
          <w:szCs w:val="20"/>
          <w:color w:val="auto"/>
        </w:rPr>
      </w:pPr>
    </w:p>
    <w:p>
      <w:pPr>
        <w:ind w:left="140" w:right="160" w:firstLine="437"/>
        <w:spacing w:after="0" w:line="254" w:lineRule="auto"/>
        <w:rPr>
          <w:sz w:val="20"/>
          <w:szCs w:val="20"/>
          <w:color w:val="auto"/>
        </w:rPr>
      </w:pPr>
      <w:r>
        <w:rPr>
          <w:rFonts w:ascii="Arial" w:cs="Arial" w:eastAsia="Arial" w:hAnsi="Arial"/>
          <w:sz w:val="18"/>
          <w:szCs w:val="18"/>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4" w:lineRule="exact"/>
        <w:rPr>
          <w:sz w:val="20"/>
          <w:szCs w:val="20"/>
          <w:color w:val="auto"/>
        </w:rPr>
      </w:pPr>
    </w:p>
    <w:p>
      <w:pPr>
        <w:ind w:left="140" w:firstLine="437"/>
        <w:spacing w:after="0" w:line="282" w:lineRule="auto"/>
        <w:rPr>
          <w:sz w:val="20"/>
          <w:szCs w:val="20"/>
          <w:color w:val="auto"/>
        </w:rPr>
      </w:pPr>
      <w:r>
        <w:rPr>
          <w:rFonts w:ascii="Arial" w:cs="Arial" w:eastAsia="Arial" w:hAnsi="Arial"/>
          <w:sz w:val="16"/>
          <w:szCs w:val="16"/>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3"/>
          <w:szCs w:val="13"/>
          <w:color w:val="auto"/>
        </w:rPr>
        <w:t>th</w:t>
      </w:r>
      <w:r>
        <w:rPr>
          <w:rFonts w:ascii="Arial" w:cs="Arial" w:eastAsia="Arial" w:hAnsi="Arial"/>
          <w:sz w:val="16"/>
          <w:szCs w:val="16"/>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months ended December 31, 2018 and 2017, the Investment Adviser earned base management fees of $4.4 million and $4.8 million (after a waiver of $0.9 million), respectively, from us. For the years ended September 30, 2018, 2017 and 2016, the Investment Adviser earned a base management fee of $16.5 million (after a waiver of $0.9 million), $20.3 million (after a waiver of $3.9 million) and $20.9 million (after a waiver of $4.0 million), respectively, from us.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2240" w:h="15840" w:orient="portrait"/>
          <w:cols w:equalWidth="0" w:num="1">
            <w:col w:w="11000"/>
          </w:cols>
          <w:pgMar w:left="520" w:top="316" w:right="720"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December 31, 20XX = $160 million</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March 31, 20XX = $200 million</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March 31, 20XX = $180 million</w:t>
      </w:r>
    </w:p>
    <w:p>
      <w:pPr>
        <w:spacing w:after="0" w:line="208" w:lineRule="exact"/>
        <w:rPr>
          <w:sz w:val="20"/>
          <w:szCs w:val="20"/>
          <w:color w:val="auto"/>
        </w:rPr>
      </w:pPr>
    </w:p>
    <w:p>
      <w:pPr>
        <w:ind w:left="140" w:right="340" w:firstLine="437"/>
        <w:spacing w:after="0" w:line="259" w:lineRule="auto"/>
        <w:rPr>
          <w:sz w:val="20"/>
          <w:szCs w:val="20"/>
          <w:color w:val="auto"/>
        </w:rPr>
      </w:pPr>
      <w:r>
        <w:rPr>
          <w:rFonts w:ascii="Arial" w:cs="Arial" w:eastAsia="Arial" w:hAnsi="Arial"/>
          <w:sz w:val="18"/>
          <w:szCs w:val="18"/>
          <w:color w:val="auto"/>
        </w:rPr>
        <w:t>Average value of adjusted gross assets as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114" w:lineRule="exact"/>
        <w:rPr>
          <w:sz w:val="20"/>
          <w:szCs w:val="20"/>
          <w:color w:val="auto"/>
        </w:rPr>
      </w:pPr>
    </w:p>
    <w:p>
      <w:pPr>
        <w:ind w:left="140" w:right="20" w:firstLine="437"/>
        <w:spacing w:after="0" w:line="280"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w:t>
      </w:r>
    </w:p>
    <w:p>
      <w:pPr>
        <w:spacing w:after="0" w:line="2" w:lineRule="exact"/>
        <w:rPr>
          <w:sz w:val="20"/>
          <w:szCs w:val="20"/>
          <w:color w:val="auto"/>
        </w:rPr>
      </w:pPr>
    </w:p>
    <w:p>
      <w:pPr>
        <w:ind w:left="140"/>
        <w:spacing w:after="0" w:line="267" w:lineRule="auto"/>
        <w:rPr>
          <w:sz w:val="20"/>
          <w:szCs w:val="20"/>
          <w:color w:val="auto"/>
        </w:rPr>
      </w:pPr>
      <w:r>
        <w:rPr>
          <w:rFonts w:ascii="Arial" w:cs="Arial" w:eastAsia="Arial" w:hAnsi="Arial"/>
          <w:sz w:val="17"/>
          <w:szCs w:val="17"/>
          <w:color w:val="auto"/>
        </w:rPr>
        <w:t>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three months ended December 31, 2018 and 2017, the Investment Adviser earned $2.7 million and $2.7 million (after a waiver of $0.5 million), respectively, in incentive fees on net investment income from us. For the years ended September 30, 2018, 2017 and 2016, the Investment Adviser earned $11.0 million (after a waiver of $0.5 million), $9.3 million (after a waiver of $1.8 million) and $13.5 million (after a waiver of $2.5 million), respectively, in incentive fees on net investment income from us.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96</w:t>
      </w:r>
    </w:p>
    <w:p>
      <w:pPr>
        <w:sectPr>
          <w:pgSz w:w="12240" w:h="15840" w:orient="portrait"/>
          <w:cols w:equalWidth="0" w:num="1">
            <w:col w:w="11020"/>
          </w:cols>
          <w:pgMar w:left="520" w:top="316" w:right="700"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3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148590</wp:posOffset>
            </wp:positionV>
            <wp:extent cx="2387600" cy="3651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87600" cy="36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3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3" w:lineRule="exact"/>
        <w:rPr>
          <w:sz w:val="20"/>
          <w:szCs w:val="20"/>
          <w:color w:val="auto"/>
        </w:rPr>
      </w:pPr>
    </w:p>
    <w:p>
      <w:pPr>
        <w:ind w:left="140" w:right="20" w:firstLine="437"/>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2018 and 2017 and years ended September 30, 2018, 2017 and 2016, the Investment Adviser did not accrue an incentive fee on capital gains as calculated under the Investment Management Agreement (as described above).</w:t>
      </w:r>
    </w:p>
    <w:p>
      <w:pPr>
        <w:spacing w:after="0" w:line="165" w:lineRule="exact"/>
        <w:rPr>
          <w:sz w:val="20"/>
          <w:szCs w:val="20"/>
          <w:color w:val="auto"/>
        </w:rPr>
      </w:pPr>
    </w:p>
    <w:p>
      <w:pPr>
        <w:ind w:left="140" w:firstLine="437"/>
        <w:spacing w:after="0" w:line="285"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months ended December 31, 2018 and 2017 and years ended September 30, 2018, 2017 and 2016, the Investment Adviser did not accrue an incentive fee on capital gains as calculated under GAAP.</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Alternative 1:</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0.375%</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0.675%</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 does not exceed the hurdle; therefore, there is no incentive fee.</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2240" w:h="15840" w:orient="portrait"/>
          <w:cols w:equalWidth="0" w:num="1">
            <w:col w:w="11040"/>
          </w:cols>
          <w:pgMar w:left="520" w:top="316" w:right="680"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Alternative 2:</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0.375%</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2.125%</w:t>
      </w:r>
    </w:p>
    <w:p>
      <w:pPr>
        <w:spacing w:after="0" w:line="128" w:lineRule="exact"/>
        <w:rPr>
          <w:sz w:val="20"/>
          <w:szCs w:val="20"/>
          <w:color w:val="auto"/>
        </w:rPr>
      </w:pPr>
    </w:p>
    <w:p>
      <w:pPr>
        <w:ind w:left="1020"/>
        <w:spacing w:after="0"/>
        <w:tabs>
          <w:tab w:leader="none" w:pos="310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17.5% x Pre-Incentive Fee Net Investment Income, subject to “catch-up”</w:t>
      </w:r>
    </w:p>
    <w:p>
      <w:pPr>
        <w:spacing w:after="0" w:line="61" w:lineRule="exact"/>
        <w:rPr>
          <w:sz w:val="20"/>
          <w:szCs w:val="20"/>
          <w:color w:val="auto"/>
        </w:rPr>
      </w:pPr>
    </w:p>
    <w:p>
      <w:pPr>
        <w:ind w:left="3260" w:hanging="149"/>
        <w:spacing w:after="0"/>
        <w:tabs>
          <w:tab w:leader="none" w:pos="3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2.125% - 1.75%</w:t>
      </w:r>
    </w:p>
    <w:p>
      <w:pPr>
        <w:spacing w:after="0" w:line="60" w:lineRule="exact"/>
        <w:rPr>
          <w:rFonts w:ascii="Arial" w:cs="Arial" w:eastAsia="Arial" w:hAnsi="Arial"/>
          <w:sz w:val="18"/>
          <w:szCs w:val="18"/>
          <w:color w:val="auto"/>
        </w:rPr>
      </w:pPr>
    </w:p>
    <w:p>
      <w:pPr>
        <w:ind w:left="3260" w:hanging="149"/>
        <w:spacing w:after="0"/>
        <w:tabs>
          <w:tab w:leader="none" w:pos="3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0.375%</w:t>
      </w:r>
    </w:p>
    <w:p>
      <w:pPr>
        <w:spacing w:after="0" w:line="60" w:lineRule="exact"/>
        <w:rPr>
          <w:rFonts w:ascii="Arial" w:cs="Arial" w:eastAsia="Arial" w:hAnsi="Arial"/>
          <w:sz w:val="18"/>
          <w:szCs w:val="18"/>
          <w:color w:val="auto"/>
        </w:rPr>
      </w:pPr>
    </w:p>
    <w:p>
      <w:pPr>
        <w:ind w:left="3260" w:hanging="149"/>
        <w:spacing w:after="0"/>
        <w:tabs>
          <w:tab w:leader="none" w:pos="3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x 0.375%</w:t>
      </w:r>
    </w:p>
    <w:p>
      <w:pPr>
        <w:spacing w:after="0" w:line="60" w:lineRule="exact"/>
        <w:rPr>
          <w:rFonts w:ascii="Arial" w:cs="Arial" w:eastAsia="Arial" w:hAnsi="Arial"/>
          <w:sz w:val="18"/>
          <w:szCs w:val="18"/>
          <w:color w:val="auto"/>
        </w:rPr>
      </w:pPr>
    </w:p>
    <w:p>
      <w:pPr>
        <w:ind w:left="3260" w:hanging="149"/>
        <w:spacing w:after="0"/>
        <w:tabs>
          <w:tab w:leader="none" w:pos="3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0.375%</w:t>
      </w:r>
    </w:p>
    <w:p>
      <w:pPr>
        <w:spacing w:after="0" w:line="32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Alternative 3:</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3.00%</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0.375%</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2.425%</w:t>
      </w:r>
    </w:p>
    <w:p>
      <w:pPr>
        <w:sectPr>
          <w:pgSz w:w="12240" w:h="15840" w:orient="portrait"/>
          <w:cols w:equalWidth="0" w:num="1">
            <w:col w:w="10440"/>
          </w:cols>
          <w:pgMar w:left="520" w:top="316" w:right="1280" w:bottom="1440" w:gutter="0" w:footer="0" w:header="0"/>
        </w:sectPr>
      </w:pPr>
    </w:p>
    <w:p>
      <w:pPr>
        <w:spacing w:after="0" w:line="128" w:lineRule="exact"/>
        <w:rPr>
          <w:sz w:val="20"/>
          <w:szCs w:val="20"/>
          <w:color w:val="auto"/>
        </w:rPr>
      </w:pPr>
    </w:p>
    <w:p>
      <w:pPr>
        <w:jc w:val="center"/>
        <w:ind w:left="780"/>
        <w:spacing w:after="0"/>
        <w:rPr>
          <w:sz w:val="20"/>
          <w:szCs w:val="20"/>
          <w:color w:val="auto"/>
        </w:rPr>
      </w:pPr>
      <w:r>
        <w:rPr>
          <w:rFonts w:ascii="Arial" w:cs="Arial" w:eastAsia="Arial" w:hAnsi="Arial"/>
          <w:sz w:val="16"/>
          <w:szCs w:val="16"/>
          <w:color w:val="auto"/>
        </w:rPr>
        <w:t>Incentive fee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 17.5% x Pre-Incentive Fee Net Investment Income, subject to “catch-up”</w:t>
      </w:r>
      <w:r>
        <w:rPr>
          <w:rFonts w:ascii="Arial" w:cs="Arial" w:eastAsia="Arial" w:hAnsi="Arial"/>
          <w:sz w:val="13"/>
          <w:szCs w:val="13"/>
          <w:color w:val="auto"/>
        </w:rPr>
        <w:t>(3)</w:t>
      </w:r>
    </w:p>
    <w:p>
      <w:pPr>
        <w:spacing w:after="0" w:line="84" w:lineRule="exact"/>
        <w:rPr>
          <w:sz w:val="20"/>
          <w:szCs w:val="20"/>
          <w:color w:val="auto"/>
        </w:rPr>
      </w:pPr>
    </w:p>
    <w:p>
      <w:pPr>
        <w:sectPr>
          <w:pgSz w:w="12240" w:h="15840" w:orient="portrait"/>
          <w:cols w:equalWidth="0" w:num="2">
            <w:col w:w="1980" w:space="720"/>
            <w:col w:w="7740"/>
          </w:cols>
          <w:pgMar w:left="520" w:top="316" w:right="1280" w:bottom="1440" w:gutter="0" w:footer="0" w:header="0"/>
          <w:type w:val="continuous"/>
        </w:sectPr>
      </w:pPr>
    </w:p>
    <w:p>
      <w:pPr>
        <w:jc w:val="center"/>
        <w:ind w:left="780"/>
        <w:spacing w:after="0"/>
        <w:rPr>
          <w:sz w:val="20"/>
          <w:szCs w:val="20"/>
          <w:color w:val="auto"/>
        </w:rPr>
      </w:pPr>
      <w:r>
        <w:rPr>
          <w:rFonts w:ascii="Arial" w:cs="Arial" w:eastAsia="Arial" w:hAnsi="Arial"/>
          <w:sz w:val="16"/>
          <w:szCs w:val="16"/>
          <w:color w:val="auto"/>
        </w:rPr>
        <w:t>Incentive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100% x “catch-up” + (17.5% x (Pre-Incentive Fee Net Investment Income - 2.1212%))</w:t>
      </w:r>
    </w:p>
    <w:p>
      <w:pPr>
        <w:spacing w:after="0" w:line="84" w:lineRule="exact"/>
        <w:rPr>
          <w:sz w:val="20"/>
          <w:szCs w:val="20"/>
          <w:color w:val="auto"/>
        </w:rPr>
      </w:pPr>
    </w:p>
    <w:p>
      <w:pPr>
        <w:sectPr>
          <w:pgSz w:w="12240" w:h="15840" w:orient="portrait"/>
          <w:cols w:equalWidth="0" w:num="2">
            <w:col w:w="1980" w:space="720"/>
            <w:col w:w="7740"/>
          </w:cols>
          <w:pgMar w:left="520" w:top="316" w:right="1280"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2.1212% - 1.75%</w:t>
      </w:r>
    </w:p>
    <w:p>
      <w:pPr>
        <w:spacing w:after="0" w:line="84" w:lineRule="exact"/>
        <w:rPr>
          <w:sz w:val="20"/>
          <w:szCs w:val="20"/>
          <w:color w:val="auto"/>
        </w:rPr>
      </w:pPr>
    </w:p>
    <w:p>
      <w:pPr>
        <w:sectPr>
          <w:pgSz w:w="12240" w:h="15840" w:orient="portrait"/>
          <w:cols w:equalWidth="0" w:num="2">
            <w:col w:w="1980" w:space="720"/>
            <w:col w:w="7740"/>
          </w:cols>
          <w:pgMar w:left="520" w:top="316" w:right="1280" w:bottom="1440" w:gutter="0" w:footer="0" w:header="0"/>
          <w:type w:val="continuous"/>
        </w:sectPr>
      </w:pPr>
    </w:p>
    <w:p>
      <w:pPr>
        <w:ind w:left="2840" w:hanging="137"/>
        <w:spacing w:after="0"/>
        <w:tabs>
          <w:tab w:leader="none" w:pos="28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0.3712%</w:t>
      </w:r>
    </w:p>
    <w:p>
      <w:pPr>
        <w:spacing w:after="0" w:line="60" w:lineRule="exact"/>
        <w:rPr>
          <w:rFonts w:ascii="Arial" w:cs="Arial" w:eastAsia="Arial" w:hAnsi="Arial"/>
          <w:sz w:val="18"/>
          <w:szCs w:val="18"/>
          <w:color w:val="auto"/>
        </w:rPr>
      </w:pPr>
    </w:p>
    <w:p>
      <w:pPr>
        <w:ind w:left="2840" w:hanging="137"/>
        <w:spacing w:after="0"/>
        <w:tabs>
          <w:tab w:leader="none" w:pos="28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(100% x 0.3712%) + (17.5% x (2.425% - 2.1212%))</w:t>
      </w:r>
    </w:p>
    <w:p>
      <w:pPr>
        <w:spacing w:after="0" w:line="60" w:lineRule="exact"/>
        <w:rPr>
          <w:rFonts w:ascii="Arial" w:cs="Arial" w:eastAsia="Arial" w:hAnsi="Arial"/>
          <w:sz w:val="18"/>
          <w:szCs w:val="18"/>
          <w:color w:val="auto"/>
        </w:rPr>
      </w:pPr>
    </w:p>
    <w:p>
      <w:pPr>
        <w:ind w:left="2840" w:hanging="137"/>
        <w:spacing w:after="0"/>
        <w:tabs>
          <w:tab w:leader="none" w:pos="28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0.3712% + (17.5% x 0.3038%)</w:t>
      </w:r>
    </w:p>
    <w:p>
      <w:pPr>
        <w:spacing w:after="0" w:line="60" w:lineRule="exact"/>
        <w:rPr>
          <w:rFonts w:ascii="Arial" w:cs="Arial" w:eastAsia="Arial" w:hAnsi="Arial"/>
          <w:sz w:val="18"/>
          <w:szCs w:val="18"/>
          <w:color w:val="auto"/>
        </w:rPr>
      </w:pPr>
    </w:p>
    <w:p>
      <w:pPr>
        <w:ind w:left="2840" w:hanging="137"/>
        <w:spacing w:after="0"/>
        <w:tabs>
          <w:tab w:leader="none" w:pos="28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0.3712% + 0.053165%</w:t>
      </w:r>
    </w:p>
    <w:p>
      <w:pPr>
        <w:spacing w:after="0" w:line="60" w:lineRule="exact"/>
        <w:rPr>
          <w:rFonts w:ascii="Arial" w:cs="Arial" w:eastAsia="Arial" w:hAnsi="Arial"/>
          <w:sz w:val="18"/>
          <w:szCs w:val="18"/>
          <w:color w:val="auto"/>
        </w:rPr>
      </w:pPr>
    </w:p>
    <w:p>
      <w:pPr>
        <w:ind w:left="2840" w:hanging="137"/>
        <w:spacing w:after="0"/>
        <w:tabs>
          <w:tab w:leader="none" w:pos="28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0.424365%</w:t>
      </w:r>
    </w:p>
    <w:p>
      <w:pPr>
        <w:spacing w:after="0" w:line="194"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-155575</wp:posOffset>
            </wp:positionV>
            <wp:extent cx="6965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ind w:left="560" w:hanging="426"/>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 w:lineRule="exact"/>
        <w:rPr>
          <w:rFonts w:ascii="Arial" w:cs="Arial" w:eastAsia="Arial" w:hAnsi="Arial"/>
          <w:sz w:val="18"/>
          <w:szCs w:val="18"/>
          <w:color w:val="auto"/>
        </w:rPr>
      </w:pPr>
    </w:p>
    <w:p>
      <w:pPr>
        <w:ind w:left="560" w:hanging="426"/>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1.5% annualized base management fee.</w:t>
      </w:r>
    </w:p>
    <w:p>
      <w:pPr>
        <w:spacing w:after="0" w:line="7" w:lineRule="exact"/>
        <w:rPr>
          <w:rFonts w:ascii="Arial" w:cs="Arial" w:eastAsia="Arial" w:hAnsi="Arial"/>
          <w:sz w:val="18"/>
          <w:szCs w:val="18"/>
          <w:color w:val="auto"/>
        </w:rPr>
      </w:pPr>
    </w:p>
    <w:p>
      <w:pPr>
        <w:ind w:left="560" w:hanging="426"/>
        <w:spacing w:after="0" w:line="318" w:lineRule="auto"/>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“catch-up” provision is intended to provide the Investment Adviser with an incentive fee of 17.5% on all of our Pre-Incentive Fee Net Investment Income as if a hurdle rate did not apply when our net investment income exceeds 2.1212% in any calendar quarter.</w:t>
      </w:r>
    </w:p>
    <w:p>
      <w:pPr>
        <w:spacing w:after="0" w:line="7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98</w:t>
      </w:r>
    </w:p>
    <w:p>
      <w:pPr>
        <w:sectPr>
          <w:pgSz w:w="12240" w:h="15840" w:orient="portrait"/>
          <w:cols w:equalWidth="0" w:num="1">
            <w:col w:w="10440"/>
          </w:cols>
          <w:pgMar w:left="520" w:top="316" w:right="1280"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 no net realized capital gains or losses</w:t>
      </w:r>
    </w:p>
    <w:p>
      <w:pPr>
        <w:spacing w:after="0" w:line="114" w:lineRule="exact"/>
        <w:rPr>
          <w:sz w:val="20"/>
          <w:szCs w:val="20"/>
          <w:color w:val="auto"/>
        </w:rPr>
      </w:pPr>
    </w:p>
    <w:p>
      <w:pPr>
        <w:ind w:left="580" w:right="660"/>
        <w:spacing w:after="0" w:line="287" w:lineRule="auto"/>
        <w:rPr>
          <w:sz w:val="20"/>
          <w:szCs w:val="20"/>
          <w:color w:val="auto"/>
        </w:rPr>
      </w:pPr>
      <w:r>
        <w:rPr>
          <w:rFonts w:ascii="Arial" w:cs="Arial" w:eastAsia="Arial" w:hAnsi="Arial"/>
          <w:sz w:val="17"/>
          <w:szCs w:val="17"/>
          <w:color w:val="auto"/>
        </w:rPr>
        <w:t>Year 2 = 6% realized capital gains and 1% realized capital losses and unrealized capital depreciation, capital gain incentive fee = 17.5% x (realized capital gains for year computed net of all realized capital losses and unrealized capital depreciation at year end)</w:t>
      </w:r>
    </w:p>
    <w:p>
      <w:pPr>
        <w:sectPr>
          <w:pgSz w:w="12240" w:h="15840" w:orient="portrait"/>
          <w:cols w:equalWidth="0" w:num="1">
            <w:col w:w="11060"/>
          </w:cols>
          <w:pgMar w:left="520" w:top="316" w:right="660" w:bottom="1440" w:gutter="0" w:footer="0" w:header="0"/>
        </w:sectPr>
      </w:pPr>
    </w:p>
    <w:p>
      <w:pPr>
        <w:spacing w:after="0" w:line="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Year 1 incentive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17.5% x (0)</w:t>
      </w:r>
    </w:p>
    <w:p>
      <w:pPr>
        <w:spacing w:after="0" w:line="84" w:lineRule="exact"/>
        <w:rPr>
          <w:sz w:val="20"/>
          <w:szCs w:val="20"/>
          <w:color w:val="auto"/>
        </w:rPr>
      </w:pPr>
    </w:p>
    <w:p>
      <w:pPr>
        <w:sectPr>
          <w:pgSz w:w="12240" w:h="15840" w:orient="portrait"/>
          <w:cols w:equalWidth="0" w:num="2">
            <w:col w:w="2400" w:space="720"/>
            <w:col w:w="7940"/>
          </w:cols>
          <w:pgMar w:left="520" w:top="316" w:right="660" w:bottom="1440" w:gutter="0" w:footer="0" w:header="0"/>
          <w:type w:val="continuous"/>
        </w:sectPr>
      </w:pPr>
    </w:p>
    <w:p>
      <w:pPr>
        <w:ind w:left="3120"/>
        <w:spacing w:after="0"/>
        <w:rPr>
          <w:sz w:val="20"/>
          <w:szCs w:val="20"/>
          <w:color w:val="auto"/>
        </w:rPr>
      </w:pPr>
      <w:r>
        <w:rPr>
          <w:rFonts w:ascii="Arial" w:cs="Arial" w:eastAsia="Arial" w:hAnsi="Arial"/>
          <w:sz w:val="18"/>
          <w:szCs w:val="18"/>
          <w:color w:val="auto"/>
        </w:rPr>
        <w:t>= 0</w:t>
      </w:r>
    </w:p>
    <w:p>
      <w:pPr>
        <w:spacing w:after="0" w:line="61"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 no incentive fee</w:t>
      </w:r>
    </w:p>
    <w:p>
      <w:pPr>
        <w:sectPr>
          <w:pgSz w:w="12240" w:h="15840" w:orient="portrait"/>
          <w:cols w:equalWidth="0" w:num="1">
            <w:col w:w="11060"/>
          </w:cols>
          <w:pgMar w:left="520" w:top="316" w:right="660" w:bottom="1440" w:gutter="0" w:footer="0" w:header="0"/>
          <w:type w:val="continuous"/>
        </w:sectPr>
      </w:pPr>
    </w:p>
    <w:p>
      <w:pPr>
        <w:spacing w:after="0" w:line="8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Year 2 incentive fee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 17.5% x (6% - 1%)</w:t>
      </w:r>
    </w:p>
    <w:p>
      <w:pPr>
        <w:spacing w:after="0" w:line="84" w:lineRule="exact"/>
        <w:rPr>
          <w:sz w:val="20"/>
          <w:szCs w:val="20"/>
          <w:color w:val="auto"/>
        </w:rPr>
      </w:pPr>
    </w:p>
    <w:p>
      <w:pPr>
        <w:sectPr>
          <w:pgSz w:w="12240" w:h="15840" w:orient="portrait"/>
          <w:cols w:equalWidth="0" w:num="2">
            <w:col w:w="2400" w:space="720"/>
            <w:col w:w="7940"/>
          </w:cols>
          <w:pgMar w:left="520" w:top="316" w:right="660" w:bottom="1440" w:gutter="0" w:footer="0" w:header="0"/>
          <w:type w:val="continuous"/>
        </w:sectPr>
      </w:pPr>
    </w:p>
    <w:p>
      <w:pPr>
        <w:ind w:left="3120"/>
        <w:spacing w:after="0"/>
        <w:rPr>
          <w:sz w:val="20"/>
          <w:szCs w:val="20"/>
          <w:color w:val="auto"/>
        </w:rPr>
      </w:pPr>
      <w:r>
        <w:rPr>
          <w:rFonts w:ascii="Arial" w:cs="Arial" w:eastAsia="Arial" w:hAnsi="Arial"/>
          <w:sz w:val="16"/>
          <w:szCs w:val="16"/>
          <w:color w:val="auto"/>
        </w:rPr>
        <w:t>= 17.5% x 5%</w:t>
      </w:r>
    </w:p>
    <w:p>
      <w:pPr>
        <w:spacing w:after="0" w:line="84"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 0.875%</w:t>
      </w:r>
    </w:p>
    <w:p>
      <w:pPr>
        <w:sectPr>
          <w:pgSz w:w="12240" w:h="15840" w:orient="portrait"/>
          <w:cols w:equalWidth="0" w:num="1">
            <w:col w:w="11060"/>
          </w:cols>
          <w:pgMar w:left="520" w:top="316" w:right="660" w:bottom="1440" w:gutter="0" w:footer="0" w:header="0"/>
          <w:type w:val="continuous"/>
        </w:sectPr>
      </w:pPr>
    </w:p>
    <w:p>
      <w:pPr>
        <w:spacing w:after="0" w:line="3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principal executive office of PennantPark Investment Advisers is located at 590 Madison Avenue, 15th Floor, New York, NY 10022.</w:t>
      </w:r>
    </w:p>
    <w:p>
      <w:pPr>
        <w:spacing w:after="0" w:line="31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61" w:lineRule="exact"/>
        <w:rPr>
          <w:sz w:val="20"/>
          <w:szCs w:val="20"/>
          <w:color w:val="auto"/>
        </w:rPr>
      </w:pPr>
    </w:p>
    <w:p>
      <w:pPr>
        <w:ind w:left="140" w:right="40" w:firstLine="437"/>
        <w:spacing w:after="0" w:line="284"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2019. Unless terminated earlier as described below, the Investment Management Agreement will continue in effect for a period of one year through February 2020.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71" w:lineRule="exact"/>
        <w:rPr>
          <w:sz w:val="20"/>
          <w:szCs w:val="20"/>
          <w:color w:val="auto"/>
        </w:rPr>
      </w:pPr>
    </w:p>
    <w:p>
      <w:pPr>
        <w:ind w:left="140" w:firstLine="437"/>
        <w:spacing w:after="0" w:line="254"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 —We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Administration Agreement</w:t>
      </w:r>
    </w:p>
    <w:p>
      <w:pPr>
        <w:spacing w:after="0" w:line="65" w:lineRule="exact"/>
        <w:rPr>
          <w:sz w:val="20"/>
          <w:szCs w:val="20"/>
          <w:color w:val="auto"/>
        </w:rPr>
      </w:pPr>
    </w:p>
    <w:p>
      <w:pPr>
        <w:ind w:left="140" w:right="260" w:firstLine="437"/>
        <w:spacing w:after="0" w:line="271" w:lineRule="auto"/>
        <w:rPr>
          <w:sz w:val="20"/>
          <w:szCs w:val="20"/>
          <w:color w:val="auto"/>
        </w:rPr>
      </w:pPr>
      <w:r>
        <w:rPr>
          <w:rFonts w:ascii="Arial" w:cs="Arial" w:eastAsia="Arial" w:hAnsi="Arial"/>
          <w:sz w:val="18"/>
          <w:szCs w:val="18"/>
          <w:color w:val="auto"/>
        </w:rPr>
        <w:t>We have entered into an agreement, or the Administration Agreement, with the Administrator, under which the Administrator furnishes us with office facilities, equipment and clerical, bookkeeping and record keeping</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2240" w:h="15840" w:orient="portrait"/>
          <w:cols w:equalWidth="0" w:num="1">
            <w:col w:w="11060"/>
          </w:cols>
          <w:pgMar w:left="520" w:top="316" w:right="660"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line="283" w:lineRule="auto"/>
        <w:rPr>
          <w:sz w:val="20"/>
          <w:szCs w:val="20"/>
          <w:color w:val="auto"/>
        </w:rPr>
      </w:pPr>
      <w:r>
        <w:rPr>
          <w:rFonts w:ascii="Arial" w:cs="Arial" w:eastAsia="Arial" w:hAnsi="Arial"/>
          <w:sz w:val="16"/>
          <w:szCs w:val="16"/>
          <w:color w:val="auto"/>
        </w:rPr>
        <w:t>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our SBIC Funds under their administration agreements with us.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and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three months ended December 31, 2018 and 2017, we reimbursed the Investment Adviser approximately $0.3 million and $0.3 million, respectively, including expenses the Investment Adviser incurred on behalf of the Administrator, for the services described above. For the years ended September 30, 2018, 2017 and 2016, we reimbursed the Investment Adviser approximately $2.0 million, $2.5 million and $3.7 million, respectively, including expenses the Investment Adviser incurred on behalf of the Administrator for the services described above.</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61" w:lineRule="exact"/>
        <w:rPr>
          <w:sz w:val="20"/>
          <w:szCs w:val="20"/>
          <w:color w:val="auto"/>
        </w:rPr>
      </w:pPr>
    </w:p>
    <w:p>
      <w:pPr>
        <w:ind w:left="140" w:right="20" w:firstLine="437"/>
        <w:spacing w:after="0" w:line="270" w:lineRule="auto"/>
        <w:rPr>
          <w:sz w:val="20"/>
          <w:szCs w:val="20"/>
          <w:color w:val="auto"/>
        </w:rPr>
      </w:pPr>
      <w:r>
        <w:rPr>
          <w:rFonts w:ascii="Arial" w:cs="Arial" w:eastAsia="Arial" w:hAnsi="Arial"/>
          <w:sz w:val="17"/>
          <w:szCs w:val="17"/>
          <w:color w:val="auto"/>
        </w:rPr>
        <w:t>The Administration Agreement was reapproved by our board of directors, including a majority of our directors who are not interested persons of PennantPark Investment, in February 2019. Unless terminated earlier as described below, our Administration Agreement will continue in effect for a period of one year through February 2020.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4" w:lineRule="exact"/>
        <w:rPr>
          <w:sz w:val="20"/>
          <w:szCs w:val="20"/>
          <w:color w:val="auto"/>
        </w:rPr>
      </w:pPr>
    </w:p>
    <w:p>
      <w:pPr>
        <w:ind w:left="140" w:firstLine="437"/>
        <w:spacing w:after="0" w:line="252" w:lineRule="auto"/>
        <w:rPr>
          <w:sz w:val="20"/>
          <w:szCs w:val="20"/>
          <w:color w:val="auto"/>
        </w:rPr>
      </w:pPr>
      <w:r>
        <w:rPr>
          <w:rFonts w:ascii="Arial" w:cs="Arial" w:eastAsia="Arial" w:hAnsi="Arial"/>
          <w:sz w:val="18"/>
          <w:szCs w:val="18"/>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License Agreement</w:t>
      </w:r>
    </w:p>
    <w:p>
      <w:pPr>
        <w:spacing w:after="0" w:line="118" w:lineRule="exact"/>
        <w:rPr>
          <w:sz w:val="20"/>
          <w:szCs w:val="20"/>
          <w:color w:val="auto"/>
        </w:rPr>
      </w:pPr>
    </w:p>
    <w:p>
      <w:pPr>
        <w:ind w:left="140" w:right="60" w:firstLine="437"/>
        <w:spacing w:after="0" w:line="255"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2240" w:h="15840" w:orient="portrait"/>
          <w:cols w:equalWidth="0" w:num="1">
            <w:col w:w="11040"/>
          </w:cols>
          <w:pgMar w:left="520" w:top="316" w:right="680"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DETERMINATION OF NET ASSET VALUE</w:t>
      </w:r>
    </w:p>
    <w:p>
      <w:pPr>
        <w:spacing w:after="0" w:line="225" w:lineRule="exact"/>
        <w:rPr>
          <w:sz w:val="20"/>
          <w:szCs w:val="20"/>
          <w:color w:val="auto"/>
        </w:rPr>
      </w:pPr>
    </w:p>
    <w:p>
      <w:pPr>
        <w:ind w:left="140" w:firstLine="437"/>
        <w:spacing w:after="0" w:line="271"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1" w:lineRule="exact"/>
        <w:rPr>
          <w:sz w:val="20"/>
          <w:szCs w:val="20"/>
          <w:color w:val="auto"/>
        </w:rPr>
      </w:pPr>
    </w:p>
    <w:p>
      <w:pPr>
        <w:ind w:left="140" w:firstLine="437"/>
        <w:spacing w:after="0" w:line="283"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could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4" w:lineRule="exact"/>
        <w:rPr>
          <w:sz w:val="20"/>
          <w:szCs w:val="20"/>
          <w:color w:val="auto"/>
        </w:rPr>
      </w:pPr>
    </w:p>
    <w:p>
      <w:pPr>
        <w:ind w:left="140" w:right="40" w:firstLine="437"/>
        <w:spacing w:after="0" w:line="271"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1" w:lineRule="exact"/>
        <w:rPr>
          <w:sz w:val="20"/>
          <w:szCs w:val="20"/>
          <w:color w:val="auto"/>
        </w:rPr>
      </w:pPr>
    </w:p>
    <w:p>
      <w:pPr>
        <w:ind w:left="1000" w:right="100" w:hanging="438"/>
        <w:spacing w:after="0" w:line="271"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81" w:lineRule="exact"/>
        <w:rPr>
          <w:rFonts w:ascii="Arial" w:cs="Arial" w:eastAsia="Arial" w:hAnsi="Arial"/>
          <w:sz w:val="18"/>
          <w:szCs w:val="18"/>
          <w:color w:val="auto"/>
        </w:rPr>
      </w:pPr>
    </w:p>
    <w:p>
      <w:pPr>
        <w:ind w:left="1000" w:hanging="43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27" w:lineRule="exact"/>
        <w:rPr>
          <w:rFonts w:ascii="Arial" w:cs="Arial" w:eastAsia="Arial" w:hAnsi="Arial"/>
          <w:sz w:val="18"/>
          <w:szCs w:val="18"/>
          <w:color w:val="auto"/>
        </w:rPr>
      </w:pPr>
    </w:p>
    <w:p>
      <w:pPr>
        <w:ind w:left="1000" w:right="240" w:hanging="438"/>
        <w:spacing w:after="0" w:line="275"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0" w:lineRule="exact"/>
        <w:rPr>
          <w:rFonts w:ascii="Arial" w:cs="Arial" w:eastAsia="Arial" w:hAnsi="Arial"/>
          <w:sz w:val="17"/>
          <w:szCs w:val="17"/>
          <w:color w:val="auto"/>
        </w:rPr>
      </w:pPr>
    </w:p>
    <w:p>
      <w:pPr>
        <w:ind w:left="1000" w:hanging="438"/>
        <w:spacing w:after="0" w:line="282"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73" w:lineRule="exact"/>
        <w:rPr>
          <w:rFonts w:ascii="Arial" w:cs="Arial" w:eastAsia="Arial" w:hAnsi="Arial"/>
          <w:sz w:val="17"/>
          <w:szCs w:val="17"/>
          <w:color w:val="auto"/>
        </w:rPr>
      </w:pPr>
    </w:p>
    <w:p>
      <w:pPr>
        <w:ind w:left="1000" w:right="220" w:hanging="438"/>
        <w:spacing w:after="0" w:line="271"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5" w:lineRule="exact"/>
        <w:rPr>
          <w:sz w:val="20"/>
          <w:szCs w:val="20"/>
          <w:color w:val="auto"/>
        </w:rPr>
      </w:pPr>
    </w:p>
    <w:p>
      <w:pPr>
        <w:ind w:left="140" w:right="140" w:firstLine="437"/>
        <w:spacing w:after="0" w:line="271"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2240" w:h="15840" w:orient="portrait"/>
          <w:cols w:equalWidth="0" w:num="1">
            <w:col w:w="11020"/>
          </w:cols>
          <w:pgMar w:left="520" w:top="316" w:right="700"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80"/>
        <w:spacing w:after="0" w:line="255" w:lineRule="auto"/>
        <w:rPr>
          <w:sz w:val="20"/>
          <w:szCs w:val="20"/>
          <w:color w:val="auto"/>
        </w:rPr>
      </w:pPr>
      <w:r>
        <w:rPr>
          <w:rFonts w:ascii="Arial" w:cs="Arial" w:eastAsia="Arial" w:hAnsi="Arial"/>
          <w:sz w:val="18"/>
          <w:szCs w:val="18"/>
          <w:color w:val="auto"/>
        </w:rPr>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3" w:lineRule="exact"/>
        <w:rPr>
          <w:sz w:val="20"/>
          <w:szCs w:val="20"/>
          <w:color w:val="auto"/>
        </w:rPr>
      </w:pPr>
    </w:p>
    <w:p>
      <w:pPr>
        <w:ind w:left="140" w:right="140" w:firstLine="437"/>
        <w:spacing w:after="0" w:line="252"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48" w:lineRule="exact"/>
        <w:rPr>
          <w:sz w:val="20"/>
          <w:szCs w:val="20"/>
          <w:color w:val="auto"/>
        </w:rPr>
      </w:pPr>
    </w:p>
    <w:p>
      <w:pPr>
        <w:ind w:left="1680" w:right="1160" w:hanging="1110"/>
        <w:spacing w:after="0" w:line="271" w:lineRule="auto"/>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8" w:lineRule="exact"/>
        <w:rPr>
          <w:sz w:val="20"/>
          <w:szCs w:val="20"/>
          <w:color w:val="auto"/>
        </w:rPr>
      </w:pPr>
    </w:p>
    <w:p>
      <w:pPr>
        <w:ind w:left="1680" w:right="440" w:hanging="1110"/>
        <w:spacing w:after="0" w:line="259"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9" w:lineRule="exact"/>
        <w:rPr>
          <w:sz w:val="20"/>
          <w:szCs w:val="20"/>
          <w:color w:val="auto"/>
        </w:rPr>
      </w:pPr>
    </w:p>
    <w:p>
      <w:pPr>
        <w:ind w:left="1680" w:right="880" w:hanging="1110"/>
        <w:spacing w:after="0" w:line="271"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5"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18" w:lineRule="exact"/>
        <w:rPr>
          <w:sz w:val="20"/>
          <w:szCs w:val="20"/>
          <w:color w:val="auto"/>
        </w:rPr>
      </w:pPr>
    </w:p>
    <w:p>
      <w:pPr>
        <w:ind w:left="140" w:right="40" w:firstLine="437"/>
        <w:spacing w:after="0" w:line="254"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6" w:lineRule="exact"/>
        <w:rPr>
          <w:sz w:val="20"/>
          <w:szCs w:val="20"/>
          <w:color w:val="auto"/>
        </w:rPr>
      </w:pPr>
    </w:p>
    <w:p>
      <w:pPr>
        <w:ind w:left="1000" w:hanging="331"/>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87" w:lineRule="exact"/>
        <w:rPr>
          <w:rFonts w:ascii="Arial" w:cs="Arial" w:eastAsia="Arial" w:hAnsi="Arial"/>
          <w:sz w:val="18"/>
          <w:szCs w:val="18"/>
          <w:color w:val="auto"/>
        </w:rPr>
      </w:pPr>
    </w:p>
    <w:p>
      <w:pPr>
        <w:ind w:left="1000" w:right="220" w:hanging="331"/>
        <w:spacing w:after="0" w:line="307"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2240" w:h="15840" w:orient="portrait"/>
          <w:cols w:equalWidth="0" w:num="1">
            <w:col w:w="11020"/>
          </w:cols>
          <w:pgMar w:left="520" w:top="316" w:right="700"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240" w:hanging="331"/>
        <w:spacing w:after="0" w:line="271"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5" w:lineRule="exact"/>
        <w:rPr>
          <w:sz w:val="20"/>
          <w:szCs w:val="20"/>
          <w:color w:val="auto"/>
        </w:rPr>
      </w:pPr>
    </w:p>
    <w:p>
      <w:pPr>
        <w:jc w:val="both"/>
        <w:ind w:left="140" w:right="80" w:firstLine="437"/>
        <w:spacing w:after="0" w:line="275"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28" w:lineRule="exact"/>
        <w:rPr>
          <w:sz w:val="20"/>
          <w:szCs w:val="20"/>
          <w:color w:val="auto"/>
        </w:rPr>
      </w:pPr>
    </w:p>
    <w:p>
      <w:pPr>
        <w:ind w:left="1000" w:hanging="331"/>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27" w:lineRule="exact"/>
        <w:rPr>
          <w:rFonts w:ascii="Arial" w:cs="Arial" w:eastAsia="Arial" w:hAnsi="Arial"/>
          <w:sz w:val="18"/>
          <w:szCs w:val="18"/>
          <w:color w:val="auto"/>
        </w:rPr>
      </w:pPr>
    </w:p>
    <w:p>
      <w:pPr>
        <w:ind w:left="1000" w:right="200" w:hanging="331"/>
        <w:spacing w:after="0" w:line="275"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5" w:lineRule="exact"/>
        <w:rPr>
          <w:sz w:val="20"/>
          <w:szCs w:val="20"/>
          <w:color w:val="auto"/>
        </w:rPr>
      </w:pPr>
    </w:p>
    <w:p>
      <w:pPr>
        <w:ind w:left="140" w:right="40" w:firstLine="437"/>
        <w:spacing w:after="0" w:line="269" w:lineRule="auto"/>
        <w:rPr>
          <w:sz w:val="20"/>
          <w:szCs w:val="20"/>
          <w:color w:val="auto"/>
        </w:rPr>
      </w:pPr>
      <w:r>
        <w:rPr>
          <w:rFonts w:ascii="Arial" w:cs="Arial" w:eastAsia="Arial" w:hAnsi="Arial"/>
          <w:sz w:val="17"/>
          <w:szCs w:val="17"/>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79" w:lineRule="exact"/>
        <w:rPr>
          <w:sz w:val="20"/>
          <w:szCs w:val="20"/>
          <w:color w:val="auto"/>
        </w:rPr>
      </w:pPr>
    </w:p>
    <w:p>
      <w:pPr>
        <w:ind w:left="140" w:firstLine="437"/>
        <w:spacing w:after="0" w:line="285"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70" w:lineRule="exact"/>
        <w:rPr>
          <w:sz w:val="20"/>
          <w:szCs w:val="20"/>
          <w:color w:val="auto"/>
        </w:rPr>
      </w:pPr>
    </w:p>
    <w:p>
      <w:pPr>
        <w:ind w:left="140" w:right="80" w:firstLine="437"/>
        <w:spacing w:after="0" w:line="259"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2240" w:h="15840" w:orient="portrait"/>
          <w:cols w:equalWidth="0" w:num="1">
            <w:col w:w="11040"/>
          </w:cols>
          <w:pgMar w:left="520" w:top="316" w:right="680"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REINVESTMENT PLAN</w:t>
      </w:r>
    </w:p>
    <w:p>
      <w:pPr>
        <w:spacing w:after="0" w:line="225" w:lineRule="exact"/>
        <w:rPr>
          <w:sz w:val="20"/>
          <w:szCs w:val="20"/>
          <w:color w:val="auto"/>
        </w:rPr>
      </w:pPr>
    </w:p>
    <w:p>
      <w:pPr>
        <w:ind w:left="140" w:right="460" w:firstLine="437"/>
        <w:spacing w:after="0" w:line="275"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5" w:lineRule="exact"/>
        <w:rPr>
          <w:sz w:val="20"/>
          <w:szCs w:val="20"/>
          <w:color w:val="auto"/>
        </w:rPr>
      </w:pPr>
    </w:p>
    <w:p>
      <w:pPr>
        <w:ind w:left="140" w:firstLine="437"/>
        <w:spacing w:after="0" w:line="288"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left="140" w:right="340" w:firstLine="437"/>
        <w:spacing w:after="0" w:line="271"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5" w:lineRule="exact"/>
        <w:rPr>
          <w:sz w:val="20"/>
          <w:szCs w:val="20"/>
          <w:color w:val="auto"/>
        </w:rPr>
      </w:pPr>
    </w:p>
    <w:p>
      <w:pPr>
        <w:ind w:left="140" w:right="60" w:firstLine="437"/>
        <w:spacing w:after="0" w:line="251"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5" w:lineRule="exact"/>
        <w:rPr>
          <w:sz w:val="20"/>
          <w:szCs w:val="20"/>
          <w:color w:val="auto"/>
        </w:rPr>
      </w:pPr>
    </w:p>
    <w:p>
      <w:pPr>
        <w:ind w:left="140" w:right="340" w:firstLine="437"/>
        <w:spacing w:after="0" w:line="297"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60" w:lineRule="exact"/>
        <w:rPr>
          <w:sz w:val="20"/>
          <w:szCs w:val="20"/>
          <w:color w:val="auto"/>
        </w:rPr>
      </w:pPr>
    </w:p>
    <w:p>
      <w:pPr>
        <w:ind w:left="140" w:right="220" w:firstLine="437"/>
        <w:spacing w:after="0" w:line="254"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9" w:lineRule="exact"/>
        <w:rPr>
          <w:sz w:val="20"/>
          <w:szCs w:val="20"/>
          <w:color w:val="auto"/>
        </w:rPr>
      </w:pPr>
    </w:p>
    <w:p>
      <w:pPr>
        <w:ind w:left="140" w:right="160" w:firstLine="437"/>
        <w:spacing w:after="0" w:line="271"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2240" w:h="15840" w:orient="portrait"/>
          <w:cols w:equalWidth="0" w:num="1">
            <w:col w:w="11040"/>
          </w:cols>
          <w:pgMar w:left="520" w:top="316" w:right="680"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2240" w:h="15840" w:orient="portrait"/>
          <w:cols w:equalWidth="0" w:num="1">
            <w:col w:w="11040"/>
          </w:cols>
          <w:pgMar w:left="520" w:top="316" w:right="680"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CAPITAL STOCK</w:t>
      </w:r>
    </w:p>
    <w:p>
      <w:pPr>
        <w:spacing w:after="0" w:line="225" w:lineRule="exact"/>
        <w:rPr>
          <w:sz w:val="20"/>
          <w:szCs w:val="20"/>
          <w:color w:val="auto"/>
        </w:rPr>
      </w:pPr>
    </w:p>
    <w:p>
      <w:pPr>
        <w:jc w:val="both"/>
        <w:ind w:left="140" w:right="140" w:firstLine="437"/>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Capital Stock</w:t>
      </w:r>
    </w:p>
    <w:p>
      <w:pPr>
        <w:spacing w:after="0" w:line="118"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As of January 31, 2019,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91" w:lineRule="exact"/>
        <w:rPr>
          <w:sz w:val="20"/>
          <w:szCs w:val="20"/>
          <w:color w:val="auto"/>
        </w:rPr>
      </w:pPr>
    </w:p>
    <w:p>
      <w:pPr>
        <w:ind w:left="140" w:right="580" w:firstLine="437"/>
        <w:spacing w:after="0" w:line="271" w:lineRule="auto"/>
        <w:rPr>
          <w:sz w:val="20"/>
          <w:szCs w:val="20"/>
          <w:color w:val="auto"/>
        </w:rPr>
      </w:pPr>
      <w:r>
        <w:rPr>
          <w:rFonts w:ascii="Arial" w:cs="Arial" w:eastAsia="Arial" w:hAnsi="Arial"/>
          <w:sz w:val="18"/>
          <w:szCs w:val="18"/>
          <w:color w:val="auto"/>
        </w:rPr>
        <w:t>The last reported closing market price of our common stock on February 28, 2019 was $7.13 per share. As of January 31, 2019, we had 11 stockholders of record.</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January 31, 2019:</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4"/>
              </w:rPr>
              <w:t>Amount</w:t>
            </w:r>
          </w:p>
        </w:tc>
        <w:tc>
          <w:tcPr>
            <w:tcW w:w="16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7"/>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510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Borders>
              <w:bottom w:val="single" w:sz="8" w:color="auto"/>
            </w:tcBorders>
            <w:vMerge w:val="continue"/>
          </w:tcPr>
          <w:p>
            <w:pPr>
              <w:spacing w:after="0"/>
              <w:rPr>
                <w:sz w:val="15"/>
                <w:szCs w:val="15"/>
                <w:color w:val="auto"/>
              </w:rPr>
            </w:pPr>
          </w:p>
        </w:tc>
        <w:tc>
          <w:tcPr>
            <w:tcW w:w="5100" w:type="dxa"/>
            <w:vAlign w:val="bottom"/>
            <w:vMerge w:val="continue"/>
          </w:tcPr>
          <w:p>
            <w:pPr>
              <w:spacing w:after="0"/>
              <w:rPr>
                <w:sz w:val="15"/>
                <w:szCs w:val="15"/>
                <w:color w:val="auto"/>
              </w:rPr>
            </w:pPr>
          </w:p>
        </w:tc>
        <w:tc>
          <w:tcPr>
            <w:tcW w:w="1580" w:type="dxa"/>
            <w:vAlign w:val="bottom"/>
            <w:gridSpan w:val="2"/>
          </w:tcPr>
          <w:p>
            <w:pPr>
              <w:jc w:val="center"/>
              <w:ind w:right="640"/>
              <w:spacing w:after="0" w:line="157" w:lineRule="exact"/>
              <w:rPr>
                <w:sz w:val="20"/>
                <w:szCs w:val="20"/>
                <w:color w:val="auto"/>
              </w:rPr>
            </w:pPr>
            <w:r>
              <w:rPr>
                <w:rFonts w:ascii="Arial" w:cs="Arial" w:eastAsia="Arial" w:hAnsi="Arial"/>
                <w:sz w:val="14"/>
                <w:szCs w:val="14"/>
                <w:b w:val="1"/>
                <w:bCs w:val="1"/>
                <w:color w:val="auto"/>
                <w:w w:val="95"/>
              </w:rPr>
              <w:t>Authorized</w:t>
            </w:r>
          </w:p>
        </w:tc>
        <w:tc>
          <w:tcPr>
            <w:tcW w:w="1640" w:type="dxa"/>
            <w:vAlign w:val="bottom"/>
            <w:gridSpan w:val="2"/>
          </w:tcPr>
          <w:p>
            <w:pPr>
              <w:jc w:val="center"/>
              <w:ind w:right="620"/>
              <w:spacing w:after="0" w:line="157" w:lineRule="exact"/>
              <w:rPr>
                <w:sz w:val="20"/>
                <w:szCs w:val="20"/>
                <w:color w:val="auto"/>
              </w:rPr>
            </w:pPr>
            <w:r>
              <w:rPr>
                <w:rFonts w:ascii="Arial" w:cs="Arial" w:eastAsia="Arial" w:hAnsi="Arial"/>
                <w:sz w:val="14"/>
                <w:szCs w:val="14"/>
                <w:b w:val="1"/>
                <w:bCs w:val="1"/>
                <w:color w:val="auto"/>
                <w:w w:val="89"/>
              </w:rPr>
              <w:t>Account</w:t>
            </w:r>
          </w:p>
        </w:tc>
        <w:tc>
          <w:tcPr>
            <w:tcW w:w="92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1"/>
        </w:trPr>
        <w:tc>
          <w:tcPr>
            <w:tcW w:w="590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 $0.001 per share</w:t>
            </w:r>
          </w:p>
        </w:tc>
        <w:tc>
          <w:tcPr>
            <w:tcW w:w="9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100,000,000</w:t>
            </w:r>
          </w:p>
        </w:tc>
        <w:tc>
          <w:tcPr>
            <w:tcW w:w="6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40"/>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86"/>
              </w:rPr>
              <w:t>68,027,537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40" w:right="60" w:firstLine="437"/>
        <w:spacing w:after="0" w:line="297"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6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140" w:firstLine="437"/>
        <w:spacing w:after="0" w:line="285"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18" w:lineRule="exact"/>
        <w:rPr>
          <w:sz w:val="20"/>
          <w:szCs w:val="20"/>
          <w:color w:val="auto"/>
        </w:rPr>
      </w:pPr>
    </w:p>
    <w:p>
      <w:pPr>
        <w:jc w:val="both"/>
        <w:ind w:left="140" w:right="480" w:firstLine="437"/>
        <w:spacing w:after="0" w:line="259"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2240" w:h="15840" w:orient="portrait"/>
          <w:cols w:equalWidth="0" w:num="1">
            <w:col w:w="11040"/>
          </w:cols>
          <w:pgMar w:left="520" w:top="316" w:right="680"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line="271"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5" w:lineRule="exact"/>
        <w:rPr>
          <w:sz w:val="20"/>
          <w:szCs w:val="20"/>
          <w:color w:val="auto"/>
        </w:rPr>
      </w:pPr>
    </w:p>
    <w:p>
      <w:pPr>
        <w:ind w:left="140" w:right="20" w:firstLine="437"/>
        <w:spacing w:after="0" w:line="252"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5" w:lineRule="exact"/>
        <w:rPr>
          <w:sz w:val="20"/>
          <w:szCs w:val="20"/>
          <w:color w:val="auto"/>
        </w:rPr>
      </w:pPr>
    </w:p>
    <w:p>
      <w:pPr>
        <w:ind w:left="140" w:right="40" w:firstLine="437"/>
        <w:spacing w:after="0" w:line="285"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0" w:lineRule="exact"/>
        <w:rPr>
          <w:sz w:val="20"/>
          <w:szCs w:val="20"/>
          <w:color w:val="auto"/>
        </w:rPr>
      </w:pPr>
    </w:p>
    <w:p>
      <w:pPr>
        <w:ind w:left="140" w:right="480" w:firstLine="437"/>
        <w:spacing w:after="0" w:line="335"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9" w:lineRule="exact"/>
        <w:rPr>
          <w:sz w:val="20"/>
          <w:szCs w:val="20"/>
          <w:color w:val="auto"/>
        </w:rPr>
      </w:pPr>
    </w:p>
    <w:p>
      <w:pPr>
        <w:ind w:left="140" w:firstLine="437"/>
        <w:spacing w:after="0" w:line="265"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2240" w:h="15840" w:orient="portrait"/>
          <w:cols w:equalWidth="0" w:num="1">
            <w:col w:w="11040"/>
          </w:cols>
          <w:pgMar w:left="520" w:top="316" w:right="680"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18" w:lineRule="exact"/>
        <w:rPr>
          <w:sz w:val="20"/>
          <w:szCs w:val="20"/>
          <w:color w:val="auto"/>
        </w:rPr>
      </w:pPr>
    </w:p>
    <w:p>
      <w:pPr>
        <w:ind w:left="140" w:right="60" w:firstLine="437"/>
        <w:spacing w:after="0" w:line="254"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4" w:lineRule="exact"/>
        <w:rPr>
          <w:sz w:val="20"/>
          <w:szCs w:val="20"/>
          <w:color w:val="auto"/>
        </w:rPr>
      </w:pPr>
    </w:p>
    <w:p>
      <w:pPr>
        <w:ind w:left="140" w:right="100" w:firstLine="437"/>
        <w:spacing w:after="0" w:line="269"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2020, 2021 and 2022,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4" w:lineRule="exact"/>
        <w:rPr>
          <w:sz w:val="20"/>
          <w:szCs w:val="20"/>
          <w:color w:val="auto"/>
        </w:rPr>
      </w:pPr>
    </w:p>
    <w:p>
      <w:pPr>
        <w:ind w:left="140" w:right="60" w:firstLine="437"/>
        <w:spacing w:after="0" w:line="259" w:lineRule="auto"/>
        <w:rPr>
          <w:sz w:val="20"/>
          <w:szCs w:val="20"/>
          <w:color w:val="auto"/>
        </w:rPr>
      </w:pPr>
      <w:r>
        <w:rPr>
          <w:rFonts w:ascii="Arial" w:cs="Arial" w:eastAsia="Arial" w:hAnsi="Arial"/>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4" w:lineRule="exact"/>
        <w:rPr>
          <w:sz w:val="20"/>
          <w:szCs w:val="20"/>
          <w:color w:val="auto"/>
        </w:rPr>
      </w:pPr>
    </w:p>
    <w:p>
      <w:pPr>
        <w:ind w:left="140" w:firstLine="437"/>
        <w:spacing w:after="0" w:line="268"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81" w:lineRule="exact"/>
        <w:rPr>
          <w:sz w:val="20"/>
          <w:szCs w:val="20"/>
          <w:color w:val="auto"/>
        </w:rPr>
      </w:pPr>
    </w:p>
    <w:p>
      <w:pPr>
        <w:ind w:left="140" w:right="400" w:firstLine="437"/>
        <w:spacing w:after="0" w:line="271"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4" w:lineRule="exact"/>
        <w:rPr>
          <w:sz w:val="20"/>
          <w:szCs w:val="20"/>
          <w:color w:val="auto"/>
        </w:rPr>
      </w:pPr>
    </w:p>
    <w:p>
      <w:pPr>
        <w:ind w:left="140" w:right="300" w:firstLine="437"/>
        <w:spacing w:after="0" w:line="297"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2240" w:h="15840" w:orient="portrait"/>
          <w:cols w:equalWidth="0" w:num="1">
            <w:col w:w="11060"/>
          </w:cols>
          <w:pgMar w:left="520" w:top="316" w:right="660"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4" w:lineRule="exact"/>
        <w:rPr>
          <w:sz w:val="20"/>
          <w:szCs w:val="20"/>
          <w:color w:val="auto"/>
        </w:rPr>
      </w:pPr>
    </w:p>
    <w:p>
      <w:pPr>
        <w:ind w:left="140" w:right="20" w:firstLine="437"/>
        <w:spacing w:after="0" w:line="287"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67" w:lineRule="exact"/>
        <w:rPr>
          <w:sz w:val="20"/>
          <w:szCs w:val="20"/>
          <w:color w:val="auto"/>
        </w:rPr>
      </w:pPr>
    </w:p>
    <w:p>
      <w:pPr>
        <w:ind w:left="140" w:firstLine="437"/>
        <w:spacing w:after="0" w:line="268"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4" w:lineRule="exact"/>
        <w:rPr>
          <w:sz w:val="20"/>
          <w:szCs w:val="20"/>
          <w:color w:val="auto"/>
        </w:rPr>
      </w:pPr>
    </w:p>
    <w:p>
      <w:pPr>
        <w:ind w:left="140" w:right="80" w:firstLine="437"/>
        <w:spacing w:after="0" w:line="255"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4" w:lineRule="exact"/>
        <w:rPr>
          <w:sz w:val="20"/>
          <w:szCs w:val="20"/>
          <w:color w:val="auto"/>
        </w:rPr>
      </w:pPr>
    </w:p>
    <w:p>
      <w:pPr>
        <w:ind w:left="140" w:firstLine="437"/>
        <w:spacing w:after="0" w:line="284"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2240" w:h="15840" w:orient="portrait"/>
          <w:cols w:equalWidth="0" w:num="1">
            <w:col w:w="11020"/>
          </w:cols>
          <w:pgMar w:left="520" w:top="316" w:right="700"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80" w:firstLine="437"/>
        <w:spacing w:after="0" w:line="271"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4" w:lineRule="exact"/>
        <w:rPr>
          <w:sz w:val="20"/>
          <w:szCs w:val="20"/>
          <w:color w:val="auto"/>
        </w:rPr>
      </w:pPr>
    </w:p>
    <w:p>
      <w:pPr>
        <w:ind w:left="140" w:right="680" w:firstLine="437"/>
        <w:spacing w:after="0" w:line="301" w:lineRule="auto"/>
        <w:rPr>
          <w:sz w:val="20"/>
          <w:szCs w:val="20"/>
          <w:color w:val="auto"/>
        </w:rPr>
      </w:pPr>
      <w:r>
        <w:rPr>
          <w:rFonts w:ascii="Arial" w:cs="Arial" w:eastAsia="Arial" w:hAnsi="Arial"/>
          <w:sz w:val="17"/>
          <w:szCs w:val="17"/>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5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There can be no assurance that such provision will not be amended or eliminated at any time in the future to the extent permitted by the 1940 Act.</w:t>
      </w:r>
    </w:p>
    <w:p>
      <w:pPr>
        <w:spacing w:after="0" w:line="231" w:lineRule="exact"/>
        <w:rPr>
          <w:sz w:val="20"/>
          <w:szCs w:val="20"/>
          <w:color w:val="auto"/>
        </w:rPr>
      </w:pPr>
    </w:p>
    <w:p>
      <w:pPr>
        <w:ind w:left="140" w:right="60" w:firstLine="437"/>
        <w:spacing w:after="0" w:line="252"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101" w:lineRule="exact"/>
        <w:rPr>
          <w:sz w:val="20"/>
          <w:szCs w:val="20"/>
          <w:color w:val="auto"/>
        </w:rPr>
      </w:pPr>
    </w:p>
    <w:p>
      <w:pPr>
        <w:ind w:left="1000" w:hanging="331"/>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1" w:lineRule="exact"/>
        <w:rPr>
          <w:sz w:val="20"/>
          <w:szCs w:val="20"/>
          <w:color w:val="auto"/>
        </w:rPr>
      </w:pPr>
    </w:p>
    <w:p>
      <w:pPr>
        <w:ind w:left="140" w:right="120" w:firstLine="437"/>
        <w:spacing w:after="0" w:line="307"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50" w:lineRule="exact"/>
        <w:rPr>
          <w:sz w:val="20"/>
          <w:szCs w:val="20"/>
          <w:color w:val="auto"/>
        </w:rPr>
      </w:pPr>
    </w:p>
    <w:p>
      <w:pPr>
        <w:ind w:left="140" w:right="260" w:firstLine="437"/>
        <w:spacing w:after="0" w:line="275" w:lineRule="auto"/>
        <w:rPr>
          <w:sz w:val="20"/>
          <w:szCs w:val="20"/>
          <w:color w:val="auto"/>
        </w:rPr>
      </w:pPr>
      <w:r>
        <w:rPr>
          <w:rFonts w:ascii="Arial" w:cs="Arial" w:eastAsia="Arial" w:hAnsi="Arial"/>
          <w:sz w:val="17"/>
          <w:szCs w:val="17"/>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75" w:lineRule="exact"/>
        <w:rPr>
          <w:sz w:val="20"/>
          <w:szCs w:val="20"/>
          <w:color w:val="auto"/>
        </w:rPr>
      </w:pPr>
    </w:p>
    <w:p>
      <w:pPr>
        <w:ind w:left="140" w:firstLine="437"/>
        <w:spacing w:after="0" w:line="287"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2240" w:h="15840" w:orient="portrait"/>
          <w:cols w:equalWidth="0" w:num="1">
            <w:col w:w="11020"/>
          </w:cols>
          <w:pgMar w:left="520" w:top="316" w:right="700"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120" w:firstLine="437"/>
        <w:spacing w:after="0" w:line="271"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4" w:lineRule="exact"/>
        <w:rPr>
          <w:sz w:val="20"/>
          <w:szCs w:val="20"/>
          <w:color w:val="auto"/>
        </w:rPr>
      </w:pPr>
    </w:p>
    <w:p>
      <w:pPr>
        <w:ind w:left="140" w:right="460" w:firstLine="437"/>
        <w:spacing w:after="0" w:line="255"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7" w:lineRule="exact"/>
        <w:rPr>
          <w:sz w:val="20"/>
          <w:szCs w:val="20"/>
          <w:color w:val="auto"/>
        </w:rPr>
      </w:pPr>
    </w:p>
    <w:p>
      <w:pPr>
        <w:ind w:left="1000" w:hanging="331"/>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27" w:lineRule="exact"/>
        <w:rPr>
          <w:rFonts w:ascii="Arial" w:cs="Arial" w:eastAsia="Arial" w:hAnsi="Arial"/>
          <w:sz w:val="18"/>
          <w:szCs w:val="18"/>
          <w:color w:val="auto"/>
        </w:rPr>
      </w:pPr>
    </w:p>
    <w:p>
      <w:pPr>
        <w:ind w:left="1000" w:right="20" w:hanging="331"/>
        <w:spacing w:after="0" w:line="301"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52" w:lineRule="exact"/>
        <w:rPr>
          <w:sz w:val="20"/>
          <w:szCs w:val="20"/>
          <w:color w:val="auto"/>
        </w:rPr>
      </w:pPr>
    </w:p>
    <w:p>
      <w:pPr>
        <w:jc w:val="both"/>
        <w:ind w:left="140" w:right="320" w:firstLine="437"/>
        <w:spacing w:after="0" w:line="282"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7" w:lineRule="exact"/>
        <w:rPr>
          <w:sz w:val="20"/>
          <w:szCs w:val="20"/>
          <w:color w:val="auto"/>
        </w:rPr>
      </w:pPr>
    </w:p>
    <w:p>
      <w:pPr>
        <w:ind w:left="140" w:right="120" w:firstLine="437"/>
        <w:spacing w:after="0" w:line="271"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81" w:lineRule="exact"/>
        <w:rPr>
          <w:sz w:val="20"/>
          <w:szCs w:val="20"/>
          <w:color w:val="auto"/>
        </w:rPr>
      </w:pPr>
    </w:p>
    <w:p>
      <w:pPr>
        <w:ind w:left="1000" w:hanging="331"/>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87" w:lineRule="exact"/>
        <w:rPr>
          <w:rFonts w:ascii="Arial" w:cs="Arial" w:eastAsia="Arial" w:hAnsi="Arial"/>
          <w:sz w:val="18"/>
          <w:szCs w:val="18"/>
          <w:color w:val="auto"/>
        </w:rPr>
      </w:pPr>
    </w:p>
    <w:p>
      <w:pPr>
        <w:ind w:left="1000" w:right="20" w:hanging="331"/>
        <w:spacing w:after="0" w:line="335"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9" w:lineRule="exact"/>
        <w:rPr>
          <w:sz w:val="20"/>
          <w:szCs w:val="20"/>
          <w:color w:val="auto"/>
        </w:rPr>
      </w:pPr>
    </w:p>
    <w:p>
      <w:pPr>
        <w:ind w:left="140" w:right="100" w:firstLine="437"/>
        <w:spacing w:after="0" w:line="335"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9" w:lineRule="exact"/>
        <w:rPr>
          <w:sz w:val="20"/>
          <w:szCs w:val="20"/>
          <w:color w:val="auto"/>
        </w:rPr>
      </w:pPr>
    </w:p>
    <w:p>
      <w:pPr>
        <w:ind w:left="140" w:right="20" w:firstLine="437"/>
        <w:spacing w:after="0" w:line="290"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4" w:lineRule="exact"/>
        <w:rPr>
          <w:sz w:val="20"/>
          <w:szCs w:val="20"/>
          <w:color w:val="auto"/>
        </w:rPr>
      </w:pPr>
    </w:p>
    <w:p>
      <w:pPr>
        <w:ind w:left="140" w:firstLine="437"/>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2240" w:h="15840" w:orient="portrait"/>
          <w:cols w:equalWidth="0" w:num="1">
            <w:col w:w="11060"/>
          </w:cols>
          <w:pgMar w:left="520" w:top="316" w:right="660"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5" w:lineRule="exact"/>
        <w:rPr>
          <w:sz w:val="20"/>
          <w:szCs w:val="20"/>
          <w:color w:val="auto"/>
        </w:rPr>
      </w:pPr>
    </w:p>
    <w:p>
      <w:pPr>
        <w:ind w:left="140" w:right="40" w:firstLine="437"/>
        <w:spacing w:after="0" w:line="252"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92" w:lineRule="exact"/>
        <w:rPr>
          <w:sz w:val="20"/>
          <w:szCs w:val="20"/>
          <w:color w:val="auto"/>
        </w:rPr>
      </w:pPr>
    </w:p>
    <w:p>
      <w:pPr>
        <w:ind w:left="140" w:firstLine="437"/>
        <w:spacing w:after="0" w:line="288"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67" w:lineRule="exact"/>
        <w:rPr>
          <w:sz w:val="20"/>
          <w:szCs w:val="20"/>
          <w:color w:val="auto"/>
        </w:rPr>
      </w:pPr>
    </w:p>
    <w:p>
      <w:pPr>
        <w:ind w:left="140" w:right="260" w:firstLine="437"/>
        <w:spacing w:after="0" w:line="271"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81" w:lineRule="exact"/>
        <w:rPr>
          <w:sz w:val="20"/>
          <w:szCs w:val="20"/>
          <w:color w:val="auto"/>
        </w:rPr>
      </w:pPr>
    </w:p>
    <w:p>
      <w:pPr>
        <w:ind w:left="1000" w:hanging="331"/>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27" w:lineRule="exact"/>
        <w:rPr>
          <w:rFonts w:ascii="Arial" w:cs="Arial" w:eastAsia="Arial" w:hAnsi="Arial"/>
          <w:sz w:val="18"/>
          <w:szCs w:val="18"/>
          <w:color w:val="auto"/>
        </w:rPr>
      </w:pPr>
    </w:p>
    <w:p>
      <w:pPr>
        <w:ind w:left="1000" w:right="200" w:hanging="331"/>
        <w:spacing w:after="0" w:line="271"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39" w:lineRule="exact"/>
        <w:rPr>
          <w:rFonts w:ascii="Arial" w:cs="Arial" w:eastAsia="Arial" w:hAnsi="Arial"/>
          <w:sz w:val="17"/>
          <w:szCs w:val="17"/>
          <w:color w:val="auto"/>
        </w:rPr>
      </w:pPr>
    </w:p>
    <w:p>
      <w:pPr>
        <w:ind w:left="1000" w:hanging="331"/>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27" w:lineRule="exact"/>
        <w:rPr>
          <w:rFonts w:ascii="Arial" w:cs="Arial" w:eastAsia="Arial" w:hAnsi="Arial"/>
          <w:sz w:val="18"/>
          <w:szCs w:val="18"/>
          <w:color w:val="auto"/>
        </w:rPr>
      </w:pPr>
    </w:p>
    <w:p>
      <w:pPr>
        <w:ind w:left="1000" w:hanging="331"/>
        <w:spacing w:after="0" w:line="271"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27" w:lineRule="exact"/>
        <w:rPr>
          <w:rFonts w:ascii="Arial" w:cs="Arial" w:eastAsia="Arial" w:hAnsi="Arial"/>
          <w:sz w:val="18"/>
          <w:szCs w:val="18"/>
          <w:color w:val="auto"/>
        </w:rPr>
      </w:pPr>
    </w:p>
    <w:p>
      <w:pPr>
        <w:ind w:left="1000" w:right="100" w:hanging="331"/>
        <w:spacing w:after="0" w:line="271"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5" w:lineRule="exact"/>
        <w:rPr>
          <w:sz w:val="20"/>
          <w:szCs w:val="20"/>
          <w:color w:val="auto"/>
        </w:rPr>
      </w:pPr>
    </w:p>
    <w:p>
      <w:pPr>
        <w:ind w:left="140" w:right="60" w:firstLine="437"/>
        <w:spacing w:after="0" w:line="252"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2240" w:h="15840" w:orient="portrait"/>
          <w:cols w:equalWidth="0" w:num="1">
            <w:col w:w="11020"/>
          </w:cols>
          <w:pgMar w:left="520" w:top="316" w:right="700"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WARRANTS</w:t>
      </w:r>
    </w:p>
    <w:p>
      <w:pPr>
        <w:spacing w:after="0" w:line="225" w:lineRule="exact"/>
        <w:rPr>
          <w:sz w:val="20"/>
          <w:szCs w:val="20"/>
          <w:color w:val="auto"/>
        </w:rPr>
      </w:pPr>
    </w:p>
    <w:p>
      <w:pPr>
        <w:ind w:left="140" w:right="20" w:firstLine="437"/>
        <w:spacing w:after="0" w:line="271"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5" w:lineRule="exact"/>
        <w:rPr>
          <w:sz w:val="20"/>
          <w:szCs w:val="20"/>
          <w:color w:val="auto"/>
        </w:rPr>
      </w:pPr>
    </w:p>
    <w:p>
      <w:pPr>
        <w:ind w:left="140" w:firstLine="437"/>
        <w:spacing w:after="0" w:line="297"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28" w:lineRule="exact"/>
        <w:rPr>
          <w:sz w:val="20"/>
          <w:szCs w:val="20"/>
          <w:color w:val="auto"/>
        </w:rPr>
      </w:pPr>
    </w:p>
    <w:p>
      <w:pPr>
        <w:ind w:left="1000" w:hanging="331"/>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27" w:lineRule="exact"/>
        <w:rPr>
          <w:rFonts w:ascii="Arial" w:cs="Arial" w:eastAsia="Arial" w:hAnsi="Arial"/>
          <w:sz w:val="18"/>
          <w:szCs w:val="18"/>
          <w:color w:val="auto"/>
        </w:rPr>
      </w:pPr>
    </w:p>
    <w:p>
      <w:pPr>
        <w:ind w:left="1000" w:right="240" w:hanging="331"/>
        <w:spacing w:after="0" w:line="271"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81" w:lineRule="exact"/>
        <w:rPr>
          <w:rFonts w:ascii="Arial" w:cs="Arial" w:eastAsia="Arial" w:hAnsi="Arial"/>
          <w:sz w:val="18"/>
          <w:szCs w:val="18"/>
          <w:color w:val="auto"/>
        </w:rPr>
      </w:pPr>
    </w:p>
    <w:p>
      <w:pPr>
        <w:ind w:left="1000" w:right="20" w:hanging="331"/>
        <w:spacing w:after="0" w:line="259"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92" w:lineRule="exact"/>
        <w:rPr>
          <w:rFonts w:ascii="Arial" w:cs="Arial" w:eastAsia="Arial" w:hAnsi="Arial"/>
          <w:sz w:val="18"/>
          <w:szCs w:val="18"/>
          <w:color w:val="auto"/>
        </w:rPr>
      </w:pPr>
    </w:p>
    <w:p>
      <w:pPr>
        <w:jc w:val="both"/>
        <w:ind w:left="1000" w:right="20" w:hanging="331"/>
        <w:spacing w:after="0" w:line="259"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92" w:lineRule="exact"/>
        <w:rPr>
          <w:rFonts w:ascii="Arial" w:cs="Arial" w:eastAsia="Arial" w:hAnsi="Arial"/>
          <w:sz w:val="18"/>
          <w:szCs w:val="18"/>
          <w:color w:val="auto"/>
        </w:rPr>
      </w:pPr>
    </w:p>
    <w:p>
      <w:pPr>
        <w:ind w:left="1000" w:hanging="331"/>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44" w:lineRule="exact"/>
        <w:rPr>
          <w:sz w:val="20"/>
          <w:szCs w:val="20"/>
          <w:color w:val="auto"/>
        </w:rPr>
      </w:pPr>
    </w:p>
    <w:p>
      <w:pPr>
        <w:ind w:left="140" w:right="40" w:firstLine="437"/>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2240" w:h="15840" w:orient="portrait"/>
          <w:cols w:equalWidth="0" w:num="1">
            <w:col w:w="10960"/>
          </w:cols>
          <w:pgMar w:left="520" w:top="316" w:right="760"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40" w:right="140" w:firstLine="437"/>
        <w:spacing w:after="0" w:line="297"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60" w:lineRule="exact"/>
        <w:rPr>
          <w:sz w:val="20"/>
          <w:szCs w:val="20"/>
          <w:color w:val="auto"/>
        </w:rPr>
      </w:pPr>
    </w:p>
    <w:p>
      <w:pPr>
        <w:ind w:left="140" w:firstLine="437"/>
        <w:spacing w:after="0" w:line="251"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2240" w:h="15840" w:orient="portrait"/>
          <w:cols w:equalWidth="0" w:num="1">
            <w:col w:w="11040"/>
          </w:cols>
          <w:pgMar w:left="520" w:top="316" w:right="680"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5" w:lineRule="exact"/>
        <w:rPr>
          <w:sz w:val="20"/>
          <w:szCs w:val="20"/>
          <w:color w:val="auto"/>
        </w:rPr>
      </w:pPr>
    </w:p>
    <w:p>
      <w:pPr>
        <w:ind w:left="140" w:firstLine="437"/>
        <w:spacing w:after="0" w:line="267"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1" w:lineRule="exact"/>
        <w:rPr>
          <w:sz w:val="20"/>
          <w:szCs w:val="20"/>
          <w:color w:val="auto"/>
        </w:rPr>
      </w:pPr>
    </w:p>
    <w:p>
      <w:pPr>
        <w:ind w:left="140" w:right="400" w:firstLine="437"/>
        <w:spacing w:after="0" w:line="271"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81" w:lineRule="exact"/>
        <w:rPr>
          <w:sz w:val="20"/>
          <w:szCs w:val="20"/>
          <w:color w:val="auto"/>
        </w:rPr>
      </w:pPr>
    </w:p>
    <w:p>
      <w:pPr>
        <w:ind w:left="1000" w:hanging="331"/>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27" w:lineRule="exact"/>
        <w:rPr>
          <w:rFonts w:ascii="Arial" w:cs="Arial" w:eastAsia="Arial" w:hAnsi="Arial"/>
          <w:sz w:val="18"/>
          <w:szCs w:val="18"/>
          <w:color w:val="auto"/>
        </w:rPr>
      </w:pPr>
    </w:p>
    <w:p>
      <w:pPr>
        <w:ind w:left="1000" w:right="60" w:hanging="331"/>
        <w:spacing w:after="0" w:line="271"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81" w:lineRule="exact"/>
        <w:rPr>
          <w:rFonts w:ascii="Arial" w:cs="Arial" w:eastAsia="Arial" w:hAnsi="Arial"/>
          <w:sz w:val="18"/>
          <w:szCs w:val="18"/>
          <w:color w:val="auto"/>
        </w:rPr>
      </w:pPr>
    </w:p>
    <w:p>
      <w:pPr>
        <w:ind w:left="1000" w:right="120" w:hanging="331"/>
        <w:spacing w:after="0" w:line="271"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27" w:lineRule="exact"/>
        <w:rPr>
          <w:rFonts w:ascii="Arial" w:cs="Arial" w:eastAsia="Arial" w:hAnsi="Arial"/>
          <w:sz w:val="18"/>
          <w:szCs w:val="18"/>
          <w:color w:val="auto"/>
        </w:rPr>
      </w:pPr>
    </w:p>
    <w:p>
      <w:pPr>
        <w:ind w:left="1000" w:right="160" w:hanging="331"/>
        <w:spacing w:after="0" w:line="271"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81" w:lineRule="exact"/>
        <w:rPr>
          <w:rFonts w:ascii="Arial" w:cs="Arial" w:eastAsia="Arial" w:hAnsi="Arial"/>
          <w:sz w:val="18"/>
          <w:szCs w:val="18"/>
          <w:color w:val="auto"/>
        </w:rPr>
      </w:pPr>
    </w:p>
    <w:p>
      <w:pPr>
        <w:ind w:left="1000" w:right="500" w:hanging="331"/>
        <w:spacing w:after="0" w:line="271"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Exercise of Subscription Rights</w:t>
      </w:r>
    </w:p>
    <w:p>
      <w:pPr>
        <w:spacing w:after="0" w:line="118" w:lineRule="exact"/>
        <w:rPr>
          <w:sz w:val="20"/>
          <w:szCs w:val="20"/>
          <w:color w:val="auto"/>
        </w:rPr>
      </w:pPr>
    </w:p>
    <w:p>
      <w:pPr>
        <w:ind w:left="140" w:right="60" w:firstLine="437"/>
        <w:spacing w:after="0" w:line="254"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9" w:lineRule="exact"/>
        <w:rPr>
          <w:sz w:val="20"/>
          <w:szCs w:val="20"/>
          <w:color w:val="auto"/>
        </w:rPr>
      </w:pPr>
    </w:p>
    <w:p>
      <w:pPr>
        <w:jc w:val="both"/>
        <w:ind w:left="140" w:right="20" w:firstLine="437"/>
        <w:spacing w:after="0" w:line="307"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w:t>
      </w:r>
    </w:p>
    <w:p>
      <w:pPr>
        <w:spacing w:after="0" w:line="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2240" w:h="15840" w:orient="portrait"/>
          <w:cols w:equalWidth="0" w:num="1">
            <w:col w:w="10960"/>
          </w:cols>
          <w:pgMar w:left="520" w:top="316" w:right="760"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line="259" w:lineRule="auto"/>
        <w:rPr>
          <w:sz w:val="20"/>
          <w:szCs w:val="20"/>
          <w:color w:val="auto"/>
        </w:rPr>
      </w:pPr>
      <w:r>
        <w:rPr>
          <w:rFonts w:ascii="Arial" w:cs="Arial" w:eastAsia="Arial" w:hAnsi="Arial"/>
          <w:sz w:val="18"/>
          <w:szCs w:val="18"/>
          <w:color w:val="auto"/>
        </w:rPr>
        <w:t>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116</w:t>
      </w:r>
    </w:p>
    <w:p>
      <w:pPr>
        <w:sectPr>
          <w:pgSz w:w="12240" w:h="15840" w:orient="portrait"/>
          <w:cols w:equalWidth="0" w:num="1">
            <w:col w:w="10720"/>
          </w:cols>
          <w:pgMar w:left="520" w:top="316" w:right="1000"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ind w:left="140" w:firstLine="437"/>
        <w:spacing w:after="0" w:line="252" w:lineRule="auto"/>
        <w:rPr>
          <w:sz w:val="20"/>
          <w:szCs w:val="20"/>
          <w:color w:val="auto"/>
        </w:rPr>
      </w:pPr>
      <w:r>
        <w:rPr>
          <w:rFonts w:ascii="Arial" w:cs="Arial" w:eastAsia="Arial" w:hAnsi="Arial"/>
          <w:sz w:val="18"/>
          <w:szCs w:val="18"/>
          <w:color w:val="auto"/>
        </w:rPr>
        <w:t>As of December 31, 2018 and September 30, 2018, we had $250.0 million in aggregate principal amount of 2019 Notes outstanding. Interest on the 2019 Notes accrued at a rate of 4.50% per year and was paid semi-annually. On January 31, 2019, the Company announced the redemption of $250.0 million outstanding aggregate principal amount of its 2019 Notes. The 2019 Notes will be prepaid at 100% of the principal amount, plus accrued and unpaid interest through the payment date of March 4, 2019, as well as a make-whole premium.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Facility.</w:t>
      </w:r>
    </w:p>
    <w:p>
      <w:pPr>
        <w:spacing w:after="0" w:line="200" w:lineRule="exact"/>
        <w:rPr>
          <w:sz w:val="20"/>
          <w:szCs w:val="20"/>
          <w:color w:val="auto"/>
        </w:rPr>
      </w:pPr>
    </w:p>
    <w:p>
      <w:pPr>
        <w:spacing w:after="0" w:line="233" w:lineRule="exact"/>
        <w:rPr>
          <w:sz w:val="20"/>
          <w:szCs w:val="20"/>
          <w:color w:val="auto"/>
        </w:rPr>
      </w:pPr>
    </w:p>
    <w:p>
      <w:pPr>
        <w:ind w:left="140" w:right="140" w:firstLine="437"/>
        <w:spacing w:after="0" w:line="272" w:lineRule="auto"/>
        <w:rPr>
          <w:sz w:val="20"/>
          <w:szCs w:val="20"/>
          <w:color w:val="auto"/>
        </w:rPr>
      </w:pPr>
      <w:r>
        <w:rPr>
          <w:rFonts w:ascii="Arial" w:cs="Arial" w:eastAsia="Arial" w:hAnsi="Arial"/>
          <w:sz w:val="17"/>
          <w:szCs w:val="17"/>
          <w:color w:val="auto"/>
        </w:rPr>
        <w:t>In January 2013, we issued $71.3 million in aggregate principal amount of 2025 Notes. Interest on the 2025 Notes accrued at a rate of 6.25% per year and was paid quarterly. On June 29, 2017, the 2025 Notes were redeemed in full and no amounts were outstanding as of December 31, 2018 or September 30, 2018.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w:t>
      </w:r>
    </w:p>
    <w:p>
      <w:pPr>
        <w:spacing w:after="0" w:line="177" w:lineRule="exact"/>
        <w:rPr>
          <w:sz w:val="20"/>
          <w:szCs w:val="20"/>
          <w:color w:val="auto"/>
        </w:rPr>
      </w:pPr>
    </w:p>
    <w:p>
      <w:pPr>
        <w:ind w:left="140" w:right="220" w:firstLine="437"/>
        <w:spacing w:after="0" w:line="255"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91" w:lineRule="exact"/>
        <w:rPr>
          <w:sz w:val="20"/>
          <w:szCs w:val="20"/>
          <w:color w:val="auto"/>
        </w:rPr>
      </w:pPr>
    </w:p>
    <w:p>
      <w:pPr>
        <w:ind w:left="140" w:firstLine="437"/>
        <w:spacing w:after="0" w:line="293"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62" w:lineRule="exact"/>
        <w:rPr>
          <w:sz w:val="20"/>
          <w:szCs w:val="20"/>
          <w:color w:val="auto"/>
        </w:rPr>
      </w:pPr>
    </w:p>
    <w:p>
      <w:pPr>
        <w:ind w:left="140" w:firstLine="437"/>
        <w:spacing w:after="0" w:line="297"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prospectus supplement, which will accompany this prospectus, will describe the particular series of debt securities being offered by including:</w:t>
      </w:r>
    </w:p>
    <w:p>
      <w:pPr>
        <w:spacing w:after="0" w:line="151" w:lineRule="exact"/>
        <w:rPr>
          <w:sz w:val="20"/>
          <w:szCs w:val="20"/>
          <w:color w:val="auto"/>
        </w:rPr>
      </w:pPr>
    </w:p>
    <w:p>
      <w:pPr>
        <w:ind w:left="1000" w:hanging="33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27" w:lineRule="exact"/>
        <w:rPr>
          <w:rFonts w:ascii="Arial" w:cs="Arial" w:eastAsia="Arial" w:hAnsi="Arial"/>
          <w:sz w:val="18"/>
          <w:szCs w:val="18"/>
          <w:color w:val="auto"/>
        </w:rPr>
      </w:pPr>
    </w:p>
    <w:p>
      <w:pPr>
        <w:ind w:left="1000" w:right="280" w:hanging="331"/>
        <w:spacing w:after="0" w:line="271"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2240" w:h="15840" w:orient="portrait"/>
          <w:cols w:equalWidth="0" w:num="1">
            <w:col w:w="11040"/>
          </w:cols>
          <w:pgMar w:left="520" w:top="316" w:right="680"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240" w:hanging="331"/>
        <w:spacing w:after="0" w:line="271"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27" w:lineRule="exact"/>
        <w:rPr>
          <w:rFonts w:ascii="Arial" w:cs="Arial" w:eastAsia="Arial" w:hAnsi="Arial"/>
          <w:sz w:val="18"/>
          <w:szCs w:val="18"/>
          <w:color w:val="auto"/>
        </w:rPr>
      </w:pPr>
    </w:p>
    <w:p>
      <w:pPr>
        <w:jc w:val="both"/>
        <w:ind w:left="1000" w:right="60" w:hanging="331"/>
        <w:spacing w:after="0" w:line="259"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92" w:lineRule="exact"/>
        <w:rPr>
          <w:rFonts w:ascii="Arial" w:cs="Arial" w:eastAsia="Arial" w:hAnsi="Arial"/>
          <w:sz w:val="18"/>
          <w:szCs w:val="18"/>
          <w:color w:val="auto"/>
        </w:rPr>
      </w:pPr>
    </w:p>
    <w:p>
      <w:pPr>
        <w:ind w:left="1000" w:right="160" w:hanging="331"/>
        <w:spacing w:after="0" w:line="271"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27" w:lineRule="exact"/>
        <w:rPr>
          <w:rFonts w:ascii="Arial" w:cs="Arial" w:eastAsia="Arial" w:hAnsi="Arial"/>
          <w:sz w:val="18"/>
          <w:szCs w:val="18"/>
          <w:color w:val="auto"/>
        </w:rPr>
      </w:pPr>
    </w:p>
    <w:p>
      <w:pPr>
        <w:ind w:left="1000" w:right="120" w:hanging="331"/>
        <w:spacing w:after="0" w:line="335"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5" w:lineRule="exact"/>
        <w:rPr>
          <w:rFonts w:ascii="Arial" w:cs="Arial" w:eastAsia="Arial" w:hAnsi="Arial"/>
          <w:sz w:val="16"/>
          <w:szCs w:val="16"/>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1"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140" w:right="120" w:firstLine="437"/>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6" w:lineRule="exact"/>
        <w:rPr>
          <w:sz w:val="20"/>
          <w:szCs w:val="20"/>
          <w:color w:val="auto"/>
        </w:rPr>
      </w:pPr>
    </w:p>
    <w:p>
      <w:pPr>
        <w:ind w:left="140" w:right="540" w:firstLine="437"/>
        <w:spacing w:after="0" w:line="271"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2240" w:h="15840" w:orient="portrait"/>
          <w:cols w:equalWidth="0" w:num="1">
            <w:col w:w="11020"/>
          </w:cols>
          <w:pgMar w:left="520" w:top="316" w:right="700"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80" w:firstLine="437"/>
        <w:spacing w:after="0" w:line="287"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67" w:lineRule="exact"/>
        <w:rPr>
          <w:sz w:val="20"/>
          <w:szCs w:val="20"/>
          <w:color w:val="auto"/>
        </w:rPr>
      </w:pPr>
    </w:p>
    <w:p>
      <w:pPr>
        <w:ind w:left="140" w:right="60" w:firstLine="437"/>
        <w:spacing w:after="0" w:line="271"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5" w:lineRule="exact"/>
        <w:rPr>
          <w:sz w:val="20"/>
          <w:szCs w:val="20"/>
          <w:color w:val="auto"/>
        </w:rPr>
      </w:pPr>
    </w:p>
    <w:p>
      <w:pPr>
        <w:ind w:left="140" w:right="20" w:firstLine="437"/>
        <w:spacing w:after="0" w:line="301"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52" w:lineRule="exact"/>
        <w:rPr>
          <w:sz w:val="20"/>
          <w:szCs w:val="20"/>
          <w:color w:val="auto"/>
        </w:rPr>
      </w:pPr>
    </w:p>
    <w:p>
      <w:pPr>
        <w:ind w:left="140" w:right="80" w:firstLine="437"/>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6" w:lineRule="exact"/>
        <w:rPr>
          <w:sz w:val="20"/>
          <w:szCs w:val="20"/>
          <w:color w:val="auto"/>
        </w:rPr>
      </w:pPr>
    </w:p>
    <w:p>
      <w:pPr>
        <w:ind w:left="140" w:right="200" w:firstLine="437"/>
        <w:spacing w:after="0" w:line="272"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Conversion and Exchange</w:t>
      </w:r>
    </w:p>
    <w:p>
      <w:pPr>
        <w:spacing w:after="0" w:line="118" w:lineRule="exact"/>
        <w:rPr>
          <w:sz w:val="20"/>
          <w:szCs w:val="20"/>
          <w:color w:val="auto"/>
        </w:rPr>
      </w:pPr>
    </w:p>
    <w:p>
      <w:pPr>
        <w:ind w:left="140" w:firstLine="437"/>
        <w:spacing w:after="0" w:line="290"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18" w:lineRule="exact"/>
        <w:rPr>
          <w:sz w:val="20"/>
          <w:szCs w:val="20"/>
          <w:color w:val="auto"/>
        </w:rPr>
      </w:pPr>
    </w:p>
    <w:p>
      <w:pPr>
        <w:ind w:left="140" w:right="140" w:firstLine="437"/>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6" w:lineRule="exact"/>
        <w:rPr>
          <w:sz w:val="20"/>
          <w:szCs w:val="20"/>
          <w:color w:val="auto"/>
        </w:rPr>
      </w:pPr>
    </w:p>
    <w:p>
      <w:pPr>
        <w:ind w:left="140" w:right="420" w:firstLine="437"/>
        <w:spacing w:after="0" w:line="271"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2240" w:h="15840" w:orient="portrait"/>
          <w:cols w:equalWidth="0" w:num="1">
            <w:col w:w="11020"/>
          </w:cols>
          <w:pgMar w:left="520" w:top="316" w:right="700"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400"/>
        <w:spacing w:after="0" w:line="255"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Book-Entry Holders</w:t>
      </w:r>
    </w:p>
    <w:p>
      <w:pPr>
        <w:spacing w:after="0" w:line="114" w:lineRule="exact"/>
        <w:rPr>
          <w:sz w:val="20"/>
          <w:szCs w:val="20"/>
          <w:color w:val="auto"/>
        </w:rPr>
      </w:pPr>
    </w:p>
    <w:p>
      <w:pPr>
        <w:ind w:left="140" w:right="80" w:firstLine="437"/>
        <w:spacing w:after="0" w:line="275"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5" w:lineRule="exact"/>
        <w:rPr>
          <w:sz w:val="20"/>
          <w:szCs w:val="20"/>
          <w:color w:val="auto"/>
        </w:rPr>
      </w:pPr>
    </w:p>
    <w:p>
      <w:pPr>
        <w:ind w:left="140" w:firstLine="437"/>
        <w:spacing w:after="0" w:line="272"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7" w:lineRule="exact"/>
        <w:rPr>
          <w:sz w:val="20"/>
          <w:szCs w:val="20"/>
          <w:color w:val="auto"/>
        </w:rPr>
      </w:pPr>
    </w:p>
    <w:p>
      <w:pPr>
        <w:jc w:val="both"/>
        <w:ind w:left="140" w:right="40" w:firstLine="437"/>
        <w:spacing w:after="0" w:line="282"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Street Name Holders</w:t>
      </w:r>
    </w:p>
    <w:p>
      <w:pPr>
        <w:spacing w:after="0" w:line="114" w:lineRule="exact"/>
        <w:rPr>
          <w:sz w:val="20"/>
          <w:szCs w:val="20"/>
          <w:color w:val="auto"/>
        </w:rPr>
      </w:pPr>
    </w:p>
    <w:p>
      <w:pPr>
        <w:ind w:left="140" w:right="120" w:firstLine="437"/>
        <w:spacing w:after="0" w:line="255"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91" w:lineRule="exact"/>
        <w:rPr>
          <w:sz w:val="20"/>
          <w:szCs w:val="20"/>
          <w:color w:val="auto"/>
        </w:rPr>
      </w:pPr>
    </w:p>
    <w:p>
      <w:pPr>
        <w:ind w:left="140" w:right="80" w:firstLine="437"/>
        <w:spacing w:after="0" w:line="254"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Legal Holders</w:t>
      </w:r>
    </w:p>
    <w:p>
      <w:pPr>
        <w:spacing w:after="0" w:line="114" w:lineRule="exact"/>
        <w:rPr>
          <w:sz w:val="20"/>
          <w:szCs w:val="20"/>
          <w:color w:val="auto"/>
        </w:rPr>
      </w:pPr>
    </w:p>
    <w:p>
      <w:pPr>
        <w:ind w:left="140" w:right="80" w:firstLine="437"/>
        <w:spacing w:after="0" w:line="255"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2240" w:h="15840" w:orient="portrait"/>
          <w:cols w:equalWidth="0" w:num="1">
            <w:col w:w="11060"/>
          </w:cols>
          <w:pgMar w:left="520" w:top="317" w:right="660"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100" w:firstLine="437"/>
        <w:spacing w:after="0" w:line="272"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7" w:lineRule="exact"/>
        <w:rPr>
          <w:sz w:val="20"/>
          <w:szCs w:val="20"/>
          <w:color w:val="auto"/>
        </w:rPr>
      </w:pPr>
    </w:p>
    <w:p>
      <w:pPr>
        <w:ind w:left="140" w:right="460" w:firstLine="437"/>
        <w:spacing w:after="0" w:line="259"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4" w:lineRule="exact"/>
        <w:rPr>
          <w:sz w:val="20"/>
          <w:szCs w:val="20"/>
          <w:color w:val="auto"/>
        </w:rPr>
      </w:pPr>
    </w:p>
    <w:p>
      <w:pPr>
        <w:ind w:left="140" w:right="180" w:firstLine="437"/>
        <w:spacing w:after="0" w:line="271"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81" w:lineRule="exact"/>
        <w:rPr>
          <w:sz w:val="20"/>
          <w:szCs w:val="20"/>
          <w:color w:val="auto"/>
        </w:rPr>
      </w:pPr>
    </w:p>
    <w:p>
      <w:pPr>
        <w:ind w:left="1000" w:hanging="331"/>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27" w:lineRule="exact"/>
        <w:rPr>
          <w:rFonts w:ascii="Arial" w:cs="Arial" w:eastAsia="Arial" w:hAnsi="Arial"/>
          <w:sz w:val="18"/>
          <w:szCs w:val="18"/>
          <w:color w:val="auto"/>
        </w:rPr>
      </w:pPr>
    </w:p>
    <w:p>
      <w:pPr>
        <w:ind w:left="1000" w:hanging="331"/>
        <w:spacing w:after="0" w:line="271"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81" w:lineRule="exact"/>
        <w:rPr>
          <w:rFonts w:ascii="Arial" w:cs="Arial" w:eastAsia="Arial" w:hAnsi="Arial"/>
          <w:sz w:val="18"/>
          <w:szCs w:val="18"/>
          <w:color w:val="auto"/>
        </w:rPr>
      </w:pPr>
    </w:p>
    <w:p>
      <w:pPr>
        <w:ind w:left="1000" w:right="240" w:hanging="331"/>
        <w:spacing w:after="0" w:line="271"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Global Securities</w:t>
      </w:r>
    </w:p>
    <w:p>
      <w:pPr>
        <w:spacing w:after="0" w:line="118" w:lineRule="exact"/>
        <w:rPr>
          <w:sz w:val="20"/>
          <w:szCs w:val="20"/>
          <w:color w:val="auto"/>
        </w:rPr>
      </w:pPr>
    </w:p>
    <w:p>
      <w:pPr>
        <w:ind w:left="140" w:right="220" w:firstLine="437"/>
        <w:spacing w:after="0" w:line="335"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9" w:lineRule="exact"/>
        <w:rPr>
          <w:sz w:val="20"/>
          <w:szCs w:val="20"/>
          <w:color w:val="auto"/>
        </w:rPr>
      </w:pPr>
    </w:p>
    <w:p>
      <w:pPr>
        <w:ind w:left="140" w:right="160" w:firstLine="437"/>
        <w:spacing w:after="0" w:line="255"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91" w:lineRule="exact"/>
        <w:rPr>
          <w:sz w:val="20"/>
          <w:szCs w:val="20"/>
          <w:color w:val="auto"/>
        </w:rPr>
      </w:pPr>
    </w:p>
    <w:p>
      <w:pPr>
        <w:ind w:left="140" w:right="40" w:firstLine="437"/>
        <w:spacing w:after="0" w:line="269"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2240" w:h="15840" w:orient="portrait"/>
          <w:cols w:equalWidth="0" w:num="1">
            <w:col w:w="11060"/>
          </w:cols>
          <w:pgMar w:left="520" w:top="316" w:right="660"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4" w:lineRule="exact"/>
        <w:rPr>
          <w:sz w:val="20"/>
          <w:szCs w:val="20"/>
          <w:color w:val="auto"/>
        </w:rPr>
      </w:pPr>
    </w:p>
    <w:p>
      <w:pPr>
        <w:jc w:val="both"/>
        <w:ind w:left="140" w:right="160" w:firstLine="437"/>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28" w:lineRule="exact"/>
        <w:rPr>
          <w:sz w:val="20"/>
          <w:szCs w:val="20"/>
          <w:color w:val="auto"/>
        </w:rPr>
      </w:pPr>
    </w:p>
    <w:p>
      <w:pPr>
        <w:ind w:left="1000" w:right="20" w:hanging="331"/>
        <w:spacing w:after="0" w:line="271"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81" w:lineRule="exact"/>
        <w:rPr>
          <w:rFonts w:ascii="Arial" w:cs="Arial" w:eastAsia="Arial" w:hAnsi="Arial"/>
          <w:sz w:val="18"/>
          <w:szCs w:val="18"/>
          <w:color w:val="auto"/>
        </w:rPr>
      </w:pPr>
    </w:p>
    <w:p>
      <w:pPr>
        <w:ind w:left="1000" w:right="220" w:hanging="331"/>
        <w:spacing w:after="0" w:line="259"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92" w:lineRule="exact"/>
        <w:rPr>
          <w:rFonts w:ascii="Arial" w:cs="Arial" w:eastAsia="Arial" w:hAnsi="Arial"/>
          <w:sz w:val="18"/>
          <w:szCs w:val="18"/>
          <w:color w:val="auto"/>
        </w:rPr>
      </w:pPr>
    </w:p>
    <w:p>
      <w:pPr>
        <w:ind w:left="1000" w:right="20" w:hanging="331"/>
        <w:spacing w:after="0" w:line="271"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81" w:lineRule="exact"/>
        <w:rPr>
          <w:rFonts w:ascii="Arial" w:cs="Arial" w:eastAsia="Arial" w:hAnsi="Arial"/>
          <w:sz w:val="18"/>
          <w:szCs w:val="18"/>
          <w:color w:val="auto"/>
        </w:rPr>
      </w:pPr>
    </w:p>
    <w:p>
      <w:pPr>
        <w:ind w:left="1000" w:right="600" w:hanging="331"/>
        <w:spacing w:after="0" w:line="301" w:lineRule="auto"/>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8" w:lineRule="exact"/>
        <w:rPr>
          <w:rFonts w:ascii="Arial" w:cs="Arial" w:eastAsia="Arial" w:hAnsi="Arial"/>
          <w:sz w:val="17"/>
          <w:szCs w:val="17"/>
          <w:color w:val="auto"/>
        </w:rPr>
      </w:pPr>
    </w:p>
    <w:p>
      <w:pPr>
        <w:jc w:val="both"/>
        <w:ind w:left="1000" w:right="160" w:hanging="331"/>
        <w:spacing w:after="0" w:line="307"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56" w:lineRule="exact"/>
        <w:rPr>
          <w:rFonts w:ascii="Arial" w:cs="Arial" w:eastAsia="Arial" w:hAnsi="Arial"/>
          <w:sz w:val="16"/>
          <w:szCs w:val="16"/>
          <w:color w:val="auto"/>
        </w:rPr>
      </w:pPr>
    </w:p>
    <w:p>
      <w:pPr>
        <w:ind w:left="1000" w:right="260" w:hanging="331"/>
        <w:spacing w:after="0" w:line="271"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81" w:lineRule="exact"/>
        <w:rPr>
          <w:rFonts w:ascii="Arial" w:cs="Arial" w:eastAsia="Arial" w:hAnsi="Arial"/>
          <w:sz w:val="18"/>
          <w:szCs w:val="18"/>
          <w:color w:val="auto"/>
        </w:rPr>
      </w:pPr>
    </w:p>
    <w:p>
      <w:pPr>
        <w:ind w:left="1000" w:right="60" w:hanging="331"/>
        <w:spacing w:after="0" w:line="259"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92" w:lineRule="exact"/>
        <w:rPr>
          <w:rFonts w:ascii="Arial" w:cs="Arial" w:eastAsia="Arial" w:hAnsi="Arial"/>
          <w:sz w:val="18"/>
          <w:szCs w:val="18"/>
          <w:color w:val="auto"/>
        </w:rPr>
      </w:pPr>
    </w:p>
    <w:p>
      <w:pPr>
        <w:ind w:left="1000" w:right="280" w:hanging="331"/>
        <w:spacing w:after="0" w:line="259"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92" w:lineRule="exact"/>
        <w:rPr>
          <w:rFonts w:ascii="Arial" w:cs="Arial" w:eastAsia="Arial" w:hAnsi="Arial"/>
          <w:sz w:val="18"/>
          <w:szCs w:val="18"/>
          <w:color w:val="auto"/>
        </w:rPr>
      </w:pPr>
    </w:p>
    <w:p>
      <w:pPr>
        <w:ind w:left="1000" w:hanging="331"/>
        <w:spacing w:after="0" w:line="255"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4" w:lineRule="exact"/>
        <w:rPr>
          <w:sz w:val="20"/>
          <w:szCs w:val="20"/>
          <w:color w:val="auto"/>
        </w:rPr>
      </w:pPr>
    </w:p>
    <w:p>
      <w:pPr>
        <w:ind w:left="140" w:right="20" w:firstLine="437"/>
        <w:spacing w:after="0" w:line="254"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2240" w:h="15840" w:orient="portrait"/>
          <w:cols w:equalWidth="0" w:num="1">
            <w:col w:w="11040"/>
          </w:cols>
          <w:pgMar w:left="520" w:top="316" w:right="680"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28" w:lineRule="exact"/>
        <w:rPr>
          <w:sz w:val="20"/>
          <w:szCs w:val="20"/>
          <w:color w:val="auto"/>
        </w:rPr>
      </w:pPr>
    </w:p>
    <w:p>
      <w:pPr>
        <w:ind w:left="1000" w:right="260" w:hanging="331"/>
        <w:spacing w:after="0" w:line="271"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27" w:lineRule="exact"/>
        <w:rPr>
          <w:rFonts w:ascii="Arial" w:cs="Arial" w:eastAsia="Arial" w:hAnsi="Arial"/>
          <w:sz w:val="18"/>
          <w:szCs w:val="18"/>
          <w:color w:val="auto"/>
        </w:rPr>
      </w:pPr>
    </w:p>
    <w:p>
      <w:pPr>
        <w:ind w:left="1000" w:hanging="331"/>
        <w:spacing w:after="0" w:line="271"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5" w:lineRule="exact"/>
        <w:rPr>
          <w:sz w:val="20"/>
          <w:szCs w:val="20"/>
          <w:color w:val="auto"/>
        </w:rPr>
      </w:pPr>
    </w:p>
    <w:p>
      <w:pPr>
        <w:ind w:left="140" w:right="20" w:firstLine="437"/>
        <w:spacing w:after="0" w:line="255"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Payment and Paying Agents</w:t>
      </w:r>
    </w:p>
    <w:p>
      <w:pPr>
        <w:spacing w:after="0" w:line="118" w:lineRule="exact"/>
        <w:rPr>
          <w:sz w:val="20"/>
          <w:szCs w:val="20"/>
          <w:color w:val="auto"/>
        </w:rPr>
      </w:pPr>
    </w:p>
    <w:p>
      <w:pPr>
        <w:ind w:left="140" w:right="80" w:firstLine="437"/>
        <w:spacing w:after="0" w:line="270"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Payments on Global Securities</w:t>
      </w:r>
    </w:p>
    <w:p>
      <w:pPr>
        <w:spacing w:after="0" w:line="114" w:lineRule="exact"/>
        <w:rPr>
          <w:sz w:val="20"/>
          <w:szCs w:val="20"/>
          <w:color w:val="auto"/>
        </w:rPr>
      </w:pPr>
    </w:p>
    <w:p>
      <w:pPr>
        <w:ind w:left="140" w:right="380" w:firstLine="437"/>
        <w:spacing w:after="0" w:line="255"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4" w:lineRule="exact"/>
        <w:rPr>
          <w:sz w:val="20"/>
          <w:szCs w:val="20"/>
          <w:color w:val="auto"/>
        </w:rPr>
      </w:pPr>
    </w:p>
    <w:p>
      <w:pPr>
        <w:jc w:val="both"/>
        <w:ind w:left="140" w:right="80" w:firstLine="437"/>
        <w:spacing w:after="0" w:line="275"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5" w:lineRule="exact"/>
        <w:rPr>
          <w:sz w:val="20"/>
          <w:szCs w:val="20"/>
          <w:color w:val="auto"/>
        </w:rPr>
      </w:pPr>
    </w:p>
    <w:p>
      <w:pPr>
        <w:ind w:left="140" w:right="20" w:firstLine="437"/>
        <w:spacing w:after="0" w:line="293"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2240" w:h="15840" w:orient="portrait"/>
          <w:cols w:equalWidth="0" w:num="1">
            <w:col w:w="11040"/>
          </w:cols>
          <w:pgMar w:left="520" w:top="316" w:right="680"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Payment When Offices Are Closed</w:t>
      </w:r>
    </w:p>
    <w:p>
      <w:pPr>
        <w:spacing w:after="0" w:line="114" w:lineRule="exact"/>
        <w:rPr>
          <w:sz w:val="20"/>
          <w:szCs w:val="20"/>
          <w:color w:val="auto"/>
        </w:rPr>
      </w:pPr>
    </w:p>
    <w:p>
      <w:pPr>
        <w:ind w:left="140" w:right="320" w:firstLine="437"/>
        <w:spacing w:after="0" w:line="297"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60" w:lineRule="exact"/>
        <w:rPr>
          <w:sz w:val="20"/>
          <w:szCs w:val="20"/>
          <w:color w:val="auto"/>
        </w:rPr>
      </w:pPr>
    </w:p>
    <w:p>
      <w:pPr>
        <w:ind w:left="140" w:right="480" w:firstLine="437"/>
        <w:spacing w:after="0" w:line="271"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Events of Default</w:t>
      </w:r>
    </w:p>
    <w:p>
      <w:pPr>
        <w:spacing w:after="0" w:line="118" w:lineRule="exact"/>
        <w:rPr>
          <w:sz w:val="20"/>
          <w:szCs w:val="20"/>
          <w:color w:val="auto"/>
        </w:rPr>
      </w:pPr>
    </w:p>
    <w:p>
      <w:pPr>
        <w:ind w:left="140" w:right="660" w:firstLine="437"/>
        <w:spacing w:after="0" w:line="271"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28" w:lineRule="exact"/>
        <w:rPr>
          <w:sz w:val="20"/>
          <w:szCs w:val="20"/>
          <w:color w:val="auto"/>
        </w:rPr>
      </w:pPr>
    </w:p>
    <w:p>
      <w:pPr>
        <w:ind w:left="1000" w:hanging="331"/>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27" w:lineRule="exact"/>
        <w:rPr>
          <w:rFonts w:ascii="Arial" w:cs="Arial" w:eastAsia="Arial" w:hAnsi="Arial"/>
          <w:sz w:val="18"/>
          <w:szCs w:val="18"/>
          <w:color w:val="auto"/>
        </w:rPr>
      </w:pPr>
    </w:p>
    <w:p>
      <w:pPr>
        <w:ind w:left="1000" w:hanging="331"/>
        <w:spacing w:after="0" w:line="335"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35" w:lineRule="exact"/>
        <w:rPr>
          <w:rFonts w:ascii="Arial" w:cs="Arial" w:eastAsia="Arial" w:hAnsi="Arial"/>
          <w:sz w:val="16"/>
          <w:szCs w:val="16"/>
          <w:color w:val="auto"/>
        </w:rPr>
      </w:pPr>
    </w:p>
    <w:p>
      <w:pPr>
        <w:ind w:left="1000" w:hanging="331"/>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27" w:lineRule="exact"/>
        <w:rPr>
          <w:rFonts w:ascii="Arial" w:cs="Arial" w:eastAsia="Arial" w:hAnsi="Arial"/>
          <w:sz w:val="18"/>
          <w:szCs w:val="18"/>
          <w:color w:val="auto"/>
        </w:rPr>
      </w:pPr>
    </w:p>
    <w:p>
      <w:pPr>
        <w:ind w:left="1000" w:right="600" w:hanging="331"/>
        <w:spacing w:after="0" w:line="271"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certain defaults by any of our significant subsidiaries.</w:t>
      </w:r>
    </w:p>
    <w:p>
      <w:pPr>
        <w:spacing w:after="0" w:line="175" w:lineRule="exact"/>
        <w:rPr>
          <w:sz w:val="20"/>
          <w:szCs w:val="20"/>
          <w:color w:val="auto"/>
        </w:rPr>
      </w:pPr>
    </w:p>
    <w:p>
      <w:pPr>
        <w:ind w:left="140" w:right="280" w:firstLine="437"/>
        <w:spacing w:after="0" w:line="282"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4" w:lineRule="exact"/>
        <w:rPr>
          <w:sz w:val="20"/>
          <w:szCs w:val="20"/>
          <w:color w:val="auto"/>
        </w:rPr>
      </w:pPr>
    </w:p>
    <w:p>
      <w:pPr>
        <w:ind w:left="140" w:right="200" w:firstLine="437"/>
        <w:spacing w:after="0" w:line="297"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60" w:lineRule="exact"/>
        <w:rPr>
          <w:sz w:val="20"/>
          <w:szCs w:val="20"/>
          <w:color w:val="auto"/>
        </w:rPr>
      </w:pPr>
    </w:p>
    <w:p>
      <w:pPr>
        <w:ind w:left="140" w:right="80" w:firstLine="437"/>
        <w:spacing w:after="0" w:line="252"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2240" w:h="15840" w:orient="portrait"/>
          <w:cols w:equalWidth="0" w:num="1">
            <w:col w:w="11040"/>
          </w:cols>
          <w:pgMar w:left="520" w:top="316" w:right="680"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60" w:firstLine="437"/>
        <w:spacing w:after="0" w:line="271"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81" w:lineRule="exact"/>
        <w:rPr>
          <w:sz w:val="20"/>
          <w:szCs w:val="20"/>
          <w:color w:val="auto"/>
        </w:rPr>
      </w:pPr>
    </w:p>
    <w:p>
      <w:pPr>
        <w:ind w:left="1000" w:hanging="331"/>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27" w:lineRule="exact"/>
        <w:rPr>
          <w:rFonts w:ascii="Arial" w:cs="Arial" w:eastAsia="Arial" w:hAnsi="Arial"/>
          <w:sz w:val="18"/>
          <w:szCs w:val="18"/>
          <w:color w:val="auto"/>
        </w:rPr>
      </w:pPr>
    </w:p>
    <w:p>
      <w:pPr>
        <w:ind w:left="1000" w:right="200" w:hanging="331"/>
        <w:spacing w:after="0" w:line="259"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92" w:lineRule="exact"/>
        <w:rPr>
          <w:rFonts w:ascii="Arial" w:cs="Arial" w:eastAsia="Arial" w:hAnsi="Arial"/>
          <w:sz w:val="18"/>
          <w:szCs w:val="18"/>
          <w:color w:val="auto"/>
        </w:rPr>
      </w:pPr>
    </w:p>
    <w:p>
      <w:pPr>
        <w:ind w:left="1000" w:hanging="331"/>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27" w:lineRule="exact"/>
        <w:rPr>
          <w:rFonts w:ascii="Arial" w:cs="Arial" w:eastAsia="Arial" w:hAnsi="Arial"/>
          <w:sz w:val="18"/>
          <w:szCs w:val="18"/>
          <w:color w:val="auto"/>
        </w:rPr>
      </w:pPr>
    </w:p>
    <w:p>
      <w:pPr>
        <w:ind w:left="1000" w:right="260" w:hanging="331"/>
        <w:spacing w:after="0" w:line="271"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29" w:lineRule="exact"/>
        <w:rPr>
          <w:sz w:val="20"/>
          <w:szCs w:val="20"/>
          <w:color w:val="auto"/>
        </w:rPr>
      </w:pPr>
    </w:p>
    <w:p>
      <w:pPr>
        <w:ind w:left="140" w:firstLine="437"/>
        <w:spacing w:after="0" w:line="276"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70" w:lineRule="exact"/>
        <w:rPr>
          <w:sz w:val="20"/>
          <w:szCs w:val="20"/>
          <w:color w:val="auto"/>
        </w:rPr>
      </w:pPr>
    </w:p>
    <w:p>
      <w:pPr>
        <w:ind w:left="140" w:right="340" w:firstLine="437"/>
        <w:spacing w:after="0" w:line="271"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Waiver of Default</w:t>
      </w:r>
    </w:p>
    <w:p>
      <w:pPr>
        <w:spacing w:after="0" w:line="114" w:lineRule="exact"/>
        <w:rPr>
          <w:sz w:val="20"/>
          <w:szCs w:val="20"/>
          <w:color w:val="auto"/>
        </w:rPr>
      </w:pPr>
    </w:p>
    <w:p>
      <w:pPr>
        <w:ind w:left="140" w:right="100" w:firstLine="437"/>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Merger or Consolidation</w:t>
      </w:r>
    </w:p>
    <w:p>
      <w:pPr>
        <w:spacing w:after="0" w:line="118" w:lineRule="exact"/>
        <w:rPr>
          <w:sz w:val="20"/>
          <w:szCs w:val="20"/>
          <w:color w:val="auto"/>
        </w:rPr>
      </w:pPr>
    </w:p>
    <w:p>
      <w:pPr>
        <w:ind w:left="140" w:right="520" w:firstLine="437"/>
        <w:spacing w:after="0" w:line="335"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35" w:lineRule="exact"/>
        <w:rPr>
          <w:sz w:val="20"/>
          <w:szCs w:val="20"/>
          <w:color w:val="auto"/>
        </w:rPr>
      </w:pPr>
    </w:p>
    <w:p>
      <w:pPr>
        <w:ind w:left="1000" w:hanging="331"/>
        <w:spacing w:after="0" w:line="271"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3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Modification or Waiver</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Changes Requiring Your Approval</w:t>
      </w:r>
    </w:p>
    <w:p>
      <w:pPr>
        <w:spacing w:after="0" w:line="114" w:lineRule="exact"/>
        <w:rPr>
          <w:sz w:val="20"/>
          <w:szCs w:val="20"/>
          <w:color w:val="auto"/>
        </w:rPr>
      </w:pPr>
    </w:p>
    <w:p>
      <w:pPr>
        <w:ind w:left="140" w:right="560" w:firstLine="437"/>
        <w:spacing w:after="0" w:line="271"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81" w:lineRule="exact"/>
        <w:rPr>
          <w:sz w:val="20"/>
          <w:szCs w:val="20"/>
          <w:color w:val="auto"/>
        </w:rPr>
      </w:pPr>
    </w:p>
    <w:p>
      <w:pPr>
        <w:ind w:left="5460" w:right="4720" w:hanging="4791"/>
        <w:spacing w:after="0" w:line="527" w:lineRule="auto"/>
        <w:tabs>
          <w:tab w:leader="none" w:pos="99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interest on a debt security; 125</w:t>
      </w:r>
    </w:p>
    <w:p>
      <w:pPr>
        <w:sectPr>
          <w:pgSz w:w="12240" w:h="15840" w:orient="portrait"/>
          <w:cols w:equalWidth="0" w:num="1">
            <w:col w:w="11040"/>
          </w:cols>
          <w:pgMar w:left="520" w:top="316" w:right="680"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hanging="331"/>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0" w:lineRule="exact"/>
        <w:rPr>
          <w:rFonts w:ascii="Arial" w:cs="Arial" w:eastAsia="Arial" w:hAnsi="Arial"/>
          <w:sz w:val="16"/>
          <w:szCs w:val="16"/>
          <w:color w:val="auto"/>
        </w:rPr>
      </w:pPr>
    </w:p>
    <w:p>
      <w:pPr>
        <w:ind w:left="1000" w:hanging="331"/>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27" w:lineRule="exact"/>
        <w:rPr>
          <w:rFonts w:ascii="Arial" w:cs="Arial" w:eastAsia="Arial" w:hAnsi="Arial"/>
          <w:sz w:val="18"/>
          <w:szCs w:val="18"/>
          <w:color w:val="auto"/>
        </w:rPr>
      </w:pPr>
    </w:p>
    <w:p>
      <w:pPr>
        <w:ind w:left="1000" w:right="100" w:hanging="331"/>
        <w:spacing w:after="0" w:line="271"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81" w:lineRule="exact"/>
        <w:rPr>
          <w:rFonts w:ascii="Arial" w:cs="Arial" w:eastAsia="Arial" w:hAnsi="Arial"/>
          <w:sz w:val="18"/>
          <w:szCs w:val="18"/>
          <w:color w:val="auto"/>
        </w:rPr>
      </w:pPr>
    </w:p>
    <w:p>
      <w:pPr>
        <w:ind w:left="1000" w:right="180" w:hanging="331"/>
        <w:spacing w:after="0" w:line="271"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Changes Not Requiring Approval</w:t>
      </w:r>
    </w:p>
    <w:p>
      <w:pPr>
        <w:spacing w:after="0" w:line="114" w:lineRule="exact"/>
        <w:rPr>
          <w:sz w:val="20"/>
          <w:szCs w:val="20"/>
          <w:color w:val="auto"/>
        </w:rPr>
      </w:pPr>
    </w:p>
    <w:p>
      <w:pPr>
        <w:ind w:left="140" w:right="20" w:firstLine="437"/>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28" w:lineRule="exact"/>
        <w:rPr>
          <w:sz w:val="20"/>
          <w:szCs w:val="20"/>
          <w:color w:val="auto"/>
        </w:rPr>
      </w:pPr>
    </w:p>
    <w:p>
      <w:pPr>
        <w:ind w:left="1000" w:right="260" w:hanging="331"/>
        <w:spacing w:after="0" w:line="271"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41" w:lineRule="exact"/>
        <w:rPr>
          <w:rFonts w:ascii="Arial" w:cs="Arial" w:eastAsia="Arial" w:hAnsi="Arial"/>
          <w:sz w:val="18"/>
          <w:szCs w:val="18"/>
          <w:color w:val="auto"/>
        </w:rPr>
      </w:pPr>
    </w:p>
    <w:p>
      <w:pPr>
        <w:ind w:left="1000" w:right="120" w:hanging="331"/>
        <w:spacing w:after="0" w:line="335"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1"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Further Details Concerning Voting</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28" w:lineRule="exact"/>
        <w:rPr>
          <w:sz w:val="20"/>
          <w:szCs w:val="20"/>
          <w:color w:val="auto"/>
        </w:rPr>
      </w:pPr>
    </w:p>
    <w:p>
      <w:pPr>
        <w:ind w:left="1000" w:right="60" w:hanging="331"/>
        <w:spacing w:after="0" w:line="271"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2240" w:h="15840" w:orient="portrait"/>
          <w:cols w:equalWidth="0" w:num="1">
            <w:col w:w="11040"/>
          </w:cols>
          <w:pgMar w:left="520" w:top="316" w:right="680"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280" w:hanging="331"/>
        <w:spacing w:after="0" w:line="271"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1" w:lineRule="exact"/>
        <w:rPr>
          <w:sz w:val="20"/>
          <w:szCs w:val="20"/>
          <w:color w:val="auto"/>
        </w:rPr>
      </w:pPr>
    </w:p>
    <w:p>
      <w:pPr>
        <w:ind w:left="140" w:firstLine="437"/>
        <w:spacing w:after="0" w:line="270"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5" w:lineRule="exact"/>
        <w:rPr>
          <w:sz w:val="20"/>
          <w:szCs w:val="20"/>
          <w:color w:val="auto"/>
        </w:rPr>
      </w:pPr>
    </w:p>
    <w:p>
      <w:pPr>
        <w:ind w:left="140" w:right="140" w:firstLine="437"/>
        <w:spacing w:after="0" w:line="276"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Defeasance</w:t>
      </w:r>
    </w:p>
    <w:p>
      <w:pPr>
        <w:spacing w:after="0" w:line="118" w:lineRule="exact"/>
        <w:rPr>
          <w:sz w:val="20"/>
          <w:szCs w:val="20"/>
          <w:color w:val="auto"/>
        </w:rPr>
      </w:pPr>
    </w:p>
    <w:p>
      <w:pPr>
        <w:ind w:left="140" w:right="500" w:firstLine="437"/>
        <w:spacing w:after="0" w:line="271"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Covenant Defeasance</w:t>
      </w:r>
    </w:p>
    <w:p>
      <w:pPr>
        <w:spacing w:after="0" w:line="114" w:lineRule="exact"/>
        <w:rPr>
          <w:sz w:val="20"/>
          <w:szCs w:val="20"/>
          <w:color w:val="auto"/>
        </w:rPr>
      </w:pPr>
    </w:p>
    <w:p>
      <w:pPr>
        <w:ind w:left="140" w:right="100" w:firstLine="437"/>
        <w:spacing w:after="0" w:line="272"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3" w:lineRule="exact"/>
        <w:rPr>
          <w:sz w:val="20"/>
          <w:szCs w:val="20"/>
          <w:color w:val="auto"/>
        </w:rPr>
      </w:pPr>
    </w:p>
    <w:p>
      <w:pPr>
        <w:ind w:left="1000" w:right="200" w:hanging="331"/>
        <w:spacing w:after="0" w:line="282"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3" w:lineRule="exact"/>
        <w:rPr>
          <w:rFonts w:ascii="Arial" w:cs="Arial" w:eastAsia="Arial" w:hAnsi="Arial"/>
          <w:sz w:val="17"/>
          <w:szCs w:val="17"/>
          <w:color w:val="auto"/>
        </w:rPr>
      </w:pPr>
    </w:p>
    <w:p>
      <w:pPr>
        <w:ind w:left="1000" w:right="200" w:hanging="331"/>
        <w:spacing w:after="0" w:line="259"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6" w:lineRule="exact"/>
        <w:rPr>
          <w:sz w:val="20"/>
          <w:szCs w:val="20"/>
          <w:color w:val="auto"/>
        </w:rPr>
      </w:pPr>
    </w:p>
    <w:p>
      <w:pPr>
        <w:ind w:left="140" w:right="100" w:firstLine="437"/>
        <w:spacing w:after="0" w:line="335"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9" w:lineRule="exact"/>
        <w:rPr>
          <w:sz w:val="20"/>
          <w:szCs w:val="20"/>
          <w:color w:val="auto"/>
        </w:rPr>
      </w:pPr>
    </w:p>
    <w:p>
      <w:pPr>
        <w:ind w:left="140" w:right="180" w:firstLine="437"/>
        <w:spacing w:after="0" w:line="255"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2240" w:h="15840" w:orient="portrait"/>
          <w:cols w:equalWidth="0" w:num="1">
            <w:col w:w="11040"/>
          </w:cols>
          <w:pgMar w:left="520" w:top="316" w:right="680"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Full Defeasance</w:t>
      </w:r>
    </w:p>
    <w:p>
      <w:pPr>
        <w:spacing w:after="0" w:line="114" w:lineRule="exact"/>
        <w:rPr>
          <w:sz w:val="20"/>
          <w:szCs w:val="20"/>
          <w:color w:val="auto"/>
        </w:rPr>
      </w:pPr>
    </w:p>
    <w:p>
      <w:pPr>
        <w:ind w:left="140" w:firstLine="437"/>
        <w:spacing w:after="0" w:line="301"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8" w:lineRule="exact"/>
        <w:rPr>
          <w:sz w:val="20"/>
          <w:szCs w:val="20"/>
          <w:color w:val="auto"/>
        </w:rPr>
      </w:pPr>
    </w:p>
    <w:p>
      <w:pPr>
        <w:ind w:left="1000" w:right="200" w:hanging="331"/>
        <w:spacing w:after="0" w:line="282"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3" w:lineRule="exact"/>
        <w:rPr>
          <w:rFonts w:ascii="Arial" w:cs="Arial" w:eastAsia="Arial" w:hAnsi="Arial"/>
          <w:sz w:val="17"/>
          <w:szCs w:val="17"/>
          <w:color w:val="auto"/>
        </w:rPr>
      </w:pPr>
    </w:p>
    <w:p>
      <w:pPr>
        <w:ind w:left="1000" w:right="60" w:hanging="331"/>
        <w:spacing w:after="0" w:line="270"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5" w:lineRule="exact"/>
        <w:rPr>
          <w:rFonts w:ascii="Arial" w:cs="Arial" w:eastAsia="Arial" w:hAnsi="Arial"/>
          <w:sz w:val="17"/>
          <w:szCs w:val="17"/>
          <w:color w:val="auto"/>
        </w:rPr>
      </w:pPr>
    </w:p>
    <w:p>
      <w:pPr>
        <w:ind w:left="1000" w:right="60" w:hanging="331"/>
        <w:spacing w:after="0" w:line="301"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52" w:lineRule="exact"/>
        <w:rPr>
          <w:sz w:val="20"/>
          <w:szCs w:val="20"/>
          <w:color w:val="auto"/>
        </w:rPr>
      </w:pPr>
    </w:p>
    <w:p>
      <w:pPr>
        <w:ind w:left="140" w:right="20" w:firstLine="437"/>
        <w:spacing w:after="0" w:line="275"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28" w:lineRule="exact"/>
        <w:rPr>
          <w:sz w:val="20"/>
          <w:szCs w:val="20"/>
          <w:color w:val="auto"/>
        </w:rPr>
      </w:pPr>
    </w:p>
    <w:p>
      <w:pPr>
        <w:ind w:left="1000" w:hanging="33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3" w:lineRule="exact"/>
        <w:rPr>
          <w:sz w:val="20"/>
          <w:szCs w:val="20"/>
          <w:color w:val="auto"/>
        </w:rPr>
      </w:pPr>
    </w:p>
    <w:p>
      <w:pPr>
        <w:ind w:left="140" w:right="280" w:firstLine="437"/>
        <w:spacing w:after="0" w:line="271"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5" w:lineRule="exact"/>
        <w:rPr>
          <w:sz w:val="20"/>
          <w:szCs w:val="20"/>
          <w:color w:val="auto"/>
        </w:rPr>
      </w:pPr>
    </w:p>
    <w:p>
      <w:pPr>
        <w:ind w:left="140" w:firstLine="437"/>
        <w:spacing w:after="0" w:line="259"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6" w:lineRule="exact"/>
        <w:rPr>
          <w:sz w:val="20"/>
          <w:szCs w:val="20"/>
          <w:color w:val="auto"/>
        </w:rPr>
      </w:pPr>
    </w:p>
    <w:p>
      <w:pPr>
        <w:jc w:val="both"/>
        <w:ind w:left="140" w:right="20" w:firstLine="437"/>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6" w:lineRule="exact"/>
        <w:rPr>
          <w:sz w:val="20"/>
          <w:szCs w:val="20"/>
          <w:color w:val="auto"/>
        </w:rPr>
      </w:pPr>
    </w:p>
    <w:p>
      <w:pPr>
        <w:ind w:left="140" w:right="380" w:firstLine="437"/>
        <w:spacing w:after="0" w:line="259"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2240" w:h="15840" w:orient="portrait"/>
          <w:cols w:equalWidth="0" w:num="1">
            <w:col w:w="11040"/>
          </w:cols>
          <w:pgMar w:left="520" w:top="316" w:right="680"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60" w:firstLine="437"/>
        <w:spacing w:after="0" w:line="254"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9" w:lineRule="exact"/>
        <w:rPr>
          <w:sz w:val="20"/>
          <w:szCs w:val="20"/>
          <w:color w:val="auto"/>
        </w:rPr>
      </w:pPr>
    </w:p>
    <w:p>
      <w:pPr>
        <w:ind w:left="140" w:right="700" w:firstLine="437"/>
        <w:spacing w:after="0" w:line="271"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Resignation of Trustee</w:t>
      </w:r>
    </w:p>
    <w:p>
      <w:pPr>
        <w:spacing w:after="0" w:line="118" w:lineRule="exact"/>
        <w:rPr>
          <w:sz w:val="20"/>
          <w:szCs w:val="20"/>
          <w:color w:val="auto"/>
        </w:rPr>
      </w:pPr>
    </w:p>
    <w:p>
      <w:pPr>
        <w:ind w:left="140" w:right="20" w:firstLine="437"/>
        <w:spacing w:after="0" w:line="307"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Indenture Provisions—Subordination</w:t>
      </w:r>
    </w:p>
    <w:p>
      <w:pPr>
        <w:spacing w:after="0" w:line="118" w:lineRule="exact"/>
        <w:rPr>
          <w:sz w:val="20"/>
          <w:szCs w:val="20"/>
          <w:color w:val="auto"/>
        </w:rPr>
      </w:pPr>
    </w:p>
    <w:p>
      <w:pPr>
        <w:ind w:left="140" w:right="40" w:firstLine="437"/>
        <w:spacing w:after="0" w:line="252"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2" w:lineRule="exact"/>
        <w:rPr>
          <w:sz w:val="20"/>
          <w:szCs w:val="20"/>
          <w:color w:val="auto"/>
        </w:rPr>
      </w:pPr>
    </w:p>
    <w:p>
      <w:pPr>
        <w:ind w:left="140" w:firstLine="437"/>
        <w:spacing w:after="0" w:line="252"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2" w:lineRule="exact"/>
        <w:rPr>
          <w:sz w:val="20"/>
          <w:szCs w:val="20"/>
          <w:color w:val="auto"/>
        </w:rPr>
      </w:pPr>
    </w:p>
    <w:p>
      <w:pPr>
        <w:ind w:left="140" w:right="140" w:firstLine="437"/>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28" w:lineRule="exact"/>
        <w:rPr>
          <w:sz w:val="20"/>
          <w:szCs w:val="20"/>
          <w:color w:val="auto"/>
        </w:rPr>
      </w:pPr>
    </w:p>
    <w:p>
      <w:pPr>
        <w:ind w:left="1000" w:right="80" w:hanging="331"/>
        <w:spacing w:after="0" w:line="255"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7" w:lineRule="exact"/>
        <w:rPr>
          <w:rFonts w:ascii="Arial" w:cs="Arial" w:eastAsia="Arial" w:hAnsi="Arial"/>
          <w:sz w:val="18"/>
          <w:szCs w:val="18"/>
          <w:color w:val="auto"/>
        </w:rPr>
      </w:pPr>
    </w:p>
    <w:p>
      <w:pPr>
        <w:ind w:left="1000" w:hanging="331"/>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2240" w:h="15840" w:orient="portrait"/>
          <w:cols w:equalWidth="0" w:num="1">
            <w:col w:w="11060"/>
          </w:cols>
          <w:pgMar w:left="520" w:top="316" w:right="660"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firstLine="437"/>
        <w:spacing w:after="0" w:line="301" w:lineRule="auto"/>
        <w:rPr>
          <w:sz w:val="20"/>
          <w:szCs w:val="20"/>
          <w:color w:val="auto"/>
        </w:rPr>
      </w:pPr>
      <w:r>
        <w:rPr>
          <w:rFonts w:ascii="Arial" w:cs="Arial" w:eastAsia="Arial" w:hAnsi="Arial"/>
          <w:sz w:val="17"/>
          <w:szCs w:val="17"/>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Trustee under the Indenture</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18" w:lineRule="exact"/>
        <w:rPr>
          <w:sz w:val="20"/>
          <w:szCs w:val="20"/>
          <w:color w:val="auto"/>
        </w:rPr>
      </w:pPr>
    </w:p>
    <w:p>
      <w:pPr>
        <w:ind w:left="140" w:right="460" w:firstLine="437"/>
        <w:spacing w:after="0" w:line="255"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2240" w:h="15840" w:orient="portrait"/>
          <w:cols w:equalWidth="0" w:num="1">
            <w:col w:w="11000"/>
          </w:cols>
          <w:pgMar w:left="520" w:top="316" w:right="720"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OUR UNITS</w:t>
      </w:r>
    </w:p>
    <w:p>
      <w:pPr>
        <w:spacing w:after="0" w:line="225" w:lineRule="exact"/>
        <w:rPr>
          <w:sz w:val="20"/>
          <w:szCs w:val="20"/>
          <w:color w:val="auto"/>
        </w:rPr>
      </w:pPr>
    </w:p>
    <w:p>
      <w:pPr>
        <w:ind w:left="140" w:right="100" w:firstLine="437"/>
        <w:spacing w:after="0" w:line="255"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7" w:lineRule="exact"/>
        <w:rPr>
          <w:sz w:val="20"/>
          <w:szCs w:val="20"/>
          <w:color w:val="auto"/>
        </w:rPr>
      </w:pPr>
    </w:p>
    <w:p>
      <w:pPr>
        <w:ind w:left="1000" w:right="520" w:hanging="331"/>
        <w:spacing w:after="0" w:line="271"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27" w:lineRule="exact"/>
        <w:rPr>
          <w:rFonts w:ascii="Arial" w:cs="Arial" w:eastAsia="Arial" w:hAnsi="Arial"/>
          <w:sz w:val="18"/>
          <w:szCs w:val="18"/>
          <w:color w:val="auto"/>
        </w:rPr>
      </w:pPr>
    </w:p>
    <w:p>
      <w:pPr>
        <w:ind w:left="1000" w:hanging="331"/>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328" w:lineRule="exact"/>
        <w:rPr>
          <w:sz w:val="20"/>
          <w:szCs w:val="20"/>
          <w:color w:val="auto"/>
        </w:rPr>
      </w:pPr>
    </w:p>
    <w:p>
      <w:pPr>
        <w:ind w:left="140" w:right="20" w:firstLine="437"/>
        <w:spacing w:after="0" w:line="251" w:lineRule="auto"/>
        <w:rPr>
          <w:sz w:val="20"/>
          <w:szCs w:val="20"/>
          <w:color w:val="auto"/>
        </w:rPr>
      </w:pPr>
      <w:r>
        <w:rPr>
          <w:rFonts w:ascii="Arial" w:cs="Arial" w:eastAsia="Arial" w:hAnsi="Arial"/>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5" w:lineRule="exact"/>
        <w:rPr>
          <w:sz w:val="20"/>
          <w:szCs w:val="20"/>
          <w:color w:val="auto"/>
        </w:rPr>
      </w:pPr>
    </w:p>
    <w:p>
      <w:pPr>
        <w:ind w:left="140" w:right="400" w:firstLine="437"/>
        <w:spacing w:after="0" w:line="287"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spacing w:after="0" w:line="1" w:lineRule="exact"/>
        <w:rPr>
          <w:sz w:val="20"/>
          <w:szCs w:val="20"/>
          <w:color w:val="auto"/>
        </w:rPr>
      </w:pPr>
    </w:p>
    <w:p>
      <w:pPr>
        <w:ind w:left="140" w:right="20" w:hanging="6"/>
        <w:spacing w:after="0" w:line="249" w:lineRule="auto"/>
        <w:tabs>
          <w:tab w:leader="none" w:pos="39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8" w:lineRule="exact"/>
        <w:rPr>
          <w:sz w:val="20"/>
          <w:szCs w:val="20"/>
          <w:color w:val="auto"/>
        </w:rPr>
      </w:pPr>
    </w:p>
    <w:p>
      <w:pPr>
        <w:ind w:left="140" w:right="20" w:firstLine="437"/>
        <w:spacing w:after="0" w:line="275" w:lineRule="auto"/>
        <w:rPr>
          <w:sz w:val="20"/>
          <w:szCs w:val="20"/>
          <w:color w:val="auto"/>
        </w:rPr>
      </w:pPr>
      <w:r>
        <w:rPr>
          <w:rFonts w:ascii="Arial" w:cs="Arial" w:eastAsia="Arial" w:hAnsi="Arial"/>
          <w:sz w:val="17"/>
          <w:szCs w:val="17"/>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75" w:lineRule="exact"/>
        <w:rPr>
          <w:sz w:val="20"/>
          <w:szCs w:val="20"/>
          <w:color w:val="auto"/>
        </w:rPr>
      </w:pPr>
    </w:p>
    <w:p>
      <w:pPr>
        <w:ind w:left="140" w:firstLine="437"/>
        <w:spacing w:after="0" w:line="335"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9"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2240" w:h="15840" w:orient="portrait"/>
          <w:cols w:equalWidth="0" w:num="1">
            <w:col w:w="11000"/>
          </w:cols>
          <w:pgMar w:left="520" w:top="316" w:right="720"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REGULATION</w:t>
      </w:r>
    </w:p>
    <w:p>
      <w:pPr>
        <w:spacing w:after="0" w:line="225" w:lineRule="exact"/>
        <w:rPr>
          <w:sz w:val="20"/>
          <w:szCs w:val="20"/>
          <w:color w:val="auto"/>
        </w:rPr>
      </w:pPr>
    </w:p>
    <w:p>
      <w:pPr>
        <w:ind w:left="140" w:right="40" w:firstLine="437"/>
        <w:spacing w:after="0" w:line="293"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62" w:lineRule="exact"/>
        <w:rPr>
          <w:sz w:val="20"/>
          <w:szCs w:val="20"/>
          <w:color w:val="auto"/>
        </w:rPr>
      </w:pPr>
    </w:p>
    <w:p>
      <w:pPr>
        <w:ind w:left="140" w:firstLine="437"/>
        <w:spacing w:after="0" w:line="266" w:lineRule="auto"/>
        <w:rPr>
          <w:sz w:val="20"/>
          <w:szCs w:val="20"/>
          <w:color w:val="auto"/>
        </w:rPr>
      </w:pPr>
      <w:r>
        <w:rPr>
          <w:rFonts w:ascii="Arial" w:cs="Arial" w:eastAsia="Arial" w:hAnsi="Arial"/>
          <w:sz w:val="17"/>
          <w:szCs w:val="17"/>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Qualifying Assets</w:t>
      </w:r>
    </w:p>
    <w:p>
      <w:pPr>
        <w:spacing w:after="0" w:line="118" w:lineRule="exact"/>
        <w:rPr>
          <w:sz w:val="20"/>
          <w:szCs w:val="20"/>
          <w:color w:val="auto"/>
        </w:rPr>
      </w:pPr>
    </w:p>
    <w:p>
      <w:pPr>
        <w:ind w:left="140" w:right="20" w:firstLine="437"/>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93" w:lineRule="exact"/>
        <w:rPr>
          <w:sz w:val="20"/>
          <w:szCs w:val="20"/>
          <w:color w:val="auto"/>
        </w:rPr>
      </w:pPr>
    </w:p>
    <w:p>
      <w:pPr>
        <w:ind w:left="1000" w:right="240" w:hanging="438"/>
        <w:spacing w:after="0" w:line="255"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7" w:lineRule="exact"/>
        <w:rPr>
          <w:rFonts w:ascii="Arial" w:cs="Arial" w:eastAsia="Arial" w:hAnsi="Arial"/>
          <w:sz w:val="18"/>
          <w:szCs w:val="18"/>
          <w:color w:val="auto"/>
        </w:rPr>
      </w:pPr>
    </w:p>
    <w:p>
      <w:pPr>
        <w:ind w:left="1540" w:hanging="536"/>
        <w:spacing w:after="0"/>
        <w:tabs>
          <w:tab w:leader="none" w:pos="1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27" w:lineRule="exact"/>
        <w:rPr>
          <w:rFonts w:ascii="Arial" w:cs="Arial" w:eastAsia="Arial" w:hAnsi="Arial"/>
          <w:sz w:val="18"/>
          <w:szCs w:val="18"/>
          <w:color w:val="auto"/>
        </w:rPr>
      </w:pPr>
    </w:p>
    <w:p>
      <w:pPr>
        <w:ind w:left="1540" w:right="180" w:hanging="536"/>
        <w:spacing w:after="0" w:line="301" w:lineRule="auto"/>
        <w:tabs>
          <w:tab w:leader="none" w:pos="15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is not an investment company (other than a SBIC wholly-owned by the BDC) or a company that would be an investment company but is excluded from the definition of an investment company by Section 3(c) of the 1940 Act; and</w:t>
      </w:r>
    </w:p>
    <w:p>
      <w:pPr>
        <w:spacing w:after="0" w:line="58" w:lineRule="exact"/>
        <w:rPr>
          <w:rFonts w:ascii="Arial" w:cs="Arial" w:eastAsia="Arial" w:hAnsi="Arial"/>
          <w:sz w:val="17"/>
          <w:szCs w:val="17"/>
          <w:color w:val="auto"/>
        </w:rPr>
      </w:pPr>
    </w:p>
    <w:p>
      <w:pPr>
        <w:ind w:left="1540" w:hanging="536"/>
        <w:spacing w:after="0"/>
        <w:tabs>
          <w:tab w:leader="none" w:pos="1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27" w:lineRule="exact"/>
        <w:rPr>
          <w:rFonts w:ascii="Arial" w:cs="Arial" w:eastAsia="Arial" w:hAnsi="Arial"/>
          <w:sz w:val="18"/>
          <w:szCs w:val="18"/>
          <w:color w:val="auto"/>
        </w:rPr>
      </w:pPr>
    </w:p>
    <w:p>
      <w:pPr>
        <w:ind w:left="1980" w:hanging="428"/>
        <w:spacing w:after="0"/>
        <w:tabs>
          <w:tab w:leader="none" w:pos="19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27" w:lineRule="exact"/>
        <w:rPr>
          <w:rFonts w:ascii="Arial" w:cs="Arial" w:eastAsia="Arial" w:hAnsi="Arial"/>
          <w:sz w:val="18"/>
          <w:szCs w:val="18"/>
          <w:color w:val="auto"/>
        </w:rPr>
      </w:pPr>
    </w:p>
    <w:p>
      <w:pPr>
        <w:ind w:left="1980" w:right="480" w:hanging="428"/>
        <w:spacing w:after="0" w:line="271" w:lineRule="auto"/>
        <w:tabs>
          <w:tab w:leader="none" w:pos="19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81" w:lineRule="exact"/>
        <w:rPr>
          <w:rFonts w:ascii="Arial" w:cs="Arial" w:eastAsia="Arial" w:hAnsi="Arial"/>
          <w:sz w:val="18"/>
          <w:szCs w:val="18"/>
          <w:color w:val="auto"/>
        </w:rPr>
      </w:pPr>
    </w:p>
    <w:p>
      <w:pPr>
        <w:ind w:left="1980" w:right="60" w:hanging="428"/>
        <w:spacing w:after="0" w:line="259" w:lineRule="auto"/>
        <w:tabs>
          <w:tab w:leader="none" w:pos="19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2240" w:h="15840" w:orient="portrait"/>
          <w:cols w:equalWidth="0" w:num="1">
            <w:col w:w="11040"/>
          </w:cols>
          <w:pgMar w:left="520" w:top="316" w:right="680"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hanging="43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27" w:lineRule="exact"/>
        <w:rPr>
          <w:rFonts w:ascii="Arial" w:cs="Arial" w:eastAsia="Arial" w:hAnsi="Arial"/>
          <w:sz w:val="18"/>
          <w:szCs w:val="18"/>
          <w:color w:val="auto"/>
        </w:rPr>
      </w:pPr>
    </w:p>
    <w:p>
      <w:pPr>
        <w:ind w:left="1000" w:right="360" w:hanging="438"/>
        <w:spacing w:after="0" w:line="255"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7" w:lineRule="exact"/>
        <w:rPr>
          <w:rFonts w:ascii="Arial" w:cs="Arial" w:eastAsia="Arial" w:hAnsi="Arial"/>
          <w:sz w:val="18"/>
          <w:szCs w:val="18"/>
          <w:color w:val="auto"/>
        </w:rPr>
      </w:pPr>
    </w:p>
    <w:p>
      <w:pPr>
        <w:ind w:left="1000" w:right="60" w:hanging="438"/>
        <w:spacing w:after="0" w:line="271"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81" w:lineRule="exact"/>
        <w:rPr>
          <w:rFonts w:ascii="Arial" w:cs="Arial" w:eastAsia="Arial" w:hAnsi="Arial"/>
          <w:sz w:val="18"/>
          <w:szCs w:val="18"/>
          <w:color w:val="auto"/>
        </w:rPr>
      </w:pPr>
    </w:p>
    <w:p>
      <w:pPr>
        <w:ind w:left="1000" w:right="460" w:hanging="438"/>
        <w:spacing w:after="0" w:line="271"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81" w:lineRule="exact"/>
        <w:rPr>
          <w:rFonts w:ascii="Arial" w:cs="Arial" w:eastAsia="Arial" w:hAnsi="Arial"/>
          <w:sz w:val="18"/>
          <w:szCs w:val="18"/>
          <w:color w:val="auto"/>
        </w:rPr>
      </w:pPr>
    </w:p>
    <w:p>
      <w:pPr>
        <w:ind w:left="1000" w:hanging="438"/>
        <w:spacing w:after="0"/>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244" w:lineRule="exact"/>
        <w:rPr>
          <w:sz w:val="20"/>
          <w:szCs w:val="20"/>
          <w:color w:val="auto"/>
        </w:rPr>
      </w:pPr>
    </w:p>
    <w:p>
      <w:pPr>
        <w:ind w:left="140" w:right="20" w:firstLine="437"/>
        <w:spacing w:after="0" w:line="271"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18" w:lineRule="exact"/>
        <w:rPr>
          <w:sz w:val="20"/>
          <w:szCs w:val="20"/>
          <w:color w:val="auto"/>
        </w:rPr>
      </w:pPr>
    </w:p>
    <w:p>
      <w:pPr>
        <w:ind w:left="140" w:right="80" w:firstLine="437"/>
        <w:spacing w:after="0" w:line="269" w:lineRule="auto"/>
        <w:rPr>
          <w:sz w:val="20"/>
          <w:szCs w:val="20"/>
          <w:color w:val="auto"/>
        </w:rPr>
      </w:pPr>
      <w:r>
        <w:rPr>
          <w:rFonts w:ascii="Arial" w:cs="Arial" w:eastAsia="Arial" w:hAnsi="Arial"/>
          <w:sz w:val="17"/>
          <w:szCs w:val="17"/>
          <w:color w:val="auto"/>
        </w:rPr>
        <w:t>As a BDC, we are required to make available significant managerial assistance within the meaning of Section 2(a)(47) of the 1940 Act to our portfolio companies that constitute a qualifying asset.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Temporary Investments</w:t>
      </w:r>
    </w:p>
    <w:p>
      <w:pPr>
        <w:spacing w:after="0" w:line="118" w:lineRule="exact"/>
        <w:rPr>
          <w:sz w:val="20"/>
          <w:szCs w:val="20"/>
          <w:color w:val="auto"/>
        </w:rPr>
      </w:pPr>
    </w:p>
    <w:p>
      <w:pPr>
        <w:ind w:left="140" w:firstLine="437"/>
        <w:spacing w:after="0" w:line="285"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are deemed to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Senior Securities</w:t>
      </w:r>
    </w:p>
    <w:p>
      <w:pPr>
        <w:spacing w:after="0" w:line="118" w:lineRule="exact"/>
        <w:rPr>
          <w:sz w:val="20"/>
          <w:szCs w:val="20"/>
          <w:color w:val="auto"/>
        </w:rPr>
      </w:pPr>
    </w:p>
    <w:p>
      <w:pPr>
        <w:ind w:left="140" w:right="200" w:firstLine="437"/>
        <w:spacing w:after="0" w:line="271"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and referred to as the asset</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2240" w:h="15840" w:orient="portrait"/>
          <w:cols w:equalWidth="0" w:num="1">
            <w:col w:w="11020"/>
          </w:cols>
          <w:pgMar w:left="520" w:top="316" w:right="700"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line="269" w:lineRule="auto"/>
        <w:rPr>
          <w:sz w:val="20"/>
          <w:szCs w:val="20"/>
          <w:color w:val="auto"/>
        </w:rPr>
      </w:pPr>
      <w:r>
        <w:rPr>
          <w:rFonts w:ascii="Arial" w:cs="Arial" w:eastAsia="Arial" w:hAnsi="Arial"/>
          <w:sz w:val="17"/>
          <w:szCs w:val="17"/>
          <w:color w:val="auto"/>
        </w:rPr>
        <w:t>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18" w:lineRule="exact"/>
        <w:rPr>
          <w:sz w:val="20"/>
          <w:szCs w:val="20"/>
          <w:color w:val="auto"/>
        </w:rPr>
      </w:pPr>
    </w:p>
    <w:p>
      <w:pPr>
        <w:ind w:left="140" w:right="40" w:firstLine="437"/>
        <w:spacing w:after="0" w:line="269" w:lineRule="auto"/>
        <w:rPr>
          <w:sz w:val="20"/>
          <w:szCs w:val="20"/>
          <w:color w:val="auto"/>
        </w:rPr>
      </w:pPr>
      <w:r>
        <w:rPr>
          <w:rFonts w:ascii="Arial" w:cs="Arial" w:eastAsia="Arial" w:hAnsi="Arial"/>
          <w:sz w:val="17"/>
          <w:szCs w:val="17"/>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In addition, the joint code of ethics is attached as an exhibit to our annual report on Form 10-K and is available on the EDGAR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You may also obtain a copy of our joint code of ethics,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18" w:lineRule="exact"/>
        <w:rPr>
          <w:sz w:val="20"/>
          <w:szCs w:val="20"/>
          <w:color w:val="auto"/>
        </w:rPr>
      </w:pPr>
    </w:p>
    <w:p>
      <w:pPr>
        <w:jc w:val="center"/>
        <w:ind w:left="600" w:right="60"/>
        <w:spacing w:after="0" w:line="307"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25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Introduction</w:t>
      </w:r>
    </w:p>
    <w:p>
      <w:pPr>
        <w:spacing w:after="0" w:line="114" w:lineRule="exact"/>
        <w:rPr>
          <w:sz w:val="20"/>
          <w:szCs w:val="20"/>
          <w:color w:val="auto"/>
        </w:rPr>
      </w:pPr>
    </w:p>
    <w:p>
      <w:pPr>
        <w:ind w:left="140" w:right="180" w:firstLine="437"/>
        <w:spacing w:after="0" w:line="335"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29" w:lineRule="exact"/>
        <w:rPr>
          <w:sz w:val="20"/>
          <w:szCs w:val="20"/>
          <w:color w:val="auto"/>
        </w:rPr>
      </w:pPr>
    </w:p>
    <w:p>
      <w:pPr>
        <w:ind w:left="140" w:right="520" w:firstLine="437"/>
        <w:spacing w:after="0" w:line="271"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Proxy Policies</w:t>
      </w:r>
    </w:p>
    <w:p>
      <w:pPr>
        <w:spacing w:after="0" w:line="114" w:lineRule="exact"/>
        <w:rPr>
          <w:sz w:val="20"/>
          <w:szCs w:val="20"/>
          <w:color w:val="auto"/>
        </w:rPr>
      </w:pPr>
    </w:p>
    <w:p>
      <w:pPr>
        <w:jc w:val="both"/>
        <w:ind w:left="140" w:right="120" w:firstLine="437"/>
        <w:spacing w:after="0" w:line="255" w:lineRule="auto"/>
        <w:rPr>
          <w:sz w:val="20"/>
          <w:szCs w:val="20"/>
          <w:color w:val="auto"/>
        </w:rPr>
      </w:pPr>
      <w:r>
        <w:rPr>
          <w:rFonts w:ascii="Arial" w:cs="Arial" w:eastAsia="Arial" w:hAnsi="Arial"/>
          <w:sz w:val="18"/>
          <w:szCs w:val="18"/>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91" w:lineRule="exact"/>
        <w:rPr>
          <w:sz w:val="20"/>
          <w:szCs w:val="20"/>
          <w:color w:val="auto"/>
        </w:rPr>
      </w:pPr>
    </w:p>
    <w:p>
      <w:pPr>
        <w:ind w:left="140" w:firstLine="437"/>
        <w:spacing w:after="0" w:line="272" w:lineRule="auto"/>
        <w:rPr>
          <w:sz w:val="20"/>
          <w:szCs w:val="20"/>
          <w:color w:val="auto"/>
        </w:rPr>
      </w:pPr>
      <w:r>
        <w:rPr>
          <w:rFonts w:ascii="Arial" w:cs="Arial" w:eastAsia="Arial" w:hAnsi="Arial"/>
          <w:sz w:val="17"/>
          <w:szCs w:val="17"/>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2240" w:h="15840" w:orient="portrait"/>
          <w:cols w:equalWidth="0" w:num="1">
            <w:col w:w="10960"/>
          </w:cols>
          <w:pgMar w:left="520" w:top="316" w:right="760"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Proxy Voting Records</w:t>
      </w:r>
    </w:p>
    <w:p>
      <w:pPr>
        <w:spacing w:after="0" w:line="114" w:lineRule="exact"/>
        <w:rPr>
          <w:sz w:val="20"/>
          <w:szCs w:val="20"/>
          <w:color w:val="auto"/>
        </w:rPr>
      </w:pPr>
    </w:p>
    <w:p>
      <w:pPr>
        <w:ind w:left="140" w:right="240" w:firstLine="437"/>
        <w:spacing w:after="0" w:line="335"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Privacy Protection Principles</w:t>
      </w:r>
    </w:p>
    <w:p>
      <w:pPr>
        <w:spacing w:after="0" w:line="118" w:lineRule="exact"/>
        <w:rPr>
          <w:sz w:val="20"/>
          <w:szCs w:val="20"/>
          <w:color w:val="auto"/>
        </w:rPr>
      </w:pPr>
    </w:p>
    <w:p>
      <w:pPr>
        <w:ind w:left="140" w:firstLine="437"/>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6" w:lineRule="exact"/>
        <w:rPr>
          <w:sz w:val="20"/>
          <w:szCs w:val="20"/>
          <w:color w:val="auto"/>
        </w:rPr>
      </w:pPr>
    </w:p>
    <w:p>
      <w:pPr>
        <w:ind w:left="140" w:right="80" w:firstLine="437"/>
        <w:spacing w:after="0" w:line="255"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91" w:lineRule="exact"/>
        <w:rPr>
          <w:sz w:val="20"/>
          <w:szCs w:val="20"/>
          <w:color w:val="auto"/>
        </w:rPr>
      </w:pPr>
    </w:p>
    <w:p>
      <w:pPr>
        <w:ind w:left="140" w:right="300" w:firstLine="437"/>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6" w:lineRule="exact"/>
        <w:rPr>
          <w:sz w:val="20"/>
          <w:szCs w:val="20"/>
          <w:color w:val="auto"/>
        </w:rPr>
      </w:pPr>
    </w:p>
    <w:p>
      <w:pPr>
        <w:ind w:left="140" w:right="80" w:firstLine="437"/>
        <w:spacing w:after="0" w:line="297"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26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w:t>
      </w:r>
    </w:p>
    <w:p>
      <w:pPr>
        <w:spacing w:after="0" w:line="118" w:lineRule="exact"/>
        <w:rPr>
          <w:sz w:val="20"/>
          <w:szCs w:val="20"/>
          <w:color w:val="auto"/>
        </w:rPr>
      </w:pPr>
    </w:p>
    <w:p>
      <w:pPr>
        <w:ind w:left="140" w:right="160" w:firstLine="437"/>
        <w:spacing w:after="0" w:line="335"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221" w:lineRule="exact"/>
        <w:rPr>
          <w:sz w:val="20"/>
          <w:szCs w:val="20"/>
          <w:color w:val="auto"/>
        </w:rPr>
      </w:pPr>
    </w:p>
    <w:p>
      <w:pPr>
        <w:ind w:left="140" w:right="120" w:firstLine="437"/>
        <w:spacing w:after="0" w:line="255" w:lineRule="auto"/>
        <w:rPr>
          <w:sz w:val="20"/>
          <w:szCs w:val="20"/>
          <w:color w:val="auto"/>
        </w:rPr>
      </w:pPr>
      <w:r>
        <w:rPr>
          <w:rFonts w:ascii="Arial" w:cs="Arial" w:eastAsia="Arial" w:hAnsi="Arial"/>
          <w:sz w:val="18"/>
          <w:szCs w:val="18"/>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91" w:lineRule="exact"/>
        <w:rPr>
          <w:sz w:val="20"/>
          <w:szCs w:val="20"/>
          <w:color w:val="auto"/>
        </w:rPr>
      </w:pPr>
    </w:p>
    <w:p>
      <w:pPr>
        <w:ind w:left="140" w:right="300" w:firstLine="437"/>
        <w:spacing w:after="0" w:line="282" w:lineRule="auto"/>
        <w:rPr>
          <w:sz w:val="20"/>
          <w:szCs w:val="20"/>
          <w:color w:val="auto"/>
        </w:rPr>
      </w:pPr>
      <w:r>
        <w:rPr>
          <w:rFonts w:ascii="Arial" w:cs="Arial" w:eastAsia="Arial" w:hAnsi="Arial"/>
          <w:sz w:val="17"/>
          <w:szCs w:val="17"/>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7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Sarbanes-Oxley Act of 2002</w:t>
      </w:r>
    </w:p>
    <w:p>
      <w:pPr>
        <w:spacing w:after="0" w:line="118" w:lineRule="exact"/>
        <w:rPr>
          <w:sz w:val="20"/>
          <w:szCs w:val="20"/>
          <w:color w:val="auto"/>
        </w:rPr>
      </w:pPr>
    </w:p>
    <w:p>
      <w:pPr>
        <w:ind w:left="140" w:right="400" w:firstLine="437"/>
        <w:spacing w:after="0" w:line="271" w:lineRule="auto"/>
        <w:rPr>
          <w:sz w:val="20"/>
          <w:szCs w:val="20"/>
          <w:color w:val="auto"/>
        </w:rPr>
      </w:pPr>
      <w:r>
        <w:rPr>
          <w:rFonts w:ascii="Arial" w:cs="Arial" w:eastAsia="Arial" w:hAnsi="Arial"/>
          <w:sz w:val="18"/>
          <w:szCs w:val="18"/>
          <w:color w:val="auto"/>
        </w:rPr>
        <w:t>The Sarbanes-Oxley Act imposes several regulatory requirements on publicly held companies and their insiders. Many of these requirements affect us.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2240" w:h="15840" w:orient="portrait"/>
          <w:cols w:equalWidth="0" w:num="1">
            <w:col w:w="11040"/>
          </w:cols>
          <w:pgMar w:left="520" w:top="316" w:right="680"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128" w:lineRule="exact"/>
        <w:rPr>
          <w:sz w:val="20"/>
          <w:szCs w:val="20"/>
          <w:color w:val="auto"/>
        </w:rPr>
      </w:pPr>
    </w:p>
    <w:p>
      <w:pPr>
        <w:ind w:left="1000" w:right="180" w:hanging="331"/>
        <w:spacing w:after="0" w:line="271"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Rule 13a-14 under the Exchange Act, our Chief Executive Officer and Chief Financial Officer must certify the accuracy of the financial statements contained in our periodic reports;</w:t>
      </w:r>
    </w:p>
    <w:p>
      <w:pPr>
        <w:spacing w:after="0" w:line="81" w:lineRule="exact"/>
        <w:rPr>
          <w:rFonts w:ascii="Arial" w:cs="Arial" w:eastAsia="Arial" w:hAnsi="Arial"/>
          <w:sz w:val="18"/>
          <w:szCs w:val="18"/>
          <w:color w:val="auto"/>
        </w:rPr>
      </w:pPr>
    </w:p>
    <w:p>
      <w:pPr>
        <w:ind w:left="1000" w:right="100" w:hanging="331"/>
        <w:spacing w:after="0" w:line="271"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Item 307 of Regulation S-K under the Securities Act, our periodic reports must disclose our conclusions about the effectiveness of our disclosure controls and procedures;</w:t>
      </w:r>
    </w:p>
    <w:p>
      <w:pPr>
        <w:spacing w:after="0" w:line="81" w:lineRule="exact"/>
        <w:rPr>
          <w:rFonts w:ascii="Arial" w:cs="Arial" w:eastAsia="Arial" w:hAnsi="Arial"/>
          <w:sz w:val="18"/>
          <w:szCs w:val="18"/>
          <w:color w:val="auto"/>
        </w:rPr>
      </w:pPr>
    </w:p>
    <w:p>
      <w:pPr>
        <w:ind w:left="1000" w:right="260" w:hanging="331"/>
        <w:spacing w:after="0" w:line="271"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Rule 13a-15 under the Exchange Act, our management must prepare an annual report regarding its assessment of our internal controls over financial reporting; and</w:t>
      </w:r>
    </w:p>
    <w:p>
      <w:pPr>
        <w:spacing w:after="0" w:line="81" w:lineRule="exact"/>
        <w:rPr>
          <w:rFonts w:ascii="Arial" w:cs="Arial" w:eastAsia="Arial" w:hAnsi="Arial"/>
          <w:sz w:val="18"/>
          <w:szCs w:val="18"/>
          <w:color w:val="auto"/>
        </w:rPr>
      </w:pPr>
    </w:p>
    <w:p>
      <w:pPr>
        <w:ind w:left="1000" w:hanging="331"/>
        <w:spacing w:after="0" w:line="255"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Item 308 of Regulation S-K under the Securities Act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91" w:lineRule="exact"/>
        <w:rPr>
          <w:sz w:val="20"/>
          <w:szCs w:val="20"/>
          <w:color w:val="auto"/>
        </w:rPr>
      </w:pPr>
    </w:p>
    <w:p>
      <w:pPr>
        <w:jc w:val="both"/>
        <w:ind w:left="140" w:right="20" w:firstLine="437"/>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SBA Regulations</w:t>
      </w:r>
    </w:p>
    <w:p>
      <w:pPr>
        <w:spacing w:after="0" w:line="118" w:lineRule="exact"/>
        <w:rPr>
          <w:sz w:val="20"/>
          <w:szCs w:val="20"/>
          <w:color w:val="auto"/>
        </w:rPr>
      </w:pPr>
    </w:p>
    <w:p>
      <w:pPr>
        <w:jc w:val="both"/>
        <w:ind w:left="140" w:right="20" w:firstLine="437"/>
        <w:spacing w:after="0" w:line="271" w:lineRule="auto"/>
        <w:rPr>
          <w:sz w:val="20"/>
          <w:szCs w:val="20"/>
          <w:color w:val="auto"/>
        </w:rPr>
      </w:pPr>
      <w:r>
        <w:rPr>
          <w:rFonts w:ascii="Arial" w:cs="Arial" w:eastAsia="Arial" w:hAnsi="Arial"/>
          <w:sz w:val="18"/>
          <w:szCs w:val="18"/>
          <w:color w:val="auto"/>
        </w:rPr>
        <w:t>Our SBIC Funds are licensed under the SBA as SBICs under Section 301(c) of the 1958 Act. SBIC LP and SBIC II received their licenses in 2010 and 2013, respectively.</w:t>
      </w:r>
    </w:p>
    <w:p>
      <w:pPr>
        <w:spacing w:after="0" w:line="175" w:lineRule="exact"/>
        <w:rPr>
          <w:sz w:val="20"/>
          <w:szCs w:val="20"/>
          <w:color w:val="auto"/>
        </w:rPr>
      </w:pPr>
    </w:p>
    <w:p>
      <w:pPr>
        <w:ind w:left="140" w:right="20" w:firstLine="437"/>
        <w:spacing w:after="0" w:line="285"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our SBIC Funds do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114" w:lineRule="exact"/>
        <w:rPr>
          <w:sz w:val="20"/>
          <w:szCs w:val="20"/>
          <w:color w:val="auto"/>
        </w:rPr>
      </w:pPr>
    </w:p>
    <w:p>
      <w:pPr>
        <w:ind w:left="140" w:right="40" w:firstLine="437"/>
        <w:spacing w:after="0" w:line="269" w:lineRule="auto"/>
        <w:rPr>
          <w:sz w:val="20"/>
          <w:szCs w:val="20"/>
          <w:color w:val="auto"/>
        </w:rPr>
      </w:pPr>
      <w:r>
        <w:rPr>
          <w:rFonts w:ascii="Arial" w:cs="Arial" w:eastAsia="Arial" w:hAnsi="Arial"/>
          <w:sz w:val="17"/>
          <w:szCs w:val="17"/>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2240" w:h="15840" w:orient="portrait"/>
          <w:cols w:equalWidth="0" w:num="1">
            <w:col w:w="11040"/>
          </w:cols>
          <w:pgMar w:left="520" w:top="316" w:right="680"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114" w:lineRule="exact"/>
        <w:rPr>
          <w:sz w:val="20"/>
          <w:szCs w:val="20"/>
          <w:color w:val="auto"/>
        </w:rPr>
      </w:pPr>
    </w:p>
    <w:p>
      <w:pPr>
        <w:ind w:left="140" w:right="180" w:firstLine="437"/>
        <w:spacing w:after="0" w:line="293"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30%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62" w:lineRule="exact"/>
        <w:rPr>
          <w:sz w:val="20"/>
          <w:szCs w:val="20"/>
          <w:color w:val="auto"/>
        </w:rPr>
      </w:pPr>
    </w:p>
    <w:p>
      <w:pPr>
        <w:ind w:left="140" w:right="220" w:firstLine="437"/>
        <w:spacing w:after="0" w:line="255"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Idle Funds Limitation</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limits an SBIC to investing idle funds in the following types of securities:</w:t>
      </w:r>
    </w:p>
    <w:p>
      <w:pPr>
        <w:spacing w:after="0" w:line="87" w:lineRule="exact"/>
        <w:rPr>
          <w:sz w:val="20"/>
          <w:szCs w:val="20"/>
          <w:color w:val="auto"/>
        </w:rPr>
      </w:pPr>
    </w:p>
    <w:p>
      <w:pPr>
        <w:ind w:left="1000" w:hanging="331"/>
        <w:spacing w:after="0" w:line="271"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41" w:lineRule="exact"/>
        <w:rPr>
          <w:rFonts w:ascii="Arial" w:cs="Arial" w:eastAsia="Arial" w:hAnsi="Arial"/>
          <w:sz w:val="18"/>
          <w:szCs w:val="18"/>
          <w:color w:val="auto"/>
        </w:rPr>
      </w:pPr>
    </w:p>
    <w:p>
      <w:pPr>
        <w:ind w:left="1000" w:right="60" w:hanging="331"/>
        <w:spacing w:after="0" w:line="271"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41" w:lineRule="exact"/>
        <w:rPr>
          <w:rFonts w:ascii="Arial" w:cs="Arial" w:eastAsia="Arial" w:hAnsi="Arial"/>
          <w:sz w:val="18"/>
          <w:szCs w:val="18"/>
          <w:color w:val="auto"/>
        </w:rPr>
      </w:pPr>
    </w:p>
    <w:p>
      <w:pPr>
        <w:ind w:left="1000" w:hanging="331"/>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87" w:lineRule="exact"/>
        <w:rPr>
          <w:rFonts w:ascii="Arial" w:cs="Arial" w:eastAsia="Arial" w:hAnsi="Arial"/>
          <w:sz w:val="18"/>
          <w:szCs w:val="18"/>
          <w:color w:val="auto"/>
        </w:rPr>
      </w:pPr>
    </w:p>
    <w:p>
      <w:pPr>
        <w:ind w:left="1000" w:hanging="331"/>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SBA Leverage or Debentures</w:t>
      </w:r>
    </w:p>
    <w:p>
      <w:pPr>
        <w:spacing w:after="0" w:line="114" w:lineRule="exact"/>
        <w:rPr>
          <w:sz w:val="20"/>
          <w:szCs w:val="20"/>
          <w:color w:val="auto"/>
        </w:rPr>
      </w:pPr>
    </w:p>
    <w:p>
      <w:pPr>
        <w:ind w:left="140" w:right="120" w:firstLine="437"/>
        <w:spacing w:after="0" w:line="254"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$175.0 million, which is up to twice its regulatory capital, and a maximum of $350.0 million as part of a group of SBICs under common control.</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2240" w:h="15840" w:orient="portrait"/>
          <w:cols w:equalWidth="0" w:num="1">
            <w:col w:w="11020"/>
          </w:cols>
          <w:pgMar w:left="520" w:top="316" w:right="700"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5" w:lineRule="exact"/>
        <w:rPr>
          <w:sz w:val="20"/>
          <w:szCs w:val="20"/>
          <w:color w:val="auto"/>
        </w:rPr>
      </w:pPr>
    </w:p>
    <w:p>
      <w:pPr>
        <w:ind w:left="140" w:firstLine="437"/>
        <w:spacing w:after="0" w:line="285"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2240" w:h="15840" w:orient="portrait"/>
          <w:cols w:equalWidth="0" w:num="1">
            <w:col w:w="11040"/>
          </w:cols>
          <w:pgMar w:left="520" w:top="316" w:right="680"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5" w:lineRule="exact"/>
        <w:rPr>
          <w:sz w:val="20"/>
          <w:szCs w:val="20"/>
          <w:color w:val="auto"/>
        </w:rPr>
      </w:pPr>
    </w:p>
    <w:p>
      <w:pPr>
        <w:ind w:left="140" w:firstLine="437"/>
        <w:spacing w:after="0" w:line="284"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28" w:lineRule="exact"/>
        <w:rPr>
          <w:sz w:val="20"/>
          <w:szCs w:val="20"/>
          <w:color w:val="auto"/>
        </w:rPr>
      </w:pPr>
    </w:p>
    <w:p>
      <w:pPr>
        <w:ind w:left="1000" w:hanging="331"/>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27" w:lineRule="exact"/>
        <w:rPr>
          <w:rFonts w:ascii="Arial" w:cs="Arial" w:eastAsia="Arial" w:hAnsi="Arial"/>
          <w:sz w:val="18"/>
          <w:szCs w:val="18"/>
          <w:color w:val="auto"/>
        </w:rPr>
      </w:pPr>
    </w:p>
    <w:p>
      <w:pPr>
        <w:ind w:left="1000" w:right="160" w:hanging="331"/>
        <w:spacing w:after="0" w:line="271"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81" w:lineRule="exact"/>
        <w:rPr>
          <w:rFonts w:ascii="Arial" w:cs="Arial" w:eastAsia="Arial" w:hAnsi="Arial"/>
          <w:sz w:val="18"/>
          <w:szCs w:val="18"/>
          <w:color w:val="auto"/>
        </w:rPr>
      </w:pPr>
    </w:p>
    <w:p>
      <w:pPr>
        <w:ind w:left="1000" w:right="60" w:hanging="331"/>
        <w:spacing w:after="0" w:line="259"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92" w:lineRule="exact"/>
        <w:rPr>
          <w:rFonts w:ascii="Arial" w:cs="Arial" w:eastAsia="Arial" w:hAnsi="Arial"/>
          <w:sz w:val="18"/>
          <w:szCs w:val="18"/>
          <w:color w:val="auto"/>
        </w:rPr>
      </w:pPr>
    </w:p>
    <w:p>
      <w:pPr>
        <w:ind w:left="1000" w:hanging="331"/>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1" w:lineRule="exact"/>
        <w:rPr>
          <w:sz w:val="20"/>
          <w:szCs w:val="20"/>
          <w:color w:val="auto"/>
        </w:rPr>
      </w:pPr>
    </w:p>
    <w:p>
      <w:pPr>
        <w:ind w:left="140" w:right="20" w:firstLine="437"/>
        <w:spacing w:after="0" w:line="271"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5" w:lineRule="exact"/>
        <w:rPr>
          <w:sz w:val="20"/>
          <w:szCs w:val="20"/>
          <w:color w:val="auto"/>
        </w:rPr>
      </w:pPr>
    </w:p>
    <w:p>
      <w:pPr>
        <w:ind w:left="140" w:right="60" w:firstLine="437"/>
        <w:spacing w:after="0" w:line="255"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91" w:lineRule="exact"/>
        <w:rPr>
          <w:sz w:val="20"/>
          <w:szCs w:val="20"/>
          <w:color w:val="auto"/>
        </w:rPr>
      </w:pPr>
    </w:p>
    <w:p>
      <w:pPr>
        <w:jc w:val="both"/>
        <w:ind w:left="140" w:right="120" w:firstLine="437"/>
        <w:spacing w:after="0" w:line="255"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18" w:lineRule="exact"/>
        <w:rPr>
          <w:sz w:val="20"/>
          <w:szCs w:val="20"/>
          <w:color w:val="auto"/>
        </w:rPr>
      </w:pPr>
    </w:p>
    <w:p>
      <w:pPr>
        <w:ind w:left="140" w:right="20" w:firstLine="437"/>
        <w:spacing w:after="0" w:line="272"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2240" w:h="15840" w:orient="portrait"/>
          <w:cols w:equalWidth="0" w:num="1">
            <w:col w:w="11040"/>
          </w:cols>
          <w:pgMar w:left="520" w:top="316" w:right="680"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Election to be Taxed as a RIC</w:t>
      </w:r>
    </w:p>
    <w:p>
      <w:pPr>
        <w:spacing w:after="0" w:line="118" w:lineRule="exact"/>
        <w:rPr>
          <w:sz w:val="20"/>
          <w:szCs w:val="20"/>
          <w:color w:val="auto"/>
        </w:rPr>
      </w:pPr>
    </w:p>
    <w:p>
      <w:pPr>
        <w:ind w:left="140" w:right="120" w:firstLine="437"/>
        <w:spacing w:after="0" w:line="270" w:lineRule="auto"/>
        <w:rPr>
          <w:sz w:val="20"/>
          <w:szCs w:val="20"/>
          <w:color w:val="auto"/>
        </w:rPr>
      </w:pPr>
      <w:r>
        <w:rPr>
          <w:rFonts w:ascii="Arial" w:cs="Arial" w:eastAsia="Arial" w:hAnsi="Arial"/>
          <w:sz w:val="17"/>
          <w:szCs w:val="17"/>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U.S.federal income tax purposes income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28" w:lineRule="exact"/>
        <w:rPr>
          <w:sz w:val="20"/>
          <w:szCs w:val="20"/>
          <w:color w:val="auto"/>
        </w:rPr>
      </w:pPr>
    </w:p>
    <w:p>
      <w:pPr>
        <w:ind w:left="1000" w:hanging="331"/>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27" w:lineRule="exact"/>
        <w:rPr>
          <w:rFonts w:ascii="Arial" w:cs="Arial" w:eastAsia="Arial" w:hAnsi="Arial"/>
          <w:sz w:val="18"/>
          <w:szCs w:val="18"/>
          <w:color w:val="auto"/>
        </w:rPr>
      </w:pPr>
    </w:p>
    <w:p>
      <w:pPr>
        <w:jc w:val="both"/>
        <w:ind w:left="1000" w:hanging="331"/>
        <w:spacing w:after="0" w:line="259"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92" w:lineRule="exact"/>
        <w:rPr>
          <w:rFonts w:ascii="Arial" w:cs="Arial" w:eastAsia="Arial" w:hAnsi="Arial"/>
          <w:sz w:val="18"/>
          <w:szCs w:val="18"/>
          <w:color w:val="auto"/>
        </w:rPr>
      </w:pPr>
    </w:p>
    <w:p>
      <w:pPr>
        <w:ind w:left="1000" w:hanging="331"/>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27" w:lineRule="exact"/>
        <w:rPr>
          <w:rFonts w:ascii="Arial" w:cs="Arial" w:eastAsia="Arial" w:hAnsi="Arial"/>
          <w:sz w:val="18"/>
          <w:szCs w:val="18"/>
          <w:color w:val="auto"/>
        </w:rPr>
      </w:pPr>
    </w:p>
    <w:p>
      <w:pPr>
        <w:ind w:left="1540" w:right="200" w:hanging="536"/>
        <w:spacing w:after="0" w:line="259" w:lineRule="auto"/>
        <w:tabs>
          <w:tab w:leader="none" w:pos="15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92" w:lineRule="exact"/>
        <w:rPr>
          <w:rFonts w:ascii="Arial" w:cs="Arial" w:eastAsia="Arial" w:hAnsi="Arial"/>
          <w:sz w:val="18"/>
          <w:szCs w:val="18"/>
          <w:color w:val="auto"/>
        </w:rPr>
      </w:pPr>
    </w:p>
    <w:p>
      <w:pPr>
        <w:jc w:val="both"/>
        <w:ind w:left="1540" w:hanging="536"/>
        <w:spacing w:after="0" w:line="282" w:lineRule="auto"/>
        <w:tabs>
          <w:tab w:leader="none" w:pos="15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7" w:lineRule="exact"/>
        <w:rPr>
          <w:sz w:val="20"/>
          <w:szCs w:val="20"/>
          <w:color w:val="auto"/>
        </w:rPr>
      </w:pPr>
    </w:p>
    <w:p>
      <w:pPr>
        <w:ind w:left="140" w:firstLine="437"/>
        <w:spacing w:after="0" w:line="252"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95" w:lineRule="exact"/>
        <w:rPr>
          <w:sz w:val="20"/>
          <w:szCs w:val="20"/>
          <w:color w:val="auto"/>
        </w:rPr>
      </w:pPr>
    </w:p>
    <w:p>
      <w:pPr>
        <w:ind w:left="140" w:right="20" w:firstLine="437"/>
        <w:spacing w:after="0" w:line="272"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7" w:lineRule="exact"/>
        <w:rPr>
          <w:sz w:val="20"/>
          <w:szCs w:val="20"/>
          <w:color w:val="auto"/>
        </w:rPr>
      </w:pPr>
    </w:p>
    <w:p>
      <w:pPr>
        <w:ind w:left="140" w:right="100" w:firstLine="437"/>
        <w:spacing w:after="0" w:line="275"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2240" w:h="15840" w:orient="portrait"/>
          <w:cols w:equalWidth="0" w:num="1">
            <w:col w:w="11040"/>
          </w:cols>
          <w:pgMar w:left="520" w:top="316" w:right="680"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360"/>
        <w:spacing w:after="0" w:line="271" w:lineRule="auto"/>
        <w:rPr>
          <w:sz w:val="20"/>
          <w:szCs w:val="20"/>
          <w:color w:val="auto"/>
        </w:rPr>
      </w:pPr>
      <w:r>
        <w:rPr>
          <w:rFonts w:ascii="Arial" w:cs="Arial" w:eastAsia="Arial" w:hAnsi="Arial"/>
          <w:sz w:val="18"/>
          <w:szCs w:val="18"/>
          <w:color w:val="auto"/>
        </w:rPr>
        <w:t>purposes. The Taxable Subsidiaries generally will be subject to corporate income taxes on their earnings, which ultimately will reduce our return on such income and fees.</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Taxation as a RIC</w:t>
      </w:r>
    </w:p>
    <w:p>
      <w:pPr>
        <w:spacing w:after="0" w:line="118" w:lineRule="exact"/>
        <w:rPr>
          <w:sz w:val="20"/>
          <w:szCs w:val="20"/>
          <w:color w:val="auto"/>
        </w:rPr>
      </w:pPr>
    </w:p>
    <w:p>
      <w:pPr>
        <w:ind w:left="140" w:right="20" w:firstLine="437"/>
        <w:spacing w:after="0" w:line="252"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95" w:lineRule="exact"/>
        <w:rPr>
          <w:sz w:val="20"/>
          <w:szCs w:val="20"/>
          <w:color w:val="auto"/>
        </w:rPr>
      </w:pPr>
    </w:p>
    <w:p>
      <w:pPr>
        <w:ind w:left="140" w:firstLine="437"/>
        <w:spacing w:after="0" w:line="270"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9" w:lineRule="exact"/>
        <w:rPr>
          <w:sz w:val="20"/>
          <w:szCs w:val="20"/>
          <w:color w:val="auto"/>
        </w:rPr>
      </w:pPr>
    </w:p>
    <w:p>
      <w:pPr>
        <w:ind w:left="140" w:right="80" w:firstLine="437"/>
        <w:spacing w:after="0" w:line="272"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7" w:lineRule="exact"/>
        <w:rPr>
          <w:sz w:val="20"/>
          <w:szCs w:val="20"/>
          <w:color w:val="auto"/>
        </w:rPr>
      </w:pPr>
    </w:p>
    <w:p>
      <w:pPr>
        <w:ind w:left="140" w:right="580" w:firstLine="437"/>
        <w:spacing w:after="0" w:line="259"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86" w:lineRule="exact"/>
        <w:rPr>
          <w:sz w:val="20"/>
          <w:szCs w:val="20"/>
          <w:color w:val="auto"/>
        </w:rPr>
      </w:pPr>
    </w:p>
    <w:p>
      <w:pPr>
        <w:ind w:left="140" w:right="120" w:firstLine="437"/>
        <w:spacing w:after="0" w:line="270"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Exercise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9" w:lineRule="exact"/>
        <w:rPr>
          <w:sz w:val="20"/>
          <w:szCs w:val="20"/>
          <w:color w:val="auto"/>
        </w:rPr>
      </w:pPr>
    </w:p>
    <w:p>
      <w:pPr>
        <w:ind w:left="140" w:right="40" w:firstLine="437"/>
        <w:spacing w:after="0" w:line="293"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2240" w:h="15840" w:orient="portrait"/>
          <w:cols w:equalWidth="0" w:num="1">
            <w:col w:w="11040"/>
          </w:cols>
          <w:pgMar w:left="520" w:top="316" w:right="680"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Failure to Qualify as a RIC</w:t>
      </w:r>
    </w:p>
    <w:p>
      <w:pPr>
        <w:spacing w:after="0" w:line="118" w:lineRule="exact"/>
        <w:rPr>
          <w:sz w:val="20"/>
          <w:szCs w:val="20"/>
          <w:color w:val="auto"/>
        </w:rPr>
      </w:pPr>
    </w:p>
    <w:p>
      <w:pPr>
        <w:ind w:left="140" w:right="60" w:firstLine="437"/>
        <w:spacing w:after="0" w:line="272" w:lineRule="auto"/>
        <w:rPr>
          <w:sz w:val="20"/>
          <w:szCs w:val="20"/>
          <w:color w:val="auto"/>
        </w:rPr>
      </w:pPr>
      <w:r>
        <w:rPr>
          <w:rFonts w:ascii="Arial" w:cs="Arial" w:eastAsia="Arial" w:hAnsi="Arial"/>
          <w:sz w:val="17"/>
          <w:szCs w:val="17"/>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77" w:lineRule="exact"/>
        <w:rPr>
          <w:sz w:val="20"/>
          <w:szCs w:val="20"/>
          <w:color w:val="auto"/>
        </w:rPr>
      </w:pPr>
    </w:p>
    <w:p>
      <w:pPr>
        <w:ind w:left="140" w:firstLine="437"/>
        <w:spacing w:after="0" w:line="266"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Taxation of U.S. Stockholders</w:t>
      </w:r>
    </w:p>
    <w:p>
      <w:pPr>
        <w:spacing w:after="0" w:line="118" w:lineRule="exact"/>
        <w:rPr>
          <w:sz w:val="20"/>
          <w:szCs w:val="20"/>
          <w:color w:val="auto"/>
        </w:rPr>
      </w:pPr>
    </w:p>
    <w:p>
      <w:pPr>
        <w:ind w:left="140" w:right="160" w:firstLine="437"/>
        <w:spacing w:after="0" w:line="283"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2240" w:h="15840" w:orient="portrait"/>
          <w:cols w:equalWidth="0" w:num="1">
            <w:col w:w="11020"/>
          </w:cols>
          <w:pgMar w:left="520" w:top="316" w:right="700"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firstLine="437"/>
        <w:spacing w:after="0" w:line="283"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77" w:lineRule="exact"/>
        <w:rPr>
          <w:sz w:val="20"/>
          <w:szCs w:val="20"/>
          <w:color w:val="auto"/>
        </w:rPr>
      </w:pPr>
    </w:p>
    <w:p>
      <w:pPr>
        <w:ind w:left="140" w:firstLine="437"/>
        <w:spacing w:after="0" w:line="290"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5" w:lineRule="exact"/>
        <w:rPr>
          <w:sz w:val="20"/>
          <w:szCs w:val="20"/>
          <w:color w:val="auto"/>
        </w:rPr>
      </w:pPr>
    </w:p>
    <w:p>
      <w:pPr>
        <w:jc w:val="both"/>
        <w:ind w:left="140" w:right="40" w:firstLine="437"/>
        <w:spacing w:after="0" w:line="335"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9" w:lineRule="exact"/>
        <w:rPr>
          <w:sz w:val="20"/>
          <w:szCs w:val="20"/>
          <w:color w:val="auto"/>
        </w:rPr>
      </w:pPr>
    </w:p>
    <w:p>
      <w:pPr>
        <w:ind w:left="140" w:firstLine="437"/>
        <w:spacing w:after="0" w:line="288"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7" w:lineRule="exact"/>
        <w:rPr>
          <w:sz w:val="20"/>
          <w:szCs w:val="20"/>
          <w:color w:val="auto"/>
        </w:rPr>
      </w:pPr>
    </w:p>
    <w:p>
      <w:pPr>
        <w:ind w:left="140" w:right="20" w:firstLine="437"/>
        <w:spacing w:after="0" w:line="269"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2240" w:h="15840" w:orient="portrait"/>
          <w:cols w:equalWidth="0" w:num="1">
            <w:col w:w="11000"/>
          </w:cols>
          <w:pgMar w:left="520" w:top="316" w:right="720"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260"/>
        <w:spacing w:after="0" w:line="271" w:lineRule="auto"/>
        <w:rPr>
          <w:sz w:val="20"/>
          <w:szCs w:val="20"/>
          <w:color w:val="auto"/>
        </w:rPr>
      </w:pPr>
      <w:r>
        <w:rPr>
          <w:rFonts w:ascii="Arial" w:cs="Arial" w:eastAsia="Arial" w:hAnsi="Arial"/>
          <w:sz w:val="18"/>
          <w:szCs w:val="18"/>
          <w:color w:val="auto"/>
        </w:rPr>
        <w:t>subsequent years as provided in the Code. Corporate stockholders generally may not deduct any net capital losses for a year, but may carryback such losses for three taxable years or carry forward such losses for five taxable years.</w:t>
      </w:r>
    </w:p>
    <w:p>
      <w:pPr>
        <w:spacing w:after="0" w:line="175"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91" w:lineRule="exact"/>
        <w:rPr>
          <w:sz w:val="20"/>
          <w:szCs w:val="20"/>
          <w:color w:val="auto"/>
        </w:rPr>
      </w:pPr>
    </w:p>
    <w:p>
      <w:pPr>
        <w:ind w:left="140" w:right="20" w:firstLine="437"/>
        <w:spacing w:after="0" w:line="272"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7" w:lineRule="exact"/>
        <w:rPr>
          <w:sz w:val="20"/>
          <w:szCs w:val="20"/>
          <w:color w:val="auto"/>
        </w:rPr>
      </w:pPr>
    </w:p>
    <w:p>
      <w:pPr>
        <w:jc w:val="both"/>
        <w:ind w:left="140" w:right="420" w:firstLine="437"/>
        <w:spacing w:after="0" w:line="259"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6" w:lineRule="exact"/>
        <w:rPr>
          <w:sz w:val="20"/>
          <w:szCs w:val="20"/>
          <w:color w:val="auto"/>
        </w:rPr>
      </w:pPr>
    </w:p>
    <w:p>
      <w:pPr>
        <w:ind w:left="140" w:right="40" w:firstLine="437"/>
        <w:spacing w:after="0" w:line="288"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Taxation of Non-U.S. Stockholders</w:t>
      </w:r>
    </w:p>
    <w:p>
      <w:pPr>
        <w:spacing w:after="0" w:line="118" w:lineRule="exact"/>
        <w:rPr>
          <w:sz w:val="20"/>
          <w:szCs w:val="20"/>
          <w:color w:val="auto"/>
        </w:rPr>
      </w:pPr>
    </w:p>
    <w:p>
      <w:pPr>
        <w:ind w:left="140" w:right="40" w:firstLine="437"/>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6" w:lineRule="exact"/>
        <w:rPr>
          <w:sz w:val="20"/>
          <w:szCs w:val="20"/>
          <w:color w:val="auto"/>
        </w:rPr>
      </w:pPr>
    </w:p>
    <w:p>
      <w:pPr>
        <w:ind w:left="140" w:right="100" w:firstLine="437"/>
        <w:spacing w:after="0" w:line="251"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5" w:lineRule="exact"/>
        <w:rPr>
          <w:sz w:val="20"/>
          <w:szCs w:val="20"/>
          <w:color w:val="auto"/>
        </w:rPr>
      </w:pPr>
    </w:p>
    <w:p>
      <w:pPr>
        <w:ind w:left="140" w:right="340" w:firstLine="437"/>
        <w:spacing w:after="0" w:line="259"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144</w:t>
      </w:r>
    </w:p>
    <w:p>
      <w:pPr>
        <w:sectPr>
          <w:pgSz w:w="12240" w:h="15840" w:orient="portrait"/>
          <w:cols w:equalWidth="0" w:num="1">
            <w:col w:w="11020"/>
          </w:cols>
          <w:pgMar w:left="520" w:top="316" w:right="700"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right="80"/>
        <w:spacing w:after="0" w:line="297" w:lineRule="auto"/>
        <w:rPr>
          <w:sz w:val="20"/>
          <w:szCs w:val="20"/>
          <w:color w:val="auto"/>
        </w:rPr>
      </w:pPr>
      <w:r>
        <w:rPr>
          <w:rFonts w:ascii="Arial" w:cs="Arial" w:eastAsia="Arial" w:hAnsi="Arial"/>
          <w:sz w:val="16"/>
          <w:szCs w:val="16"/>
          <w:color w:val="auto"/>
        </w:rPr>
        <w:t>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60" w:lineRule="exact"/>
        <w:rPr>
          <w:sz w:val="20"/>
          <w:szCs w:val="20"/>
          <w:color w:val="auto"/>
        </w:rPr>
      </w:pPr>
    </w:p>
    <w:p>
      <w:pPr>
        <w:ind w:left="140" w:right="20" w:firstLine="437"/>
        <w:spacing w:after="0" w:line="270"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9" w:lineRule="exact"/>
        <w:rPr>
          <w:sz w:val="20"/>
          <w:szCs w:val="20"/>
          <w:color w:val="auto"/>
        </w:rPr>
      </w:pPr>
    </w:p>
    <w:p>
      <w:pPr>
        <w:ind w:left="140" w:right="20" w:firstLine="437"/>
        <w:spacing w:after="0" w:line="270" w:lineRule="auto"/>
        <w:rPr>
          <w:sz w:val="20"/>
          <w:szCs w:val="20"/>
          <w:color w:val="auto"/>
        </w:rPr>
      </w:pPr>
      <w:r>
        <w:rPr>
          <w:rFonts w:ascii="Arial" w:cs="Arial" w:eastAsia="Arial" w:hAnsi="Arial"/>
          <w:sz w:val="17"/>
          <w:szCs w:val="17"/>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79" w:lineRule="exact"/>
        <w:rPr>
          <w:sz w:val="20"/>
          <w:szCs w:val="20"/>
          <w:color w:val="auto"/>
        </w:rPr>
      </w:pPr>
    </w:p>
    <w:p>
      <w:pPr>
        <w:ind w:left="140" w:right="120" w:firstLine="437"/>
        <w:spacing w:after="0" w:line="268"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81" w:lineRule="exact"/>
        <w:rPr>
          <w:sz w:val="20"/>
          <w:szCs w:val="20"/>
          <w:color w:val="auto"/>
        </w:rPr>
      </w:pPr>
    </w:p>
    <w:p>
      <w:pPr>
        <w:ind w:left="140" w:firstLine="437"/>
        <w:spacing w:after="0" w:line="297"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1" w:lineRule="exact"/>
        <w:rPr>
          <w:sz w:val="20"/>
          <w:szCs w:val="20"/>
          <w:color w:val="auto"/>
        </w:rPr>
      </w:pPr>
    </w:p>
    <w:p>
      <w:pPr>
        <w:ind w:left="140" w:right="440" w:firstLine="437"/>
        <w:spacing w:after="0" w:line="271"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2240" w:h="15840" w:orient="portrait"/>
          <w:cols w:equalWidth="0" w:num="1">
            <w:col w:w="11000"/>
          </w:cols>
          <w:pgMar w:left="520" w:top="316" w:right="720"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ind w:left="140" w:right="260" w:firstLine="437"/>
        <w:spacing w:after="0" w:line="255"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97" w:lineRule="exact"/>
        <w:rPr>
          <w:sz w:val="20"/>
          <w:szCs w:val="20"/>
          <w:color w:val="auto"/>
        </w:rPr>
      </w:pPr>
    </w:p>
    <w:p>
      <w:pPr>
        <w:ind w:left="1000" w:hanging="331"/>
        <w:spacing w:after="0"/>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39" w:lineRule="exact"/>
        <w:rPr>
          <w:rFonts w:ascii="Arial" w:cs="Arial" w:eastAsia="Arial" w:hAnsi="Arial"/>
          <w:sz w:val="17"/>
          <w:szCs w:val="17"/>
          <w:color w:val="auto"/>
        </w:rPr>
      </w:pPr>
    </w:p>
    <w:p>
      <w:pPr>
        <w:ind w:left="1000" w:right="280" w:hanging="331"/>
        <w:spacing w:after="0" w:line="271"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81" w:lineRule="exact"/>
        <w:rPr>
          <w:rFonts w:ascii="Arial" w:cs="Arial" w:eastAsia="Arial" w:hAnsi="Arial"/>
          <w:sz w:val="18"/>
          <w:szCs w:val="18"/>
          <w:color w:val="auto"/>
        </w:rPr>
      </w:pPr>
    </w:p>
    <w:p>
      <w:pPr>
        <w:ind w:left="1000" w:hanging="331"/>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1" w:lineRule="exact"/>
        <w:rPr>
          <w:sz w:val="20"/>
          <w:szCs w:val="20"/>
          <w:color w:val="auto"/>
        </w:rPr>
      </w:pPr>
    </w:p>
    <w:p>
      <w:pPr>
        <w:jc w:val="both"/>
        <w:ind w:left="140" w:firstLine="437"/>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6" w:lineRule="exact"/>
        <w:rPr>
          <w:sz w:val="20"/>
          <w:szCs w:val="20"/>
          <w:color w:val="auto"/>
        </w:rPr>
      </w:pPr>
    </w:p>
    <w:p>
      <w:pPr>
        <w:ind w:left="140" w:right="40" w:firstLine="437"/>
        <w:spacing w:after="0" w:line="272"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7" w:lineRule="exact"/>
        <w:rPr>
          <w:sz w:val="20"/>
          <w:szCs w:val="20"/>
          <w:color w:val="auto"/>
        </w:rPr>
      </w:pPr>
    </w:p>
    <w:p>
      <w:pPr>
        <w:ind w:left="140" w:right="260" w:firstLine="437"/>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6" w:lineRule="exact"/>
        <w:rPr>
          <w:sz w:val="20"/>
          <w:szCs w:val="20"/>
          <w:color w:val="auto"/>
        </w:rPr>
      </w:pPr>
    </w:p>
    <w:p>
      <w:pPr>
        <w:ind w:left="140" w:right="200" w:firstLine="437"/>
        <w:spacing w:after="0" w:line="335"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9" w:lineRule="exact"/>
        <w:rPr>
          <w:sz w:val="20"/>
          <w:szCs w:val="20"/>
          <w:color w:val="auto"/>
        </w:rPr>
      </w:pPr>
    </w:p>
    <w:p>
      <w:pPr>
        <w:ind w:left="140" w:right="100" w:firstLine="437"/>
        <w:spacing w:after="0" w:line="255"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91" w:lineRule="exact"/>
        <w:rPr>
          <w:sz w:val="20"/>
          <w:szCs w:val="20"/>
          <w:color w:val="auto"/>
        </w:rPr>
      </w:pPr>
    </w:p>
    <w:p>
      <w:pPr>
        <w:ind w:left="140" w:right="20" w:firstLine="437"/>
        <w:spacing w:after="0" w:line="252"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95" w:lineRule="exact"/>
        <w:rPr>
          <w:sz w:val="20"/>
          <w:szCs w:val="20"/>
          <w:color w:val="auto"/>
        </w:rPr>
      </w:pPr>
    </w:p>
    <w:p>
      <w:pPr>
        <w:ind w:left="140" w:right="20" w:firstLine="437"/>
        <w:spacing w:after="0" w:line="271"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2240" w:h="15840" w:orient="portrait"/>
          <w:cols w:equalWidth="0" w:num="1">
            <w:col w:w="11020"/>
          </w:cols>
          <w:pgMar w:left="520" w:top="316" w:right="700"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line="288" w:lineRule="auto"/>
        <w:rPr>
          <w:sz w:val="20"/>
          <w:szCs w:val="20"/>
          <w:color w:val="auto"/>
        </w:rPr>
      </w:pPr>
      <w:r>
        <w:rPr>
          <w:rFonts w:ascii="Arial" w:cs="Arial" w:eastAsia="Arial" w:hAnsi="Arial"/>
          <w:sz w:val="16"/>
          <w:szCs w:val="16"/>
          <w:color w:val="auto"/>
        </w:rPr>
        <w:t>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2240" w:h="15840" w:orient="portrait"/>
          <w:cols w:equalWidth="0" w:num="1">
            <w:col w:w="11000"/>
          </w:cols>
          <w:pgMar w:left="520" w:top="316" w:right="720"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5" w:lineRule="exact"/>
        <w:rPr>
          <w:sz w:val="20"/>
          <w:szCs w:val="20"/>
          <w:color w:val="auto"/>
        </w:rPr>
      </w:pPr>
    </w:p>
    <w:p>
      <w:pPr>
        <w:ind w:left="140" w:firstLine="437"/>
        <w:spacing w:after="0" w:line="270" w:lineRule="auto"/>
        <w:rPr>
          <w:sz w:val="20"/>
          <w:szCs w:val="20"/>
          <w:color w:val="auto"/>
        </w:rPr>
      </w:pPr>
      <w:r>
        <w:rPr>
          <w:rFonts w:ascii="Arial" w:cs="Arial" w:eastAsia="Arial" w:hAnsi="Arial"/>
          <w:sz w:val="17"/>
          <w:szCs w:val="17"/>
          <w:color w:val="auto"/>
        </w:rPr>
        <w:t>This prospectus is part of a registration statement that we have filed with the SEC. Commencing March 24, 2019, we will be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on or after March 24, 2019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w:t>
      </w:r>
    </w:p>
    <w:p>
      <w:pPr>
        <w:spacing w:after="0" w:line="179" w:lineRule="exact"/>
        <w:rPr>
          <w:sz w:val="20"/>
          <w:szCs w:val="20"/>
          <w:color w:val="auto"/>
        </w:rPr>
      </w:pPr>
    </w:p>
    <w:p>
      <w:pPr>
        <w:ind w:left="140" w:right="20" w:firstLine="437"/>
        <w:spacing w:after="0" w:line="290" w:lineRule="auto"/>
        <w:rPr>
          <w:sz w:val="20"/>
          <w:szCs w:val="20"/>
          <w:color w:val="auto"/>
        </w:rPr>
      </w:pPr>
      <w:r>
        <w:rPr>
          <w:rFonts w:ascii="Arial" w:cs="Arial" w:eastAsia="Arial" w:hAnsi="Arial"/>
          <w:sz w:val="16"/>
          <w:szCs w:val="16"/>
          <w:color w:val="auto"/>
        </w:rPr>
        <w:t>We incorporate by reference into this prospectus additional documents that we may file with the SEC under Section 13(a), 13(c), 14 or 15(d) of the Exchange Act, from March 24, 2019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March 23, 2019 will automatically update and may supersede information in this prospectus, any accompanying prospectus supplement and information previously filed with the SEC.</w:t>
      </w:r>
    </w:p>
    <w:p>
      <w:pPr>
        <w:spacing w:after="0" w:line="165" w:lineRule="exact"/>
        <w:rPr>
          <w:sz w:val="20"/>
          <w:szCs w:val="20"/>
          <w:color w:val="auto"/>
        </w:rPr>
      </w:pPr>
    </w:p>
    <w:p>
      <w:pPr>
        <w:ind w:left="140" w:right="20" w:firstLine="437"/>
        <w:spacing w:after="0" w:line="271" w:lineRule="auto"/>
        <w:rPr>
          <w:sz w:val="20"/>
          <w:szCs w:val="20"/>
          <w:color w:val="auto"/>
        </w:rPr>
      </w:pPr>
      <w:r>
        <w:rPr>
          <w:rFonts w:ascii="Arial" w:cs="Arial" w:eastAsia="Arial" w:hAnsi="Arial"/>
          <w:sz w:val="18"/>
          <w:szCs w:val="18"/>
          <w:color w:val="auto"/>
        </w:rPr>
        <w:t>You may request a copy of these filings (other than exhibits, unless the exhibits are specifically incorporated by reference into these documents) at no cost by writing or calling the following address and telephone number:</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PennantPark Investment Corporation</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(212) 905-1000</w:t>
      </w:r>
    </w:p>
    <w:p>
      <w:pPr>
        <w:spacing w:after="0" w:line="208" w:lineRule="exact"/>
        <w:rPr>
          <w:sz w:val="20"/>
          <w:szCs w:val="20"/>
          <w:color w:val="auto"/>
        </w:rPr>
      </w:pPr>
    </w:p>
    <w:p>
      <w:pPr>
        <w:ind w:left="140" w:right="20" w:firstLine="437"/>
        <w:spacing w:after="0" w:line="254"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2240" w:h="15840" w:orient="portrait"/>
          <w:cols w:equalWidth="0" w:num="1">
            <w:col w:w="11040"/>
          </w:cols>
          <w:pgMar w:left="520" w:top="317" w:right="680"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5" w:lineRule="exact"/>
        <w:rPr>
          <w:sz w:val="20"/>
          <w:szCs w:val="20"/>
          <w:color w:val="auto"/>
        </w:rPr>
      </w:pPr>
    </w:p>
    <w:p>
      <w:pPr>
        <w:ind w:left="140" w:right="80" w:firstLine="437"/>
        <w:spacing w:after="0" w:line="270"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served as trustee for our 2019 Notes.</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ind w:left="140" w:right="320" w:firstLine="437"/>
        <w:spacing w:after="0" w:line="271"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Maryland counsel.</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225" w:lineRule="exact"/>
        <w:rPr>
          <w:sz w:val="20"/>
          <w:szCs w:val="20"/>
          <w:color w:val="auto"/>
        </w:rPr>
      </w:pPr>
    </w:p>
    <w:p>
      <w:pPr>
        <w:ind w:left="140" w:firstLine="437"/>
        <w:spacing w:after="0" w:line="271" w:lineRule="auto"/>
        <w:rPr>
          <w:sz w:val="20"/>
          <w:szCs w:val="20"/>
          <w:color w:val="auto"/>
        </w:rPr>
      </w:pPr>
      <w:r>
        <w:rPr>
          <w:rFonts w:ascii="Arial" w:cs="Arial" w:eastAsia="Arial" w:hAnsi="Arial"/>
          <w:sz w:val="18"/>
          <w:szCs w:val="18"/>
          <w:color w:val="auto"/>
        </w:rPr>
        <w:t>Our current independent registered public accounting firm, RSM US LLP, located at 151 West 42nd Street, New York, NY 10036, has audited our financial statements as of September 30, 2018, 2017 and 2016.</w:t>
      </w:r>
    </w:p>
    <w:p>
      <w:pPr>
        <w:spacing w:after="0" w:line="175" w:lineRule="exact"/>
        <w:rPr>
          <w:sz w:val="20"/>
          <w:szCs w:val="20"/>
          <w:color w:val="auto"/>
        </w:rPr>
      </w:pPr>
    </w:p>
    <w:p>
      <w:pPr>
        <w:jc w:val="both"/>
        <w:ind w:left="140" w:right="260" w:firstLine="437"/>
        <w:spacing w:after="0" w:line="259" w:lineRule="auto"/>
        <w:rPr>
          <w:sz w:val="20"/>
          <w:szCs w:val="20"/>
          <w:color w:val="auto"/>
        </w:rPr>
      </w:pPr>
      <w:r>
        <w:rPr>
          <w:rFonts w:ascii="Arial" w:cs="Arial" w:eastAsia="Arial" w:hAnsi="Arial"/>
          <w:sz w:val="18"/>
          <w:szCs w:val="18"/>
          <w:color w:val="auto"/>
        </w:rPr>
        <w:t>The consolidated financial statements of Superior Digital Displays Holdings, Inc. and Subsidiaries as of and for the year ended September 30, 2018 included in this Prospectus and in the Registration Statement have been so included in reliance on the report of EisnerAmper LLP, Independent Auditor.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2240" w:h="15840" w:orient="portrait"/>
          <w:cols w:equalWidth="0" w:num="1">
            <w:col w:w="11000"/>
          </w:cols>
          <w:pgMar w:left="520" w:top="316" w:right="720"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Interim Financial Statements (unaudited)</w:t>
      </w:r>
    </w:p>
    <w:p>
      <w:pPr>
        <w:spacing w:after="0" w:line="244"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3"/>
        </w:trPr>
        <w:tc>
          <w:tcPr>
            <w:tcW w:w="41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56">
              <w:r>
                <w:rPr>
                  <w:rFonts w:ascii="Arial" w:cs="Arial" w:eastAsia="Arial" w:hAnsi="Arial"/>
                  <w:sz w:val="18"/>
                  <w:szCs w:val="18"/>
                  <w:color w:val="0000EE"/>
                  <w:w w:val="90"/>
                </w:rPr>
                <w:t>Report of Independent Registered Public Accounting Firm</w:t>
              </w:r>
            </w:hyperlink>
          </w:p>
        </w:tc>
        <w:tc>
          <w:tcPr>
            <w:tcW w:w="5380" w:type="dxa"/>
            <w:vAlign w:val="bottom"/>
            <w:gridSpan w:val="1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F-2</w:t>
            </w:r>
          </w:p>
        </w:tc>
      </w:tr>
      <w:tr>
        <w:trPr>
          <w:trHeight w:val="261"/>
        </w:trPr>
        <w:tc>
          <w:tcPr>
            <w:tcW w:w="80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57">
              <w:r>
                <w:rPr>
                  <w:rFonts w:ascii="Arial" w:cs="Arial" w:eastAsia="Arial" w:hAnsi="Arial"/>
                  <w:sz w:val="18"/>
                  <w:szCs w:val="18"/>
                  <w:color w:val="0000EE"/>
                  <w:w w:val="89"/>
                </w:rPr>
                <w:t>Consolidated Statements of Assets and Liabilities as of December 31, 2018 (unaudited) and September 30, 2018</w:t>
              </w:r>
            </w:hyperlink>
          </w:p>
        </w:tc>
        <w:tc>
          <w:tcPr>
            <w:tcW w:w="1500" w:type="dxa"/>
            <w:vAlign w:val="bottom"/>
            <w:gridSpan w:val="2"/>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F-3</w:t>
            </w:r>
          </w:p>
        </w:tc>
      </w:tr>
      <w:tr>
        <w:trPr>
          <w:trHeight w:val="261"/>
        </w:trPr>
        <w:tc>
          <w:tcPr>
            <w:tcW w:w="77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58">
              <w:r>
                <w:rPr>
                  <w:rFonts w:ascii="Arial" w:cs="Arial" w:eastAsia="Arial" w:hAnsi="Arial"/>
                  <w:sz w:val="18"/>
                  <w:szCs w:val="18"/>
                  <w:color w:val="0000EE"/>
                  <w:w w:val="88"/>
                </w:rPr>
                <w:t>Consolidated Statements of Operations for the three months ended December 31, 2018 and 2017 (unaudited)</w:t>
              </w:r>
            </w:hyperlink>
          </w:p>
        </w:tc>
        <w:tc>
          <w:tcPr>
            <w:tcW w:w="1800" w:type="dxa"/>
            <w:vAlign w:val="bottom"/>
            <w:gridSpan w:val="4"/>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F-4</w:t>
            </w:r>
          </w:p>
        </w:tc>
      </w:tr>
      <w:tr>
        <w:trPr>
          <w:trHeight w:val="261"/>
        </w:trPr>
        <w:tc>
          <w:tcPr>
            <w:tcW w:w="9560" w:type="dxa"/>
            <w:vAlign w:val="bottom"/>
            <w:gridSpan w:val="16"/>
          </w:tcPr>
          <w:p>
            <w:pPr>
              <w:spacing w:after="0"/>
              <w:rPr>
                <w:rFonts w:ascii="Arial" w:cs="Arial" w:eastAsia="Arial" w:hAnsi="Arial"/>
                <w:sz w:val="18"/>
                <w:szCs w:val="18"/>
                <w:color w:val="0000EE"/>
                <w:w w:val="98"/>
              </w:rPr>
            </w:pPr>
            <w:hyperlink w:anchor="page159">
              <w:r>
                <w:rPr>
                  <w:rFonts w:ascii="Arial" w:cs="Arial" w:eastAsia="Arial" w:hAnsi="Arial"/>
                  <w:sz w:val="18"/>
                  <w:szCs w:val="18"/>
                  <w:color w:val="0000EE"/>
                  <w:w w:val="98"/>
                </w:rPr>
                <w:t>Consolidated Statements of Changes in Net Assets for the three months ended December 31, 2018 and 2017 (unaudited)</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F-5</w:t>
            </w:r>
          </w:p>
        </w:tc>
      </w:tr>
      <w:tr>
        <w:trPr>
          <w:trHeight w:val="261"/>
        </w:trPr>
        <w:tc>
          <w:tcPr>
            <w:tcW w:w="78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160">
              <w:r>
                <w:rPr>
                  <w:rFonts w:ascii="Arial" w:cs="Arial" w:eastAsia="Arial" w:hAnsi="Arial"/>
                  <w:sz w:val="18"/>
                  <w:szCs w:val="18"/>
                  <w:color w:val="0000EE"/>
                  <w:w w:val="88"/>
                </w:rPr>
                <w:t>Consolidated Statements of Cash Flows for the three months ended December 31, 2018 and 2017 (unaudited)</w:t>
              </w:r>
            </w:hyperlink>
          </w:p>
        </w:tc>
        <w:tc>
          <w:tcPr>
            <w:tcW w:w="760" w:type="dxa"/>
            <w:vAlign w:val="bottom"/>
            <w:tcBorders>
              <w:top w:val="single" w:sz="8" w:color="0000EE"/>
            </w:tcBorders>
            <w:gridSpan w:val="2"/>
          </w:tcPr>
          <w:p>
            <w:pPr>
              <w:spacing w:after="0"/>
              <w:rPr>
                <w:sz w:val="22"/>
                <w:szCs w:val="22"/>
                <w:color w:val="auto"/>
              </w:rPr>
            </w:pPr>
          </w:p>
        </w:tc>
        <w:tc>
          <w:tcPr>
            <w:tcW w:w="9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F-6</w:t>
            </w:r>
          </w:p>
        </w:tc>
      </w:tr>
      <w:tr>
        <w:trPr>
          <w:trHeight w:val="261"/>
        </w:trPr>
        <w:tc>
          <w:tcPr>
            <w:tcW w:w="73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61">
              <w:r>
                <w:rPr>
                  <w:rFonts w:ascii="Arial" w:cs="Arial" w:eastAsia="Arial" w:hAnsi="Arial"/>
                  <w:sz w:val="18"/>
                  <w:szCs w:val="18"/>
                  <w:color w:val="0000EE"/>
                  <w:w w:val="88"/>
                </w:rPr>
                <w:t>Consolidated Schedules of Investments as of December 31, 2018 (unaudited) and September 30, 2018</w:t>
              </w:r>
            </w:hyperlink>
          </w:p>
        </w:tc>
        <w:tc>
          <w:tcPr>
            <w:tcW w:w="2240" w:type="dxa"/>
            <w:vAlign w:val="bottom"/>
            <w:gridSpan w:val="7"/>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F-7</w:t>
            </w:r>
          </w:p>
        </w:tc>
      </w:tr>
      <w:tr>
        <w:trPr>
          <w:trHeight w:val="261"/>
        </w:trPr>
        <w:tc>
          <w:tcPr>
            <w:tcW w:w="9560" w:type="dxa"/>
            <w:vAlign w:val="bottom"/>
            <w:gridSpan w:val="16"/>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Notes to Consolidated Financial Statements (unaudited)</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w:t>
            </w:r>
          </w:p>
        </w:tc>
      </w:tr>
      <w:tr>
        <w:trPr>
          <w:trHeight w:val="233"/>
        </w:trPr>
        <w:tc>
          <w:tcPr>
            <w:tcW w:w="33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28"/>
        </w:trPr>
        <w:tc>
          <w:tcPr>
            <w:tcW w:w="9560" w:type="dxa"/>
            <w:vAlign w:val="bottom"/>
            <w:gridSpan w:val="16"/>
          </w:tcPr>
          <w:p>
            <w:pPr>
              <w:spacing w:after="0"/>
              <w:rPr>
                <w:sz w:val="20"/>
                <w:szCs w:val="20"/>
                <w:color w:val="auto"/>
              </w:rPr>
            </w:pPr>
            <w:r>
              <w:rPr>
                <w:rFonts w:ascii="Arial" w:cs="Arial" w:eastAsia="Arial" w:hAnsi="Arial"/>
                <w:sz w:val="18"/>
                <w:szCs w:val="18"/>
                <w:b w:val="1"/>
                <w:bCs w:val="1"/>
                <w:color w:val="auto"/>
              </w:rPr>
              <w:t>Annual Financial Statments (audited)</w:t>
            </w:r>
          </w:p>
        </w:tc>
        <w:tc>
          <w:tcPr>
            <w:tcW w:w="1300" w:type="dxa"/>
            <w:vAlign w:val="bottom"/>
          </w:tcPr>
          <w:p>
            <w:pPr>
              <w:spacing w:after="0"/>
              <w:rPr>
                <w:sz w:val="24"/>
                <w:szCs w:val="24"/>
                <w:color w:val="auto"/>
              </w:rPr>
            </w:pPr>
          </w:p>
        </w:tc>
      </w:tr>
      <w:tr>
        <w:trPr>
          <w:trHeight w:val="430"/>
        </w:trPr>
        <w:tc>
          <w:tcPr>
            <w:tcW w:w="9560" w:type="dxa"/>
            <w:vAlign w:val="bottom"/>
            <w:gridSpan w:val="16"/>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Management’s Report on Internal Control over Financial Reporting</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w:t>
            </w:r>
          </w:p>
        </w:tc>
      </w:tr>
      <w:tr>
        <w:trPr>
          <w:trHeight w:val="233"/>
        </w:trPr>
        <w:tc>
          <w:tcPr>
            <w:tcW w:w="33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42"/>
        </w:trPr>
        <w:tc>
          <w:tcPr>
            <w:tcW w:w="9560" w:type="dxa"/>
            <w:vAlign w:val="bottom"/>
            <w:gridSpan w:val="16"/>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Report of Independent Registered Public Accounting Firm</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w:t>
            </w:r>
          </w:p>
        </w:tc>
      </w:tr>
      <w:tr>
        <w:trPr>
          <w:trHeight w:val="233"/>
        </w:trPr>
        <w:tc>
          <w:tcPr>
            <w:tcW w:w="33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42"/>
        </w:trPr>
        <w:tc>
          <w:tcPr>
            <w:tcW w:w="9560" w:type="dxa"/>
            <w:vAlign w:val="bottom"/>
            <w:gridSpan w:val="16"/>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Report of Independent Registered Public Accounting Firm On Internal Control Over Financial Reporting</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w:t>
            </w:r>
          </w:p>
        </w:tc>
      </w:tr>
      <w:tr>
        <w:trPr>
          <w:trHeight w:val="233"/>
        </w:trPr>
        <w:tc>
          <w:tcPr>
            <w:tcW w:w="33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42"/>
        </w:trPr>
        <w:tc>
          <w:tcPr>
            <w:tcW w:w="9560" w:type="dxa"/>
            <w:vAlign w:val="bottom"/>
            <w:gridSpan w:val="16"/>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Consolidated Statements of Assets and Liabilities as of September 30, 2018 and 2017</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w:t>
            </w:r>
          </w:p>
        </w:tc>
      </w:tr>
      <w:tr>
        <w:trPr>
          <w:trHeight w:val="233"/>
        </w:trPr>
        <w:tc>
          <w:tcPr>
            <w:tcW w:w="33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42"/>
        </w:trPr>
        <w:tc>
          <w:tcPr>
            <w:tcW w:w="9560" w:type="dxa"/>
            <w:vAlign w:val="bottom"/>
            <w:gridSpan w:val="16"/>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Consolidated Statements of Operations for the years ended September 30, 2018, 2017 and 2016</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w:t>
            </w:r>
          </w:p>
        </w:tc>
      </w:tr>
      <w:tr>
        <w:trPr>
          <w:trHeight w:val="233"/>
        </w:trPr>
        <w:tc>
          <w:tcPr>
            <w:tcW w:w="33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42"/>
        </w:trPr>
        <w:tc>
          <w:tcPr>
            <w:tcW w:w="9560" w:type="dxa"/>
            <w:vAlign w:val="bottom"/>
            <w:gridSpan w:val="16"/>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Consolidated Statements of Changes in Net Assets for the years ended September 30, 2018, 2017 and 2016</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w:t>
            </w:r>
          </w:p>
        </w:tc>
      </w:tr>
      <w:tr>
        <w:trPr>
          <w:trHeight w:val="233"/>
        </w:trPr>
        <w:tc>
          <w:tcPr>
            <w:tcW w:w="33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42"/>
        </w:trPr>
        <w:tc>
          <w:tcPr>
            <w:tcW w:w="9560" w:type="dxa"/>
            <w:vAlign w:val="bottom"/>
            <w:gridSpan w:val="16"/>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Consolidated Statements of Cash Flows for the years ended September 30, 2018, 2017 and 2016</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w:t>
            </w:r>
          </w:p>
        </w:tc>
      </w:tr>
      <w:tr>
        <w:trPr>
          <w:trHeight w:val="233"/>
        </w:trPr>
        <w:tc>
          <w:tcPr>
            <w:tcW w:w="33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42"/>
        </w:trPr>
        <w:tc>
          <w:tcPr>
            <w:tcW w:w="9560" w:type="dxa"/>
            <w:vAlign w:val="bottom"/>
            <w:gridSpan w:val="16"/>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Consolidated Schedules of Investments as of September 30, 2018 and 2017</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w:t>
            </w:r>
          </w:p>
        </w:tc>
      </w:tr>
      <w:tr>
        <w:trPr>
          <w:trHeight w:val="233"/>
        </w:trPr>
        <w:tc>
          <w:tcPr>
            <w:tcW w:w="33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42"/>
        </w:trPr>
        <w:tc>
          <w:tcPr>
            <w:tcW w:w="9560" w:type="dxa"/>
            <w:vAlign w:val="bottom"/>
            <w:gridSpan w:val="16"/>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Notes to the Consolidated Financial Statements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w:t>
            </w:r>
          </w:p>
        </w:tc>
      </w:tr>
      <w:tr>
        <w:trPr>
          <w:trHeight w:val="233"/>
        </w:trPr>
        <w:tc>
          <w:tcPr>
            <w:tcW w:w="338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361"/>
        </w:trPr>
        <w:tc>
          <w:tcPr>
            <w:tcW w:w="3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gridSpan w:val="12"/>
          </w:tcPr>
          <w:p>
            <w:pPr>
              <w:ind w:left="520"/>
              <w:spacing w:after="0"/>
              <w:rPr>
                <w:sz w:val="20"/>
                <w:szCs w:val="20"/>
                <w:color w:val="auto"/>
              </w:rPr>
            </w:pPr>
            <w:r>
              <w:rPr>
                <w:rFonts w:ascii="Arial" w:cs="Arial" w:eastAsia="Arial" w:hAnsi="Arial"/>
                <w:sz w:val="18"/>
                <w:szCs w:val="18"/>
                <w:color w:val="auto"/>
              </w:rPr>
              <w:t>F-1</w:t>
            </w:r>
          </w:p>
        </w:tc>
        <w:tc>
          <w:tcPr>
            <w:tcW w:w="1300" w:type="dxa"/>
            <w:vAlign w:val="bottom"/>
          </w:tcPr>
          <w:p>
            <w:pPr>
              <w:spacing w:after="0"/>
              <w:rPr>
                <w:sz w:val="24"/>
                <w:szCs w:val="24"/>
                <w:color w:val="auto"/>
              </w:rPr>
            </w:pPr>
          </w:p>
        </w:tc>
      </w:tr>
    </w:tbl>
    <w:p>
      <w:pPr>
        <w:sectPr>
          <w:pgSz w:w="12240" w:h="15840" w:orient="portrait"/>
          <w:cols w:equalWidth="0" w:num="1">
            <w:col w:w="11000"/>
          </w:cols>
          <w:pgMar w:left="520" w:top="317" w:right="720"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 the Board of Directors and Stockholders of</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PennantPark Investment Corporation and its Subsidiaries</w:t>
      </w:r>
    </w:p>
    <w:p>
      <w:pPr>
        <w:spacing w:after="0" w:line="31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118" w:lineRule="exact"/>
        <w:rPr>
          <w:sz w:val="20"/>
          <w:szCs w:val="20"/>
          <w:color w:val="auto"/>
        </w:rPr>
      </w:pPr>
    </w:p>
    <w:p>
      <w:pPr>
        <w:jc w:val="both"/>
        <w:ind w:left="140" w:right="120" w:firstLine="437"/>
        <w:spacing w:after="0" w:line="270" w:lineRule="auto"/>
        <w:rPr>
          <w:sz w:val="20"/>
          <w:szCs w:val="20"/>
          <w:color w:val="auto"/>
        </w:rPr>
      </w:pPr>
      <w:r>
        <w:rPr>
          <w:rFonts w:ascii="Arial" w:cs="Arial" w:eastAsia="Arial" w:hAnsi="Arial"/>
          <w:sz w:val="17"/>
          <w:szCs w:val="17"/>
          <w:color w:val="auto"/>
        </w:rPr>
        <w:t>We have reviewed the accompanying consolidated statement of assets and liabilities of PennantPark Investment Corporation and its Subsidiaries (collectively referred to as the “Company”), including the consolidated schedule of investments, as of December 31, 2018, and the related consolidated statements of operations, the related consolidated statements of changes in net assets, and cash flows for the three-month periods ended December 31, 2018 and 2017, and the related notes to the consolidated financial statements (collectively, the interim financial statements). Based on our reviews, we are not aware of any material modifications that should be made to the consolidated financial statements referred to above for them to be in conformity with accounting principles generally accepted in the United States of America.</w:t>
      </w:r>
    </w:p>
    <w:p>
      <w:pPr>
        <w:spacing w:after="0" w:line="179" w:lineRule="exact"/>
        <w:rPr>
          <w:sz w:val="20"/>
          <w:szCs w:val="20"/>
          <w:color w:val="auto"/>
        </w:rPr>
      </w:pPr>
    </w:p>
    <w:p>
      <w:pPr>
        <w:ind w:left="140" w:right="20" w:firstLine="437"/>
        <w:spacing w:after="0" w:line="25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2018, and the related consolidated statements of operations, changes in net assets, and cash flows for the year then ended (not presented herein), and in our report dated November 15, 2018, we expressed an unqualified opinion on those financial statements. In our opinion, the information set forth in the accompanying consolidated statement of assets and liabilities as of September 30, 2018, is fairly stated, in all material respects, in relation to the balance sheet from which it has been derived.</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Basis for Review Results</w:t>
      </w:r>
    </w:p>
    <w:p>
      <w:pPr>
        <w:spacing w:after="0" w:line="118" w:lineRule="exact"/>
        <w:rPr>
          <w:sz w:val="20"/>
          <w:szCs w:val="20"/>
          <w:color w:val="auto"/>
        </w:rPr>
      </w:pPr>
    </w:p>
    <w:p>
      <w:pPr>
        <w:ind w:left="140" w:firstLine="437"/>
        <w:spacing w:after="0" w:line="290" w:lineRule="auto"/>
        <w:rPr>
          <w:sz w:val="20"/>
          <w:szCs w:val="20"/>
          <w:color w:val="auto"/>
        </w:rPr>
      </w:pPr>
      <w:r>
        <w:rPr>
          <w:rFonts w:ascii="Arial" w:cs="Arial" w:eastAsia="Arial" w:hAnsi="Arial"/>
          <w:sz w:val="16"/>
          <w:szCs w:val="16"/>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RSM US LLP</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New York, New York</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February 7, 2019</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2240" w:h="15840" w:orient="portrait"/>
          <w:cols w:equalWidth="0" w:num="1">
            <w:col w:w="11040"/>
          </w:cols>
          <w:pgMar w:left="520" w:top="316" w:right="680"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Non-controlled, non-affiliated investments (cost—$987,929,505 and $896,720,950, respectively)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989,515,879</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905,271,258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Non-controlled, affiliated investments (cost—$74,369,962 and $91,520,908, respectively)</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49,057,619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78,078,331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 (cost—$261,311,677 and $255,574,317, respectively)</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152,880,313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148,735,885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Total of investments (cost—$1,323,611,144 and $1,243,816,175, respectively)</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1,191,453,811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1,132,085,474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(cost—$24,657,870 and $19,543,625, respectively)</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24,653,889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19,506,154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5,506,564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7,606,964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152,544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920,235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2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1,221,766,808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1,160,118,827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Distributions payable</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12,244,957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12,429,712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18,172,125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Credit Facility payable (cost—$174,136,000 and $80,520,000, respectively) (See Notes 5 and 10)</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167,088,178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77,645,830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2019 Notes payable (par—$250,000,000) (See Notes 5 and 10)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249,430,000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20" w:type="dxa"/>
            <w:vAlign w:val="bottom"/>
          </w:tcPr>
          <w:p>
            <w:pPr>
              <w:spacing w:after="0" w:line="200" w:lineRule="exact"/>
              <w:rPr>
                <w:sz w:val="20"/>
                <w:szCs w:val="20"/>
                <w:color w:val="auto"/>
              </w:rPr>
            </w:pPr>
            <w:r>
              <w:rPr>
                <w:rFonts w:ascii="Arial" w:cs="Arial" w:eastAsia="Arial" w:hAnsi="Arial"/>
                <w:sz w:val="18"/>
                <w:szCs w:val="18"/>
                <w:color w:val="auto"/>
                <w:w w:val="96"/>
              </w:rPr>
              <w:t>SBA debentures payable, net (par—$150,000,000 and $180,000,000, respectively) (See Notes 5 and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840" w:type="dxa"/>
            <w:vAlign w:val="bottom"/>
            <w:gridSpan w:val="2"/>
          </w:tcPr>
          <w:p>
            <w:pPr>
              <w:ind w:left="1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145,789,777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175,373,229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net (See Note 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4,419,262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4,086,831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Performance-based incentive fee payable, net (See Note 3)</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2,667,270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2,964,265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debt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5,007,094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6,576,393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1,007,040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605,825,703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531,216,932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11)</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20" w:type="dxa"/>
            <w:vAlign w:val="bottom"/>
          </w:tcPr>
          <w:p>
            <w:pPr>
              <w:spacing w:after="0" w:line="200" w:lineRule="exact"/>
              <w:rPr>
                <w:sz w:val="20"/>
                <w:szCs w:val="20"/>
                <w:color w:val="auto"/>
              </w:rPr>
            </w:pPr>
            <w:r>
              <w:rPr>
                <w:rFonts w:ascii="Arial" w:cs="Arial" w:eastAsia="Arial" w:hAnsi="Arial"/>
                <w:sz w:val="18"/>
                <w:szCs w:val="18"/>
                <w:color w:val="auto"/>
              </w:rPr>
              <w:t>Common stock, 68,027,537 and 69,053,958 shares issued and outstanding, respectively</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Par value $0.001 per share and 100,000,000 shares authorized</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68,028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69,054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796,236,224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803,729,220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6,333,033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6,003,360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(62,157,643)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(70,687,629)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2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(132,156,359)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(111,763,780)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debt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7,617,822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20" w:type="dxa"/>
            <w:vAlign w:val="bottom"/>
          </w:tcPr>
          <w:p>
            <w:pPr>
              <w:ind w:left="68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615,941,105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628,901,895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1,221,766,808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1,160,118,827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4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2240" w:h="15840" w:orient="portrait"/>
          <w:cols w:equalWidth="0" w:num="1">
            <w:col w:w="11060"/>
          </w:cols>
          <w:pgMar w:left="520" w:top="316" w:right="660"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Three Months Ended 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1"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1"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1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Investment income:</w:t>
            </w: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23,508,581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21,383,219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1,246,016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1,284,909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1,586,642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1,215,834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108,625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1,573,306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1,788,603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480,430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in kind</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1,144,085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1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27,380,001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28,668,425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4,419,262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5,735,137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2,667,270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3,185,204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Interest and expenses on debt (See Note 10)</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6,278,847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5,857,378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521,625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618,367</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628,290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Expenses before Management Fees waiver and provision for taxes</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14,505,371</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15,927,634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Management Fees waiver (See Note 3)</w:t>
            </w:r>
          </w:p>
        </w:tc>
        <w:tc>
          <w:tcPr>
            <w:tcW w:w="1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(1,427,253)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taxes</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Arial" w:cs="Arial" w:eastAsia="Arial" w:hAnsi="Arial"/>
                <w:sz w:val="18"/>
                <w:szCs w:val="18"/>
                <w:b w:val="1"/>
                <w:bCs w:val="1"/>
                <w:color w:val="auto"/>
              </w:rPr>
              <w:t>Net expenses</w:t>
            </w:r>
          </w:p>
        </w:tc>
        <w:tc>
          <w:tcPr>
            <w:tcW w:w="1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14,805,371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14,500,381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12,574,630</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14,168,044</w:t>
            </w:r>
          </w:p>
        </w:tc>
        <w:tc>
          <w:tcPr>
            <w:tcW w:w="0" w:type="dxa"/>
            <w:vAlign w:val="bottom"/>
          </w:tcPr>
          <w:p>
            <w:pPr>
              <w:spacing w:after="0"/>
              <w:rPr>
                <w:sz w:val="1"/>
                <w:szCs w:val="1"/>
                <w:color w:val="auto"/>
              </w:rPr>
            </w:pPr>
          </w:p>
        </w:tc>
      </w:tr>
      <w:tr>
        <w:trPr>
          <w:trHeight w:val="219"/>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on investments and debt:</w:t>
            </w:r>
          </w:p>
        </w:tc>
        <w:tc>
          <w:tcPr>
            <w:tcW w:w="1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 on:</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3,737,919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1,793,043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4,792,067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1,980,440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Arial" w:cs="Arial" w:eastAsia="Arial" w:hAnsi="Arial"/>
                <w:sz w:val="18"/>
                <w:szCs w:val="18"/>
                <w:b w:val="1"/>
                <w:bCs w:val="1"/>
                <w:color w:val="auto"/>
              </w:rPr>
              <w:t>Net realized gain on investments</w:t>
            </w:r>
          </w:p>
        </w:tc>
        <w:tc>
          <w:tcPr>
            <w:tcW w:w="1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8,529,986</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3,773,483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on:</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(6,929,882)</w:t>
            </w:r>
          </w:p>
        </w:tc>
        <w:tc>
          <w:tcPr>
            <w:tcW w:w="16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1,738,065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(13,462,697)</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(8,510,961)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Debt depreciation (See Notes 5 and 10)</w:t>
            </w:r>
          </w:p>
        </w:tc>
        <w:tc>
          <w:tcPr>
            <w:tcW w:w="1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6,066,152</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1,126,766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 in unrealized depreciation on investments and debt</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(14,326,427)</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(5,646,130)</w:t>
            </w:r>
          </w:p>
        </w:tc>
        <w:tc>
          <w:tcPr>
            <w:tcW w:w="0" w:type="dxa"/>
            <w:vAlign w:val="bottom"/>
          </w:tcPr>
          <w:p>
            <w:pPr>
              <w:spacing w:after="0"/>
              <w:rPr>
                <w:sz w:val="1"/>
                <w:szCs w:val="1"/>
                <w:color w:val="auto"/>
              </w:rPr>
            </w:pPr>
          </w:p>
        </w:tc>
      </w:tr>
      <w:tr>
        <w:trPr>
          <w:trHeight w:val="228"/>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loss from investments and debt</w:t>
            </w:r>
          </w:p>
        </w:tc>
        <w:tc>
          <w:tcPr>
            <w:tcW w:w="1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(5,796,441)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(1,872,647)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6,778,189</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12,295,397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3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4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w:t>
      </w:r>
    </w:p>
    <w:p>
      <w:pPr>
        <w:sectPr>
          <w:pgSz w:w="12240" w:h="15840" w:orient="portrait"/>
          <w:cols w:equalWidth="0" w:num="1">
            <w:col w:w="11060"/>
          </w:cols>
          <w:pgMar w:left="520" w:top="316" w:right="660"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4"/>
              </w:rPr>
              <w:t>Three Months Ended 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3"/>
              <w:spacing w:after="0" w:line="141"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1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12,574,630</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14,168,044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on investments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8,529,986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3,773,483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Net change in unrealized depreciation on investments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(20,392,579)</w:t>
            </w:r>
          </w:p>
        </w:tc>
        <w:tc>
          <w:tcPr>
            <w:tcW w:w="2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(6,772,896)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depreciation on debt</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6,066,152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1,126,766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9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6,778,189</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12,295,397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(12,244,957)</w:t>
            </w: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(12,790,950)</w:t>
            </w:r>
          </w:p>
        </w:tc>
        <w:tc>
          <w:tcPr>
            <w:tcW w:w="0" w:type="dxa"/>
            <w:vAlign w:val="bottom"/>
          </w:tcPr>
          <w:p>
            <w:pPr>
              <w:spacing w:after="0"/>
              <w:rPr>
                <w:sz w:val="1"/>
                <w:szCs w:val="1"/>
                <w:color w:val="auto"/>
              </w:rPr>
            </w:pPr>
          </w:p>
        </w:tc>
      </w:tr>
      <w:tr>
        <w:trPr>
          <w:trHeight w:val="22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Capital transactions:</w:t>
            </w:r>
          </w:p>
        </w:tc>
        <w:tc>
          <w:tcPr>
            <w:tcW w:w="1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(7,494,022)</w:t>
            </w: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net assets</w:t>
            </w:r>
          </w:p>
        </w:tc>
        <w:tc>
          <w:tcPr>
            <w:tcW w:w="19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(12,960,790)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(495,553)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Beginning of period</w:t>
            </w:r>
          </w:p>
        </w:tc>
        <w:tc>
          <w:tcPr>
            <w:tcW w:w="1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628,901,895</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646,808,471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615,941,105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646,312,918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340"/>
              <w:spacing w:after="0"/>
              <w:rPr>
                <w:sz w:val="20"/>
                <w:szCs w:val="20"/>
                <w:color w:val="auto"/>
              </w:rPr>
            </w:pPr>
            <w:r>
              <w:rPr>
                <w:rFonts w:ascii="Arial" w:cs="Arial" w:eastAsia="Arial" w:hAnsi="Arial"/>
                <w:sz w:val="18"/>
                <w:szCs w:val="18"/>
                <w:color w:val="auto"/>
              </w:rPr>
              <w:t>Undistributed net investment income, at end of period</w:t>
            </w: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18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6,333,033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4,710,289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Shares of common stock repurchased</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(1,026,421)</w:t>
            </w:r>
          </w:p>
        </w:tc>
        <w:tc>
          <w:tcPr>
            <w:tcW w:w="2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ectPr>
          <w:pgSz w:w="12240" w:h="15840" w:orient="portrait"/>
          <w:cols w:equalWidth="0" w:num="1">
            <w:col w:w="11060"/>
          </w:cols>
          <w:pgMar w:left="520" w:top="316" w:right="660"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7"/>
              </w:rPr>
              <w:t>Three Months Ended 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2"/>
              <w:spacing w:after="0" w:line="141"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1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6,778,189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12,295,397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140" w:type="dxa"/>
            <w:vAlign w:val="bottom"/>
            <w:shd w:val="clear" w:color="auto" w:fill="CCEEFF"/>
          </w:tcPr>
          <w:p>
            <w:pPr>
              <w:ind w:left="680"/>
              <w:spacing w:after="0" w:line="200" w:lineRule="exact"/>
              <w:rPr>
                <w:sz w:val="20"/>
                <w:szCs w:val="20"/>
                <w:color w:val="auto"/>
              </w:rPr>
            </w:pPr>
            <w:r>
              <w:rPr>
                <w:rFonts w:ascii="Arial" w:cs="Arial" w:eastAsia="Arial" w:hAnsi="Arial"/>
                <w:sz w:val="18"/>
                <w:szCs w:val="18"/>
                <w:color w:val="auto"/>
                <w:w w:val="95"/>
              </w:rPr>
              <w:t>Adjustments to reconcile net increase in net assets resulting from operations to net cash (used in)</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provided by operating activities: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Net change in net unrealized depreciation on investments</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20,392,579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6,772,896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change in unrealized depreciation on debt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(6,066,152)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(1,126,766)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(8,529,986)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(3,773,483)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(729,769)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(239,321)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(194,455,970)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(138,433,423)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Payment-in-kind income</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(1,922,358)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(3,706,405)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125,791,017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192,303,018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416,548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2,100,400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(1,852,834)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767,691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Increase (decrease) in payable for investments purchased</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18,172,125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(1,014,000)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Decrease in interest payable on debt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(1,569,299)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(1,369,723)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Increase (decrease) in base management fee payable, net</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332,431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(27,721)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(Decrease) increase in performance-based incentive fee payable,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(296,995)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Increase in accrued other expenses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188,868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(38,630,681)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62,388,387</w:t>
            </w:r>
          </w:p>
        </w:tc>
        <w:tc>
          <w:tcPr>
            <w:tcW w:w="0" w:type="dxa"/>
            <w:vAlign w:val="bottom"/>
          </w:tcPr>
          <w:p>
            <w:pPr>
              <w:spacing w:after="0"/>
              <w:rPr>
                <w:sz w:val="1"/>
                <w:szCs w:val="1"/>
                <w:color w:val="auto"/>
              </w:rPr>
            </w:pPr>
          </w:p>
        </w:tc>
      </w:tr>
      <w:tr>
        <w:trPr>
          <w:trHeight w:val="220"/>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(7,494,022)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Distributions paid to stockholders</w:t>
            </w:r>
          </w:p>
        </w:tc>
        <w:tc>
          <w:tcPr>
            <w:tcW w:w="10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(12,429,712)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(12,790,950)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Repayments under SBA debentures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(30,000,000)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(15,000,000)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217,000,000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91,000,000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Repayments under Credit Facility</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9"/>
              </w:rPr>
              <w:t>(123,384,000)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40" w:type="dxa"/>
            <w:vAlign w:val="bottom"/>
          </w:tcPr>
          <w:p>
            <w:pPr>
              <w:ind w:left="140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43,692,266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(27,790,950)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5,061,585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34,597,437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86,150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33,170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19,506,154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38,202,068</w:t>
            </w:r>
          </w:p>
        </w:tc>
        <w:tc>
          <w:tcPr>
            <w:tcW w:w="0" w:type="dxa"/>
            <w:vAlign w:val="bottom"/>
          </w:tcPr>
          <w:p>
            <w:pPr>
              <w:spacing w:after="0"/>
              <w:rPr>
                <w:sz w:val="1"/>
                <w:szCs w:val="1"/>
                <w:color w:val="auto"/>
              </w:rPr>
            </w:pPr>
          </w:p>
        </w:tc>
      </w:tr>
      <w:tr>
        <w:trPr>
          <w:trHeight w:val="221"/>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24,653,889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72,832,675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7,431,597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6,852,037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vMerge w:val="restart"/>
          </w:tcPr>
          <w:p>
            <w:pPr>
              <w:ind w:left="340"/>
              <w:spacing w:after="0"/>
              <w:rPr>
                <w:sz w:val="20"/>
                <w:szCs w:val="20"/>
                <w:color w:val="auto"/>
              </w:rPr>
            </w:pPr>
            <w:r>
              <w:rPr>
                <w:rFonts w:ascii="Arial" w:cs="Arial" w:eastAsia="Arial" w:hAnsi="Arial"/>
                <w:sz w:val="18"/>
                <w:szCs w:val="18"/>
                <w:color w:val="auto"/>
              </w:rPr>
              <w:t>Non-cash exchanges and conversions</w:t>
            </w: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14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12,697,510</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ectPr>
          <w:pgSz w:w="12240" w:h="15840" w:orient="portrait"/>
          <w:cols w:equalWidth="0" w:num="1">
            <w:col w:w="11060"/>
          </w:cols>
          <w:pgMar w:left="520" w:top="316" w:right="660"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2018</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7"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2"/>
              </w:rPr>
              <w:t>Basis Point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83"/>
              </w:rPr>
              <w:t>Spread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580" w:type="dxa"/>
            <w:vAlign w:val="bottom"/>
          </w:tcPr>
          <w:p>
            <w:pPr>
              <w:jc w:val="right"/>
              <w:ind w:right="182"/>
              <w:spacing w:after="0" w:line="134" w:lineRule="exact"/>
              <w:rPr>
                <w:sz w:val="20"/>
                <w:szCs w:val="20"/>
                <w:color w:val="auto"/>
              </w:rPr>
            </w:pPr>
            <w:r>
              <w:rPr>
                <w:rFonts w:ascii="Arial" w:cs="Arial" w:eastAsia="Arial" w:hAnsi="Arial"/>
                <w:sz w:val="12"/>
                <w:szCs w:val="12"/>
                <w:b w:val="1"/>
                <w:bCs w:val="1"/>
                <w:color w:val="auto"/>
              </w:rPr>
              <w:t>Maturity /</w:t>
            </w:r>
          </w:p>
        </w:tc>
        <w:tc>
          <w:tcPr>
            <w:tcW w:w="256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Industry</w:t>
            </w:r>
          </w:p>
        </w:tc>
        <w:tc>
          <w:tcPr>
            <w:tcW w:w="840" w:type="dxa"/>
            <w:vAlign w:val="bottom"/>
            <w:gridSpan w:val="2"/>
          </w:tcPr>
          <w:p>
            <w:pPr>
              <w:jc w:val="right"/>
              <w:ind w:right="360"/>
              <w:spacing w:after="0" w:line="134" w:lineRule="exact"/>
              <w:rPr>
                <w:sz w:val="20"/>
                <w:szCs w:val="20"/>
                <w:color w:val="auto"/>
              </w:rPr>
            </w:pPr>
            <w:r>
              <w:rPr>
                <w:rFonts w:ascii="Arial" w:cs="Arial" w:eastAsia="Arial" w:hAnsi="Arial"/>
                <w:sz w:val="12"/>
                <w:szCs w:val="12"/>
                <w:b w:val="1"/>
                <w:bCs w:val="1"/>
                <w:color w:val="auto"/>
              </w:rPr>
              <w:t>Current</w:t>
            </w:r>
          </w:p>
        </w:tc>
        <w:tc>
          <w:tcPr>
            <w:tcW w:w="78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81"/>
              </w:rPr>
              <w:t>Above</w:t>
            </w:r>
          </w:p>
        </w:tc>
        <w:tc>
          <w:tcPr>
            <w:tcW w:w="7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2"/>
              </w:rPr>
              <w:t>Par /</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00" w:type="dxa"/>
            <w:vAlign w:val="bottom"/>
            <w:gridSpan w:val="2"/>
            <w:vMerge w:val="continue"/>
          </w:tcPr>
          <w:p>
            <w:pPr>
              <w:spacing w:after="0"/>
              <w:rPr>
                <w:sz w:val="12"/>
                <w:szCs w:val="12"/>
                <w:color w:val="auto"/>
              </w:rPr>
            </w:pPr>
          </w:p>
        </w:tc>
        <w:tc>
          <w:tcPr>
            <w:tcW w:w="1580" w:type="dxa"/>
            <w:vAlign w:val="bottom"/>
          </w:tcPr>
          <w:p>
            <w:pPr>
              <w:jc w:val="right"/>
              <w:ind w:right="162"/>
              <w:spacing w:after="0"/>
              <w:rPr>
                <w:sz w:val="20"/>
                <w:szCs w:val="20"/>
                <w:color w:val="auto"/>
              </w:rPr>
            </w:pPr>
            <w:r>
              <w:rPr>
                <w:rFonts w:ascii="Arial" w:cs="Arial" w:eastAsia="Arial" w:hAnsi="Arial"/>
                <w:sz w:val="12"/>
                <w:szCs w:val="12"/>
                <w:b w:val="1"/>
                <w:bCs w:val="1"/>
                <w:color w:val="auto"/>
              </w:rPr>
              <w:t>Expiration</w:t>
            </w:r>
          </w:p>
        </w:tc>
        <w:tc>
          <w:tcPr>
            <w:tcW w:w="2560" w:type="dxa"/>
            <w:vAlign w:val="bottom"/>
            <w:gridSpan w:val="2"/>
            <w:vMerge w:val="continue"/>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Shares</w:t>
            </w:r>
          </w:p>
        </w:tc>
        <w:tc>
          <w:tcPr>
            <w:tcW w:w="74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460" w:type="dxa"/>
            <w:vAlign w:val="bottom"/>
            <w:tcBorders>
              <w:top w:val="single" w:sz="8" w:color="auto"/>
            </w:tcBorders>
            <w:gridSpan w:val="2"/>
            <w:shd w:val="clear" w:color="auto" w:fill="CCEEFF"/>
          </w:tcPr>
          <w:p>
            <w:pPr>
              <w:spacing w:after="0" w:line="128" w:lineRule="exact"/>
              <w:rPr>
                <w:sz w:val="20"/>
                <w:szCs w:val="20"/>
                <w:color w:val="auto"/>
              </w:rPr>
            </w:pPr>
            <w:r>
              <w:rPr>
                <w:rFonts w:ascii="Arial" w:cs="Arial" w:eastAsia="Arial" w:hAnsi="Arial"/>
                <w:sz w:val="12"/>
                <w:szCs w:val="12"/>
                <w:b w:val="1"/>
                <w:bCs w:val="1"/>
                <w:color w:val="auto"/>
                <w:w w:val="95"/>
              </w:rPr>
              <w:t xml:space="preserve">Investments in Non-Controlled, Non-Affiliated Portfolio Companies—160.7% </w:t>
            </w:r>
            <w:r>
              <w:rPr>
                <w:rFonts w:ascii="Arial" w:cs="Arial" w:eastAsia="Arial" w:hAnsi="Arial"/>
                <w:sz w:val="9"/>
                <w:szCs w:val="9"/>
                <w:b w:val="1"/>
                <w:bCs w:val="1"/>
                <w:color w:val="auto"/>
                <w:w w:val="95"/>
              </w:rPr>
              <w:t>(1), (2)</w:t>
            </w:r>
          </w:p>
        </w:tc>
        <w:tc>
          <w:tcPr>
            <w:tcW w:w="2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b w:val="1"/>
                <w:bCs w:val="1"/>
                <w:color w:val="auto"/>
              </w:rPr>
              <w:t>First Lien Secured Debt—78.6%</w:t>
            </w:r>
          </w:p>
        </w:tc>
        <w:tc>
          <w:tcPr>
            <w:tcW w:w="1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Allied America, Inc.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08/08/2022</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9.81%</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3M L+700</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21,358,192</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87"/>
              </w:rPr>
              <w:t>$  21,057,856</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w w:val="95"/>
              </w:rPr>
              <w:t>$  21,384,889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08/08/2022</w:t>
            </w:r>
          </w:p>
        </w:tc>
        <w:tc>
          <w:tcPr>
            <w:tcW w:w="2560" w:type="dxa"/>
            <w:vAlign w:val="bottom"/>
            <w:gridSpan w:val="2"/>
          </w:tcPr>
          <w:p>
            <w:pPr>
              <w:jc w:val="center"/>
              <w:ind w:right="16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2,000,000</w:t>
            </w:r>
          </w:p>
        </w:tc>
        <w:tc>
          <w:tcPr>
            <w:tcW w:w="74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American Insulated Glass, LLC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12/21/2023</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7.98%</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3M L+550</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31,200,000</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30,580,416</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30,576,000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12/21/2023</w:t>
            </w:r>
          </w:p>
        </w:tc>
        <w:tc>
          <w:tcPr>
            <w:tcW w:w="2560" w:type="dxa"/>
            <w:vAlign w:val="bottom"/>
            <w:gridSpan w:val="2"/>
          </w:tcPr>
          <w:p>
            <w:pPr>
              <w:jc w:val="center"/>
              <w:ind w:right="160"/>
              <w:spacing w:after="0" w:line="134"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1,350,649</w:t>
            </w:r>
          </w:p>
        </w:tc>
        <w:tc>
          <w:tcPr>
            <w:tcW w:w="74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Bazaarvoice, Inc.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02/01/2024</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9"/>
              </w:rPr>
              <w:t>Printing and Publishing</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8.10%</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1M L+575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14,887,500</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14,749,371</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14,738,625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Bottom Line Systems, LLC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02/13/2023</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10.02%</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1M L+750</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19,583,330</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19,354,443</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Broder Bros., Co.</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12/02/2022</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11.31%</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3M L+850</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31,515,152</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31,516,838</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31,515,152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Cano Health, LLC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12/23/2021</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8.58%</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1M L+625</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37,358,331</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36,817,568</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37,358,331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DermaRite Industries LLC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03/03/2022</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8"/>
              </w:rPr>
              <w:t>Manufacturing / Basic Industries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9.52%</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1M L+700</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9,825,000</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9,720,195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9,557,457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Deva Holdings, Inc.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10/31/2023</w:t>
            </w:r>
          </w:p>
        </w:tc>
        <w:tc>
          <w:tcPr>
            <w:tcW w:w="2560" w:type="dxa"/>
            <w:vAlign w:val="bottom"/>
            <w:gridSpan w:val="2"/>
          </w:tcPr>
          <w:p>
            <w:pPr>
              <w:jc w:val="center"/>
              <w:ind w:right="160"/>
              <w:spacing w:after="0" w:line="134"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8.77%</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3M L+625</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4,520,316</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4,446,372</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4,520,316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10/31/2022</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385,000</w:t>
            </w:r>
          </w:p>
        </w:tc>
        <w:tc>
          <w:tcPr>
            <w:tcW w:w="740" w:type="dxa"/>
            <w:vAlign w:val="bottom"/>
            <w:gridSpan w:val="2"/>
            <w:shd w:val="clear" w:color="auto" w:fill="CCEEFF"/>
          </w:tcPr>
          <w:p>
            <w:pPr>
              <w:ind w:left="480"/>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Hollander Sleep Products, LLC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06/09/2023</w:t>
            </w:r>
          </w:p>
        </w:tc>
        <w:tc>
          <w:tcPr>
            <w:tcW w:w="2560" w:type="dxa"/>
            <w:vAlign w:val="bottom"/>
            <w:gridSpan w:val="2"/>
          </w:tcPr>
          <w:p>
            <w:pPr>
              <w:jc w:val="center"/>
              <w:ind w:right="160"/>
              <w:spacing w:after="0" w:line="134"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10.80%</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3M L+800</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19,713,838</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19,400,776</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18,728,146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Impact Group, LLC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06/27/2023</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6"/>
              </w:rPr>
              <w:t>Personal, Food and Miscellaneous Services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9.30%</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3M L+650</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27,410,052</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27,221,921</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27,273,002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Juniper Landscaping of Florida, LLC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12/22/2021</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6"/>
              </w:rPr>
              <w:t>Personal, Food and Miscellaneous Services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11.85%</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1M L+950</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14,171,119</w:t>
            </w:r>
          </w:p>
        </w:tc>
        <w:tc>
          <w:tcPr>
            <w:tcW w:w="7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13,977,311</w:t>
            </w:r>
          </w:p>
        </w:tc>
        <w:tc>
          <w:tcPr>
            <w:tcW w:w="82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14,171,119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K2 Pure Solutions NoCal, L.P.</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12/20/2023</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5"/>
              </w:rPr>
              <w:t>Chemicals, Plastics and Rubber</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7.84%</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1M L+525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27,133,333</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26,727,301</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26,726,333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 xml:space="preserve">K2 Pure Solutions NoCal, L.P. (Revolver) </w:t>
            </w:r>
            <w:r>
              <w:rPr>
                <w:rFonts w:ascii="Arial" w:cs="Arial" w:eastAsia="Arial" w:hAnsi="Arial"/>
                <w:sz w:val="9"/>
                <w:szCs w:val="9"/>
                <w:color w:val="auto"/>
              </w:rPr>
              <w:t>(7)</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12/20/2023</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5"/>
              </w:rPr>
              <w:t>Chemicals, Plastics and Rubber</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1,938,095</w:t>
            </w:r>
          </w:p>
        </w:tc>
        <w:tc>
          <w:tcPr>
            <w:tcW w:w="74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Ox Two, LLC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02/27/2023</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8.77%</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1M L+625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22,110,425</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21,729,644</w:t>
            </w:r>
          </w:p>
        </w:tc>
        <w:tc>
          <w:tcPr>
            <w:tcW w:w="8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22,110,425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Ox Two, LLC (Revolver)</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02/27/2023</w:t>
            </w:r>
          </w:p>
        </w:tc>
        <w:tc>
          <w:tcPr>
            <w:tcW w:w="2560" w:type="dxa"/>
            <w:vAlign w:val="bottom"/>
            <w:gridSpan w:val="2"/>
          </w:tcPr>
          <w:p>
            <w:pPr>
              <w:jc w:val="center"/>
              <w:ind w:right="160"/>
              <w:spacing w:after="0" w:line="134"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12.75%</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P+725</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750,000</w:t>
            </w:r>
          </w:p>
        </w:tc>
        <w:tc>
          <w:tcPr>
            <w:tcW w:w="7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750,000</w:t>
            </w:r>
          </w:p>
        </w:tc>
        <w:tc>
          <w:tcPr>
            <w:tcW w:w="82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750,000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02/27/2023</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1,750,000</w:t>
            </w:r>
          </w:p>
        </w:tc>
        <w:tc>
          <w:tcPr>
            <w:tcW w:w="740" w:type="dxa"/>
            <w:vAlign w:val="bottom"/>
            <w:gridSpan w:val="2"/>
            <w:shd w:val="clear" w:color="auto" w:fill="CCEEFF"/>
          </w:tcPr>
          <w:p>
            <w:pPr>
              <w:ind w:left="480"/>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Peninsula Pacific Entertainment LLC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11/13/2024</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8"/>
              </w:rPr>
              <w:t>Hotels, Motels, Inns and Gaming</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9.71%</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3M L+725</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7,200,000</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7,183,125</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7,128,000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Peninsula Pacific Entertainment LLC </w:t>
            </w:r>
            <w:r>
              <w:rPr>
                <w:rFonts w:ascii="Arial" w:cs="Arial" w:eastAsia="Arial" w:hAnsi="Arial"/>
                <w:sz w:val="9"/>
                <w:szCs w:val="9"/>
                <w:color w:val="auto"/>
              </w:rPr>
              <w:t>(7)</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11/13/2024</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8"/>
              </w:rPr>
              <w:t>Hotels, Motels, Inns and Gaming</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800,000</w:t>
            </w:r>
          </w:p>
        </w:tc>
        <w:tc>
          <w:tcPr>
            <w:tcW w:w="740" w:type="dxa"/>
            <w:vAlign w:val="bottom"/>
            <w:gridSpan w:val="2"/>
            <w:shd w:val="clear" w:color="auto" w:fill="CCEEFF"/>
          </w:tcPr>
          <w:p>
            <w:pPr>
              <w:ind w:left="480"/>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(8,000)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(11)</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06/01/2023</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4"/>
              </w:rPr>
              <w:t>Beverage, Food and Tobacco</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7.68%</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1M L+525</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5,500,000</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5,445,567</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5,422,576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Provation Medical, Inc.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03/11/2024</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8"/>
              </w:rPr>
              <w:t>Electronics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9.42%</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1M L+700</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27,000,000</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26,396,785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26,392,500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Questex, LLC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09/09/2024</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1"/>
              </w:rPr>
              <w:t>Media</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9.02%</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3M L+625</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22,443,750</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22,016,571</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21,994,875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Questex, LLC (Revolver)</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09/09/2024</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1"/>
              </w:rPr>
              <w:t>Media</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9.02%</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3M L+625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598,404</w:t>
            </w:r>
          </w:p>
        </w:tc>
        <w:tc>
          <w:tcPr>
            <w:tcW w:w="7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598,404</w:t>
            </w:r>
          </w:p>
        </w:tc>
        <w:tc>
          <w:tcPr>
            <w:tcW w:w="82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586,436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09/09/2024</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1"/>
              </w:rPr>
              <w:t>Media</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2,992,021</w:t>
            </w:r>
          </w:p>
        </w:tc>
        <w:tc>
          <w:tcPr>
            <w:tcW w:w="74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(59,841)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Research Horizons, LLC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06/28/2022</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1"/>
              </w:rPr>
              <w:t>Media</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8.60%</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1M L+625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22,359,375</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21,955,122</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21,800,390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06/28/2022</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1"/>
              </w:rPr>
              <w:t>Media</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9,121,622</w:t>
            </w:r>
          </w:p>
        </w:tc>
        <w:tc>
          <w:tcPr>
            <w:tcW w:w="74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(228,041)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Research Horizons, LLC (Revolver)</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06/28/2022</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1"/>
              </w:rPr>
              <w:t>Media</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8.60%</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1M L+625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810,811</w:t>
            </w:r>
          </w:p>
        </w:tc>
        <w:tc>
          <w:tcPr>
            <w:tcW w:w="7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810,811</w:t>
            </w:r>
          </w:p>
        </w:tc>
        <w:tc>
          <w:tcPr>
            <w:tcW w:w="82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790,541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06/28/2022</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1"/>
              </w:rPr>
              <w:t>Media</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3,243,243</w:t>
            </w:r>
          </w:p>
        </w:tc>
        <w:tc>
          <w:tcPr>
            <w:tcW w:w="74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(81,081)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SFP Holding, Inc.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09/01/2022</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9.04%</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3M L+625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20,227,284</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19,982,458</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20,227,284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09/01/2022</w:t>
            </w:r>
          </w:p>
        </w:tc>
        <w:tc>
          <w:tcPr>
            <w:tcW w:w="2560" w:type="dxa"/>
            <w:vAlign w:val="bottom"/>
            <w:gridSpan w:val="2"/>
          </w:tcPr>
          <w:p>
            <w:pPr>
              <w:jc w:val="center"/>
              <w:ind w:right="160"/>
              <w:spacing w:after="0" w:line="134"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5,506,214</w:t>
            </w:r>
          </w:p>
        </w:tc>
        <w:tc>
          <w:tcPr>
            <w:tcW w:w="74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SFP Holding, Inc. (Revolver)</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09/01/2022</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9.04%</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3M L+625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833,333</w:t>
            </w:r>
          </w:p>
        </w:tc>
        <w:tc>
          <w:tcPr>
            <w:tcW w:w="7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833,333</w:t>
            </w:r>
          </w:p>
        </w:tc>
        <w:tc>
          <w:tcPr>
            <w:tcW w:w="82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833,333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09/01/2022</w:t>
            </w:r>
          </w:p>
        </w:tc>
        <w:tc>
          <w:tcPr>
            <w:tcW w:w="2560" w:type="dxa"/>
            <w:vAlign w:val="bottom"/>
            <w:gridSpan w:val="2"/>
          </w:tcPr>
          <w:p>
            <w:pPr>
              <w:jc w:val="center"/>
              <w:ind w:right="160"/>
              <w:spacing w:after="0" w:line="134"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1,666,667</w:t>
            </w:r>
          </w:p>
        </w:tc>
        <w:tc>
          <w:tcPr>
            <w:tcW w:w="74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Triad Manufacturing, Inc.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12/28/2020</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8"/>
              </w:rPr>
              <w:t>Manufacturing / Basic Industries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15.77%</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4"/>
              </w:rPr>
              <w:t>3M L+1,325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22,099,213</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21,885,003</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21,325,740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US Dominion, Inc.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07/15/2024</w:t>
            </w:r>
          </w:p>
        </w:tc>
        <w:tc>
          <w:tcPr>
            <w:tcW w:w="2560" w:type="dxa"/>
            <w:vAlign w:val="bottom"/>
            <w:gridSpan w:val="2"/>
          </w:tcPr>
          <w:p>
            <w:pPr>
              <w:jc w:val="center"/>
              <w:ind w:right="160"/>
              <w:spacing w:after="0" w:line="134" w:lineRule="exact"/>
              <w:rPr>
                <w:sz w:val="20"/>
                <w:szCs w:val="20"/>
                <w:color w:val="auto"/>
              </w:rPr>
            </w:pPr>
            <w:r>
              <w:rPr>
                <w:rFonts w:ascii="Arial" w:cs="Arial" w:eastAsia="Arial" w:hAnsi="Arial"/>
                <w:sz w:val="12"/>
                <w:szCs w:val="12"/>
                <w:color w:val="auto"/>
                <w:w w:val="88"/>
              </w:rPr>
              <w:t>Electronics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9.28%</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3M L+675</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29,850,000</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29,358,834</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29,850,000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07/15/2024</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8"/>
              </w:rPr>
              <w:t>Electronics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7,500,000</w:t>
            </w:r>
          </w:p>
        </w:tc>
        <w:tc>
          <w:tcPr>
            <w:tcW w:w="740" w:type="dxa"/>
            <w:vAlign w:val="bottom"/>
            <w:gridSpan w:val="2"/>
            <w:shd w:val="clear" w:color="auto" w:fill="CCEEFF"/>
          </w:tcPr>
          <w:p>
            <w:pPr>
              <w:ind w:left="480"/>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US Med Acquisition, Inc.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08/13/2021</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11.80%</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1M L+900</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8,454,688</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8,454,688</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8,031,952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Walker Edison Furniture Company LLC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09/26/2024</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8"/>
              </w:rPr>
              <w:t>Home and Office Furnishings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8.88%</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3M L+650</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22,500,000</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22,065,139</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22,050,000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Whitney, Bradley &amp; Brown, Inc.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10/18/2022</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5"/>
              </w:rPr>
              <w:t>Aerospace and Defense</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11.53%</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1M L+900</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19,183,125</w:t>
            </w:r>
          </w:p>
        </w:tc>
        <w:tc>
          <w:tcPr>
            <w:tcW w:w="6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18,874,578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19,183,125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First Lien Secured Debt</w:t>
            </w:r>
          </w:p>
        </w:tc>
        <w:tc>
          <w:tcPr>
            <w:tcW w:w="15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5"/>
              </w:rPr>
              <w:t>483,910,430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484,232,914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0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Debt—65.5%</w:t>
            </w:r>
          </w:p>
        </w:tc>
        <w:tc>
          <w:tcPr>
            <w:tcW w:w="1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Condor Borrower, LLC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04/25/2025</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11.28%</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3M L+875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12,500,000</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12,277,984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12,437,500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Confie Seguros Holding Co.</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10/31/2025</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7"/>
              </w:rPr>
              <w:t>Insurance</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11.24%</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3M L+850</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14,500,000</w:t>
            </w:r>
          </w:p>
        </w:tc>
        <w:tc>
          <w:tcPr>
            <w:tcW w:w="7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14,211,122</w:t>
            </w: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14,040,785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DecoPac, Inc.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03/31/2025</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4"/>
              </w:rPr>
              <w:t>Beverage, Food and Tobacco</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11.05%</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3M L+825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23,024,259</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22,619,598</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23,024,259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Halo Buyer, Inc.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07/06/2026</w:t>
            </w:r>
          </w:p>
        </w:tc>
        <w:tc>
          <w:tcPr>
            <w:tcW w:w="2560" w:type="dxa"/>
            <w:vAlign w:val="bottom"/>
            <w:gridSpan w:val="2"/>
          </w:tcPr>
          <w:p>
            <w:pPr>
              <w:jc w:val="center"/>
              <w:ind w:right="160"/>
              <w:spacing w:after="0" w:line="134"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10.77%</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1M L+825</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45,000,000</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44,337,844</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Infogroup, Inc.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04/03/2024</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7"/>
              </w:rPr>
              <w:t>Other Media</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12.05%</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3M L+925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20,400,000</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20,068,042</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20,400,000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Integrity Marketing Partners, LLC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11/30/2026</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7"/>
              </w:rPr>
              <w:t>Insurance</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11.21%</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3M L+850</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20,769,231</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20,474,544</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20,561,538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Integrity Marketing Partners, LLC </w:t>
            </w:r>
            <w:r>
              <w:rPr>
                <w:rFonts w:ascii="Arial" w:cs="Arial" w:eastAsia="Arial" w:hAnsi="Arial"/>
                <w:sz w:val="9"/>
                <w:szCs w:val="9"/>
                <w:color w:val="auto"/>
              </w:rPr>
              <w:t>(7)</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11/30/2026</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7"/>
              </w:rPr>
              <w:t>Insurance</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2,373,626</w:t>
            </w:r>
          </w:p>
        </w:tc>
        <w:tc>
          <w:tcPr>
            <w:tcW w:w="740" w:type="dxa"/>
            <w:vAlign w:val="bottom"/>
            <w:gridSpan w:val="2"/>
            <w:shd w:val="clear" w:color="auto" w:fill="CCEEFF"/>
          </w:tcPr>
          <w:p>
            <w:pPr>
              <w:ind w:left="480"/>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(23,736)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80" w:type="dxa"/>
            <w:vAlign w:val="bottom"/>
          </w:tcPr>
          <w:p>
            <w:pPr>
              <w:spacing w:after="0" w:line="128"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1580" w:type="dxa"/>
            <w:vAlign w:val="bottom"/>
          </w:tcPr>
          <w:p>
            <w:pPr>
              <w:jc w:val="right"/>
              <w:ind w:right="142"/>
              <w:spacing w:after="0" w:line="128" w:lineRule="exact"/>
              <w:rPr>
                <w:sz w:val="20"/>
                <w:szCs w:val="20"/>
                <w:color w:val="auto"/>
              </w:rPr>
            </w:pPr>
            <w:r>
              <w:rPr>
                <w:rFonts w:ascii="Arial" w:cs="Arial" w:eastAsia="Arial" w:hAnsi="Arial"/>
                <w:sz w:val="12"/>
                <w:szCs w:val="12"/>
                <w:color w:val="auto"/>
              </w:rPr>
              <w:t>03/01/2019</w:t>
            </w:r>
          </w:p>
        </w:tc>
        <w:tc>
          <w:tcPr>
            <w:tcW w:w="2560" w:type="dxa"/>
            <w:vAlign w:val="bottom"/>
            <w:gridSpan w:val="2"/>
          </w:tcPr>
          <w:p>
            <w:pPr>
              <w:jc w:val="center"/>
              <w:ind w:right="160"/>
              <w:spacing w:after="0" w:line="128" w:lineRule="exact"/>
              <w:rPr>
                <w:sz w:val="20"/>
                <w:szCs w:val="20"/>
                <w:color w:val="auto"/>
              </w:rPr>
            </w:pPr>
            <w:r>
              <w:rPr>
                <w:rFonts w:ascii="Arial" w:cs="Arial" w:eastAsia="Arial" w:hAnsi="Arial"/>
                <w:sz w:val="12"/>
                <w:szCs w:val="12"/>
                <w:color w:val="auto"/>
                <w:w w:val="86"/>
              </w:rPr>
              <w:t>Cargo Transport</w:t>
            </w:r>
          </w:p>
        </w:tc>
        <w:tc>
          <w:tcPr>
            <w:tcW w:w="84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11.00%</w:t>
            </w:r>
          </w:p>
        </w:tc>
        <w:tc>
          <w:tcPr>
            <w:tcW w:w="780" w:type="dxa"/>
            <w:vAlign w:val="bottom"/>
            <w:gridSpan w:val="2"/>
          </w:tcPr>
          <w:p>
            <w:pPr>
              <w:jc w:val="right"/>
              <w:ind w:right="220"/>
              <w:spacing w:after="0" w:line="128"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481,052</w:t>
            </w:r>
          </w:p>
        </w:tc>
        <w:tc>
          <w:tcPr>
            <w:tcW w:w="74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468,352</w:t>
            </w:r>
          </w:p>
        </w:tc>
        <w:tc>
          <w:tcPr>
            <w:tcW w:w="820" w:type="dxa"/>
            <w:vAlign w:val="bottom"/>
            <w:gridSpan w:val="3"/>
          </w:tcPr>
          <w:p>
            <w:pPr>
              <w:jc w:val="right"/>
              <w:ind w:right="100"/>
              <w:spacing w:after="0" w:line="128" w:lineRule="exact"/>
              <w:rPr>
                <w:sz w:val="20"/>
                <w:szCs w:val="20"/>
                <w:color w:val="auto"/>
              </w:rPr>
            </w:pPr>
            <w:r>
              <w:rPr>
                <w:rFonts w:ascii="Arial" w:cs="Arial" w:eastAsia="Arial" w:hAnsi="Arial"/>
                <w:sz w:val="12"/>
                <w:szCs w:val="12"/>
                <w:color w:val="auto"/>
              </w:rPr>
              <w:t>481,052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w w:val="95"/>
              </w:rPr>
              <w:t>(PIK 11.00%)</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MailSouth, Inc.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10/23/2024</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9"/>
              </w:rPr>
              <w:t>Printing and Publishing</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12.00%</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6M L+925</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48,425,000</w:t>
            </w:r>
          </w:p>
        </w:tc>
        <w:tc>
          <w:tcPr>
            <w:tcW w:w="7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47,511,267</w:t>
            </w: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47,456,500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MBS Holdings, Inc.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01/02/2024</w:t>
            </w:r>
          </w:p>
        </w:tc>
        <w:tc>
          <w:tcPr>
            <w:tcW w:w="2560" w:type="dxa"/>
            <w:vAlign w:val="bottom"/>
            <w:gridSpan w:val="2"/>
          </w:tcPr>
          <w:p>
            <w:pPr>
              <w:jc w:val="center"/>
              <w:ind w:right="160"/>
              <w:spacing w:after="0" w:line="134" w:lineRule="exact"/>
              <w:rPr>
                <w:sz w:val="20"/>
                <w:szCs w:val="20"/>
                <w:color w:val="auto"/>
              </w:rPr>
            </w:pPr>
            <w:r>
              <w:rPr>
                <w:rFonts w:ascii="Arial" w:cs="Arial" w:eastAsia="Arial" w:hAnsi="Arial"/>
                <w:sz w:val="12"/>
                <w:szCs w:val="12"/>
                <w:color w:val="auto"/>
                <w:w w:val="87"/>
              </w:rPr>
              <w:t>Telecommunications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10.85%</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1M L+850</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15,000,000</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14,720,490</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14,700,000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12/17/2021</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8"/>
              </w:rPr>
              <w:t>Hotels, Motels, Inns and Gaming</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14.80%</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4"/>
              </w:rPr>
              <w:t>3M L+1,200</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76,500,000</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76,500,000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83,062,990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PT Network, LLC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04/12/2023</w:t>
            </w:r>
          </w:p>
        </w:tc>
        <w:tc>
          <w:tcPr>
            <w:tcW w:w="256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12.43%</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94"/>
              </w:rPr>
              <w:t>3M L+1,000</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41,666,667</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40,989,222</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41,041,667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Shift4 Payments, LLC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11/28/2025</w:t>
            </w:r>
          </w:p>
        </w:tc>
        <w:tc>
          <w:tcPr>
            <w:tcW w:w="256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8"/>
              </w:rPr>
              <w:t>Financial Services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11.03%</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3M L+850</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37,000,000</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36,844,123</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36,722,500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line="134" w:lineRule="exact"/>
              <w:rPr>
                <w:sz w:val="20"/>
                <w:szCs w:val="20"/>
                <w:color w:val="auto"/>
              </w:rPr>
            </w:pPr>
            <w:r>
              <w:rPr>
                <w:rFonts w:ascii="Arial" w:cs="Arial" w:eastAsia="Arial" w:hAnsi="Arial"/>
                <w:sz w:val="12"/>
                <w:szCs w:val="12"/>
                <w:color w:val="auto"/>
              </w:rPr>
              <w:t>VT Topco, Inc.</w:t>
            </w:r>
          </w:p>
        </w:tc>
        <w:tc>
          <w:tcPr>
            <w:tcW w:w="158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08/24/2026</w:t>
            </w:r>
          </w:p>
        </w:tc>
        <w:tc>
          <w:tcPr>
            <w:tcW w:w="2560" w:type="dxa"/>
            <w:vAlign w:val="bottom"/>
            <w:gridSpan w:val="2"/>
          </w:tcPr>
          <w:p>
            <w:pPr>
              <w:jc w:val="center"/>
              <w:ind w:right="16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9.80%</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1M L+700</w:t>
            </w: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12,500,000</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12,437,500</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12,468,750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Winter Park Intermediate, Inc.</w:t>
            </w:r>
          </w:p>
        </w:tc>
        <w:tc>
          <w:tcPr>
            <w:tcW w:w="158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04/06/2026</w:t>
            </w:r>
          </w:p>
        </w:tc>
        <w:tc>
          <w:tcPr>
            <w:tcW w:w="256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9"/>
              </w:rPr>
              <w:t>Auto Sector</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11.02%</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1M L+850</w:t>
            </w:r>
          </w:p>
        </w:tc>
        <w:tc>
          <w:tcPr>
            <w:tcW w:w="7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32,800,000</w:t>
            </w: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32,186,662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32,472,000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0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1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395,646,750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403,170,805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2240" w:h="15840" w:orient="portrait"/>
          <w:cols w:equalWidth="0" w:num="1">
            <w:col w:w="11060"/>
          </w:cols>
          <w:pgMar w:left="520" w:top="316" w:right="660"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2018</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7"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2"/>
              </w:rPr>
              <w:t>Basis Point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3"/>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Maturity /</w:t>
            </w:r>
          </w:p>
        </w:tc>
        <w:tc>
          <w:tcPr>
            <w:tcW w:w="23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840" w:type="dxa"/>
            <w:vAlign w:val="bottom"/>
            <w:gridSpan w:val="2"/>
          </w:tcPr>
          <w:p>
            <w:pPr>
              <w:jc w:val="right"/>
              <w:ind w:right="360"/>
              <w:spacing w:after="0" w:line="134" w:lineRule="exact"/>
              <w:rPr>
                <w:sz w:val="20"/>
                <w:szCs w:val="20"/>
                <w:color w:val="auto"/>
              </w:rPr>
            </w:pPr>
            <w:r>
              <w:rPr>
                <w:rFonts w:ascii="Arial" w:cs="Arial" w:eastAsia="Arial" w:hAnsi="Arial"/>
                <w:sz w:val="12"/>
                <w:szCs w:val="12"/>
                <w:b w:val="1"/>
                <w:bCs w:val="1"/>
                <w:color w:val="auto"/>
              </w:rPr>
              <w:t>Current</w:t>
            </w:r>
          </w:p>
        </w:tc>
        <w:tc>
          <w:tcPr>
            <w:tcW w:w="7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1"/>
              </w:rPr>
              <w:t>Above</w:t>
            </w:r>
          </w:p>
        </w:tc>
        <w:tc>
          <w:tcPr>
            <w:tcW w:w="800" w:type="dxa"/>
            <w:vAlign w:val="bottom"/>
            <w:gridSpan w:val="2"/>
          </w:tcPr>
          <w:p>
            <w:pPr>
              <w:jc w:val="right"/>
              <w:ind w:right="400"/>
              <w:spacing w:after="0" w:line="134" w:lineRule="exact"/>
              <w:rPr>
                <w:sz w:val="20"/>
                <w:szCs w:val="20"/>
                <w:color w:val="auto"/>
              </w:rPr>
            </w:pPr>
            <w:r>
              <w:rPr>
                <w:rFonts w:ascii="Arial" w:cs="Arial" w:eastAsia="Arial" w:hAnsi="Arial"/>
                <w:sz w:val="12"/>
                <w:szCs w:val="12"/>
                <w:b w:val="1"/>
                <w:bCs w:val="1"/>
                <w:color w:val="auto"/>
              </w:rPr>
              <w:t>Par /</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00" w:type="dxa"/>
            <w:vAlign w:val="bottom"/>
            <w:gridSpan w:val="2"/>
            <w:vMerge w:val="continue"/>
          </w:tcPr>
          <w:p>
            <w:pPr>
              <w:spacing w:after="0"/>
              <w:rPr>
                <w:sz w:val="12"/>
                <w:szCs w:val="12"/>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Expiration</w:t>
            </w:r>
          </w:p>
        </w:tc>
        <w:tc>
          <w:tcPr>
            <w:tcW w:w="2340" w:type="dxa"/>
            <w:vAlign w:val="bottom"/>
            <w:gridSpan w:val="2"/>
            <w:vMerge w:val="continue"/>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78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Subordinated Debt/Corporate Notes—7.8%</w:t>
            </w: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80" w:type="dxa"/>
            <w:vAlign w:val="bottom"/>
          </w:tcPr>
          <w:p>
            <w:pPr>
              <w:spacing w:after="0" w:line="128" w:lineRule="exact"/>
              <w:rPr>
                <w:sz w:val="20"/>
                <w:szCs w:val="20"/>
                <w:color w:val="auto"/>
              </w:rPr>
            </w:pPr>
            <w:r>
              <w:rPr>
                <w:rFonts w:ascii="Arial" w:cs="Arial" w:eastAsia="Arial" w:hAnsi="Arial"/>
                <w:sz w:val="12"/>
                <w:szCs w:val="12"/>
                <w:color w:val="auto"/>
              </w:rPr>
              <w:t>Blackhawk Industrial Distribution, Inc.</w:t>
            </w:r>
          </w:p>
        </w:tc>
        <w:tc>
          <w:tcPr>
            <w:tcW w:w="820" w:type="dxa"/>
            <w:vAlign w:val="bottom"/>
            <w:gridSpan w:val="2"/>
          </w:tcPr>
          <w:p>
            <w:pPr>
              <w:ind w:left="140"/>
              <w:spacing w:after="0" w:line="128" w:lineRule="exact"/>
              <w:rPr>
                <w:sz w:val="20"/>
                <w:szCs w:val="20"/>
                <w:color w:val="auto"/>
              </w:rPr>
            </w:pPr>
            <w:r>
              <w:rPr>
                <w:rFonts w:ascii="Arial" w:cs="Arial" w:eastAsia="Arial" w:hAnsi="Arial"/>
                <w:sz w:val="12"/>
                <w:szCs w:val="12"/>
                <w:color w:val="auto"/>
              </w:rPr>
              <w:t>03/17/2025</w:t>
            </w:r>
          </w:p>
        </w:tc>
        <w:tc>
          <w:tcPr>
            <w:tcW w:w="2340" w:type="dxa"/>
            <w:vAlign w:val="bottom"/>
            <w:gridSpan w:val="2"/>
          </w:tcPr>
          <w:p>
            <w:pPr>
              <w:jc w:val="center"/>
              <w:ind w:right="100"/>
              <w:spacing w:after="0" w:line="128" w:lineRule="exact"/>
              <w:rPr>
                <w:sz w:val="20"/>
                <w:szCs w:val="20"/>
                <w:color w:val="auto"/>
              </w:rPr>
            </w:pPr>
            <w:r>
              <w:rPr>
                <w:rFonts w:ascii="Arial" w:cs="Arial" w:eastAsia="Arial" w:hAnsi="Arial"/>
                <w:sz w:val="12"/>
                <w:szCs w:val="12"/>
                <w:color w:val="auto"/>
                <w:w w:val="93"/>
              </w:rPr>
              <w:t>Distribution</w:t>
            </w:r>
          </w:p>
        </w:tc>
        <w:tc>
          <w:tcPr>
            <w:tcW w:w="84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12.00%</w:t>
            </w:r>
          </w:p>
        </w:tc>
        <w:tc>
          <w:tcPr>
            <w:tcW w:w="720" w:type="dxa"/>
            <w:vAlign w:val="bottom"/>
            <w:gridSpan w:val="2"/>
          </w:tcPr>
          <w:p>
            <w:pPr>
              <w:ind w:left="400"/>
              <w:spacing w:after="0" w:line="128"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w w:val="89"/>
              </w:rPr>
              <w:t>13,569,534</w:t>
            </w:r>
          </w:p>
        </w:tc>
        <w:tc>
          <w:tcPr>
            <w:tcW w:w="7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  13,307,183</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w w:val="87"/>
              </w:rPr>
              <w:t>$  13,569,534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(PIK 2.00%)</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Cascade Environmental LLC</w:t>
            </w:r>
          </w:p>
        </w:tc>
        <w:tc>
          <w:tcPr>
            <w:tcW w:w="82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2"/>
                <w:szCs w:val="12"/>
                <w:color w:val="auto"/>
              </w:rPr>
              <w:t>08/20/2021</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8"/>
              </w:rPr>
              <w:t>Environmental Services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15.00%</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w w:val="89"/>
              </w:rPr>
              <w:t>36,955,649</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36,580,410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34,553,533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5"/>
              </w:rPr>
              <w:t>(PIK 13.00%)</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49,887,593</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48,123,067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 xml:space="preserve">Preferred Equity/Partnership Interests—0.3% </w:t>
            </w:r>
            <w:r>
              <w:rPr>
                <w:rFonts w:ascii="Arial" w:cs="Arial" w:eastAsia="Arial" w:hAnsi="Arial"/>
                <w:sz w:val="9"/>
                <w:szCs w:val="9"/>
                <w:b w:val="1"/>
                <w:bCs w:val="1"/>
                <w:color w:val="auto"/>
              </w:rPr>
              <w:t>(6)</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AH Holdings, Inc.</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6.00%</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211</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500,000</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462,602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36,450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546,750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584,633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556,000</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64,277</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68,981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556,000</w:t>
            </w: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491,723</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527,701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80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1,602,750</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1,643,917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 xml:space="preserve">Common Equity/Partnership Interests/Warrants—8.5% </w:t>
            </w:r>
            <w:r>
              <w:rPr>
                <w:rFonts w:ascii="Arial" w:cs="Arial" w:eastAsia="Arial" w:hAnsi="Arial"/>
                <w:sz w:val="9"/>
                <w:szCs w:val="9"/>
                <w:b w:val="1"/>
                <w:bCs w:val="1"/>
                <w:color w:val="auto"/>
              </w:rPr>
              <w:t>(6)</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AH Holdings, Inc. (Warrants)</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03/23/2021</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753</w:t>
            </w:r>
          </w:p>
        </w:tc>
        <w:tc>
          <w:tcPr>
            <w:tcW w:w="100" w:type="dxa"/>
            <w:vAlign w:val="bottom"/>
          </w:tcPr>
          <w:p>
            <w:pPr>
              <w:spacing w:after="0"/>
              <w:rPr>
                <w:sz w:val="11"/>
                <w:szCs w:val="11"/>
                <w:color w:val="auto"/>
              </w:rPr>
            </w:pPr>
          </w:p>
        </w:tc>
        <w:tc>
          <w:tcPr>
            <w:tcW w:w="80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(9)</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650,000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650,000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650,000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(7), (9)</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350,000</w:t>
            </w:r>
          </w:p>
        </w:tc>
        <w:tc>
          <w:tcPr>
            <w:tcW w:w="100" w:type="dxa"/>
            <w:vAlign w:val="bottom"/>
          </w:tcPr>
          <w:p>
            <w:pPr>
              <w:spacing w:after="0"/>
              <w:rPr>
                <w:sz w:val="11"/>
                <w:szCs w:val="11"/>
                <w:color w:val="auto"/>
              </w:rPr>
            </w:pPr>
          </w:p>
        </w:tc>
        <w:tc>
          <w:tcPr>
            <w:tcW w:w="80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ASP LCG Holdings, Inc. (Warrants)</w:t>
            </w:r>
          </w:p>
        </w:tc>
        <w:tc>
          <w:tcPr>
            <w:tcW w:w="82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2"/>
                <w:szCs w:val="12"/>
                <w:color w:val="auto"/>
              </w:rPr>
              <w:t>05/05/2026</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9"/>
              </w:rPr>
              <w:t>Education</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933</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586,975</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1,866,067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Autumn Games, LLC</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6"/>
              </w:rPr>
              <w:t>Broadcasting and Entertainment</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1,333,330</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3,000,000</w:t>
            </w:r>
          </w:p>
        </w:tc>
        <w:tc>
          <w:tcPr>
            <w:tcW w:w="140" w:type="dxa"/>
            <w:vAlign w:val="bottom"/>
          </w:tcPr>
          <w:p>
            <w:pPr>
              <w:spacing w:after="0"/>
              <w:rPr>
                <w:sz w:val="11"/>
                <w:szCs w:val="11"/>
                <w:color w:val="auto"/>
              </w:rPr>
            </w:pPr>
          </w:p>
        </w:tc>
        <w:tc>
          <w:tcPr>
            <w:tcW w:w="70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w w:val="95"/>
              </w:rPr>
              <w:t xml:space="preserve">Cardinal Logistics Holdings LLC (Intermediate Transportation 100, LLC) </w:t>
            </w:r>
            <w:r>
              <w:rPr>
                <w:rFonts w:ascii="Arial" w:cs="Arial" w:eastAsia="Arial" w:hAnsi="Arial"/>
                <w:sz w:val="9"/>
                <w:szCs w:val="9"/>
                <w:color w:val="auto"/>
                <w:w w:val="95"/>
              </w:rPr>
              <w:t>(9)</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6"/>
              </w:rPr>
              <w:t>Cargo Transport</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(13)</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5,411,024</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3,611,080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8"/>
              </w:rPr>
              <w:t>Environmental Services</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33,901</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2,852,080</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520,736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CI (Allied) Investment Holdings, LLC (Allied America, Inc.) </w:t>
            </w:r>
            <w:r>
              <w:rPr>
                <w:rFonts w:ascii="Arial" w:cs="Arial" w:eastAsia="Arial" w:hAnsi="Arial"/>
                <w:sz w:val="9"/>
                <w:szCs w:val="9"/>
                <w:color w:val="auto"/>
              </w:rPr>
              <w:t>(9)</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112,001</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1,153,614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1,312,852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333,333</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5,000,000</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5,000,000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CI (Summit) Investment Holdings LLC (SFP Holdings, Inc.)</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100,000</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1,000,000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1,287,386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Cowboy Parent LLC (Blackhawk Industrial Distribution, Inc.)</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93"/>
              </w:rPr>
              <w:t>Distribution</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22,500</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2,250,000</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2,535,289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DecoPac Holdings Inc.</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5"/>
              </w:rPr>
              <w:t>Beverage, Food and Tobacco</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3,449</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3,448,658</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5,212,753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6"/>
              </w:rPr>
              <w:t>Financial Services</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80</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1,004,625</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1,012,082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Faraday Holdings, LLC</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4,277</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217,635</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1,177,113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 xml:space="preserve">Go Dawgs Capital III, LP (American Insulated Glass, LLC) </w:t>
            </w:r>
            <w:r>
              <w:rPr>
                <w:rFonts w:ascii="Arial" w:cs="Arial" w:eastAsia="Arial" w:hAnsi="Arial"/>
                <w:sz w:val="9"/>
                <w:szCs w:val="9"/>
                <w:color w:val="auto"/>
              </w:rPr>
              <w:t>(9)</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675,325</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675,325</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675,325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Green Veracity Holdings, LP—Class A (VT Topco, Inc.)</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15,000</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1,500,000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1,308,318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Infogroup Parent Holdings, Inc.</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90"/>
              </w:rPr>
              <w:t>Other Media</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181,495</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2,040,000</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1,940,195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204,985</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2,049,849</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3,839,997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JWC-WE Holdings, L.P. (Walker Edison Furniture Company LLC)</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88"/>
              </w:rPr>
              <w:t>Home and Office Furnishings</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1,906,433</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1,906,433</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1,906,433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252,014</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2,265,639</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524,189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93"/>
              </w:rPr>
              <w:t>Distribution</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19</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493,280</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686,222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8"/>
              </w:rPr>
              <w:t>Environmental Services</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495,249</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495,249</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623,125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SSC Dominion Holdings, LLC Class A (US Dominion, Inc.)</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8"/>
              </w:rPr>
              <w:t>Electronics</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1,500</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1,500,000</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1,500,000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SSC Dominion Holdings, LLC Class B (US Dominion, Inc.)</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8"/>
              </w:rPr>
              <w:t>Electronics</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1,500</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8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552,896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 xml:space="preserve">U.S. Well Services, Inc.—Class A </w:t>
            </w:r>
            <w:r>
              <w:rPr>
                <w:rFonts w:ascii="Arial" w:cs="Arial" w:eastAsia="Arial" w:hAnsi="Arial"/>
                <w:sz w:val="9"/>
                <w:szCs w:val="9"/>
                <w:color w:val="auto"/>
              </w:rPr>
              <w:t>(11), (12)</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8"/>
              </w:rPr>
              <w:t>Oil and Gas</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81,383</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813,830</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528,990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USWS Holdings, LLC </w:t>
            </w:r>
            <w:r>
              <w:rPr>
                <w:rFonts w:ascii="Arial" w:cs="Arial" w:eastAsia="Arial" w:hAnsi="Arial"/>
                <w:sz w:val="9"/>
                <w:szCs w:val="9"/>
                <w:color w:val="auto"/>
              </w:rPr>
              <w:t>(9), (11)</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8"/>
              </w:rPr>
              <w:t>Oil and Gas</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1,188,368</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11,883,680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6,372,623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 xml:space="preserve">WBB Equity, LLC (Whitney, Bradley &amp; Brown, Inc.) </w:t>
            </w:r>
            <w:r>
              <w:rPr>
                <w:rFonts w:ascii="Arial" w:cs="Arial" w:eastAsia="Arial" w:hAnsi="Arial"/>
                <w:sz w:val="9"/>
                <w:szCs w:val="9"/>
                <w:color w:val="auto"/>
              </w:rPr>
              <w:t>(9)</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3"/>
              </w:rPr>
              <w:t>Aerospace and Defense</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628,571</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628,571</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1,269,714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Wheel Pros Holdings, L.P. (Winter Park Intermediate, Inc.)</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9"/>
              </w:rPr>
              <w:t>Auto Sector</w:t>
            </w: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3,200,000</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3,200,000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5,592,775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(9)</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5"/>
              </w:rPr>
              <w:t>Personal, Food and Miscellaneous Services</w:t>
            </w:r>
          </w:p>
        </w:tc>
        <w:tc>
          <w:tcPr>
            <w:tcW w:w="84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856</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855,515</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839,016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Common Equity/Partnership Interests/Warrants</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56,881,982</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52,345,176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800" w:type="dxa"/>
            <w:vAlign w:val="bottom"/>
            <w:gridSpan w:val="2"/>
          </w:tcPr>
          <w:p>
            <w:pPr>
              <w:spacing w:after="0"/>
              <w:rPr>
                <w:sz w:val="20"/>
                <w:szCs w:val="20"/>
                <w:color w:val="auto"/>
              </w:rPr>
            </w:pPr>
            <w:r>
              <w:rPr>
                <w:rFonts w:ascii="Arial" w:cs="Arial" w:eastAsia="Arial" w:hAnsi="Arial"/>
                <w:sz w:val="12"/>
                <w:szCs w:val="12"/>
                <w:b w:val="1"/>
                <w:bCs w:val="1"/>
                <w:color w:val="auto"/>
                <w:w w:val="91"/>
              </w:rPr>
              <w:t>Total Investments in Non-Controlled, Non-Affiliated Portfolio Companies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987,929,505</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w w:val="95"/>
              </w:rPr>
              <w:t>989,515,879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88"/>
              </w:rPr>
              <w:t xml:space="preserve">Investments in Non-Controlled, Affiliated Portfolio Companies—8.0% </w:t>
            </w:r>
            <w:r>
              <w:rPr>
                <w:rFonts w:ascii="Arial" w:cs="Arial" w:eastAsia="Arial" w:hAnsi="Arial"/>
                <w:sz w:val="9"/>
                <w:szCs w:val="9"/>
                <w:b w:val="1"/>
                <w:bCs w:val="1"/>
                <w:color w:val="auto"/>
                <w:w w:val="88"/>
              </w:rPr>
              <w:t>(1), (2)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line="134" w:lineRule="exact"/>
              <w:rPr>
                <w:sz w:val="20"/>
                <w:szCs w:val="20"/>
                <w:color w:val="auto"/>
              </w:rPr>
            </w:pPr>
            <w:r>
              <w:rPr>
                <w:rFonts w:ascii="Arial" w:cs="Arial" w:eastAsia="Arial" w:hAnsi="Arial"/>
                <w:sz w:val="12"/>
                <w:szCs w:val="12"/>
                <w:b w:val="1"/>
                <w:bCs w:val="1"/>
                <w:color w:val="auto"/>
              </w:rPr>
              <w:t xml:space="preserve">Preferred Equity—1.5% </w:t>
            </w:r>
            <w:r>
              <w:rPr>
                <w:rFonts w:ascii="Arial" w:cs="Arial" w:eastAsia="Arial" w:hAnsi="Arial"/>
                <w:sz w:val="9"/>
                <w:szCs w:val="9"/>
                <w:b w:val="1"/>
                <w:bCs w:val="1"/>
                <w:color w:val="auto"/>
              </w:rPr>
              <w:t>(6)</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8"/>
              </w:rPr>
              <w:t>Oil and Gas</w:t>
            </w:r>
          </w:p>
        </w:tc>
        <w:tc>
          <w:tcPr>
            <w:tcW w:w="84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23,269</w:t>
            </w: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2,326,900</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9,307,600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0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2,326,900</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9,307,600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2240" w:h="15840" w:orient="portrait"/>
          <w:cols w:equalWidth="0" w:num="1">
            <w:col w:w="11060"/>
          </w:cols>
          <w:pgMar w:left="520" w:top="316" w:right="660"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2018</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7"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2"/>
              </w:rPr>
              <w:t>Basis Point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tcPr>
          <w:p>
            <w:pPr>
              <w:jc w:val="center"/>
              <w:ind w:right="60"/>
              <w:spacing w:after="0" w:line="134" w:lineRule="exact"/>
              <w:rPr>
                <w:sz w:val="20"/>
                <w:szCs w:val="20"/>
                <w:color w:val="auto"/>
              </w:rPr>
            </w:pPr>
            <w:r>
              <w:rPr>
                <w:rFonts w:ascii="Arial" w:cs="Arial" w:eastAsia="Arial" w:hAnsi="Arial"/>
                <w:sz w:val="12"/>
                <w:szCs w:val="12"/>
                <w:b w:val="1"/>
                <w:bCs w:val="1"/>
                <w:color w:val="auto"/>
                <w:w w:val="83"/>
              </w:rPr>
              <w:t>Spread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Maturity /</w:t>
            </w:r>
          </w:p>
        </w:tc>
        <w:tc>
          <w:tcPr>
            <w:tcW w:w="24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8"/>
              </w:rPr>
              <w:t>Industry</w:t>
            </w:r>
          </w:p>
        </w:tc>
        <w:tc>
          <w:tcPr>
            <w:tcW w:w="780" w:type="dxa"/>
            <w:vAlign w:val="bottom"/>
            <w:gridSpan w:val="2"/>
          </w:tcPr>
          <w:p>
            <w:pPr>
              <w:jc w:val="right"/>
              <w:ind w:right="320"/>
              <w:spacing w:after="0" w:line="134" w:lineRule="exact"/>
              <w:rPr>
                <w:sz w:val="20"/>
                <w:szCs w:val="20"/>
                <w:color w:val="auto"/>
              </w:rPr>
            </w:pPr>
            <w:r>
              <w:rPr>
                <w:rFonts w:ascii="Arial" w:cs="Arial" w:eastAsia="Arial" w:hAnsi="Arial"/>
                <w:sz w:val="12"/>
                <w:szCs w:val="12"/>
                <w:b w:val="1"/>
                <w:bCs w:val="1"/>
                <w:color w:val="auto"/>
              </w:rPr>
              <w:t>Current</w:t>
            </w:r>
          </w:p>
        </w:tc>
        <w:tc>
          <w:tcPr>
            <w:tcW w:w="640" w:type="dxa"/>
            <w:vAlign w:val="bottom"/>
            <w:gridSpan w:val="2"/>
          </w:tcPr>
          <w:p>
            <w:pPr>
              <w:jc w:val="center"/>
              <w:ind w:right="60"/>
              <w:spacing w:after="0" w:line="134" w:lineRule="exact"/>
              <w:rPr>
                <w:sz w:val="20"/>
                <w:szCs w:val="20"/>
                <w:color w:val="auto"/>
              </w:rPr>
            </w:pPr>
            <w:r>
              <w:rPr>
                <w:rFonts w:ascii="Arial" w:cs="Arial" w:eastAsia="Arial" w:hAnsi="Arial"/>
                <w:sz w:val="12"/>
                <w:szCs w:val="12"/>
                <w:b w:val="1"/>
                <w:bCs w:val="1"/>
                <w:color w:val="auto"/>
                <w:w w:val="81"/>
              </w:rPr>
              <w:t>Above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320"/>
              <w:spacing w:after="0" w:line="134" w:lineRule="exact"/>
              <w:rPr>
                <w:sz w:val="20"/>
                <w:szCs w:val="20"/>
                <w:color w:val="auto"/>
              </w:rPr>
            </w:pPr>
            <w:r>
              <w:rPr>
                <w:rFonts w:ascii="Arial" w:cs="Arial" w:eastAsia="Arial" w:hAnsi="Arial"/>
                <w:sz w:val="12"/>
                <w:szCs w:val="12"/>
                <w:b w:val="1"/>
                <w:bCs w:val="1"/>
                <w:color w:val="auto"/>
              </w:rPr>
              <w:t>Par /</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40" w:type="dxa"/>
            <w:vAlign w:val="bottom"/>
            <w:gridSpan w:val="2"/>
            <w:vMerge w:val="continue"/>
          </w:tcPr>
          <w:p>
            <w:pPr>
              <w:spacing w:after="0"/>
              <w:rPr>
                <w:sz w:val="12"/>
                <w:szCs w:val="12"/>
                <w:color w:val="auto"/>
              </w:rPr>
            </w:pP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420" w:type="dxa"/>
            <w:vAlign w:val="bottom"/>
            <w:gridSpan w:val="2"/>
            <w:vMerge w:val="continue"/>
          </w:tcPr>
          <w:p>
            <w:pPr>
              <w:spacing w:after="0"/>
              <w:rPr>
                <w:sz w:val="12"/>
                <w:szCs w:val="12"/>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6"/>
              </w:rPr>
              <w:t>Coupon</w:t>
            </w: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4"/>
              </w:rPr>
              <w:t>Shares</w:t>
            </w:r>
          </w:p>
        </w:tc>
        <w:tc>
          <w:tcPr>
            <w:tcW w:w="60" w:type="dxa"/>
            <w:vAlign w:val="bottom"/>
          </w:tcPr>
          <w:p>
            <w:pPr>
              <w:spacing w:after="0"/>
              <w:rPr>
                <w:sz w:val="12"/>
                <w:szCs w:val="12"/>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2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 xml:space="preserve">Common Equity/Partnership Interests/Warrants—6.5% </w:t>
            </w:r>
            <w:r>
              <w:rPr>
                <w:rFonts w:ascii="Arial" w:cs="Arial" w:eastAsia="Arial" w:hAnsi="Arial"/>
                <w:sz w:val="9"/>
                <w:szCs w:val="9"/>
                <w:b w:val="1"/>
                <w:bCs w:val="1"/>
                <w:color w:val="auto"/>
              </w:rPr>
              <w:t>(6)</w:t>
            </w:r>
          </w:p>
        </w:tc>
        <w:tc>
          <w:tcPr>
            <w:tcW w:w="920" w:type="dxa"/>
            <w:vAlign w:val="bottom"/>
            <w:tcBorders>
              <w:top w:val="single" w:sz="8" w:color="auto"/>
            </w:tcBorders>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Affinion Group Holdings, Inc.</w:t>
            </w:r>
          </w:p>
        </w:tc>
        <w:tc>
          <w:tcPr>
            <w:tcW w:w="92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200"/>
              <w:spacing w:after="0" w:line="134" w:lineRule="exact"/>
              <w:rPr>
                <w:sz w:val="20"/>
                <w:szCs w:val="20"/>
                <w:color w:val="auto"/>
              </w:rPr>
            </w:pPr>
            <w:r>
              <w:rPr>
                <w:rFonts w:ascii="Arial" w:cs="Arial" w:eastAsia="Arial" w:hAnsi="Arial"/>
                <w:sz w:val="12"/>
                <w:szCs w:val="12"/>
                <w:color w:val="auto"/>
                <w:w w:val="84"/>
              </w:rPr>
              <w:t>Consumer Products</w:t>
            </w:r>
          </w:p>
        </w:tc>
        <w:tc>
          <w:tcPr>
            <w:tcW w:w="78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859,496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30,503,493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16,804,236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Affinion Group Holdings, Inc., Series C and Series D</w:t>
            </w:r>
          </w:p>
        </w:tc>
        <w:tc>
          <w:tcPr>
            <w:tcW w:w="92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200"/>
              <w:spacing w:after="0" w:line="134" w:lineRule="exact"/>
              <w:rPr>
                <w:sz w:val="20"/>
                <w:szCs w:val="20"/>
                <w:color w:val="auto"/>
              </w:rPr>
            </w:pPr>
            <w:r>
              <w:rPr>
                <w:rFonts w:ascii="Arial" w:cs="Arial" w:eastAsia="Arial" w:hAnsi="Arial"/>
                <w:sz w:val="12"/>
                <w:szCs w:val="12"/>
                <w:color w:val="auto"/>
                <w:w w:val="84"/>
              </w:rPr>
              <w:t>Consumer Products</w:t>
            </w:r>
          </w:p>
        </w:tc>
        <w:tc>
          <w:tcPr>
            <w:tcW w:w="78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37,181</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10,265,973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16,571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2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200"/>
              <w:spacing w:after="0" w:line="134" w:lineRule="exact"/>
              <w:rPr>
                <w:sz w:val="20"/>
                <w:szCs w:val="20"/>
                <w:color w:val="auto"/>
              </w:rPr>
            </w:pPr>
            <w:r>
              <w:rPr>
                <w:rFonts w:ascii="Arial" w:cs="Arial" w:eastAsia="Arial" w:hAnsi="Arial"/>
                <w:sz w:val="12"/>
                <w:szCs w:val="12"/>
                <w:color w:val="auto"/>
                <w:w w:val="85"/>
              </w:rPr>
              <w:t>Oil and Gas</w:t>
            </w:r>
          </w:p>
        </w:tc>
        <w:tc>
          <w:tcPr>
            <w:tcW w:w="78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93"/>
              </w:rPr>
              <w:t>1,658,389</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29,711,576</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21,768,908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ETX Energy Management Company, LLC</w:t>
            </w:r>
          </w:p>
        </w:tc>
        <w:tc>
          <w:tcPr>
            <w:tcW w:w="92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200"/>
              <w:spacing w:after="0" w:line="134" w:lineRule="exact"/>
              <w:rPr>
                <w:sz w:val="20"/>
                <w:szCs w:val="20"/>
                <w:color w:val="auto"/>
              </w:rPr>
            </w:pPr>
            <w:r>
              <w:rPr>
                <w:rFonts w:ascii="Arial" w:cs="Arial" w:eastAsia="Arial" w:hAnsi="Arial"/>
                <w:sz w:val="12"/>
                <w:szCs w:val="12"/>
                <w:color w:val="auto"/>
                <w:w w:val="85"/>
              </w:rPr>
              <w:t>Oil and Gas</w:t>
            </w:r>
          </w:p>
        </w:tc>
        <w:tc>
          <w:tcPr>
            <w:tcW w:w="78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3"/>
              </w:rPr>
              <w:t>1,754,104</w:t>
            </w: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1,562,020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1,160,304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72,043,062</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39,750,019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3"/>
              </w:rPr>
              <w:t>Total Investments in Non-Controlled, Affiliated Portfolio Companies</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74,369,962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49,057,619</w:t>
            </w:r>
          </w:p>
        </w:tc>
        <w:tc>
          <w:tcPr>
            <w:tcW w:w="0" w:type="dxa"/>
            <w:vAlign w:val="bottom"/>
          </w:tcPr>
          <w:p>
            <w:pPr>
              <w:spacing w:after="0"/>
              <w:rPr>
                <w:sz w:val="1"/>
                <w:szCs w:val="1"/>
                <w:color w:val="auto"/>
              </w:rPr>
            </w:pPr>
          </w:p>
        </w:tc>
      </w:tr>
      <w:tr>
        <w:trPr>
          <w:trHeight w:val="141"/>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w w:val="89"/>
              </w:rPr>
              <w:t xml:space="preserve">Investments in Controlled, Affiliated Portfolio Companies—24.7% </w:t>
            </w:r>
            <w:r>
              <w:rPr>
                <w:rFonts w:ascii="Arial" w:cs="Arial" w:eastAsia="Arial" w:hAnsi="Arial"/>
                <w:sz w:val="9"/>
                <w:szCs w:val="9"/>
                <w:b w:val="1"/>
                <w:bCs w:val="1"/>
                <w:color w:val="auto"/>
                <w:w w:val="89"/>
              </w:rPr>
              <w:t>(1), (2)</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First Lien Secured Debt—15.1%</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20" w:type="dxa"/>
            <w:vAlign w:val="bottom"/>
          </w:tcPr>
          <w:p>
            <w:pPr>
              <w:ind w:left="140"/>
              <w:spacing w:after="0" w:line="134" w:lineRule="exact"/>
              <w:rPr>
                <w:sz w:val="20"/>
                <w:szCs w:val="20"/>
                <w:color w:val="auto"/>
              </w:rPr>
            </w:pPr>
            <w:r>
              <w:rPr>
                <w:rFonts w:ascii="Arial" w:cs="Arial" w:eastAsia="Arial" w:hAnsi="Arial"/>
                <w:sz w:val="12"/>
                <w:szCs w:val="12"/>
                <w:color w:val="auto"/>
              </w:rPr>
              <w:t>03/13/2024</w:t>
            </w:r>
          </w:p>
        </w:tc>
        <w:tc>
          <w:tcPr>
            <w:tcW w:w="2420" w:type="dxa"/>
            <w:vAlign w:val="bottom"/>
            <w:gridSpan w:val="2"/>
          </w:tcPr>
          <w:p>
            <w:pPr>
              <w:jc w:val="center"/>
              <w:ind w:right="20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7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6.65%</w:t>
            </w:r>
          </w:p>
        </w:tc>
        <w:tc>
          <w:tcPr>
            <w:tcW w:w="640" w:type="dxa"/>
            <w:vAlign w:val="bottom"/>
            <w:gridSpan w:val="2"/>
          </w:tcPr>
          <w:p>
            <w:pPr>
              <w:ind w:left="80"/>
              <w:spacing w:after="0" w:line="134" w:lineRule="exact"/>
              <w:rPr>
                <w:sz w:val="20"/>
                <w:szCs w:val="20"/>
                <w:color w:val="auto"/>
              </w:rPr>
            </w:pPr>
            <w:r>
              <w:rPr>
                <w:rFonts w:ascii="Arial" w:cs="Arial" w:eastAsia="Arial" w:hAnsi="Arial"/>
                <w:sz w:val="12"/>
                <w:szCs w:val="12"/>
                <w:color w:val="auto"/>
              </w:rPr>
              <w:t>3M L+575</w:t>
            </w:r>
          </w:p>
        </w:tc>
        <w:tc>
          <w:tcPr>
            <w:tcW w:w="1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28,000,000</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39,051,600</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35,660,604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RAM Energy LLC</w:t>
            </w:r>
          </w:p>
        </w:tc>
        <w:tc>
          <w:tcPr>
            <w:tcW w:w="92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07/01/2022</w:t>
            </w:r>
          </w:p>
        </w:tc>
        <w:tc>
          <w:tcPr>
            <w:tcW w:w="2420" w:type="dxa"/>
            <w:vAlign w:val="bottom"/>
            <w:gridSpan w:val="2"/>
            <w:shd w:val="clear" w:color="auto" w:fill="CCEEFF"/>
          </w:tcPr>
          <w:p>
            <w:pPr>
              <w:jc w:val="center"/>
              <w:ind w:right="200"/>
              <w:spacing w:after="0" w:line="134" w:lineRule="exact"/>
              <w:rPr>
                <w:sz w:val="20"/>
                <w:szCs w:val="20"/>
                <w:color w:val="auto"/>
              </w:rPr>
            </w:pPr>
            <w:r>
              <w:rPr>
                <w:rFonts w:ascii="Arial" w:cs="Arial" w:eastAsia="Arial" w:hAnsi="Arial"/>
                <w:sz w:val="12"/>
                <w:szCs w:val="12"/>
                <w:color w:val="auto"/>
                <w:w w:val="90"/>
              </w:rPr>
              <w:t>Energy and Utilities</w:t>
            </w:r>
          </w:p>
        </w:tc>
        <w:tc>
          <w:tcPr>
            <w:tcW w:w="7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8.00%</w:t>
            </w:r>
          </w:p>
        </w:tc>
        <w:tc>
          <w:tcPr>
            <w:tcW w:w="6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35,000,000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35,000,000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35,000,000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RAM Energy LLC (Revolver)</w:t>
            </w:r>
          </w:p>
        </w:tc>
        <w:tc>
          <w:tcPr>
            <w:tcW w:w="920" w:type="dxa"/>
            <w:vAlign w:val="bottom"/>
          </w:tcPr>
          <w:p>
            <w:pPr>
              <w:ind w:left="140"/>
              <w:spacing w:after="0" w:line="134" w:lineRule="exact"/>
              <w:rPr>
                <w:sz w:val="20"/>
                <w:szCs w:val="20"/>
                <w:color w:val="auto"/>
              </w:rPr>
            </w:pPr>
            <w:r>
              <w:rPr>
                <w:rFonts w:ascii="Arial" w:cs="Arial" w:eastAsia="Arial" w:hAnsi="Arial"/>
                <w:sz w:val="12"/>
                <w:szCs w:val="12"/>
                <w:color w:val="auto"/>
              </w:rPr>
              <w:t>07/01/2022</w:t>
            </w:r>
          </w:p>
        </w:tc>
        <w:tc>
          <w:tcPr>
            <w:tcW w:w="2420" w:type="dxa"/>
            <w:vAlign w:val="bottom"/>
            <w:gridSpan w:val="2"/>
          </w:tcPr>
          <w:p>
            <w:pPr>
              <w:jc w:val="center"/>
              <w:ind w:right="200"/>
              <w:spacing w:after="0" w:line="134" w:lineRule="exact"/>
              <w:rPr>
                <w:sz w:val="20"/>
                <w:szCs w:val="20"/>
                <w:color w:val="auto"/>
              </w:rPr>
            </w:pPr>
            <w:r>
              <w:rPr>
                <w:rFonts w:ascii="Arial" w:cs="Arial" w:eastAsia="Arial" w:hAnsi="Arial"/>
                <w:sz w:val="12"/>
                <w:szCs w:val="12"/>
                <w:color w:val="auto"/>
                <w:w w:val="90"/>
              </w:rPr>
              <w:t>Energy and Utilities</w:t>
            </w:r>
          </w:p>
        </w:tc>
        <w:tc>
          <w:tcPr>
            <w:tcW w:w="7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8.00%</w:t>
            </w:r>
          </w:p>
        </w:tc>
        <w:tc>
          <w:tcPr>
            <w:tcW w:w="6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15,000,000</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15,000,000</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15,000,000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Superior Digital Displays, LLC</w:t>
            </w:r>
          </w:p>
        </w:tc>
        <w:tc>
          <w:tcPr>
            <w:tcW w:w="92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12/31/2019</w:t>
            </w:r>
          </w:p>
        </w:tc>
        <w:tc>
          <w:tcPr>
            <w:tcW w:w="2420" w:type="dxa"/>
            <w:vAlign w:val="bottom"/>
            <w:gridSpan w:val="2"/>
            <w:shd w:val="clear" w:color="auto" w:fill="CCEEFF"/>
          </w:tcPr>
          <w:p>
            <w:pPr>
              <w:jc w:val="center"/>
              <w:ind w:right="200"/>
              <w:spacing w:after="0" w:line="134" w:lineRule="exact"/>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3.00%</w:t>
            </w:r>
          </w:p>
        </w:tc>
        <w:tc>
          <w:tcPr>
            <w:tcW w:w="6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3"/>
              </w:rPr>
              <w:t>7,504,371</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7,243,236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7,500,000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5"/>
              </w:rPr>
              <w:t>(PIK 3.00%)</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96,294,836</w:t>
            </w: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93,160,604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 xml:space="preserve">Preferred Equity—1.4% </w:t>
            </w:r>
            <w:r>
              <w:rPr>
                <w:rFonts w:ascii="Arial" w:cs="Arial" w:eastAsia="Arial" w:hAnsi="Arial"/>
                <w:sz w:val="9"/>
                <w:szCs w:val="9"/>
                <w:b w:val="1"/>
                <w:bCs w:val="1"/>
                <w:color w:val="auto"/>
              </w:rPr>
              <w:t>(6)</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MidOcean JF Holdings Corp.</w:t>
            </w:r>
          </w:p>
        </w:tc>
        <w:tc>
          <w:tcPr>
            <w:tcW w:w="92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220"/>
              <w:spacing w:after="0" w:line="134" w:lineRule="exact"/>
              <w:rPr>
                <w:sz w:val="20"/>
                <w:szCs w:val="20"/>
                <w:color w:val="auto"/>
              </w:rPr>
            </w:pPr>
            <w:r>
              <w:rPr>
                <w:rFonts w:ascii="Arial" w:cs="Arial" w:eastAsia="Arial" w:hAnsi="Arial"/>
                <w:sz w:val="12"/>
                <w:szCs w:val="12"/>
                <w:color w:val="auto"/>
                <w:w w:val="93"/>
              </w:rPr>
              <w:t>Distribution</w:t>
            </w:r>
          </w:p>
        </w:tc>
        <w:tc>
          <w:tcPr>
            <w:tcW w:w="78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153,922</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15,392,188</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9,082,240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Superior Digital Displays Holdings, Inc.</w:t>
            </w:r>
          </w:p>
        </w:tc>
        <w:tc>
          <w:tcPr>
            <w:tcW w:w="92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200"/>
              <w:spacing w:after="0" w:line="134" w:lineRule="exact"/>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15.00%</w:t>
            </w:r>
          </w:p>
        </w:tc>
        <w:tc>
          <w:tcPr>
            <w:tcW w:w="6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3"/>
              </w:rPr>
              <w:t>1,416,392</w:t>
            </w: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46,254,586</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2"/>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61,646,774</w:t>
            </w: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9,082,240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 xml:space="preserve">Common Equity—8.2% </w:t>
            </w:r>
            <w:r>
              <w:rPr>
                <w:rFonts w:ascii="Arial" w:cs="Arial" w:eastAsia="Arial" w:hAnsi="Arial"/>
                <w:sz w:val="9"/>
                <w:szCs w:val="9"/>
                <w:b w:val="1"/>
                <w:bCs w:val="1"/>
                <w:color w:val="auto"/>
              </w:rPr>
              <w:t>(6)</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2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20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78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950</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132,497</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7,307,469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MidOcean JF Holdings Corp.</w:t>
            </w:r>
          </w:p>
        </w:tc>
        <w:tc>
          <w:tcPr>
            <w:tcW w:w="92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220"/>
              <w:spacing w:after="0" w:line="134" w:lineRule="exact"/>
              <w:rPr>
                <w:sz w:val="20"/>
                <w:szCs w:val="20"/>
                <w:color w:val="auto"/>
              </w:rPr>
            </w:pPr>
            <w:r>
              <w:rPr>
                <w:rFonts w:ascii="Arial" w:cs="Arial" w:eastAsia="Arial" w:hAnsi="Arial"/>
                <w:sz w:val="12"/>
                <w:szCs w:val="12"/>
                <w:color w:val="auto"/>
                <w:w w:val="93"/>
              </w:rPr>
              <w:t>Distribution</w:t>
            </w:r>
          </w:p>
        </w:tc>
        <w:tc>
          <w:tcPr>
            <w:tcW w:w="78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65,933</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24,761,831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RAM Energy Holdings LLC</w:t>
            </w:r>
          </w:p>
        </w:tc>
        <w:tc>
          <w:tcPr>
            <w:tcW w:w="92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200"/>
              <w:spacing w:after="0" w:line="134" w:lineRule="exact"/>
              <w:rPr>
                <w:sz w:val="20"/>
                <w:szCs w:val="20"/>
                <w:color w:val="auto"/>
              </w:rPr>
            </w:pPr>
            <w:r>
              <w:rPr>
                <w:rFonts w:ascii="Arial" w:cs="Arial" w:eastAsia="Arial" w:hAnsi="Arial"/>
                <w:sz w:val="12"/>
                <w:szCs w:val="12"/>
                <w:color w:val="auto"/>
                <w:w w:val="90"/>
              </w:rPr>
              <w:t>Energy and Utilities</w:t>
            </w:r>
          </w:p>
        </w:tc>
        <w:tc>
          <w:tcPr>
            <w:tcW w:w="78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84,747</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76,264,739</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43,330,000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Superior Digital Displays Holdings, Inc.</w:t>
            </w:r>
          </w:p>
        </w:tc>
        <w:tc>
          <w:tcPr>
            <w:tcW w:w="92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200"/>
              <w:spacing w:after="0" w:line="134" w:lineRule="exact"/>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11,100</w:t>
            </w: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2,211,000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2"/>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103,370,067</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50,637,469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Investments in Controlled, Affiliated Portfolio Companies</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8"/>
              </w:rPr>
              <w:t>261,311,677</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8"/>
              </w:rPr>
              <w:t>152,880,313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Investments—193.4%</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w w:val="85"/>
              </w:rPr>
              <w:t>1,323,611,144</w:t>
            </w: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w w:val="85"/>
              </w:rPr>
              <w:t>1,191,453,811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Cash and Cash Equivalents—4.0%</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BlackRock Federal FD Institutional 30</w:t>
            </w:r>
          </w:p>
        </w:tc>
        <w:tc>
          <w:tcPr>
            <w:tcW w:w="9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4,846,547</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4,846,547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BNY Mellon Cash Reserve and Cash</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19,811,323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19,807,342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24,657,870</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24,653,889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Investments and Cash Equivalents—197.4%</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85"/>
              </w:rPr>
              <w:t>1,348,269,014</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85"/>
              </w:rPr>
              <w:t>1,216,107,700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Assets—(97.4%)</w:t>
            </w: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64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w w:val="93"/>
              </w:rPr>
              <w:t>(600,166,595)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Net Assets—100.0%</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8"/>
              </w:rPr>
              <w:t>615,941,105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75" w:lineRule="exact"/>
        <w:rPr>
          <w:sz w:val="20"/>
          <w:szCs w:val="20"/>
          <w:color w:val="auto"/>
        </w:rPr>
      </w:pPr>
    </w:p>
    <w:p>
      <w:pPr>
        <w:ind w:left="460" w:right="60" w:hanging="326"/>
        <w:spacing w:after="0" w:line="241" w:lineRule="auto"/>
        <w:tabs>
          <w:tab w:leader="none" w:pos="4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280" w:hanging="326"/>
        <w:spacing w:after="0" w:line="232" w:lineRule="auto"/>
        <w:tabs>
          <w:tab w:leader="none" w:pos="4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460" w:hanging="326"/>
        <w:spacing w:after="0" w:line="232" w:lineRule="auto"/>
        <w:tabs>
          <w:tab w:leader="none" w:pos="4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460" w:right="40" w:hanging="326"/>
        <w:spacing w:after="0" w:line="232" w:lineRule="auto"/>
        <w:tabs>
          <w:tab w:leader="none" w:pos="4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payment-in-kind, or PIK, interest and other fee rates, if any.</w:t>
      </w:r>
    </w:p>
    <w:p>
      <w:pPr>
        <w:spacing w:after="0" w:line="1" w:lineRule="exact"/>
        <w:rPr>
          <w:rFonts w:ascii="Arial" w:cs="Arial" w:eastAsia="Arial" w:hAnsi="Arial"/>
          <w:sz w:val="12"/>
          <w:szCs w:val="12"/>
          <w:color w:val="auto"/>
        </w:rPr>
      </w:pPr>
    </w:p>
    <w:p>
      <w:pPr>
        <w:ind w:left="460" w:right="180" w:hanging="326"/>
        <w:spacing w:after="0" w:line="232" w:lineRule="auto"/>
        <w:tabs>
          <w:tab w:leader="none" w:pos="4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460" w:hanging="326"/>
        <w:spacing w:after="0" w:line="232" w:lineRule="auto"/>
        <w:tabs>
          <w:tab w:leader="none" w:pos="4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460" w:hanging="326"/>
        <w:spacing w:after="0"/>
        <w:tabs>
          <w:tab w:leader="none" w:pos="460" w:val="left"/>
        </w:tabs>
        <w:numPr>
          <w:ilvl w:val="0"/>
          <w:numId w:val="85"/>
        </w:numPr>
        <w:rPr>
          <w:rFonts w:ascii="Arial" w:cs="Arial" w:eastAsia="Arial" w:hAnsi="Arial"/>
          <w:sz w:val="10"/>
          <w:szCs w:val="10"/>
          <w:color w:val="auto"/>
        </w:rPr>
      </w:pP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 w:lineRule="exact"/>
        <w:rPr>
          <w:rFonts w:ascii="Arial" w:cs="Arial" w:eastAsia="Arial" w:hAnsi="Arial"/>
          <w:sz w:val="10"/>
          <w:szCs w:val="10"/>
          <w:color w:val="auto"/>
        </w:rPr>
      </w:pPr>
    </w:p>
    <w:p>
      <w:pPr>
        <w:ind w:left="460" w:hanging="326"/>
        <w:spacing w:after="0" w:line="232" w:lineRule="auto"/>
        <w:tabs>
          <w:tab w:leader="none" w:pos="4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460" w:hanging="326"/>
        <w:spacing w:after="0" w:line="232" w:lineRule="auto"/>
        <w:tabs>
          <w:tab w:leader="none" w:pos="4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460" w:hanging="326"/>
        <w:spacing w:after="0" w:line="232" w:lineRule="auto"/>
        <w:tabs>
          <w:tab w:leader="none" w:pos="4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460" w:right="100" w:hanging="326"/>
        <w:spacing w:after="0" w:line="279" w:lineRule="auto"/>
        <w:tabs>
          <w:tab w:leader="none" w:pos="460" w:val="left"/>
        </w:tabs>
        <w:numPr>
          <w:ilvl w:val="0"/>
          <w:numId w:val="85"/>
        </w:numPr>
        <w:rPr>
          <w:rFonts w:ascii="Arial" w:cs="Arial" w:eastAsia="Arial" w:hAnsi="Arial"/>
          <w:sz w:val="10"/>
          <w:szCs w:val="10"/>
          <w:color w:val="auto"/>
        </w:rPr>
      </w:pPr>
      <w:r>
        <w:rPr>
          <w:rFonts w:ascii="Arial" w:cs="Arial" w:eastAsia="Arial" w:hAnsi="Arial"/>
          <w:sz w:val="10"/>
          <w:szCs w:val="10"/>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2018, qualifying assets represent 89% of the Company’s total assets and non-qualifying assets represent 11% of the Company’s total assets.</w:t>
      </w:r>
    </w:p>
    <w:p>
      <w:pPr>
        <w:ind w:left="460" w:hanging="326"/>
        <w:spacing w:after="0" w:line="232" w:lineRule="auto"/>
        <w:tabs>
          <w:tab w:leader="none" w:pos="4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460" w:hanging="326"/>
        <w:spacing w:after="0"/>
        <w:tabs>
          <w:tab w:leader="none" w:pos="4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2240" w:h="15840" w:orient="portrait"/>
          <w:cols w:equalWidth="0" w:num="1">
            <w:col w:w="11060"/>
          </w:cols>
          <w:pgMar w:left="520" w:top="316" w:right="660"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2018</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20"/>
              <w:spacing w:after="0" w:line="134"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80" w:type="dxa"/>
            <w:vAlign w:val="bottom"/>
          </w:tcPr>
          <w:p>
            <w:pPr>
              <w:jc w:val="right"/>
              <w:ind w:right="262"/>
              <w:spacing w:after="0" w:line="134" w:lineRule="exact"/>
              <w:rPr>
                <w:sz w:val="20"/>
                <w:szCs w:val="20"/>
                <w:color w:val="auto"/>
              </w:rPr>
            </w:pPr>
            <w:r>
              <w:rPr>
                <w:rFonts w:ascii="Arial" w:cs="Arial" w:eastAsia="Arial" w:hAnsi="Arial"/>
                <w:sz w:val="12"/>
                <w:szCs w:val="12"/>
                <w:b w:val="1"/>
                <w:bCs w:val="1"/>
                <w:color w:val="auto"/>
              </w:rPr>
              <w:t>Maturity /</w:t>
            </w:r>
          </w:p>
        </w:tc>
        <w:tc>
          <w:tcPr>
            <w:tcW w:w="26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gridSpan w:val="2"/>
          </w:tcPr>
          <w:p>
            <w:pPr>
              <w:jc w:val="right"/>
              <w:ind w:right="300"/>
              <w:spacing w:after="0" w:line="134" w:lineRule="exact"/>
              <w:rPr>
                <w:sz w:val="20"/>
                <w:szCs w:val="20"/>
                <w:color w:val="auto"/>
              </w:rPr>
            </w:pPr>
            <w:r>
              <w:rPr>
                <w:rFonts w:ascii="Arial" w:cs="Arial" w:eastAsia="Arial" w:hAnsi="Arial"/>
                <w:sz w:val="12"/>
                <w:szCs w:val="12"/>
                <w:b w:val="1"/>
                <w:bCs w:val="1"/>
                <w:color w:val="auto"/>
              </w:rPr>
              <w:t>Current</w:t>
            </w:r>
          </w:p>
        </w:tc>
        <w:tc>
          <w:tcPr>
            <w:tcW w:w="860" w:type="dxa"/>
            <w:vAlign w:val="bottom"/>
            <w:gridSpan w:val="2"/>
          </w:tcPr>
          <w:p>
            <w:pPr>
              <w:jc w:val="center"/>
              <w:ind w:right="220"/>
              <w:spacing w:after="0" w:line="134"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2"/>
              </w:rPr>
              <w:t>Par /</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60" w:type="dxa"/>
            <w:vAlign w:val="bottom"/>
            <w:gridSpan w:val="2"/>
            <w:vMerge w:val="continue"/>
          </w:tcPr>
          <w:p>
            <w:pPr>
              <w:spacing w:after="0"/>
              <w:rPr>
                <w:sz w:val="12"/>
                <w:szCs w:val="12"/>
                <w:color w:val="auto"/>
              </w:rPr>
            </w:pPr>
          </w:p>
        </w:tc>
        <w:tc>
          <w:tcPr>
            <w:tcW w:w="980" w:type="dxa"/>
            <w:vAlign w:val="bottom"/>
          </w:tcPr>
          <w:p>
            <w:pPr>
              <w:jc w:val="right"/>
              <w:ind w:right="262"/>
              <w:spacing w:after="0"/>
              <w:rPr>
                <w:sz w:val="20"/>
                <w:szCs w:val="20"/>
                <w:color w:val="auto"/>
              </w:rPr>
            </w:pPr>
            <w:r>
              <w:rPr>
                <w:rFonts w:ascii="Arial" w:cs="Arial" w:eastAsia="Arial" w:hAnsi="Arial"/>
                <w:sz w:val="12"/>
                <w:szCs w:val="12"/>
                <w:b w:val="1"/>
                <w:bCs w:val="1"/>
                <w:color w:val="auto"/>
              </w:rPr>
              <w:t>Expiration</w:t>
            </w:r>
          </w:p>
        </w:tc>
        <w:tc>
          <w:tcPr>
            <w:tcW w:w="2620" w:type="dxa"/>
            <w:vAlign w:val="bottom"/>
            <w:gridSpan w:val="2"/>
            <w:vMerge w:val="continue"/>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4"/>
              </w:rPr>
              <w:t>Shares</w:t>
            </w: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320" w:type="dxa"/>
            <w:vAlign w:val="bottom"/>
            <w:tcBorders>
              <w:top w:val="single" w:sz="8" w:color="auto"/>
            </w:tcBorders>
            <w:gridSpan w:val="2"/>
            <w:shd w:val="clear" w:color="auto" w:fill="CCEEFF"/>
          </w:tcPr>
          <w:p>
            <w:pPr>
              <w:spacing w:after="0" w:line="128" w:lineRule="exact"/>
              <w:rPr>
                <w:sz w:val="20"/>
                <w:szCs w:val="20"/>
                <w:color w:val="auto"/>
              </w:rPr>
            </w:pPr>
            <w:r>
              <w:rPr>
                <w:rFonts w:ascii="Arial" w:cs="Arial" w:eastAsia="Arial" w:hAnsi="Arial"/>
                <w:sz w:val="12"/>
                <w:szCs w:val="12"/>
                <w:b w:val="1"/>
                <w:bCs w:val="1"/>
                <w:color w:val="auto"/>
                <w:w w:val="92"/>
              </w:rPr>
              <w:t xml:space="preserve">Investments in Non-Controlled, Non-Affiliated Portfolio Companies—144.0% </w:t>
            </w:r>
            <w:r>
              <w:rPr>
                <w:rFonts w:ascii="Arial" w:cs="Arial" w:eastAsia="Arial" w:hAnsi="Arial"/>
                <w:sz w:val="9"/>
                <w:szCs w:val="9"/>
                <w:b w:val="1"/>
                <w:bCs w:val="1"/>
                <w:color w:val="auto"/>
                <w:w w:val="92"/>
              </w:rPr>
              <w:t>(1), (2)</w:t>
            </w:r>
          </w:p>
        </w:tc>
        <w:tc>
          <w:tcPr>
            <w:tcW w:w="2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b w:val="1"/>
                <w:bCs w:val="1"/>
                <w:color w:val="auto"/>
              </w:rPr>
              <w:t>First Lien Secured Debt—66.9%</w:t>
            </w:r>
          </w:p>
        </w:tc>
        <w:tc>
          <w:tcPr>
            <w:tcW w:w="9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Allied America, Inc.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08/08/2022</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9.39%</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L+700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21,435,548</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  21,116,138</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89"/>
              </w:rPr>
              <w:t>$  21,478,419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08/08/2022</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2,000,000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Bazaarvoice, Inc.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02/01/2024</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7"/>
              </w:rPr>
              <w:t>Printing and Publishing</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10.24%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L+800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14,925,000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14,783,825</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Bottom Line Systems, LLC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02/13/2023</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9.74%</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L+750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19,583,330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19,345,650</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Broder Bros., Co.</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12/02/2022</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10.33%</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L+800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31,676,768</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31,678,078</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31,676,768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Cano Health, LLC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12/23/2021</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10.61%</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L+850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32,813,941</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32,240,776</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Cano Health, LLC (Revolver)</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11/05/2018</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10.68%</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L+850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3,150,000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3,150,000</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3,150,000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DermaRite Industries LLC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03/03/2022</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8"/>
              </w:rPr>
              <w:t>Manufacturing / Basic Industries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9.24%</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L+700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9,850,000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9,738,431</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Deva Holdings, Inc.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10/31/2023</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7.74%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L+550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4,962,500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4,877,212</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4,962,500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10/31/2022</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385,000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08/29/2022</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6"/>
              </w:rPr>
              <w:t>Financial Services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9.74%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L+750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19,800,000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19,475,599</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19,800,000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08/29/2022</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6"/>
              </w:rPr>
              <w:t>Financial Services</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4,000,000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(11)</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08/29/2022</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6"/>
              </w:rPr>
              <w:t>Financial Services</w:t>
            </w:r>
          </w:p>
        </w:tc>
        <w:tc>
          <w:tcPr>
            <w:tcW w:w="78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4,000,000</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Hollander Sleep Products, LLC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06/09/2023</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10.39%</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3M L+800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19,713,838</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19,386,443</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Impact Group, LLC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06/27/2023</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5"/>
              </w:rPr>
              <w:t>Personal, Food and Miscellaneous Services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8.64%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L+625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22,457,923</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22,225,155</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22,345,634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06/27/2023</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5"/>
              </w:rPr>
              <w:t>Personal, Food and Miscellaneous Services</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12,491,009</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(62,455)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Juniper Landscaping of Florida, LLC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12/22/2021</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5"/>
              </w:rPr>
              <w:t>Personal, Food and Miscellaneous Services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11.61%</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L+950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14,350,500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14,140,360</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14,350,500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K2 Pure Solutions NoCal, L.P.</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02/19/2021</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11.24%</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L+900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14,243,249</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14,033,015</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Ox Two, LLC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02/27/2023</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2"/>
              </w:rPr>
              <w:t>Building Materials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8.49%</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L+625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22,218,750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21,819,701</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22,218,750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Ox Two, LLC (Revolver)</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02/27/2023</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2"/>
              </w:rPr>
              <w:t>Building Materials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12.50%</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P+725</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750,000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750,000</w:t>
            </w:r>
          </w:p>
        </w:tc>
        <w:tc>
          <w:tcPr>
            <w:tcW w:w="7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750,000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02/27/2023</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2"/>
              </w:rPr>
              <w:t>Building Materials</w:t>
            </w:r>
          </w:p>
        </w:tc>
        <w:tc>
          <w:tcPr>
            <w:tcW w:w="78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1,750,000</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Questex, LLC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09/09/2024</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5"/>
              </w:rPr>
              <w:t>Media</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8.57%</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3M L+625</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22,500,000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22,054,120</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Questex, LLC (Revolver)</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09/09/2024</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5"/>
              </w:rPr>
              <w:t>Media</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8.57%</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L+625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598,404</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598,404</w:t>
            </w:r>
          </w:p>
        </w:tc>
        <w:tc>
          <w:tcPr>
            <w:tcW w:w="7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586,436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09/09/2024</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5"/>
              </w:rPr>
              <w:t>Media</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2,992,021</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(59,840)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Research Horizons, LLC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06/28/2022</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5"/>
              </w:rPr>
              <w:t>Media</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8.36%</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L+625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22,500,000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22,071,351</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22,050,000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06/28/2022</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5"/>
              </w:rPr>
              <w:t>Media</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9,121,622</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(182,432)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Research Horizons, LLC (Revolver)</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06/28/2022</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5"/>
              </w:rPr>
              <w:t>Media</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8.36%</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L+625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1,783,784</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1,783,784</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1,748,108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06/28/2022</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5"/>
              </w:rPr>
              <w:t>Media</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2,270,270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(45,405)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SFP Holding, Inc.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09/01/2022</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7"/>
              </w:rPr>
              <w:t>Buildings and Real Estate</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8.59%</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L+625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20,925,313</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20,642,473</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20,925,313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09/01/2022</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7"/>
              </w:rPr>
              <w:t>Buildings and Real Estate</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1,375,000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09/01/2022</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7"/>
              </w:rPr>
              <w:t>Buildings and Real Estate</w:t>
            </w:r>
          </w:p>
        </w:tc>
        <w:tc>
          <w:tcPr>
            <w:tcW w:w="78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2,500,000</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Triad Manufacturing, Inc.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12/28/2020</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8"/>
              </w:rPr>
              <w:t>Manufacturing / Basic Industries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15.49%</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w w:val="97"/>
              </w:rPr>
              <w:t>1M L+1,325</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23,718,379</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23,464,517</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US Dominion, Inc.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07/15/2024</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8"/>
              </w:rPr>
              <w:t>Electronics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9.14%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L+675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29,925,000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29,415,076</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29,925,000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07/15/2024</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8"/>
              </w:rPr>
              <w:t>Electronics</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7,500,000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US Med Acquisition, Inc.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08/13/2021</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11.39%</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L+900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8,476,563</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8,476,563</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8,052,732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Walker Edison Furniture Company LLC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09/26/2024</w:t>
            </w:r>
          </w:p>
        </w:tc>
        <w:tc>
          <w:tcPr>
            <w:tcW w:w="2620" w:type="dxa"/>
            <w:vAlign w:val="bottom"/>
            <w:gridSpan w:val="2"/>
          </w:tcPr>
          <w:p>
            <w:pPr>
              <w:jc w:val="center"/>
              <w:ind w:right="160"/>
              <w:spacing w:after="0" w:line="134" w:lineRule="exact"/>
              <w:rPr>
                <w:sz w:val="20"/>
                <w:szCs w:val="20"/>
                <w:color w:val="auto"/>
              </w:rPr>
            </w:pPr>
            <w:r>
              <w:rPr>
                <w:rFonts w:ascii="Arial" w:cs="Arial" w:eastAsia="Arial" w:hAnsi="Arial"/>
                <w:sz w:val="12"/>
                <w:szCs w:val="12"/>
                <w:color w:val="auto"/>
                <w:w w:val="88"/>
              </w:rPr>
              <w:t>Home and Office Furnishings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8.88%</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3M L+650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22,500,000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22,050,866</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Whitney, Bradley &amp; Brown, Inc.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10/18/2022</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3"/>
              </w:rPr>
              <w:t>Aerospace and Defense</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11.25%</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L+900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19,305,000</w:t>
            </w: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18,977,907</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19,305,000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36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w w:val="98"/>
              </w:rPr>
              <w:t>418,295,444</w:t>
            </w:r>
          </w:p>
        </w:tc>
        <w:tc>
          <w:tcPr>
            <w:tcW w:w="680" w:type="dxa"/>
            <w:vAlign w:val="bottom"/>
          </w:tcPr>
          <w:p>
            <w:pPr>
              <w:jc w:val="right"/>
              <w:spacing w:after="0"/>
              <w:rPr>
                <w:sz w:val="20"/>
                <w:szCs w:val="20"/>
                <w:color w:val="auto"/>
              </w:rPr>
            </w:pPr>
            <w:r>
              <w:rPr>
                <w:rFonts w:ascii="Arial" w:cs="Arial" w:eastAsia="Arial" w:hAnsi="Arial"/>
                <w:sz w:val="12"/>
                <w:szCs w:val="12"/>
                <w:color w:val="auto"/>
                <w:w w:val="98"/>
              </w:rPr>
              <w:t>420,847,539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Second Lien Secured Debt—62.2%</w:t>
            </w:r>
          </w:p>
        </w:tc>
        <w:tc>
          <w:tcPr>
            <w:tcW w:w="9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Condor Borrower, LLC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04/25/2025</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11.09%</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3M L+875</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12,500,000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12,271,734</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DecoPac, Inc.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03/31/2025</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10.64%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L+825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23,024,259</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22,607,675</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23,024,259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Halo Buyer, Inc.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07/06/2026</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10.49%</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L+825</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45,000,000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44,338,109</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Infogroup, Inc.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04/03/2024</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0"/>
              </w:rPr>
              <w:t>Other Media</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11.64%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L+925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20,400,000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20,056,087</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20,400,000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Integrity Marketing Partners, LLC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01/02/2023</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6"/>
              </w:rPr>
              <w:t>Banking, Finance, Insurance and Real Estate</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11.17%</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L+900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6,000,000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5,913,341</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03/01/2019</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6"/>
              </w:rPr>
              <w:t>Cargo Transport</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11.00%</w:t>
            </w:r>
          </w:p>
        </w:tc>
        <w:tc>
          <w:tcPr>
            <w:tcW w:w="86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481,052</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447,988</w:t>
            </w:r>
          </w:p>
        </w:tc>
        <w:tc>
          <w:tcPr>
            <w:tcW w:w="7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481,052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5"/>
              </w:rPr>
              <w:t>(PIK 11.00%)</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MailSouth, Inc.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10/23/2024</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7"/>
              </w:rPr>
              <w:t>Printing and Publishing</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12.00%</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3M L+925</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48,425,000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47,496,549</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47,456,500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MBS Holdings, Inc.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01/02/2024</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7"/>
              </w:rPr>
              <w:t>Telecommunications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10.60%</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L+850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15,000,000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14,710,035</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14,700,000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12/17/2021</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7"/>
              </w:rPr>
              <w:t>Hotels, Motels, Inns and Gaming</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14.39%</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w w:val="97"/>
              </w:rPr>
              <w:t>3M L+1,200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76,500,000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76,500,000</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80,904,325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Pathway Partners Vet Management LLC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10/10/2025</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10.24%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L+800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19,300,700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19,246,644</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19,107,693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10/10/2025</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4,699,300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(46,993)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PT Network, LLC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04/12/2023</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12.34%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w w:val="97"/>
              </w:rPr>
              <w:t>3M L+1,000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41,666,667</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40,959,198</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41,250,000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Shift4 Payments, LLC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11/28/2025</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6"/>
              </w:rPr>
              <w:t>Financial Services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10.84%</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3M L+850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37,000,000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36,835,458</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36,768,750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VT Topco, Inc.</w:t>
            </w:r>
          </w:p>
        </w:tc>
        <w:tc>
          <w:tcPr>
            <w:tcW w:w="980" w:type="dxa"/>
            <w:vAlign w:val="bottom"/>
            <w:shd w:val="clear" w:color="auto" w:fill="CCEEFF"/>
          </w:tcPr>
          <w:p>
            <w:pPr>
              <w:jc w:val="right"/>
              <w:ind w:right="242"/>
              <w:spacing w:after="0" w:line="134" w:lineRule="exact"/>
              <w:rPr>
                <w:sz w:val="20"/>
                <w:szCs w:val="20"/>
                <w:color w:val="auto"/>
              </w:rPr>
            </w:pPr>
            <w:r>
              <w:rPr>
                <w:rFonts w:ascii="Arial" w:cs="Arial" w:eastAsia="Arial" w:hAnsi="Arial"/>
                <w:sz w:val="12"/>
                <w:szCs w:val="12"/>
                <w:color w:val="auto"/>
              </w:rPr>
              <w:t>08/24/2026</w:t>
            </w:r>
          </w:p>
        </w:tc>
        <w:tc>
          <w:tcPr>
            <w:tcW w:w="26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9.34%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L+700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12,500,000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12,437,500</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12,500,000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40" w:type="dxa"/>
            <w:vAlign w:val="bottom"/>
          </w:tcPr>
          <w:p>
            <w:pPr>
              <w:spacing w:after="0" w:line="134" w:lineRule="exact"/>
              <w:rPr>
                <w:sz w:val="20"/>
                <w:szCs w:val="20"/>
                <w:color w:val="auto"/>
              </w:rPr>
            </w:pPr>
            <w:r>
              <w:rPr>
                <w:rFonts w:ascii="Arial" w:cs="Arial" w:eastAsia="Arial" w:hAnsi="Arial"/>
                <w:sz w:val="12"/>
                <w:szCs w:val="12"/>
                <w:color w:val="auto"/>
              </w:rPr>
              <w:t>Winter Park Intermediate, Inc.</w:t>
            </w:r>
          </w:p>
        </w:tc>
        <w:tc>
          <w:tcPr>
            <w:tcW w:w="980" w:type="dxa"/>
            <w:vAlign w:val="bottom"/>
          </w:tcPr>
          <w:p>
            <w:pPr>
              <w:jc w:val="right"/>
              <w:ind w:right="242"/>
              <w:spacing w:after="0" w:line="134" w:lineRule="exact"/>
              <w:rPr>
                <w:sz w:val="20"/>
                <w:szCs w:val="20"/>
                <w:color w:val="auto"/>
              </w:rPr>
            </w:pPr>
            <w:r>
              <w:rPr>
                <w:rFonts w:ascii="Arial" w:cs="Arial" w:eastAsia="Arial" w:hAnsi="Arial"/>
                <w:sz w:val="12"/>
                <w:szCs w:val="12"/>
                <w:color w:val="auto"/>
              </w:rPr>
              <w:t>04/03/2026</w:t>
            </w:r>
          </w:p>
        </w:tc>
        <w:tc>
          <w:tcPr>
            <w:tcW w:w="26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89"/>
              </w:rPr>
              <w:t>Auto Sector</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10.62%</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L+850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32,000,000</w:t>
            </w:r>
          </w:p>
        </w:tc>
        <w:tc>
          <w:tcPr>
            <w:tcW w:w="6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31,380,959</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31,680,000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Second Lien Secured Debt</w:t>
            </w:r>
          </w:p>
        </w:tc>
        <w:tc>
          <w:tcPr>
            <w:tcW w:w="9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8"/>
              </w:rPr>
              <w:t>385,201,277</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8"/>
              </w:rPr>
              <w:t>391,038,029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2240" w:h="15840" w:orient="portrait"/>
          <w:cols w:equalWidth="0" w:num="1">
            <w:col w:w="11060"/>
          </w:cols>
          <w:pgMar w:left="520" w:top="317" w:right="660"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2"/>
              </w:rPr>
              <w:t>Basis Point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34" w:lineRule="exact"/>
              <w:rPr>
                <w:sz w:val="20"/>
                <w:szCs w:val="20"/>
                <w:color w:val="auto"/>
              </w:rPr>
            </w:pPr>
            <w:r>
              <w:rPr>
                <w:rFonts w:ascii="Arial" w:cs="Arial" w:eastAsia="Arial" w:hAnsi="Arial"/>
                <w:sz w:val="12"/>
                <w:szCs w:val="12"/>
                <w:b w:val="1"/>
                <w:bCs w:val="1"/>
                <w:color w:val="auto"/>
                <w:w w:val="83"/>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Maturity /</w:t>
            </w:r>
          </w:p>
        </w:tc>
        <w:tc>
          <w:tcPr>
            <w:tcW w:w="2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00"/>
              <w:spacing w:after="0" w:line="134" w:lineRule="exact"/>
              <w:rPr>
                <w:sz w:val="20"/>
                <w:szCs w:val="20"/>
                <w:color w:val="auto"/>
              </w:rPr>
            </w:pPr>
            <w:r>
              <w:rPr>
                <w:rFonts w:ascii="Arial" w:cs="Arial" w:eastAsia="Arial" w:hAnsi="Arial"/>
                <w:sz w:val="12"/>
                <w:szCs w:val="12"/>
                <w:b w:val="1"/>
                <w:bCs w:val="1"/>
                <w:color w:val="auto"/>
              </w:rPr>
              <w:t>Current</w:t>
            </w:r>
          </w:p>
        </w:tc>
        <w:tc>
          <w:tcPr>
            <w:tcW w:w="840" w:type="dxa"/>
            <w:vAlign w:val="bottom"/>
            <w:gridSpan w:val="2"/>
          </w:tcPr>
          <w:p>
            <w:pPr>
              <w:jc w:val="center"/>
              <w:ind w:right="220"/>
              <w:spacing w:after="0" w:line="134" w:lineRule="exact"/>
              <w:rPr>
                <w:sz w:val="20"/>
                <w:szCs w:val="20"/>
                <w:color w:val="auto"/>
              </w:rPr>
            </w:pPr>
            <w:r>
              <w:rPr>
                <w:rFonts w:ascii="Arial" w:cs="Arial" w:eastAsia="Arial" w:hAnsi="Arial"/>
                <w:sz w:val="12"/>
                <w:szCs w:val="12"/>
                <w:b w:val="1"/>
                <w:bCs w:val="1"/>
                <w:color w:val="auto"/>
                <w:w w:val="81"/>
              </w:rPr>
              <w:t>Above</w:t>
            </w:r>
          </w:p>
        </w:tc>
        <w:tc>
          <w:tcPr>
            <w:tcW w:w="800" w:type="dxa"/>
            <w:vAlign w:val="bottom"/>
            <w:gridSpan w:val="2"/>
          </w:tcPr>
          <w:p>
            <w:pPr>
              <w:jc w:val="right"/>
              <w:ind w:right="400"/>
              <w:spacing w:after="0" w:line="134" w:lineRule="exact"/>
              <w:rPr>
                <w:sz w:val="20"/>
                <w:szCs w:val="20"/>
                <w:color w:val="auto"/>
              </w:rPr>
            </w:pPr>
            <w:r>
              <w:rPr>
                <w:rFonts w:ascii="Arial" w:cs="Arial" w:eastAsia="Arial" w:hAnsi="Arial"/>
                <w:sz w:val="12"/>
                <w:szCs w:val="12"/>
                <w:b w:val="1"/>
                <w:bCs w:val="1"/>
                <w:color w:val="auto"/>
              </w:rPr>
              <w:t>Par /</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40" w:type="dxa"/>
            <w:vAlign w:val="bottom"/>
            <w:gridSpan w:val="2"/>
            <w:vMerge w:val="continue"/>
          </w:tcPr>
          <w:p>
            <w:pPr>
              <w:spacing w:after="0"/>
              <w:rPr>
                <w:sz w:val="12"/>
                <w:szCs w:val="12"/>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420" w:type="dxa"/>
            <w:vAlign w:val="bottom"/>
            <w:vMerge w:val="continue"/>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42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Subordinated Debt/Corporate Notes—7.7%</w:t>
            </w:r>
          </w:p>
        </w:tc>
        <w:tc>
          <w:tcPr>
            <w:tcW w:w="900" w:type="dxa"/>
            <w:vAlign w:val="bottom"/>
            <w:tcBorders>
              <w:top w:val="single" w:sz="8" w:color="auto"/>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2"/>
                <w:szCs w:val="12"/>
                <w:color w:val="auto"/>
              </w:rPr>
              <w:t>Blackhawk Industrial Distribution, Inc.</w:t>
            </w:r>
          </w:p>
        </w:tc>
        <w:tc>
          <w:tcPr>
            <w:tcW w:w="900" w:type="dxa"/>
            <w:vAlign w:val="bottom"/>
          </w:tcPr>
          <w:p>
            <w:pPr>
              <w:ind w:left="140"/>
              <w:spacing w:after="0" w:line="128" w:lineRule="exact"/>
              <w:rPr>
                <w:sz w:val="20"/>
                <w:szCs w:val="20"/>
                <w:color w:val="auto"/>
              </w:rPr>
            </w:pPr>
            <w:r>
              <w:rPr>
                <w:rFonts w:ascii="Arial" w:cs="Arial" w:eastAsia="Arial" w:hAnsi="Arial"/>
                <w:sz w:val="12"/>
                <w:szCs w:val="12"/>
                <w:color w:val="auto"/>
              </w:rPr>
              <w:t>03/17/2025</w:t>
            </w:r>
          </w:p>
        </w:tc>
        <w:tc>
          <w:tcPr>
            <w:tcW w:w="2420" w:type="dxa"/>
            <w:vAlign w:val="bottom"/>
          </w:tcPr>
          <w:p>
            <w:pPr>
              <w:jc w:val="center"/>
              <w:spacing w:after="0" w:line="128" w:lineRule="exact"/>
              <w:rPr>
                <w:sz w:val="20"/>
                <w:szCs w:val="20"/>
                <w:color w:val="auto"/>
              </w:rPr>
            </w:pPr>
            <w:r>
              <w:rPr>
                <w:rFonts w:ascii="Arial" w:cs="Arial" w:eastAsia="Arial" w:hAnsi="Arial"/>
                <w:sz w:val="12"/>
                <w:szCs w:val="12"/>
                <w:color w:val="auto"/>
                <w:w w:val="93"/>
              </w:rPr>
              <w:t>Distribution</w:t>
            </w:r>
          </w:p>
        </w:tc>
        <w:tc>
          <w:tcPr>
            <w:tcW w:w="92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12.00%</w:t>
            </w:r>
          </w:p>
        </w:tc>
        <w:tc>
          <w:tcPr>
            <w:tcW w:w="840" w:type="dxa"/>
            <w:vAlign w:val="bottom"/>
            <w:gridSpan w:val="2"/>
          </w:tcPr>
          <w:p>
            <w:pPr>
              <w:jc w:val="right"/>
              <w:ind w:right="280"/>
              <w:spacing w:after="0" w:line="128"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w w:val="89"/>
              </w:rPr>
              <w:t>13,500,000</w:t>
            </w:r>
          </w:p>
        </w:tc>
        <w:tc>
          <w:tcPr>
            <w:tcW w:w="90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  13,230,411</w:t>
            </w:r>
          </w:p>
        </w:tc>
        <w:tc>
          <w:tcPr>
            <w:tcW w:w="7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w w:val="87"/>
              </w:rPr>
              <w:t>$  13,230,000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(PIK 2.00%)</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Cascade Environmental LLC</w:t>
            </w:r>
          </w:p>
        </w:tc>
        <w:tc>
          <w:tcPr>
            <w:tcW w:w="90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08/20/2021</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8"/>
              </w:rPr>
              <w:t>Environmental Services</w:t>
            </w:r>
          </w:p>
        </w:tc>
        <w:tc>
          <w:tcPr>
            <w:tcW w:w="9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15.00%</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w w:val="89"/>
              </w:rPr>
              <w:t>35,792,396</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35,386,702</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34,897,586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(PIK 13.00%)</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2"/>
                <w:szCs w:val="12"/>
                <w:color w:val="auto"/>
              </w:rPr>
              <w:t>48,617,113</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48,127,586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AH Holdings, Inc.</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6.00%</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211</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500,000</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396,898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36,450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546,750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565,339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556,000</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64,277</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64,277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556,000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491,723</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491,723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HW Holdco, LLC</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90"/>
              </w:rPr>
              <w:t>Other Media</w:t>
            </w:r>
          </w:p>
        </w:tc>
        <w:tc>
          <w:tcPr>
            <w:tcW w:w="92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8.00%</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3,591</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ind w:right="2"/>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25,771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1,602,750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1,544,008</w:t>
            </w:r>
          </w:p>
        </w:tc>
        <w:tc>
          <w:tcPr>
            <w:tcW w:w="0" w:type="dxa"/>
            <w:vAlign w:val="bottom"/>
          </w:tcPr>
          <w:p>
            <w:pPr>
              <w:spacing w:after="0"/>
              <w:rPr>
                <w:sz w:val="1"/>
                <w:szCs w:val="1"/>
                <w:color w:val="auto"/>
              </w:rPr>
            </w:pPr>
          </w:p>
        </w:tc>
      </w:tr>
      <w:tr>
        <w:trPr>
          <w:trHeight w:val="141"/>
        </w:trPr>
        <w:tc>
          <w:tcPr>
            <w:tcW w:w="34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Equity/Partnership Interests/Warrants—7.0%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AH Holdings, Inc. (Warrants)</w:t>
            </w:r>
          </w:p>
        </w:tc>
        <w:tc>
          <w:tcPr>
            <w:tcW w:w="90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03/23/2021</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753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ASP LCG Holdings, Inc. (Warrants)</w:t>
            </w:r>
          </w:p>
        </w:tc>
        <w:tc>
          <w:tcPr>
            <w:tcW w:w="900" w:type="dxa"/>
            <w:vAlign w:val="bottom"/>
          </w:tcPr>
          <w:p>
            <w:pPr>
              <w:ind w:left="140"/>
              <w:spacing w:after="0" w:line="134" w:lineRule="exact"/>
              <w:rPr>
                <w:sz w:val="20"/>
                <w:szCs w:val="20"/>
                <w:color w:val="auto"/>
              </w:rPr>
            </w:pPr>
            <w:r>
              <w:rPr>
                <w:rFonts w:ascii="Arial" w:cs="Arial" w:eastAsia="Arial" w:hAnsi="Arial"/>
                <w:sz w:val="12"/>
                <w:szCs w:val="12"/>
                <w:color w:val="auto"/>
              </w:rPr>
              <w:t>05/05/2026</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89"/>
              </w:rPr>
              <w:t>Education</w:t>
            </w:r>
          </w:p>
        </w:tc>
        <w:tc>
          <w:tcPr>
            <w:tcW w:w="92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933</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586,975</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1,651,653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Autumn Games, LLC</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6"/>
              </w:rPr>
              <w:t>Broadcasting and Entertainment</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1,333,330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3,000,000</w:t>
            </w:r>
          </w:p>
        </w:tc>
        <w:tc>
          <w:tcPr>
            <w:tcW w:w="700" w:type="dxa"/>
            <w:vAlign w:val="bottom"/>
            <w:gridSpan w:val="2"/>
            <w:shd w:val="clear" w:color="auto" w:fill="CCEEFF"/>
          </w:tcPr>
          <w:p>
            <w:pPr>
              <w:ind w:left="4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2"/>
                <w:szCs w:val="12"/>
                <w:color w:val="auto"/>
                <w:w w:val="96"/>
              </w:rPr>
              <w:t>Cardinal Logistics Holdings LLC (Intermediate Transportation 100,</w:t>
            </w:r>
          </w:p>
        </w:tc>
        <w:tc>
          <w:tcPr>
            <w:tcW w:w="9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20" w:type="dxa"/>
            <w:vAlign w:val="bottom"/>
          </w:tcPr>
          <w:p>
            <w:pPr>
              <w:ind w:left="80"/>
              <w:spacing w:after="0"/>
              <w:rPr>
                <w:sz w:val="20"/>
                <w:szCs w:val="20"/>
                <w:color w:val="auto"/>
              </w:rPr>
            </w:pPr>
            <w:r>
              <w:rPr>
                <w:rFonts w:ascii="Arial" w:cs="Arial" w:eastAsia="Arial" w:hAnsi="Arial"/>
                <w:sz w:val="12"/>
                <w:szCs w:val="12"/>
                <w:color w:val="auto"/>
              </w:rPr>
              <w:t xml:space="preserve">LLC) </w:t>
            </w:r>
            <w:r>
              <w:rPr>
                <w:rFonts w:ascii="Arial" w:cs="Arial" w:eastAsia="Arial" w:hAnsi="Arial"/>
                <w:sz w:val="9"/>
                <w:szCs w:val="9"/>
                <w:color w:val="auto"/>
              </w:rPr>
              <w:t>(9)</w:t>
            </w:r>
          </w:p>
        </w:tc>
        <w:tc>
          <w:tcPr>
            <w:tcW w:w="900" w:type="dxa"/>
            <w:vAlign w:val="bottom"/>
          </w:tcPr>
          <w:p>
            <w:pPr>
              <w:ind w:left="500"/>
              <w:spacing w:after="0"/>
              <w:rPr>
                <w:sz w:val="20"/>
                <w:szCs w:val="20"/>
                <w:color w:val="auto"/>
              </w:rPr>
            </w:pPr>
            <w:r>
              <w:rPr>
                <w:rFonts w:ascii="Arial" w:cs="Arial" w:eastAsia="Arial" w:hAnsi="Arial"/>
                <w:sz w:val="12"/>
                <w:szCs w:val="12"/>
                <w:color w:val="auto"/>
              </w:rPr>
              <w:t>—</w:t>
            </w:r>
          </w:p>
        </w:tc>
        <w:tc>
          <w:tcPr>
            <w:tcW w:w="2420" w:type="dxa"/>
            <w:vAlign w:val="bottom"/>
          </w:tcPr>
          <w:p>
            <w:pPr>
              <w:jc w:val="center"/>
              <w:spacing w:after="0"/>
              <w:rPr>
                <w:sz w:val="20"/>
                <w:szCs w:val="20"/>
                <w:color w:val="auto"/>
              </w:rPr>
            </w:pPr>
            <w:r>
              <w:rPr>
                <w:rFonts w:ascii="Arial" w:cs="Arial" w:eastAsia="Arial" w:hAnsi="Arial"/>
                <w:sz w:val="12"/>
                <w:szCs w:val="12"/>
                <w:color w:val="auto"/>
                <w:w w:val="86"/>
              </w:rPr>
              <w:t>Cargo Transport</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(13)</w:t>
            </w:r>
          </w:p>
        </w:tc>
        <w:tc>
          <w:tcPr>
            <w:tcW w:w="900" w:type="dxa"/>
            <w:vAlign w:val="bottom"/>
            <w:gridSpan w:val="3"/>
          </w:tcPr>
          <w:p>
            <w:pPr>
              <w:jc w:val="right"/>
              <w:ind w:right="140"/>
              <w:spacing w:after="0"/>
              <w:rPr>
                <w:sz w:val="20"/>
                <w:szCs w:val="20"/>
                <w:color w:val="auto"/>
              </w:rPr>
            </w:pPr>
            <w:r>
              <w:rPr>
                <w:rFonts w:ascii="Arial" w:cs="Arial" w:eastAsia="Arial" w:hAnsi="Arial"/>
                <w:sz w:val="12"/>
                <w:szCs w:val="12"/>
                <w:color w:val="auto"/>
              </w:rPr>
              <w:t>5,411,024</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2,776,777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8"/>
              </w:rPr>
              <w:t>Environmental Services</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33,901</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2,852,080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1,186,539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 xml:space="preserve">CI (Allied) Investment Holdings, LLC (Allied America, Inc.) </w:t>
            </w:r>
            <w:r>
              <w:rPr>
                <w:rFonts w:ascii="Arial" w:cs="Arial" w:eastAsia="Arial" w:hAnsi="Arial"/>
                <w:sz w:val="9"/>
                <w:szCs w:val="9"/>
                <w:color w:val="auto"/>
              </w:rPr>
              <w:t>(9)</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84,000</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840,004</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957,866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333,333</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5,000,000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5,000,000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CI (Summit) Investment Holdings LLC (SFP Holdings, Inc.)</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87"/>
              </w:rPr>
              <w:t>Buildings and Real Estate</w:t>
            </w:r>
          </w:p>
        </w:tc>
        <w:tc>
          <w:tcPr>
            <w:tcW w:w="92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100,000</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1,000,000</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1,245,827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Cowboy Parent LLC (Blackhawk Industrial Distribution, Inc.)</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93"/>
              </w:rPr>
              <w:t>Distribution</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2,250,000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2,250,000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2,250,000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DecoPac Holdings Inc.</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3,449</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3,448,658</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4,165,759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6"/>
              </w:rPr>
              <w:t>Financial Services</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80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800,000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1,049,378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Faraday Holdings, LLC</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92"/>
              </w:rPr>
              <w:t>Building Materials</w:t>
            </w:r>
          </w:p>
        </w:tc>
        <w:tc>
          <w:tcPr>
            <w:tcW w:w="92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4,277</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217,635</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1,147,011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Green Veracity Holdings, LP—Class A (VT Topco, Inc.)</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15,000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1,500,000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1,500,000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HW Holdco, LLC</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90"/>
              </w:rPr>
              <w:t>Other Media</w:t>
            </w:r>
          </w:p>
        </w:tc>
        <w:tc>
          <w:tcPr>
            <w:tcW w:w="92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388,378</w:t>
            </w: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2,787,265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Infogroup Parent Holdings, Inc.</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90"/>
              </w:rPr>
              <w:t>Other Media</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181,495</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2,040,000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2,167,874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204,985</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2,049,849</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3,654,472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w w:val="97"/>
              </w:rPr>
              <w:t>JWC-WE Holdings, L.P. (Walker Edison Furniture Company LLC)</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8"/>
              </w:rPr>
              <w:t>Home and Office Furnishings</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1,906,433</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1,906,433</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1,906,433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252,014</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2,265,639</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841,727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93"/>
              </w:rPr>
              <w:t>Distribution</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19</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493,280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522,889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88"/>
              </w:rPr>
              <w:t>Environmental Services</w:t>
            </w:r>
          </w:p>
        </w:tc>
        <w:tc>
          <w:tcPr>
            <w:tcW w:w="92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1,148,703</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1,158,703</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672,195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SSC Dominion Holdings, LLC Class A (US Dominion, Inc.)</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8"/>
              </w:rPr>
              <w:t>Electronics</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1,500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1,500,000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1,500,000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SSC Dominion Holdings, LLC Class B (US Dominion, Inc.)</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88"/>
              </w:rPr>
              <w:t>Electronics</w:t>
            </w:r>
          </w:p>
        </w:tc>
        <w:tc>
          <w:tcPr>
            <w:tcW w:w="92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1,500</w:t>
            </w: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WBB Equity, LLC (Whitney, Bradley &amp; Brown, Inc.) </w:t>
            </w:r>
            <w:r>
              <w:rPr>
                <w:rFonts w:ascii="Arial" w:cs="Arial" w:eastAsia="Arial" w:hAnsi="Arial"/>
                <w:sz w:val="9"/>
                <w:szCs w:val="9"/>
                <w:color w:val="auto"/>
              </w:rPr>
              <w:t>(9)</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3"/>
              </w:rPr>
              <w:t>Aerospace and Defense</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628,571</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628,571</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1,181,714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Wheel Pros Holdings, L.P. (Winter Park Intermediate, Inc.)</w:t>
            </w:r>
          </w:p>
        </w:tc>
        <w:tc>
          <w:tcPr>
            <w:tcW w:w="900" w:type="dxa"/>
            <w:vAlign w:val="bottom"/>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89"/>
              </w:rPr>
              <w:t>Auto Sector</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3,200,000</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3,200,000</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4,513,118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(9)</w:t>
            </w:r>
          </w:p>
        </w:tc>
        <w:tc>
          <w:tcPr>
            <w:tcW w:w="9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5"/>
              </w:rPr>
              <w:t>Personal, Food and Miscellaneous Services</w:t>
            </w:r>
          </w:p>
        </w:tc>
        <w:tc>
          <w:tcPr>
            <w:tcW w:w="9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856</w:t>
            </w: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855,515</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1,035,599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43,004,366</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43,714,096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32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2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896,720,950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5"/>
              </w:rPr>
              <w:t>905,271,258</w:t>
            </w:r>
          </w:p>
        </w:tc>
        <w:tc>
          <w:tcPr>
            <w:tcW w:w="0" w:type="dxa"/>
            <w:vAlign w:val="bottom"/>
          </w:tcPr>
          <w:p>
            <w:pPr>
              <w:spacing w:after="0"/>
              <w:rPr>
                <w:sz w:val="1"/>
                <w:szCs w:val="1"/>
                <w:color w:val="auto"/>
              </w:rPr>
            </w:pPr>
          </w:p>
        </w:tc>
      </w:tr>
      <w:tr>
        <w:trPr>
          <w:trHeight w:val="141"/>
        </w:trPr>
        <w:tc>
          <w:tcPr>
            <w:tcW w:w="43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Investments in Non-Controlled, Affiliated Portfolio Companies—12.4% </w:t>
            </w:r>
            <w:r>
              <w:rPr>
                <w:rFonts w:ascii="Arial" w:cs="Arial" w:eastAsia="Arial" w:hAnsi="Arial"/>
                <w:sz w:val="9"/>
                <w:szCs w:val="9"/>
                <w:b w:val="1"/>
                <w:bCs w:val="1"/>
                <w:color w:val="auto"/>
              </w:rPr>
              <w:t>(1), (2)</w:t>
            </w: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First Lien Secured Debt—1.9%</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2"/>
                <w:szCs w:val="12"/>
                <w:color w:val="auto"/>
              </w:rPr>
              <w:t>U.S. Well Services, LLC</w:t>
            </w:r>
          </w:p>
        </w:tc>
        <w:tc>
          <w:tcPr>
            <w:tcW w:w="900" w:type="dxa"/>
            <w:vAlign w:val="bottom"/>
          </w:tcPr>
          <w:p>
            <w:pPr>
              <w:ind w:left="140"/>
              <w:spacing w:after="0" w:line="128" w:lineRule="exact"/>
              <w:rPr>
                <w:sz w:val="20"/>
                <w:szCs w:val="20"/>
                <w:color w:val="auto"/>
              </w:rPr>
            </w:pPr>
            <w:r>
              <w:rPr>
                <w:rFonts w:ascii="Arial" w:cs="Arial" w:eastAsia="Arial" w:hAnsi="Arial"/>
                <w:sz w:val="12"/>
                <w:szCs w:val="12"/>
                <w:color w:val="auto"/>
              </w:rPr>
              <w:t>02/02/2022</w:t>
            </w:r>
          </w:p>
        </w:tc>
        <w:tc>
          <w:tcPr>
            <w:tcW w:w="2420" w:type="dxa"/>
            <w:vAlign w:val="bottom"/>
          </w:tcPr>
          <w:p>
            <w:pPr>
              <w:jc w:val="center"/>
              <w:spacing w:after="0" w:line="128" w:lineRule="exact"/>
              <w:rPr>
                <w:sz w:val="20"/>
                <w:szCs w:val="20"/>
                <w:color w:val="auto"/>
              </w:rPr>
            </w:pPr>
            <w:r>
              <w:rPr>
                <w:rFonts w:ascii="Arial" w:cs="Arial" w:eastAsia="Arial" w:hAnsi="Arial"/>
                <w:sz w:val="12"/>
                <w:szCs w:val="12"/>
                <w:color w:val="auto"/>
                <w:w w:val="88"/>
              </w:rPr>
              <w:t>Oil and Gas</w:t>
            </w:r>
          </w:p>
        </w:tc>
        <w:tc>
          <w:tcPr>
            <w:tcW w:w="92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13.08%</w:t>
            </w:r>
          </w:p>
        </w:tc>
        <w:tc>
          <w:tcPr>
            <w:tcW w:w="840" w:type="dxa"/>
            <w:vAlign w:val="bottom"/>
            <w:gridSpan w:val="2"/>
          </w:tcPr>
          <w:p>
            <w:pPr>
              <w:jc w:val="right"/>
              <w:ind w:right="220"/>
              <w:spacing w:after="0" w:line="128" w:lineRule="exact"/>
              <w:rPr>
                <w:sz w:val="20"/>
                <w:szCs w:val="20"/>
                <w:color w:val="auto"/>
              </w:rPr>
            </w:pPr>
            <w:r>
              <w:rPr>
                <w:rFonts w:ascii="Arial" w:cs="Arial" w:eastAsia="Arial" w:hAnsi="Arial"/>
                <w:sz w:val="12"/>
                <w:szCs w:val="12"/>
                <w:color w:val="auto"/>
                <w:w w:val="94"/>
              </w:rPr>
              <w:t>1M L+1,100</w:t>
            </w:r>
          </w:p>
        </w:tc>
        <w:tc>
          <w:tcPr>
            <w:tcW w:w="80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w w:val="89"/>
              </w:rPr>
              <w:t>10,160,537</w:t>
            </w:r>
          </w:p>
        </w:tc>
        <w:tc>
          <w:tcPr>
            <w:tcW w:w="90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10,098,625</w:t>
            </w:r>
          </w:p>
        </w:tc>
        <w:tc>
          <w:tcPr>
            <w:tcW w:w="7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10,160,537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(PIK 13.08%)</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U.S. Well Services, LLC (Revolver)</w:t>
            </w:r>
          </w:p>
        </w:tc>
        <w:tc>
          <w:tcPr>
            <w:tcW w:w="90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02/02/2022</w:t>
            </w:r>
          </w:p>
        </w:tc>
        <w:tc>
          <w:tcPr>
            <w:tcW w:w="242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88"/>
              </w:rPr>
              <w:t>Oil and Gas</w:t>
            </w:r>
          </w:p>
        </w:tc>
        <w:tc>
          <w:tcPr>
            <w:tcW w:w="9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8.08%</w:t>
            </w:r>
          </w:p>
        </w:tc>
        <w:tc>
          <w:tcPr>
            <w:tcW w:w="8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L+600</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1,680,528</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1,680,528</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1,680,528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900" w:type="dxa"/>
            <w:vAlign w:val="bottom"/>
          </w:tcPr>
          <w:p>
            <w:pPr>
              <w:ind w:left="140"/>
              <w:spacing w:after="0" w:line="134" w:lineRule="exact"/>
              <w:rPr>
                <w:sz w:val="20"/>
                <w:szCs w:val="20"/>
                <w:color w:val="auto"/>
              </w:rPr>
            </w:pPr>
            <w:r>
              <w:rPr>
                <w:rFonts w:ascii="Arial" w:cs="Arial" w:eastAsia="Arial" w:hAnsi="Arial"/>
                <w:sz w:val="12"/>
                <w:szCs w:val="12"/>
                <w:color w:val="auto"/>
              </w:rPr>
              <w:t>02/02/2022</w:t>
            </w:r>
          </w:p>
        </w:tc>
        <w:tc>
          <w:tcPr>
            <w:tcW w:w="2420" w:type="dxa"/>
            <w:vAlign w:val="bottom"/>
          </w:tcPr>
          <w:p>
            <w:pPr>
              <w:jc w:val="center"/>
              <w:spacing w:after="0" w:line="134" w:lineRule="exact"/>
              <w:rPr>
                <w:sz w:val="20"/>
                <w:szCs w:val="20"/>
                <w:color w:val="auto"/>
              </w:rPr>
            </w:pPr>
            <w:r>
              <w:rPr>
                <w:rFonts w:ascii="Arial" w:cs="Arial" w:eastAsia="Arial" w:hAnsi="Arial"/>
                <w:sz w:val="12"/>
                <w:szCs w:val="12"/>
                <w:color w:val="auto"/>
                <w:w w:val="88"/>
              </w:rPr>
              <w:t>Oil and Gas</w:t>
            </w:r>
          </w:p>
        </w:tc>
        <w:tc>
          <w:tcPr>
            <w:tcW w:w="92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511,893</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ind w:right="2"/>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Borders>
              <w:bottom w:val="single" w:sz="8" w:color="auto"/>
            </w:tcBorders>
          </w:tcPr>
          <w:p>
            <w:pPr>
              <w:ind w:left="480"/>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First Lien Secured Debt</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11,779,153</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11,841,065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2240" w:h="15840" w:orient="portrait"/>
          <w:cols w:equalWidth="0" w:num="1">
            <w:col w:w="11060"/>
          </w:cols>
          <w:pgMar w:left="520" w:top="316" w:right="660"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jc w:val="center"/>
              <w:ind w:right="100"/>
              <w:spacing w:after="0" w:line="134"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2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Maturity /</w:t>
            </w:r>
          </w:p>
        </w:tc>
        <w:tc>
          <w:tcPr>
            <w:tcW w:w="25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8"/>
              </w:rPr>
              <w:t>Industry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Current</w:t>
            </w:r>
          </w:p>
        </w:tc>
        <w:tc>
          <w:tcPr>
            <w:tcW w:w="700" w:type="dxa"/>
            <w:vAlign w:val="bottom"/>
            <w:gridSpan w:val="2"/>
          </w:tcPr>
          <w:p>
            <w:pPr>
              <w:jc w:val="center"/>
              <w:ind w:right="100"/>
              <w:spacing w:after="0" w:line="134"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60"/>
              <w:spacing w:after="0" w:line="134" w:lineRule="exact"/>
              <w:rPr>
                <w:sz w:val="20"/>
                <w:szCs w:val="20"/>
                <w:color w:val="auto"/>
              </w:rPr>
            </w:pPr>
            <w:r>
              <w:rPr>
                <w:rFonts w:ascii="Arial" w:cs="Arial" w:eastAsia="Arial" w:hAnsi="Arial"/>
                <w:sz w:val="12"/>
                <w:szCs w:val="12"/>
                <w:b w:val="1"/>
                <w:bCs w:val="1"/>
                <w:color w:val="auto"/>
              </w:rPr>
              <w:t>Par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20" w:type="dxa"/>
            <w:vAlign w:val="bottom"/>
            <w:gridSpan w:val="2"/>
            <w:vMerge w:val="continue"/>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2580" w:type="dxa"/>
            <w:vAlign w:val="bottom"/>
            <w:gridSpan w:val="2"/>
            <w:vMerge w:val="continue"/>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Coupon</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0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2"/>
                <w:szCs w:val="12"/>
                <w:b w:val="1"/>
                <w:bCs w:val="1"/>
                <w:color w:val="auto"/>
                <w:w w:val="96"/>
              </w:rPr>
              <w:t xml:space="preserve">Common Equity/Partnership Interests/Warrants—10.5% </w:t>
            </w:r>
            <w:r>
              <w:rPr>
                <w:rFonts w:ascii="Arial" w:cs="Arial" w:eastAsia="Arial" w:hAnsi="Arial"/>
                <w:sz w:val="9"/>
                <w:szCs w:val="9"/>
                <w:b w:val="1"/>
                <w:bCs w:val="1"/>
                <w:color w:val="auto"/>
                <w:w w:val="96"/>
              </w:rPr>
              <w:t>(6)</w:t>
            </w:r>
          </w:p>
        </w:tc>
        <w:tc>
          <w:tcPr>
            <w:tcW w:w="980" w:type="dxa"/>
            <w:vAlign w:val="bottom"/>
            <w:tcBorders>
              <w:top w:val="single" w:sz="8" w:color="auto"/>
            </w:tcBorders>
            <w:shd w:val="clear" w:color="auto" w:fill="CCEEFF"/>
          </w:tcPr>
          <w:p>
            <w:pPr>
              <w:spacing w:after="0"/>
              <w:rPr>
                <w:sz w:val="11"/>
                <w:szCs w:val="11"/>
                <w:color w:val="auto"/>
              </w:rPr>
            </w:pPr>
          </w:p>
        </w:tc>
        <w:tc>
          <w:tcPr>
            <w:tcW w:w="25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tcPr>
          <w:p>
            <w:pPr>
              <w:spacing w:after="0" w:line="134" w:lineRule="exact"/>
              <w:rPr>
                <w:sz w:val="20"/>
                <w:szCs w:val="20"/>
                <w:color w:val="auto"/>
              </w:rPr>
            </w:pPr>
            <w:r>
              <w:rPr>
                <w:rFonts w:ascii="Arial" w:cs="Arial" w:eastAsia="Arial" w:hAnsi="Arial"/>
                <w:sz w:val="12"/>
                <w:szCs w:val="12"/>
                <w:color w:val="auto"/>
              </w:rPr>
              <w:t>Affinion Group Holdings, Inc.</w:t>
            </w:r>
          </w:p>
        </w:tc>
        <w:tc>
          <w:tcPr>
            <w:tcW w:w="980" w:type="dxa"/>
            <w:vAlign w:val="bottom"/>
          </w:tcPr>
          <w:p>
            <w:pPr>
              <w:ind w:left="460"/>
              <w:spacing w:after="0" w:line="134"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84"/>
              </w:rPr>
              <w:t>Consumer Products</w:t>
            </w:r>
          </w:p>
        </w:tc>
        <w:tc>
          <w:tcPr>
            <w:tcW w:w="74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859,496</w:t>
            </w:r>
          </w:p>
        </w:tc>
        <w:tc>
          <w:tcPr>
            <w:tcW w:w="1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30,503,493</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18,137,081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Affinion Group Holdings, Inc., Series C and Series D</w:t>
            </w:r>
          </w:p>
        </w:tc>
        <w:tc>
          <w:tcPr>
            <w:tcW w:w="980" w:type="dxa"/>
            <w:vAlign w:val="bottom"/>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84"/>
              </w:rPr>
              <w:t>Consumer Products</w:t>
            </w:r>
          </w:p>
        </w:tc>
        <w:tc>
          <w:tcPr>
            <w:tcW w:w="7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37,181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10,265,973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29,841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tcPr>
          <w:p>
            <w:pPr>
              <w:spacing w:after="0" w:line="134" w:lineRule="exact"/>
              <w:rPr>
                <w:sz w:val="20"/>
                <w:szCs w:val="20"/>
                <w:color w:val="auto"/>
              </w:rPr>
            </w:pPr>
            <w:r>
              <w:rPr>
                <w:rFonts w:ascii="Arial" w:cs="Arial" w:eastAsia="Arial" w:hAnsi="Arial"/>
                <w:sz w:val="12"/>
                <w:szCs w:val="12"/>
                <w:color w:val="auto"/>
              </w:rPr>
              <w:t>Big Run, Inc.</w:t>
            </w:r>
          </w:p>
        </w:tc>
        <w:tc>
          <w:tcPr>
            <w:tcW w:w="980" w:type="dxa"/>
            <w:vAlign w:val="bottom"/>
          </w:tcPr>
          <w:p>
            <w:pPr>
              <w:ind w:left="460"/>
              <w:spacing w:after="0" w:line="134"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87"/>
              </w:rPr>
              <w:t>Environmental Services</w:t>
            </w:r>
          </w:p>
        </w:tc>
        <w:tc>
          <w:tcPr>
            <w:tcW w:w="74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143,668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674,943</w:t>
            </w: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397,025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80" w:type="dxa"/>
            <w:vAlign w:val="bottom"/>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220"/>
              <w:spacing w:after="0" w:line="134" w:lineRule="exact"/>
              <w:rPr>
                <w:sz w:val="20"/>
                <w:szCs w:val="20"/>
                <w:color w:val="auto"/>
              </w:rPr>
            </w:pPr>
            <w:r>
              <w:rPr>
                <w:rFonts w:ascii="Arial" w:cs="Arial" w:eastAsia="Arial" w:hAnsi="Arial"/>
                <w:sz w:val="12"/>
                <w:szCs w:val="12"/>
                <w:color w:val="auto"/>
                <w:w w:val="88"/>
              </w:rPr>
              <w:t>Oil and Gas</w:t>
            </w:r>
          </w:p>
        </w:tc>
        <w:tc>
          <w:tcPr>
            <w:tcW w:w="7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7"/>
              </w:rPr>
              <w:t>1,658,389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29,711,576</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33,040,294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tcPr>
          <w:p>
            <w:pPr>
              <w:spacing w:after="0" w:line="134" w:lineRule="exact"/>
              <w:rPr>
                <w:sz w:val="20"/>
                <w:szCs w:val="20"/>
                <w:color w:val="auto"/>
              </w:rPr>
            </w:pPr>
            <w:r>
              <w:rPr>
                <w:rFonts w:ascii="Arial" w:cs="Arial" w:eastAsia="Arial" w:hAnsi="Arial"/>
                <w:sz w:val="12"/>
                <w:szCs w:val="12"/>
                <w:color w:val="auto"/>
              </w:rPr>
              <w:t>ETX Energy Management Company, LLC</w:t>
            </w:r>
          </w:p>
        </w:tc>
        <w:tc>
          <w:tcPr>
            <w:tcW w:w="980" w:type="dxa"/>
            <w:vAlign w:val="bottom"/>
          </w:tcPr>
          <w:p>
            <w:pPr>
              <w:ind w:left="460"/>
              <w:spacing w:after="0" w:line="134"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220"/>
              <w:spacing w:after="0" w:line="134" w:lineRule="exact"/>
              <w:rPr>
                <w:sz w:val="20"/>
                <w:szCs w:val="20"/>
                <w:color w:val="auto"/>
              </w:rPr>
            </w:pPr>
            <w:r>
              <w:rPr>
                <w:rFonts w:ascii="Arial" w:cs="Arial" w:eastAsia="Arial" w:hAnsi="Arial"/>
                <w:sz w:val="12"/>
                <w:szCs w:val="12"/>
                <w:color w:val="auto"/>
                <w:w w:val="88"/>
              </w:rPr>
              <w:t>Oil and Gas</w:t>
            </w:r>
          </w:p>
        </w:tc>
        <w:tc>
          <w:tcPr>
            <w:tcW w:w="74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2"/>
                <w:szCs w:val="12"/>
                <w:color w:val="auto"/>
                <w:w w:val="97"/>
              </w:rPr>
              <w:t>1,754,104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1,562,020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1,761,079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USWS Holdings, LLC—Class A and Class B </w:t>
            </w:r>
            <w:r>
              <w:rPr>
                <w:rFonts w:ascii="Arial" w:cs="Arial" w:eastAsia="Arial" w:hAnsi="Arial"/>
                <w:sz w:val="9"/>
                <w:szCs w:val="9"/>
                <w:color w:val="auto"/>
              </w:rPr>
              <w:t>(9)</w:t>
            </w:r>
          </w:p>
        </w:tc>
        <w:tc>
          <w:tcPr>
            <w:tcW w:w="980" w:type="dxa"/>
            <w:vAlign w:val="bottom"/>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220"/>
              <w:spacing w:after="0" w:line="134" w:lineRule="exact"/>
              <w:rPr>
                <w:sz w:val="20"/>
                <w:szCs w:val="20"/>
                <w:color w:val="auto"/>
              </w:rPr>
            </w:pPr>
            <w:r>
              <w:rPr>
                <w:rFonts w:ascii="Arial" w:cs="Arial" w:eastAsia="Arial" w:hAnsi="Arial"/>
                <w:sz w:val="12"/>
                <w:szCs w:val="12"/>
                <w:color w:val="auto"/>
                <w:w w:val="88"/>
              </w:rPr>
              <w:t>Oil and Gas</w:t>
            </w:r>
          </w:p>
        </w:tc>
        <w:tc>
          <w:tcPr>
            <w:tcW w:w="7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7"/>
              </w:rPr>
              <w:t>8,190,817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7,023,750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12,871,946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79,741,755</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66,237,266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91,520,908</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78,078,331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2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Companies—23.6% </w:t>
            </w:r>
            <w:r>
              <w:rPr>
                <w:rFonts w:ascii="Arial" w:cs="Arial" w:eastAsia="Arial" w:hAnsi="Arial"/>
                <w:sz w:val="9"/>
                <w:szCs w:val="9"/>
                <w:b w:val="1"/>
                <w:bCs w:val="1"/>
                <w:color w:val="auto"/>
              </w:rPr>
              <w:t>(1), (2)</w:t>
            </w: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First Lien Secured Debt—15.7%</w:t>
            </w:r>
          </w:p>
        </w:tc>
        <w:tc>
          <w:tcPr>
            <w:tcW w:w="9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tcPr>
          <w:p>
            <w:pPr>
              <w:spacing w:after="0" w:line="134"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80" w:type="dxa"/>
            <w:vAlign w:val="bottom"/>
          </w:tcPr>
          <w:p>
            <w:pPr>
              <w:ind w:left="120"/>
              <w:spacing w:after="0" w:line="134" w:lineRule="exact"/>
              <w:rPr>
                <w:sz w:val="20"/>
                <w:szCs w:val="20"/>
                <w:color w:val="auto"/>
              </w:rPr>
            </w:pPr>
            <w:r>
              <w:rPr>
                <w:rFonts w:ascii="Arial" w:cs="Arial" w:eastAsia="Arial" w:hAnsi="Arial"/>
                <w:sz w:val="12"/>
                <w:szCs w:val="12"/>
                <w:color w:val="auto"/>
              </w:rPr>
              <w:t>03/13/2024</w:t>
            </w:r>
          </w:p>
        </w:tc>
        <w:tc>
          <w:tcPr>
            <w:tcW w:w="25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7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6.55%</w:t>
            </w:r>
          </w:p>
        </w:tc>
        <w:tc>
          <w:tcPr>
            <w:tcW w:w="700" w:type="dxa"/>
            <w:vAlign w:val="bottom"/>
            <w:gridSpan w:val="2"/>
          </w:tcPr>
          <w:p>
            <w:pPr>
              <w:ind w:left="100"/>
              <w:spacing w:after="0" w:line="134" w:lineRule="exact"/>
              <w:rPr>
                <w:sz w:val="20"/>
                <w:szCs w:val="20"/>
                <w:color w:val="auto"/>
              </w:rPr>
            </w:pPr>
            <w:r>
              <w:rPr>
                <w:rFonts w:ascii="Arial" w:cs="Arial" w:eastAsia="Arial" w:hAnsi="Arial"/>
                <w:sz w:val="12"/>
                <w:szCs w:val="12"/>
                <w:color w:val="auto"/>
              </w:rPr>
              <w:t>3M L+575</w:t>
            </w:r>
          </w:p>
        </w:tc>
        <w:tc>
          <w:tcPr>
            <w:tcW w:w="1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4" w:lineRule="exact"/>
              <w:rPr>
                <w:sz w:val="20"/>
                <w:szCs w:val="20"/>
                <w:color w:val="auto"/>
              </w:rPr>
            </w:pPr>
            <w:r>
              <w:rPr>
                <w:rFonts w:ascii="Arial" w:cs="Arial" w:eastAsia="Arial" w:hAnsi="Arial"/>
                <w:sz w:val="12"/>
                <w:szCs w:val="12"/>
                <w:color w:val="auto"/>
                <w:w w:val="86"/>
              </w:rPr>
              <w:t>28,000,000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39,051,600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36,513,484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RAM Energy LLC</w:t>
            </w:r>
          </w:p>
        </w:tc>
        <w:tc>
          <w:tcPr>
            <w:tcW w:w="980" w:type="dxa"/>
            <w:vAlign w:val="bottom"/>
            <w:shd w:val="clear" w:color="auto" w:fill="CCEEFF"/>
          </w:tcPr>
          <w:p>
            <w:pPr>
              <w:ind w:left="120"/>
              <w:spacing w:after="0" w:line="134" w:lineRule="exact"/>
              <w:rPr>
                <w:sz w:val="20"/>
                <w:szCs w:val="20"/>
                <w:color w:val="auto"/>
              </w:rPr>
            </w:pPr>
            <w:r>
              <w:rPr>
                <w:rFonts w:ascii="Arial" w:cs="Arial" w:eastAsia="Arial" w:hAnsi="Arial"/>
                <w:sz w:val="12"/>
                <w:szCs w:val="12"/>
                <w:color w:val="auto"/>
              </w:rPr>
              <w:t>07/01/2022</w:t>
            </w:r>
          </w:p>
        </w:tc>
        <w:tc>
          <w:tcPr>
            <w:tcW w:w="25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90"/>
              </w:rPr>
              <w:t>Energy and Utilities</w:t>
            </w:r>
          </w:p>
        </w:tc>
        <w:tc>
          <w:tcPr>
            <w:tcW w:w="74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8.00%</w:t>
            </w:r>
          </w:p>
        </w:tc>
        <w:tc>
          <w:tcPr>
            <w:tcW w:w="70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86"/>
              </w:rPr>
              <w:t>35,000,000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35,000,000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35,000,000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tcPr>
          <w:p>
            <w:pPr>
              <w:spacing w:after="0" w:line="134" w:lineRule="exact"/>
              <w:rPr>
                <w:sz w:val="20"/>
                <w:szCs w:val="20"/>
                <w:color w:val="auto"/>
              </w:rPr>
            </w:pPr>
            <w:r>
              <w:rPr>
                <w:rFonts w:ascii="Arial" w:cs="Arial" w:eastAsia="Arial" w:hAnsi="Arial"/>
                <w:sz w:val="12"/>
                <w:szCs w:val="12"/>
                <w:color w:val="auto"/>
              </w:rPr>
              <w:t>RAM Energy LLC (Revolver)</w:t>
            </w:r>
          </w:p>
        </w:tc>
        <w:tc>
          <w:tcPr>
            <w:tcW w:w="980" w:type="dxa"/>
            <w:vAlign w:val="bottom"/>
          </w:tcPr>
          <w:p>
            <w:pPr>
              <w:ind w:left="120"/>
              <w:spacing w:after="0" w:line="134" w:lineRule="exact"/>
              <w:rPr>
                <w:sz w:val="20"/>
                <w:szCs w:val="20"/>
                <w:color w:val="auto"/>
              </w:rPr>
            </w:pPr>
            <w:r>
              <w:rPr>
                <w:rFonts w:ascii="Arial" w:cs="Arial" w:eastAsia="Arial" w:hAnsi="Arial"/>
                <w:sz w:val="12"/>
                <w:szCs w:val="12"/>
                <w:color w:val="auto"/>
              </w:rPr>
              <w:t>07/01/2022</w:t>
            </w:r>
          </w:p>
        </w:tc>
        <w:tc>
          <w:tcPr>
            <w:tcW w:w="25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90"/>
              </w:rPr>
              <w:t>Energy and Utilities</w:t>
            </w:r>
          </w:p>
        </w:tc>
        <w:tc>
          <w:tcPr>
            <w:tcW w:w="7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8.00%</w:t>
            </w:r>
          </w:p>
        </w:tc>
        <w:tc>
          <w:tcPr>
            <w:tcW w:w="70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2"/>
                <w:szCs w:val="12"/>
                <w:color w:val="auto"/>
                <w:w w:val="86"/>
              </w:rPr>
              <w:t>10,000,000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10,000,000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10,000,000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980" w:type="dxa"/>
            <w:vAlign w:val="bottom"/>
            <w:shd w:val="clear" w:color="auto" w:fill="CCEEFF"/>
          </w:tcPr>
          <w:p>
            <w:pPr>
              <w:ind w:left="120"/>
              <w:spacing w:after="0" w:line="134" w:lineRule="exact"/>
              <w:rPr>
                <w:sz w:val="20"/>
                <w:szCs w:val="20"/>
                <w:color w:val="auto"/>
              </w:rPr>
            </w:pPr>
            <w:r>
              <w:rPr>
                <w:rFonts w:ascii="Arial" w:cs="Arial" w:eastAsia="Arial" w:hAnsi="Arial"/>
                <w:sz w:val="12"/>
                <w:szCs w:val="12"/>
                <w:color w:val="auto"/>
              </w:rPr>
              <w:t>07/01/2022</w:t>
            </w:r>
          </w:p>
        </w:tc>
        <w:tc>
          <w:tcPr>
            <w:tcW w:w="25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90"/>
              </w:rPr>
              <w:t>Energy and Utilities</w:t>
            </w:r>
          </w:p>
        </w:tc>
        <w:tc>
          <w:tcPr>
            <w:tcW w:w="7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7"/>
              </w:rPr>
              <w:t>5,000,000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20"/>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00" w:type="dxa"/>
            <w:vAlign w:val="bottom"/>
          </w:tcPr>
          <w:p>
            <w:pPr>
              <w:spacing w:after="0" w:line="128" w:lineRule="exact"/>
              <w:rPr>
                <w:sz w:val="20"/>
                <w:szCs w:val="20"/>
                <w:color w:val="auto"/>
              </w:rPr>
            </w:pPr>
            <w:r>
              <w:rPr>
                <w:rFonts w:ascii="Arial" w:cs="Arial" w:eastAsia="Arial" w:hAnsi="Arial"/>
                <w:sz w:val="12"/>
                <w:szCs w:val="12"/>
                <w:color w:val="auto"/>
              </w:rPr>
              <w:t>Superior Digital Displays, LLC</w:t>
            </w:r>
          </w:p>
        </w:tc>
        <w:tc>
          <w:tcPr>
            <w:tcW w:w="980" w:type="dxa"/>
            <w:vAlign w:val="bottom"/>
          </w:tcPr>
          <w:p>
            <w:pPr>
              <w:ind w:left="120"/>
              <w:spacing w:after="0" w:line="128" w:lineRule="exact"/>
              <w:rPr>
                <w:sz w:val="20"/>
                <w:szCs w:val="20"/>
                <w:color w:val="auto"/>
              </w:rPr>
            </w:pPr>
            <w:r>
              <w:rPr>
                <w:rFonts w:ascii="Arial" w:cs="Arial" w:eastAsia="Arial" w:hAnsi="Arial"/>
                <w:sz w:val="12"/>
                <w:szCs w:val="12"/>
                <w:color w:val="auto"/>
              </w:rPr>
              <w:t>12/31/2018</w:t>
            </w:r>
          </w:p>
        </w:tc>
        <w:tc>
          <w:tcPr>
            <w:tcW w:w="2580" w:type="dxa"/>
            <w:vAlign w:val="bottom"/>
            <w:gridSpan w:val="2"/>
          </w:tcPr>
          <w:p>
            <w:pPr>
              <w:jc w:val="center"/>
              <w:ind w:right="240"/>
              <w:spacing w:after="0" w:line="128" w:lineRule="exact"/>
              <w:rPr>
                <w:sz w:val="20"/>
                <w:szCs w:val="20"/>
                <w:color w:val="auto"/>
              </w:rPr>
            </w:pPr>
            <w:r>
              <w:rPr>
                <w:rFonts w:ascii="Arial" w:cs="Arial" w:eastAsia="Arial" w:hAnsi="Arial"/>
                <w:sz w:val="12"/>
                <w:szCs w:val="12"/>
                <w:color w:val="auto"/>
                <w:w w:val="91"/>
              </w:rPr>
              <w:t>Media</w:t>
            </w:r>
          </w:p>
        </w:tc>
        <w:tc>
          <w:tcPr>
            <w:tcW w:w="74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7.84%</w:t>
            </w:r>
          </w:p>
        </w:tc>
        <w:tc>
          <w:tcPr>
            <w:tcW w:w="700" w:type="dxa"/>
            <w:vAlign w:val="bottom"/>
            <w:gridSpan w:val="2"/>
          </w:tcPr>
          <w:p>
            <w:pPr>
              <w:ind w:left="100"/>
              <w:spacing w:after="0" w:line="128" w:lineRule="exact"/>
              <w:rPr>
                <w:sz w:val="20"/>
                <w:szCs w:val="20"/>
                <w:color w:val="auto"/>
              </w:rPr>
            </w:pPr>
            <w:r>
              <w:rPr>
                <w:rFonts w:ascii="Arial" w:cs="Arial" w:eastAsia="Arial" w:hAnsi="Arial"/>
                <w:sz w:val="12"/>
                <w:szCs w:val="12"/>
                <w:color w:val="auto"/>
              </w:rPr>
              <w:t>3M L+550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w w:val="86"/>
              </w:rPr>
              <w:t>23,208,601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Arial" w:cs="Arial" w:eastAsia="Arial" w:hAnsi="Arial"/>
                <w:sz w:val="12"/>
                <w:szCs w:val="12"/>
                <w:color w:val="auto"/>
              </w:rPr>
              <w:t>22,749,435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Arial" w:cs="Arial" w:eastAsia="Arial" w:hAnsi="Arial"/>
                <w:sz w:val="12"/>
                <w:szCs w:val="12"/>
                <w:color w:val="auto"/>
              </w:rPr>
              <w:t>17,220,000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color w:val="auto"/>
                <w:w w:val="98"/>
              </w:rPr>
              <w:t>(PIK 7.84%)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First Lien Secured Debt</w:t>
            </w:r>
          </w:p>
        </w:tc>
        <w:tc>
          <w:tcPr>
            <w:tcW w:w="9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106,801,035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98,733,484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MidOcean JF Holdings Corp.</w:t>
            </w:r>
          </w:p>
        </w:tc>
        <w:tc>
          <w:tcPr>
            <w:tcW w:w="980" w:type="dxa"/>
            <w:vAlign w:val="bottom"/>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220"/>
              <w:spacing w:after="0" w:line="134" w:lineRule="exact"/>
              <w:rPr>
                <w:sz w:val="20"/>
                <w:szCs w:val="20"/>
                <w:color w:val="auto"/>
              </w:rPr>
            </w:pPr>
            <w:r>
              <w:rPr>
                <w:rFonts w:ascii="Arial" w:cs="Arial" w:eastAsia="Arial" w:hAnsi="Arial"/>
                <w:sz w:val="12"/>
                <w:szCs w:val="12"/>
                <w:color w:val="auto"/>
                <w:w w:val="93"/>
              </w:rPr>
              <w:t>Distribution</w:t>
            </w:r>
          </w:p>
        </w:tc>
        <w:tc>
          <w:tcPr>
            <w:tcW w:w="7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153,922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15,392,189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12,099,647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00" w:type="dxa"/>
            <w:vAlign w:val="bottom"/>
          </w:tcPr>
          <w:p>
            <w:pPr>
              <w:spacing w:after="0" w:line="134" w:lineRule="exact"/>
              <w:rPr>
                <w:sz w:val="20"/>
                <w:szCs w:val="20"/>
                <w:color w:val="auto"/>
              </w:rPr>
            </w:pPr>
            <w:r>
              <w:rPr>
                <w:rFonts w:ascii="Arial" w:cs="Arial" w:eastAsia="Arial" w:hAnsi="Arial"/>
                <w:sz w:val="12"/>
                <w:szCs w:val="12"/>
                <w:color w:val="auto"/>
              </w:rPr>
              <w:t>Superior Digital Displays Holdings, Inc.</w:t>
            </w:r>
          </w:p>
        </w:tc>
        <w:tc>
          <w:tcPr>
            <w:tcW w:w="980" w:type="dxa"/>
            <w:vAlign w:val="bottom"/>
          </w:tcPr>
          <w:p>
            <w:pPr>
              <w:ind w:left="460"/>
              <w:spacing w:after="0" w:line="134"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91"/>
              </w:rPr>
              <w:t>Media</w:t>
            </w:r>
          </w:p>
        </w:tc>
        <w:tc>
          <w:tcPr>
            <w:tcW w:w="7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15.00%</w:t>
            </w:r>
          </w:p>
        </w:tc>
        <w:tc>
          <w:tcPr>
            <w:tcW w:w="70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873,289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30,011,026</w:t>
            </w:r>
          </w:p>
        </w:tc>
        <w:tc>
          <w:tcPr>
            <w:tcW w:w="60" w:type="dxa"/>
            <w:vAlign w:val="bottom"/>
          </w:tcPr>
          <w:p>
            <w:pPr>
              <w:spacing w:after="0"/>
              <w:rPr>
                <w:sz w:val="12"/>
                <w:szCs w:val="12"/>
                <w:color w:val="auto"/>
              </w:rPr>
            </w:pPr>
          </w:p>
        </w:tc>
        <w:tc>
          <w:tcPr>
            <w:tcW w:w="84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Preferred Equity</w:t>
            </w:r>
          </w:p>
        </w:tc>
        <w:tc>
          <w:tcPr>
            <w:tcW w:w="9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45,403,215</w:t>
            </w: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12,099,647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Equity—6.0% </w:t>
            </w:r>
            <w:r>
              <w:rPr>
                <w:rFonts w:ascii="Arial" w:cs="Arial" w:eastAsia="Arial" w:hAnsi="Arial"/>
                <w:sz w:val="9"/>
                <w:szCs w:val="9"/>
                <w:b w:val="1"/>
                <w:bCs w:val="1"/>
                <w:color w:val="auto"/>
              </w:rPr>
              <w:t>(6)</w:t>
            </w:r>
          </w:p>
        </w:tc>
        <w:tc>
          <w:tcPr>
            <w:tcW w:w="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80" w:type="dxa"/>
            <w:vAlign w:val="bottom"/>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7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950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132,497</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3,987,794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tcPr>
          <w:p>
            <w:pPr>
              <w:spacing w:after="0" w:line="134" w:lineRule="exact"/>
              <w:rPr>
                <w:sz w:val="20"/>
                <w:szCs w:val="20"/>
                <w:color w:val="auto"/>
              </w:rPr>
            </w:pPr>
            <w:r>
              <w:rPr>
                <w:rFonts w:ascii="Arial" w:cs="Arial" w:eastAsia="Arial" w:hAnsi="Arial"/>
                <w:sz w:val="12"/>
                <w:szCs w:val="12"/>
                <w:color w:val="auto"/>
              </w:rPr>
              <w:t>MidOcean JF Holdings Corp.</w:t>
            </w:r>
          </w:p>
        </w:tc>
        <w:tc>
          <w:tcPr>
            <w:tcW w:w="980" w:type="dxa"/>
            <w:vAlign w:val="bottom"/>
          </w:tcPr>
          <w:p>
            <w:pPr>
              <w:ind w:left="460"/>
              <w:spacing w:after="0" w:line="134"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220"/>
              <w:spacing w:after="0" w:line="134" w:lineRule="exact"/>
              <w:rPr>
                <w:sz w:val="20"/>
                <w:szCs w:val="20"/>
                <w:color w:val="auto"/>
              </w:rPr>
            </w:pPr>
            <w:r>
              <w:rPr>
                <w:rFonts w:ascii="Arial" w:cs="Arial" w:eastAsia="Arial" w:hAnsi="Arial"/>
                <w:sz w:val="12"/>
                <w:szCs w:val="12"/>
                <w:color w:val="auto"/>
                <w:w w:val="93"/>
              </w:rPr>
              <w:t>Distribution</w:t>
            </w:r>
          </w:p>
        </w:tc>
        <w:tc>
          <w:tcPr>
            <w:tcW w:w="74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65,933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24,761,831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RAM Energy Holdings LLC</w:t>
            </w:r>
          </w:p>
        </w:tc>
        <w:tc>
          <w:tcPr>
            <w:tcW w:w="980" w:type="dxa"/>
            <w:vAlign w:val="bottom"/>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90"/>
              </w:rPr>
              <w:t>Energy and Utilities</w:t>
            </w:r>
          </w:p>
        </w:tc>
        <w:tc>
          <w:tcPr>
            <w:tcW w:w="7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84,747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76,264,739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33,914,960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00" w:type="dxa"/>
            <w:vAlign w:val="bottom"/>
          </w:tcPr>
          <w:p>
            <w:pPr>
              <w:spacing w:after="0" w:line="134" w:lineRule="exact"/>
              <w:rPr>
                <w:sz w:val="20"/>
                <w:szCs w:val="20"/>
                <w:color w:val="auto"/>
              </w:rPr>
            </w:pPr>
            <w:r>
              <w:rPr>
                <w:rFonts w:ascii="Arial" w:cs="Arial" w:eastAsia="Arial" w:hAnsi="Arial"/>
                <w:sz w:val="12"/>
                <w:szCs w:val="12"/>
                <w:color w:val="auto"/>
              </w:rPr>
              <w:t>Superior Digital Displays Holdings, Inc.</w:t>
            </w:r>
          </w:p>
        </w:tc>
        <w:tc>
          <w:tcPr>
            <w:tcW w:w="980" w:type="dxa"/>
            <w:vAlign w:val="bottom"/>
          </w:tcPr>
          <w:p>
            <w:pPr>
              <w:ind w:left="460"/>
              <w:spacing w:after="0" w:line="134"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91"/>
              </w:rPr>
              <w:t>Media</w:t>
            </w:r>
          </w:p>
        </w:tc>
        <w:tc>
          <w:tcPr>
            <w:tcW w:w="74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11,100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2,211,000</w:t>
            </w:r>
          </w:p>
        </w:tc>
        <w:tc>
          <w:tcPr>
            <w:tcW w:w="60" w:type="dxa"/>
            <w:vAlign w:val="bottom"/>
          </w:tcPr>
          <w:p>
            <w:pPr>
              <w:spacing w:after="0"/>
              <w:rPr>
                <w:sz w:val="12"/>
                <w:szCs w:val="12"/>
                <w:color w:val="auto"/>
              </w:rPr>
            </w:pPr>
          </w:p>
        </w:tc>
        <w:tc>
          <w:tcPr>
            <w:tcW w:w="84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Common Equity</w:t>
            </w:r>
          </w:p>
        </w:tc>
        <w:tc>
          <w:tcPr>
            <w:tcW w:w="9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103,370,067</w:t>
            </w: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37,902,754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w w:val="89"/>
              </w:rPr>
              <w:t>Total Investments in Controlled, Affiliated Portfolio Companies</w:t>
            </w:r>
          </w:p>
        </w:tc>
        <w:tc>
          <w:tcPr>
            <w:tcW w:w="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255,574,317</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148,735,885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Investments—180.0%</w:t>
            </w:r>
          </w:p>
        </w:tc>
        <w:tc>
          <w:tcPr>
            <w:tcW w:w="9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8"/>
              </w:rPr>
              <w:t>1,243,816,175</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w w:val="93"/>
              </w:rPr>
              <w:t>1,132,085,474</w:t>
            </w:r>
          </w:p>
        </w:tc>
        <w:tc>
          <w:tcPr>
            <w:tcW w:w="0" w:type="dxa"/>
            <w:vAlign w:val="bottom"/>
          </w:tcPr>
          <w:p>
            <w:pPr>
              <w:spacing w:after="0"/>
              <w:rPr>
                <w:sz w:val="1"/>
                <w:szCs w:val="1"/>
                <w:color w:val="auto"/>
              </w:rPr>
            </w:pPr>
          </w:p>
        </w:tc>
      </w:tr>
      <w:tr>
        <w:trPr>
          <w:trHeight w:val="141"/>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Equivalents—3.1%</w:t>
            </w:r>
          </w:p>
        </w:tc>
        <w:tc>
          <w:tcPr>
            <w:tcW w:w="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BlackRock Federal FD Institutional 30</w:t>
            </w:r>
          </w:p>
        </w:tc>
        <w:tc>
          <w:tcPr>
            <w:tcW w:w="9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531,379</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531,379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00" w:type="dxa"/>
            <w:vAlign w:val="bottom"/>
          </w:tcPr>
          <w:p>
            <w:pPr>
              <w:spacing w:after="0" w:line="134" w:lineRule="exact"/>
              <w:rPr>
                <w:sz w:val="20"/>
                <w:szCs w:val="20"/>
                <w:color w:val="auto"/>
              </w:rPr>
            </w:pPr>
            <w:r>
              <w:rPr>
                <w:rFonts w:ascii="Arial" w:cs="Arial" w:eastAsia="Arial" w:hAnsi="Arial"/>
                <w:sz w:val="12"/>
                <w:szCs w:val="12"/>
                <w:color w:val="auto"/>
              </w:rPr>
              <w:t>BNY Mellon Cash Reserve and Cash</w:t>
            </w:r>
          </w:p>
        </w:tc>
        <w:tc>
          <w:tcPr>
            <w:tcW w:w="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19,012,246</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18,974,775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Cash and Cash Equivalents</w:t>
            </w:r>
          </w:p>
        </w:tc>
        <w:tc>
          <w:tcPr>
            <w:tcW w:w="9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19,543,625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19,506,154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and Cash Equivalents—183.1%</w:t>
            </w:r>
          </w:p>
        </w:tc>
        <w:tc>
          <w:tcPr>
            <w:tcW w:w="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w w:val="88"/>
              </w:rPr>
              <w:t>1,263,359,800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1,151,591,628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320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Liabilities in Excess of Other Assets—(83.1%)</w:t>
            </w:r>
          </w:p>
        </w:tc>
        <w:tc>
          <w:tcPr>
            <w:tcW w:w="9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(522,689,733)</w:t>
            </w:r>
          </w:p>
        </w:tc>
        <w:tc>
          <w:tcPr>
            <w:tcW w:w="0" w:type="dxa"/>
            <w:vAlign w:val="bottom"/>
          </w:tcPr>
          <w:p>
            <w:pPr>
              <w:spacing w:after="0"/>
              <w:rPr>
                <w:sz w:val="1"/>
                <w:szCs w:val="1"/>
                <w:color w:val="auto"/>
              </w:rPr>
            </w:pPr>
          </w:p>
        </w:tc>
      </w:tr>
      <w:tr>
        <w:trPr>
          <w:trHeight w:val="141"/>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Net Assets—100.0%</w:t>
            </w:r>
          </w:p>
        </w:tc>
        <w:tc>
          <w:tcPr>
            <w:tcW w:w="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628,901,895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75" w:lineRule="exact"/>
        <w:rPr>
          <w:sz w:val="20"/>
          <w:szCs w:val="20"/>
          <w:color w:val="auto"/>
        </w:rPr>
      </w:pPr>
    </w:p>
    <w:p>
      <w:pPr>
        <w:ind w:left="340" w:right="180" w:hanging="206"/>
        <w:spacing w:after="0" w:line="241"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right="120" w:hanging="206"/>
        <w:spacing w:after="0" w:line="232"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40" w:hanging="206"/>
        <w:spacing w:after="0" w:line="232"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0" w:hanging="206"/>
        <w:spacing w:after="0" w:line="279" w:lineRule="auto"/>
        <w:tabs>
          <w:tab w:leader="none" w:pos="340" w:val="left"/>
        </w:tabs>
        <w:numPr>
          <w:ilvl w:val="0"/>
          <w:numId w:val="86"/>
        </w:numPr>
        <w:rPr>
          <w:rFonts w:ascii="Arial" w:cs="Arial" w:eastAsia="Arial" w:hAnsi="Arial"/>
          <w:sz w:val="10"/>
          <w:szCs w:val="10"/>
          <w:color w:val="auto"/>
        </w:rPr>
      </w:pPr>
      <w:r>
        <w:rPr>
          <w:rFonts w:ascii="Arial" w:cs="Arial" w:eastAsia="Arial" w:hAnsi="Arial"/>
          <w:sz w:val="10"/>
          <w:szCs w:val="10"/>
          <w:color w:val="auto"/>
        </w:rPr>
        <w:t>Represents floating rate instruments that accrue interest at a predetermined spread relative to an index, typically the LIBOR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PIK interest and other fee rates, if any.</w:t>
      </w:r>
    </w:p>
    <w:p>
      <w:pPr>
        <w:ind w:left="340" w:hanging="206"/>
        <w:spacing w:after="0"/>
        <w:tabs>
          <w:tab w:leader="none" w:pos="340" w:val="left"/>
        </w:tabs>
        <w:numPr>
          <w:ilvl w:val="0"/>
          <w:numId w:val="86"/>
        </w:numPr>
        <w:rPr>
          <w:rFonts w:ascii="Arial" w:cs="Arial" w:eastAsia="Arial" w:hAnsi="Arial"/>
          <w:sz w:val="10"/>
          <w:szCs w:val="10"/>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18" w:lineRule="exact"/>
        <w:rPr>
          <w:rFonts w:ascii="Arial" w:cs="Arial" w:eastAsia="Arial" w:hAnsi="Arial"/>
          <w:sz w:val="10"/>
          <w:szCs w:val="10"/>
          <w:color w:val="auto"/>
        </w:rPr>
      </w:pPr>
    </w:p>
    <w:p>
      <w:pPr>
        <w:ind w:left="340" w:hanging="206"/>
        <w:spacing w:after="0"/>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2240" w:h="15840" w:orient="portrait"/>
          <w:cols w:equalWidth="0" w:num="1">
            <w:col w:w="11060"/>
          </w:cols>
          <w:pgMar w:left="520" w:top="317" w:right="660"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860" w:right="24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8" w:lineRule="exact"/>
        <w:rPr>
          <w:sz w:val="20"/>
          <w:szCs w:val="20"/>
          <w:color w:val="auto"/>
        </w:rPr>
      </w:pPr>
    </w:p>
    <w:p>
      <w:pPr>
        <w:ind w:left="340" w:hanging="206"/>
        <w:spacing w:after="0"/>
        <w:tabs>
          <w:tab w:leader="none" w:pos="340" w:val="left"/>
        </w:tabs>
        <w:numPr>
          <w:ilvl w:val="0"/>
          <w:numId w:val="87"/>
        </w:numPr>
        <w:rPr>
          <w:rFonts w:ascii="Arial" w:cs="Arial" w:eastAsia="Arial" w:hAnsi="Arial"/>
          <w:sz w:val="10"/>
          <w:szCs w:val="10"/>
          <w:color w:val="auto"/>
        </w:rPr>
      </w:pP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8" w:lineRule="exact"/>
        <w:rPr>
          <w:rFonts w:ascii="Arial" w:cs="Arial" w:eastAsia="Arial" w:hAnsi="Arial"/>
          <w:sz w:val="10"/>
          <w:szCs w:val="10"/>
          <w:color w:val="auto"/>
        </w:rPr>
      </w:pPr>
    </w:p>
    <w:p>
      <w:pPr>
        <w:ind w:left="340" w:hanging="206"/>
        <w:spacing w:after="0" w:line="232" w:lineRule="auto"/>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206"/>
        <w:spacing w:after="0" w:line="232" w:lineRule="auto"/>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40" w:hanging="206"/>
        <w:spacing w:after="0"/>
        <w:tabs>
          <w:tab w:leader="none" w:pos="340" w:val="left"/>
        </w:tabs>
        <w:numPr>
          <w:ilvl w:val="0"/>
          <w:numId w:val="87"/>
        </w:numPr>
        <w:rPr>
          <w:rFonts w:ascii="Arial" w:cs="Arial" w:eastAsia="Arial" w:hAnsi="Arial"/>
          <w:sz w:val="10"/>
          <w:szCs w:val="10"/>
          <w:color w:val="auto"/>
        </w:rPr>
      </w:pPr>
      <w:r>
        <w:rPr>
          <w:rFonts w:ascii="Arial" w:cs="Arial" w:eastAsia="Arial" w:hAnsi="Arial"/>
          <w:sz w:val="10"/>
          <w:szCs w:val="10"/>
          <w:color w:val="auto"/>
        </w:rPr>
        <w:t>Par / shares amount is denominated in British Pounds (£) as denoted.</w:t>
      </w:r>
    </w:p>
    <w:p>
      <w:pPr>
        <w:spacing w:after="0" w:line="18" w:lineRule="exact"/>
        <w:rPr>
          <w:rFonts w:ascii="Arial" w:cs="Arial" w:eastAsia="Arial" w:hAnsi="Arial"/>
          <w:sz w:val="10"/>
          <w:szCs w:val="10"/>
          <w:color w:val="auto"/>
        </w:rPr>
      </w:pPr>
    </w:p>
    <w:p>
      <w:pPr>
        <w:ind w:left="340" w:hanging="206"/>
        <w:spacing w:after="0" w:line="279" w:lineRule="auto"/>
        <w:tabs>
          <w:tab w:leader="none" w:pos="340" w:val="left"/>
        </w:tabs>
        <w:numPr>
          <w:ilvl w:val="0"/>
          <w:numId w:val="87"/>
        </w:numPr>
        <w:rPr>
          <w:rFonts w:ascii="Arial" w:cs="Arial" w:eastAsia="Arial" w:hAnsi="Arial"/>
          <w:sz w:val="10"/>
          <w:szCs w:val="10"/>
          <w:color w:val="auto"/>
        </w:rPr>
      </w:pPr>
      <w:r>
        <w:rPr>
          <w:rFonts w:ascii="Arial" w:cs="Arial" w:eastAsia="Arial" w:hAnsi="Arial"/>
          <w:sz w:val="10"/>
          <w:szCs w:val="10"/>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340" w:hanging="206"/>
        <w:spacing w:after="0"/>
        <w:tabs>
          <w:tab w:leader="none" w:pos="340" w:val="left"/>
        </w:tabs>
        <w:numPr>
          <w:ilvl w:val="0"/>
          <w:numId w:val="87"/>
        </w:numPr>
        <w:rPr>
          <w:rFonts w:ascii="Arial" w:cs="Arial" w:eastAsia="Arial" w:hAnsi="Arial"/>
          <w:sz w:val="10"/>
          <w:szCs w:val="10"/>
          <w:color w:val="auto"/>
        </w:rPr>
      </w:pPr>
      <w:r>
        <w:rPr>
          <w:rFonts w:ascii="Arial" w:cs="Arial" w:eastAsia="Arial" w:hAnsi="Arial"/>
          <w:sz w:val="10"/>
          <w:szCs w:val="10"/>
          <w:color w:val="auto"/>
        </w:rPr>
        <w:t>The security was not valued using significant unobservable inputs. The value of all other securities was determined using significant unobservable inputs (See Note 5).</w:t>
      </w:r>
    </w:p>
    <w:p>
      <w:pPr>
        <w:spacing w:after="0" w:line="18" w:lineRule="exact"/>
        <w:rPr>
          <w:rFonts w:ascii="Arial" w:cs="Arial" w:eastAsia="Arial" w:hAnsi="Arial"/>
          <w:sz w:val="10"/>
          <w:szCs w:val="10"/>
          <w:color w:val="auto"/>
        </w:rPr>
      </w:pPr>
    </w:p>
    <w:p>
      <w:pPr>
        <w:ind w:left="340" w:hanging="206"/>
        <w:spacing w:after="0"/>
        <w:tabs>
          <w:tab w:leader="none" w:pos="340" w:val="left"/>
        </w:tabs>
        <w:numPr>
          <w:ilvl w:val="0"/>
          <w:numId w:val="87"/>
        </w:numPr>
        <w:rPr>
          <w:rFonts w:ascii="Arial" w:cs="Arial" w:eastAsia="Arial" w:hAnsi="Arial"/>
          <w:sz w:val="10"/>
          <w:szCs w:val="10"/>
          <w:color w:val="auto"/>
        </w:rPr>
      </w:pPr>
      <w:r>
        <w:rPr>
          <w:rFonts w:ascii="Arial" w:cs="Arial" w:eastAsia="Arial" w:hAnsi="Arial"/>
          <w:sz w:val="10"/>
          <w:szCs w:val="10"/>
          <w:color w:val="auto"/>
        </w:rPr>
        <w:t>Share amount is 70,443,882,243.</w:t>
      </w:r>
    </w:p>
    <w:p>
      <w:pPr>
        <w:spacing w:after="0" w:line="1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F-13</w:t>
      </w:r>
    </w:p>
    <w:p>
      <w:pPr>
        <w:sectPr>
          <w:pgSz w:w="12240" w:h="15840" w:orient="portrait"/>
          <w:cols w:equalWidth="0" w:num="1">
            <w:col w:w="10860"/>
          </w:cols>
          <w:pgMar w:left="520" w:top="316" w:right="860"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 ORGANIZATION</w:t>
      </w:r>
    </w:p>
    <w:p>
      <w:pPr>
        <w:spacing w:after="0" w:line="118" w:lineRule="exact"/>
        <w:rPr>
          <w:sz w:val="20"/>
          <w:szCs w:val="20"/>
          <w:color w:val="auto"/>
        </w:rPr>
      </w:pPr>
    </w:p>
    <w:p>
      <w:pPr>
        <w:ind w:left="140" w:right="60" w:firstLine="437"/>
        <w:spacing w:after="0" w:line="293" w:lineRule="auto"/>
        <w:rPr>
          <w:sz w:val="20"/>
          <w:szCs w:val="20"/>
          <w:color w:val="auto"/>
        </w:rPr>
      </w:pPr>
      <w:r>
        <w:rPr>
          <w:rFonts w:ascii="Arial" w:cs="Arial" w:eastAsia="Arial" w:hAnsi="Arial"/>
          <w:sz w:val="16"/>
          <w:szCs w:val="16"/>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62" w:lineRule="exact"/>
        <w:rPr>
          <w:sz w:val="20"/>
          <w:szCs w:val="20"/>
          <w:color w:val="auto"/>
        </w:rPr>
      </w:pPr>
    </w:p>
    <w:p>
      <w:pPr>
        <w:ind w:left="140" w:right="20" w:firstLine="437"/>
        <w:spacing w:after="0" w:line="252" w:lineRule="auto"/>
        <w:rPr>
          <w:sz w:val="20"/>
          <w:szCs w:val="20"/>
          <w:color w:val="auto"/>
        </w:rPr>
      </w:pPr>
      <w:r>
        <w:rPr>
          <w:rFonts w:ascii="Arial" w:cs="Arial" w:eastAsia="Arial" w:hAnsi="Arial"/>
          <w:sz w:val="18"/>
          <w:szCs w:val="18"/>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95" w:lineRule="exact"/>
        <w:rPr>
          <w:sz w:val="20"/>
          <w:szCs w:val="20"/>
          <w:color w:val="auto"/>
        </w:rPr>
      </w:pPr>
    </w:p>
    <w:p>
      <w:pPr>
        <w:ind w:left="140" w:right="40" w:firstLine="437"/>
        <w:spacing w:after="0" w:line="255" w:lineRule="auto"/>
        <w:rPr>
          <w:sz w:val="20"/>
          <w:szCs w:val="20"/>
          <w:color w:val="auto"/>
        </w:rPr>
      </w:pPr>
      <w:r>
        <w:rPr>
          <w:rFonts w:ascii="Arial" w:cs="Arial" w:eastAsia="Arial" w:hAnsi="Arial"/>
          <w:sz w:val="18"/>
          <w:szCs w:val="18"/>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91" w:lineRule="exact"/>
        <w:rPr>
          <w:sz w:val="20"/>
          <w:szCs w:val="20"/>
          <w:color w:val="auto"/>
        </w:rPr>
      </w:pPr>
    </w:p>
    <w:p>
      <w:pPr>
        <w:ind w:left="140" w:right="40" w:firstLine="437"/>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2. SIGNIFICANT ACCOUNTING POLICIES</w:t>
      </w:r>
    </w:p>
    <w:p>
      <w:pPr>
        <w:spacing w:after="0" w:line="118" w:lineRule="exact"/>
        <w:rPr>
          <w:sz w:val="20"/>
          <w:szCs w:val="20"/>
          <w:color w:val="auto"/>
        </w:rPr>
      </w:pPr>
    </w:p>
    <w:p>
      <w:pPr>
        <w:ind w:left="140" w:firstLine="437"/>
        <w:spacing w:after="0" w:line="286"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68" w:lineRule="exact"/>
        <w:rPr>
          <w:sz w:val="20"/>
          <w:szCs w:val="20"/>
          <w:color w:val="auto"/>
        </w:rPr>
      </w:pPr>
    </w:p>
    <w:p>
      <w:pPr>
        <w:ind w:left="140" w:right="100" w:firstLine="437"/>
        <w:spacing w:after="0" w:line="255" w:lineRule="auto"/>
        <w:rPr>
          <w:sz w:val="20"/>
          <w:szCs w:val="20"/>
          <w:color w:val="auto"/>
        </w:rPr>
      </w:pPr>
      <w:r>
        <w:rPr>
          <w:rFonts w:ascii="Arial" w:cs="Arial" w:eastAsia="Arial" w:hAnsi="Arial"/>
          <w:sz w:val="18"/>
          <w:szCs w:val="18"/>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2240" w:h="15840" w:orient="portrait"/>
          <w:cols w:equalWidth="0" w:num="1">
            <w:col w:w="11020"/>
          </w:cols>
          <w:pgMar w:left="520" w:top="316" w:right="700"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56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4" w:lineRule="exact"/>
        <w:rPr>
          <w:sz w:val="20"/>
          <w:szCs w:val="20"/>
          <w:color w:val="auto"/>
        </w:rPr>
      </w:pPr>
    </w:p>
    <w:p>
      <w:pPr>
        <w:ind w:left="140" w:firstLine="437"/>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68" w:lineRule="exact"/>
        <w:rPr>
          <w:sz w:val="20"/>
          <w:szCs w:val="20"/>
          <w:color w:val="auto"/>
        </w:rPr>
      </w:pPr>
    </w:p>
    <w:p>
      <w:pPr>
        <w:ind w:left="140" w:right="20" w:firstLine="437"/>
        <w:spacing w:after="0" w:line="259"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3" w:lineRule="exact"/>
        <w:rPr>
          <w:sz w:val="20"/>
          <w:szCs w:val="20"/>
          <w:color w:val="auto"/>
        </w:rPr>
      </w:pPr>
    </w:p>
    <w:p>
      <w:pPr>
        <w:ind w:left="1000" w:right="120" w:hanging="438"/>
        <w:spacing w:after="0" w:line="271"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81" w:lineRule="exact"/>
        <w:rPr>
          <w:rFonts w:ascii="Arial" w:cs="Arial" w:eastAsia="Arial" w:hAnsi="Arial"/>
          <w:sz w:val="18"/>
          <w:szCs w:val="18"/>
          <w:color w:val="auto"/>
        </w:rPr>
      </w:pPr>
    </w:p>
    <w:p>
      <w:pPr>
        <w:ind w:left="1000" w:hanging="43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the Investment Adviser;</w:t>
      </w:r>
    </w:p>
    <w:p>
      <w:pPr>
        <w:spacing w:after="0" w:line="127" w:lineRule="exact"/>
        <w:rPr>
          <w:rFonts w:ascii="Arial" w:cs="Arial" w:eastAsia="Arial" w:hAnsi="Arial"/>
          <w:sz w:val="18"/>
          <w:szCs w:val="18"/>
          <w:color w:val="auto"/>
        </w:rPr>
      </w:pPr>
    </w:p>
    <w:p>
      <w:pPr>
        <w:ind w:left="1000" w:right="260" w:hanging="438"/>
        <w:spacing w:after="0" w:line="275" w:lineRule="auto"/>
        <w:tabs>
          <w:tab w:leader="none" w:pos="10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0" w:lineRule="exact"/>
        <w:rPr>
          <w:rFonts w:ascii="Arial" w:cs="Arial" w:eastAsia="Arial" w:hAnsi="Arial"/>
          <w:sz w:val="17"/>
          <w:szCs w:val="17"/>
          <w:color w:val="auto"/>
        </w:rPr>
      </w:pPr>
    </w:p>
    <w:p>
      <w:pPr>
        <w:ind w:left="1000" w:right="180" w:hanging="438"/>
        <w:spacing w:after="0" w:line="307" w:lineRule="auto"/>
        <w:tabs>
          <w:tab w:leader="none" w:pos="1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6" w:lineRule="exact"/>
        <w:rPr>
          <w:rFonts w:ascii="Arial" w:cs="Arial" w:eastAsia="Arial" w:hAnsi="Arial"/>
          <w:sz w:val="16"/>
          <w:szCs w:val="16"/>
          <w:color w:val="auto"/>
        </w:rPr>
      </w:pPr>
    </w:p>
    <w:p>
      <w:pPr>
        <w:ind w:left="1000" w:right="240" w:hanging="438"/>
        <w:spacing w:after="0" w:line="271"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5" w:lineRule="exact"/>
        <w:rPr>
          <w:sz w:val="20"/>
          <w:szCs w:val="20"/>
          <w:color w:val="auto"/>
        </w:rPr>
      </w:pPr>
    </w:p>
    <w:p>
      <w:pPr>
        <w:ind w:left="140" w:right="100" w:firstLine="437"/>
        <w:spacing w:after="0" w:line="275" w:lineRule="auto"/>
        <w:rPr>
          <w:sz w:val="20"/>
          <w:szCs w:val="20"/>
          <w:color w:val="auto"/>
        </w:rPr>
      </w:pPr>
      <w:r>
        <w:rPr>
          <w:rFonts w:ascii="Arial" w:cs="Arial" w:eastAsia="Arial" w:hAnsi="Arial"/>
          <w:sz w:val="17"/>
          <w:szCs w:val="17"/>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F-15</w:t>
      </w:r>
    </w:p>
    <w:p>
      <w:pPr>
        <w:sectPr>
          <w:pgSz w:w="12240" w:h="15840" w:orient="portrait"/>
          <w:cols w:equalWidth="0" w:num="1">
            <w:col w:w="11040"/>
          </w:cols>
          <w:pgMar w:left="520" w:top="317" w:right="680"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700" w:right="252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140" w:right="160"/>
        <w:spacing w:after="0" w:line="271" w:lineRule="auto"/>
        <w:rPr>
          <w:sz w:val="20"/>
          <w:szCs w:val="20"/>
          <w:color w:val="auto"/>
        </w:rPr>
      </w:pPr>
      <w:r>
        <w:rPr>
          <w:rFonts w:ascii="Arial" w:cs="Arial" w:eastAsia="Arial" w:hAnsi="Arial"/>
          <w:sz w:val="18"/>
          <w:szCs w:val="18"/>
          <w:color w:val="auto"/>
        </w:rPr>
        <w:t>reflect the fair value of an investment, it may independently value such investments by using the valuation procedure that it uses with respect to assets for which market quotations are not readily available.</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4" w:lineRule="exact"/>
        <w:rPr>
          <w:sz w:val="20"/>
          <w:szCs w:val="20"/>
          <w:color w:val="auto"/>
        </w:rPr>
      </w:pPr>
    </w:p>
    <w:p>
      <w:pPr>
        <w:ind w:left="140" w:right="60" w:firstLine="437"/>
        <w:spacing w:after="0" w:line="272"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2019 Notes during the reporting period, including any reversal of previously recorded unrealized appreciation or depreciation, when gains or losses are realized.</w:t>
      </w:r>
    </w:p>
    <w:p>
      <w:pPr>
        <w:spacing w:after="0" w:line="177" w:lineRule="exact"/>
        <w:rPr>
          <w:sz w:val="20"/>
          <w:szCs w:val="20"/>
          <w:color w:val="auto"/>
        </w:rPr>
      </w:pPr>
    </w:p>
    <w:p>
      <w:pPr>
        <w:ind w:left="140" w:firstLine="437"/>
        <w:spacing w:after="0" w:line="286"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68" w:lineRule="exact"/>
        <w:rPr>
          <w:sz w:val="20"/>
          <w:szCs w:val="20"/>
          <w:color w:val="auto"/>
        </w:rPr>
      </w:pPr>
    </w:p>
    <w:p>
      <w:pPr>
        <w:ind w:left="140" w:right="100" w:firstLine="437"/>
        <w:spacing w:after="0" w:line="297"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4" w:lineRule="exact"/>
        <w:rPr>
          <w:sz w:val="20"/>
          <w:szCs w:val="20"/>
          <w:color w:val="auto"/>
        </w:rPr>
      </w:pPr>
    </w:p>
    <w:p>
      <w:pPr>
        <w:ind w:left="140" w:firstLine="437"/>
        <w:spacing w:after="0" w:line="287" w:lineRule="auto"/>
        <w:rPr>
          <w:sz w:val="20"/>
          <w:szCs w:val="20"/>
          <w:color w:val="auto"/>
        </w:rPr>
      </w:pPr>
      <w:r>
        <w:rPr>
          <w:rFonts w:ascii="Arial" w:cs="Arial" w:eastAsia="Arial" w:hAnsi="Arial"/>
          <w:sz w:val="16"/>
          <w:szCs w:val="16"/>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three months ended December 31, 2018 and 2017, we recorded a provision for taxes of $0.3 million ($0.1 million of excise tax and $0.2 million of U.S. federal and state income taxes related to the Taxable Subsidiaries) and zero, respectively.</w:t>
      </w:r>
    </w:p>
    <w:p>
      <w:pPr>
        <w:spacing w:after="0" w:line="10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F-16</w:t>
      </w:r>
    </w:p>
    <w:p>
      <w:pPr>
        <w:sectPr>
          <w:pgSz w:w="12240" w:h="15840" w:orient="portrait"/>
          <w:cols w:equalWidth="0" w:num="1">
            <w:col w:w="11000"/>
          </w:cols>
          <w:pgMar w:left="520" w:top="316" w:right="720"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56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140" w:firstLine="437"/>
        <w:spacing w:after="0" w:line="268" w:lineRule="auto"/>
        <w:rPr>
          <w:sz w:val="20"/>
          <w:szCs w:val="20"/>
          <w:color w:val="auto"/>
        </w:rPr>
      </w:pPr>
      <w:r>
        <w:rPr>
          <w:rFonts w:ascii="Arial" w:cs="Arial" w:eastAsia="Arial" w:hAnsi="Arial"/>
          <w:sz w:val="17"/>
          <w:szCs w:val="17"/>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December 31,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81" w:lineRule="exact"/>
        <w:rPr>
          <w:sz w:val="20"/>
          <w:szCs w:val="20"/>
          <w:color w:val="auto"/>
        </w:rPr>
      </w:pPr>
    </w:p>
    <w:p>
      <w:pPr>
        <w:ind w:left="140" w:right="20" w:firstLine="437"/>
        <w:spacing w:after="0" w:line="275"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4" w:lineRule="exact"/>
        <w:rPr>
          <w:sz w:val="20"/>
          <w:szCs w:val="20"/>
          <w:color w:val="auto"/>
        </w:rPr>
      </w:pPr>
    </w:p>
    <w:p>
      <w:pPr>
        <w:ind w:left="140" w:right="180" w:firstLine="437"/>
        <w:spacing w:after="0" w:line="255"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91" w:lineRule="exact"/>
        <w:rPr>
          <w:sz w:val="20"/>
          <w:szCs w:val="20"/>
          <w:color w:val="auto"/>
        </w:rPr>
      </w:pPr>
    </w:p>
    <w:p>
      <w:pPr>
        <w:ind w:left="140" w:right="140" w:firstLine="437"/>
        <w:spacing w:after="0" w:line="271"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39" w:lineRule="exact"/>
        <w:rPr>
          <w:sz w:val="20"/>
          <w:szCs w:val="20"/>
          <w:color w:val="auto"/>
        </w:rPr>
      </w:pPr>
    </w:p>
    <w:p>
      <w:pPr>
        <w:ind w:left="560" w:hanging="426"/>
        <w:spacing w:after="0"/>
        <w:tabs>
          <w:tab w:leader="none" w:pos="5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39" w:lineRule="exact"/>
        <w:rPr>
          <w:rFonts w:ascii="Arial" w:cs="Arial" w:eastAsia="Arial" w:hAnsi="Arial"/>
          <w:sz w:val="17"/>
          <w:szCs w:val="17"/>
          <w:color w:val="auto"/>
        </w:rPr>
      </w:pPr>
    </w:p>
    <w:p>
      <w:pPr>
        <w:ind w:left="560" w:hanging="426"/>
        <w:spacing w:after="0"/>
        <w:tabs>
          <w:tab w:leader="none" w:pos="5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67"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2240" w:h="15840" w:orient="portrait"/>
          <w:cols w:equalWidth="0" w:num="1">
            <w:col w:w="11040"/>
          </w:cols>
          <w:pgMar w:left="520" w:top="316" w:right="680"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4" w:lineRule="exact"/>
        <w:rPr>
          <w:sz w:val="20"/>
          <w:szCs w:val="20"/>
          <w:color w:val="auto"/>
        </w:rPr>
      </w:pPr>
    </w:p>
    <w:p>
      <w:pPr>
        <w:jc w:val="both"/>
        <w:ind w:left="140" w:right="40" w:firstLine="437"/>
        <w:spacing w:after="0" w:line="307" w:lineRule="auto"/>
        <w:rPr>
          <w:sz w:val="20"/>
          <w:szCs w:val="20"/>
          <w:color w:val="auto"/>
        </w:rPr>
      </w:pPr>
      <w:r>
        <w:rPr>
          <w:rFonts w:ascii="Arial" w:cs="Arial" w:eastAsia="Arial" w:hAnsi="Arial"/>
          <w:sz w:val="16"/>
          <w:szCs w:val="16"/>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5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 Recent Accounting Pronouncements</w:t>
      </w:r>
    </w:p>
    <w:p>
      <w:pPr>
        <w:spacing w:after="0" w:line="114" w:lineRule="exact"/>
        <w:rPr>
          <w:sz w:val="20"/>
          <w:szCs w:val="20"/>
          <w:color w:val="auto"/>
        </w:rPr>
      </w:pPr>
    </w:p>
    <w:p>
      <w:pPr>
        <w:ind w:left="140" w:right="100" w:firstLine="437"/>
        <w:spacing w:after="0" w:line="293" w:lineRule="auto"/>
        <w:rPr>
          <w:sz w:val="20"/>
          <w:szCs w:val="20"/>
          <w:color w:val="auto"/>
        </w:rPr>
      </w:pPr>
      <w:r>
        <w:rPr>
          <w:rFonts w:ascii="Arial" w:cs="Arial" w:eastAsia="Arial" w:hAnsi="Arial"/>
          <w:sz w:val="16"/>
          <w:szCs w:val="16"/>
          <w:color w:val="auto"/>
        </w:rPr>
        <w:t>In August 2018, the FASB issued Accounting Standards Update, or ASU 2018-13, Fair Value Measurement (Topic 820): Disclosure Framework - Changes to the Disclosure Requirements for Fair Value Measurement, which changes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62" w:lineRule="exact"/>
        <w:rPr>
          <w:sz w:val="20"/>
          <w:szCs w:val="20"/>
          <w:color w:val="auto"/>
        </w:rPr>
      </w:pPr>
    </w:p>
    <w:p>
      <w:pPr>
        <w:ind w:left="140" w:right="260" w:firstLine="437"/>
        <w:spacing w:after="0" w:line="255" w:lineRule="auto"/>
        <w:rPr>
          <w:sz w:val="20"/>
          <w:szCs w:val="20"/>
          <w:color w:val="auto"/>
        </w:rPr>
      </w:pPr>
      <w:r>
        <w:rPr>
          <w:rFonts w:ascii="Arial" w:cs="Arial" w:eastAsia="Arial" w:hAnsi="Arial"/>
          <w:sz w:val="18"/>
          <w:szCs w:val="18"/>
          <w:color w:val="auto"/>
        </w:rPr>
        <w:t xml:space="preserve">In August 2018, the SEC issued the Final Rule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The amendments are intended to facilitate the disclosure of information to investors and simplify compliance. The final rule was effective on November 5, 2018. We but do not anticipate the impact of this final rule to have a material impact on our consolidated financial statements.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18" w:lineRule="exact"/>
        <w:rPr>
          <w:sz w:val="20"/>
          <w:szCs w:val="20"/>
          <w:color w:val="auto"/>
        </w:rPr>
      </w:pPr>
    </w:p>
    <w:p>
      <w:pPr>
        <w:ind w:left="140" w:right="140" w:firstLine="437"/>
        <w:spacing w:after="0" w:line="288" w:lineRule="auto"/>
        <w:rPr>
          <w:sz w:val="20"/>
          <w:szCs w:val="20"/>
          <w:color w:val="auto"/>
        </w:rPr>
      </w:pPr>
      <w:r>
        <w:rPr>
          <w:rFonts w:ascii="Arial" w:cs="Arial" w:eastAsia="Arial" w:hAnsi="Arial"/>
          <w:sz w:val="16"/>
          <w:szCs w:val="16"/>
          <w:color w:val="auto"/>
        </w:rPr>
        <w:t>Under the Investment Management Agreement, as amended and restated on February 5, 2019,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2019.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67" w:lineRule="exact"/>
        <w:rPr>
          <w:sz w:val="20"/>
          <w:szCs w:val="20"/>
          <w:color w:val="auto"/>
        </w:rPr>
      </w:pPr>
    </w:p>
    <w:p>
      <w:pPr>
        <w:jc w:val="both"/>
        <w:ind w:left="140" w:right="140" w:firstLine="437"/>
        <w:spacing w:after="0" w:line="307" w:lineRule="auto"/>
        <w:rPr>
          <w:sz w:val="20"/>
          <w:szCs w:val="20"/>
          <w:color w:val="auto"/>
        </w:rPr>
      </w:pPr>
      <w:r>
        <w:rPr>
          <w:rFonts w:ascii="Arial" w:cs="Arial" w:eastAsia="Arial" w:hAnsi="Arial"/>
          <w:sz w:val="16"/>
          <w:szCs w:val="16"/>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2240" w:h="15840" w:orient="portrait"/>
          <w:cols w:equalWidth="0" w:num="1">
            <w:col w:w="11060"/>
          </w:cols>
          <w:pgMar w:left="520" w:top="316" w:right="660"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700" w:right="252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140" w:right="20"/>
        <w:spacing w:after="0" w:line="284" w:lineRule="auto"/>
        <w:rPr>
          <w:sz w:val="20"/>
          <w:szCs w:val="20"/>
          <w:color w:val="auto"/>
        </w:rPr>
      </w:pPr>
      <w:r>
        <w:rPr>
          <w:rFonts w:ascii="Arial" w:cs="Arial" w:eastAsia="Arial" w:hAnsi="Arial"/>
          <w:sz w:val="16"/>
          <w:szCs w:val="16"/>
          <w:color w:val="auto"/>
        </w:rPr>
        <w:t>unfunded commitments, if any) and is payable quarterly in arrears. In addition, on November 13, 2018, in connection with our board of directors’ approval of the application of the modified asset coverage requirements to the Company, our board of directors also approved an amendment to the Investment Advisory Agreement reducing the Investment Advisor’s annual base management fee from 1.50% to 1.00% on gross assets that exceed 200% of the Company’s total net assets as of the immediately preceding quarter-end.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months ended December 31, 2018 and 2017, the Investment Adviser earned a base management fee of $4.4 million and $4.8 million (after a waiver of $0.9 million), respectively, from us.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114" w:lineRule="exact"/>
        <w:rPr>
          <w:sz w:val="20"/>
          <w:szCs w:val="20"/>
          <w:color w:val="auto"/>
        </w:rPr>
      </w:pPr>
    </w:p>
    <w:p>
      <w:pPr>
        <w:ind w:left="140" w:firstLine="437"/>
        <w:spacing w:after="0" w:line="280"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w:t>
      </w:r>
    </w:p>
    <w:p>
      <w:pPr>
        <w:spacing w:after="0" w:line="8" w:lineRule="exact"/>
        <w:rPr>
          <w:sz w:val="20"/>
          <w:szCs w:val="20"/>
          <w:color w:val="auto"/>
        </w:rPr>
      </w:pPr>
    </w:p>
    <w:p>
      <w:pPr>
        <w:ind w:left="140" w:right="20"/>
        <w:spacing w:after="0" w:line="279" w:lineRule="auto"/>
        <w:rPr>
          <w:sz w:val="20"/>
          <w:szCs w:val="20"/>
          <w:color w:val="auto"/>
        </w:rPr>
      </w:pPr>
      <w:r>
        <w:rPr>
          <w:rFonts w:ascii="Arial" w:cs="Arial" w:eastAsia="Arial" w:hAnsi="Arial"/>
          <w:sz w:val="16"/>
          <w:szCs w:val="16"/>
          <w:color w:val="auto"/>
        </w:rPr>
        <w:t>(7.00% annualized). Effective January 1, 2018,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2.1875% in any calendar quarter. From December 31, 2015 through December 31, 2017, the</w:t>
      </w:r>
    </w:p>
    <w:p>
      <w:pPr>
        <w:spacing w:after="0" w:line="14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F-19</w:t>
      </w:r>
    </w:p>
    <w:p>
      <w:pPr>
        <w:sectPr>
          <w:pgSz w:w="12240" w:h="15840" w:orient="portrait"/>
          <w:cols w:equalWidth="0" w:num="1">
            <w:col w:w="11000"/>
          </w:cols>
          <w:pgMar w:left="520" w:top="316" w:right="720"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56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140" w:right="120"/>
        <w:spacing w:after="0" w:line="255" w:lineRule="auto"/>
        <w:rPr>
          <w:sz w:val="20"/>
          <w:szCs w:val="20"/>
          <w:color w:val="auto"/>
        </w:rPr>
      </w:pPr>
      <w:r>
        <w:rPr>
          <w:rFonts w:ascii="Arial" w:cs="Arial" w:eastAsia="Arial" w:hAnsi="Arial"/>
          <w:sz w:val="18"/>
          <w:szCs w:val="18"/>
          <w:color w:val="auto"/>
        </w:rPr>
        <w:t>Investment Adviser voluntarily agreed, in consultation with the board of directors, to irrevocably waive 16% of incentive fees, correlated to our 16% energy cost exposure (oil &amp; gas and energy &amp; utilities industries) at cost as of December 31, 2015. For the three months ended December 31, 2018 and 2017, the Investment Adviser earned $2.7 million and $2.7 million (after a waiver of $0.5 million), respectively, in incentive fees on net investment income from us.</w:t>
      </w:r>
    </w:p>
    <w:p>
      <w:pPr>
        <w:spacing w:after="0" w:line="191" w:lineRule="exact"/>
        <w:rPr>
          <w:sz w:val="20"/>
          <w:szCs w:val="20"/>
          <w:color w:val="auto"/>
        </w:rPr>
      </w:pPr>
    </w:p>
    <w:p>
      <w:pPr>
        <w:ind w:left="140" w:right="20" w:firstLine="437"/>
        <w:spacing w:after="0" w:line="270"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2018 and 2017, the Investment Adviser did not accrue an incentive fee on capital gains as calculated under the Investment Management Agreement (as described above).</w:t>
      </w:r>
    </w:p>
    <w:p>
      <w:pPr>
        <w:spacing w:after="0" w:line="179" w:lineRule="exact"/>
        <w:rPr>
          <w:sz w:val="20"/>
          <w:szCs w:val="20"/>
          <w:color w:val="auto"/>
        </w:rPr>
      </w:pPr>
    </w:p>
    <w:p>
      <w:pPr>
        <w:ind w:left="140" w:firstLine="437"/>
        <w:spacing w:after="0" w:line="267"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months ended December 31, 2018 and 2017, the Investment Adviser did not accrue an incentive fee on capital gains as calculated under GAAP.</w:t>
      </w:r>
    </w:p>
    <w:p>
      <w:pPr>
        <w:spacing w:after="0" w:line="181" w:lineRule="exact"/>
        <w:rPr>
          <w:sz w:val="20"/>
          <w:szCs w:val="20"/>
          <w:color w:val="auto"/>
        </w:rPr>
      </w:pPr>
    </w:p>
    <w:p>
      <w:pPr>
        <w:ind w:left="140" w:firstLine="437"/>
        <w:spacing w:after="0" w:line="267"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2019.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both the three months ended December 31, 2018 and 2017, we reimbursed the Investment Adviser approximately $0.3 million, including expenses the Investment Adviser incurred on behalf of the Administrator, for services described above.</w:t>
      </w:r>
    </w:p>
    <w:p>
      <w:pPr>
        <w:spacing w:after="0" w:line="181" w:lineRule="exact"/>
        <w:rPr>
          <w:sz w:val="20"/>
          <w:szCs w:val="20"/>
          <w:color w:val="auto"/>
        </w:rPr>
      </w:pPr>
    </w:p>
    <w:p>
      <w:pPr>
        <w:jc w:val="center"/>
        <w:ind w:right="220"/>
        <w:spacing w:after="0" w:line="442" w:lineRule="auto"/>
        <w:rPr>
          <w:sz w:val="20"/>
          <w:szCs w:val="20"/>
          <w:color w:val="auto"/>
        </w:rPr>
      </w:pPr>
      <w:r>
        <w:rPr>
          <w:rFonts w:ascii="Arial" w:cs="Arial" w:eastAsia="Arial" w:hAnsi="Arial"/>
          <w:sz w:val="18"/>
          <w:szCs w:val="18"/>
          <w:color w:val="auto"/>
        </w:rPr>
        <w:t>There were no transactions subject to Rule 17a-7 under the 1940 Act during both the three months ended December 31, 2018 and 2017. F-20</w:t>
      </w:r>
    </w:p>
    <w:p>
      <w:pPr>
        <w:sectPr>
          <w:pgSz w:w="12240" w:h="15840" w:orient="portrait"/>
          <w:cols w:equalWidth="0" w:num="1">
            <w:col w:w="11040"/>
          </w:cols>
          <w:pgMar w:left="520" w:top="316" w:right="680"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080" w:right="214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4. INVESTMENTS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Purchases of investments, including PIK interest, for the three months ended December 31, 2018 and 2017 totaled $196.4 million and</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$142.1 million, respectively. Sales and repayments of investments for the same periods totaled $125.8 million and $192.3 million, respectively.</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40" w:type="dxa"/>
            <w:vAlign w:val="bottom"/>
          </w:tcPr>
          <w:p>
            <w:pPr>
              <w:spacing w:after="0"/>
              <w:rPr>
                <w:sz w:val="14"/>
                <w:szCs w:val="14"/>
                <w:color w:val="auto"/>
              </w:rPr>
            </w:pPr>
          </w:p>
        </w:tc>
        <w:tc>
          <w:tcPr>
            <w:tcW w:w="27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47"/>
        </w:trPr>
        <w:tc>
          <w:tcPr>
            <w:tcW w:w="422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740"/>
              <w:spacing w:after="0" w:line="127"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93"/>
              <w:spacing w:after="0" w:line="127"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620"/>
              <w:spacing w:after="0" w:line="127"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13"/>
              <w:spacing w:after="0" w:line="127"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First lien</w:t>
            </w:r>
          </w:p>
        </w:tc>
        <w:tc>
          <w:tcPr>
            <w:tcW w:w="2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580,205,266</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577,393,518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536,875,632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531,422,088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395,646,750</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403,170,805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385,201,277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391,038,029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49,887,593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48,123,067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48,617,113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48,127,586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297,871,535</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162,766,421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273,122,153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161,497,771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1,323,611,144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1,191,453,811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1,243,816,175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1,132,085,474</w:t>
            </w:r>
          </w:p>
        </w:tc>
        <w:tc>
          <w:tcPr>
            <w:tcW w:w="0" w:type="dxa"/>
            <w:vAlign w:val="bottom"/>
          </w:tcPr>
          <w:p>
            <w:pPr>
              <w:spacing w:after="0"/>
              <w:rPr>
                <w:sz w:val="1"/>
                <w:szCs w:val="1"/>
                <w:color w:val="auto"/>
              </w:rPr>
            </w:pPr>
          </w:p>
        </w:tc>
      </w:tr>
      <w:tr>
        <w:trPr>
          <w:trHeight w:val="228"/>
        </w:trPr>
        <w:tc>
          <w:tcPr>
            <w:tcW w:w="42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24,657,870</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24,653,889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19,543,625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1,348,269,014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1,216,107,700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1,263,359,800</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1,151,591,628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F-21</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620"/>
          </w:cols>
          <w:pgMar w:left="520" w:top="316" w:right="1100"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840" w:right="238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140" w:right="480" w:firstLine="437"/>
        <w:spacing w:after="0" w:line="271"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3880" w:type="dxa"/>
            <w:vAlign w:val="bottom"/>
            <w:vMerge w:val="restart"/>
          </w:tcPr>
          <w:p>
            <w:pPr>
              <w:spacing w:after="0"/>
              <w:rPr>
                <w:sz w:val="14"/>
                <w:szCs w:val="14"/>
                <w:color w:val="auto"/>
              </w:rPr>
            </w:pPr>
          </w:p>
        </w:tc>
        <w:tc>
          <w:tcPr>
            <w:tcW w:w="19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0"/>
              </w:rPr>
              <w:t>December 31,</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1400" w:type="dxa"/>
            <w:vAlign w:val="bottom"/>
            <w:tcBorders>
              <w:bottom w:val="single" w:sz="8" w:color="auto"/>
            </w:tcBorders>
            <w:vMerge w:val="continue"/>
          </w:tcPr>
          <w:p>
            <w:pPr>
              <w:spacing w:after="0"/>
              <w:rPr>
                <w:sz w:val="13"/>
                <w:szCs w:val="13"/>
                <w:color w:val="auto"/>
              </w:rPr>
            </w:pPr>
          </w:p>
        </w:tc>
        <w:tc>
          <w:tcPr>
            <w:tcW w:w="3880" w:type="dxa"/>
            <w:vAlign w:val="bottom"/>
            <w:vMerge w:val="continue"/>
          </w:tcPr>
          <w:p>
            <w:pPr>
              <w:spacing w:after="0"/>
              <w:rPr>
                <w:sz w:val="13"/>
                <w:szCs w:val="13"/>
                <w:color w:val="auto"/>
              </w:rPr>
            </w:pPr>
          </w:p>
        </w:tc>
        <w:tc>
          <w:tcPr>
            <w:tcW w:w="820" w:type="dxa"/>
            <w:vAlign w:val="bottom"/>
          </w:tcPr>
          <w:p>
            <w:pPr>
              <w:jc w:val="right"/>
              <w:ind w:right="172"/>
              <w:spacing w:after="0" w:line="157" w:lineRule="exact"/>
              <w:rPr>
                <w:sz w:val="20"/>
                <w:szCs w:val="20"/>
                <w:color w:val="auto"/>
              </w:rPr>
            </w:pPr>
            <w:r>
              <w:rPr>
                <w:rFonts w:ascii="Arial" w:cs="Arial" w:eastAsia="Arial" w:hAnsi="Arial"/>
                <w:sz w:val="14"/>
                <w:szCs w:val="14"/>
                <w:b w:val="1"/>
                <w:bCs w:val="1"/>
                <w:color w:val="auto"/>
              </w:rPr>
              <w:t>2018</w:t>
            </w:r>
          </w:p>
        </w:tc>
        <w:tc>
          <w:tcPr>
            <w:tcW w:w="1140" w:type="dxa"/>
            <w:vAlign w:val="bottom"/>
          </w:tcPr>
          <w:p>
            <w:pPr>
              <w:spacing w:after="0"/>
              <w:rPr>
                <w:sz w:val="13"/>
                <w:szCs w:val="13"/>
                <w:color w:val="auto"/>
              </w:rPr>
            </w:pPr>
          </w:p>
        </w:tc>
        <w:tc>
          <w:tcPr>
            <w:tcW w:w="860" w:type="dxa"/>
            <w:vAlign w:val="bottom"/>
          </w:tcPr>
          <w:p>
            <w:pPr>
              <w:jc w:val="right"/>
              <w:ind w:right="212"/>
              <w:spacing w:after="0" w:line="157"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820" w:type="dxa"/>
            <w:vAlign w:val="bottom"/>
            <w:shd w:val="clear" w:color="auto" w:fill="000000"/>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280" w:type="dxa"/>
            <w:vAlign w:val="bottom"/>
            <w:gridSpan w:val="2"/>
            <w:vMerge w:val="continue"/>
            <w:shd w:val="clear" w:color="auto" w:fill="CCEEFF"/>
          </w:tcPr>
          <w:p>
            <w:pPr>
              <w:spacing w:after="0"/>
              <w:rPr>
                <w:sz w:val="17"/>
                <w:szCs w:val="17"/>
                <w:color w:val="auto"/>
              </w:rPr>
            </w:pPr>
          </w:p>
        </w:tc>
        <w:tc>
          <w:tcPr>
            <w:tcW w:w="1960" w:type="dxa"/>
            <w:vAlign w:val="bottom"/>
            <w:gridSpan w:val="2"/>
            <w:shd w:val="clear" w:color="auto" w:fill="CCEEFF"/>
          </w:tcPr>
          <w:p>
            <w:pPr>
              <w:jc w:val="right"/>
              <w:ind w:right="980"/>
              <w:spacing w:after="0" w:line="201" w:lineRule="exact"/>
              <w:rPr>
                <w:sz w:val="20"/>
                <w:szCs w:val="20"/>
                <w:color w:val="auto"/>
              </w:rPr>
            </w:pPr>
            <w:r>
              <w:rPr>
                <w:rFonts w:ascii="Arial" w:cs="Arial" w:eastAsia="Arial" w:hAnsi="Arial"/>
                <w:sz w:val="18"/>
                <w:szCs w:val="18"/>
                <w:color w:val="auto"/>
              </w:rPr>
              <w:t>13%</w:t>
            </w:r>
          </w:p>
        </w:tc>
        <w:tc>
          <w:tcPr>
            <w:tcW w:w="106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4"/>
        </w:trPr>
        <w:tc>
          <w:tcPr>
            <w:tcW w:w="52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19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528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19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528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9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528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9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528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9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528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19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52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9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28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9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52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9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528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19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528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9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5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18" w:lineRule="exact"/>
        <w:rPr>
          <w:sz w:val="20"/>
          <w:szCs w:val="20"/>
          <w:color w:val="auto"/>
        </w:rPr>
      </w:pPr>
    </w:p>
    <w:p>
      <w:pPr>
        <w:ind w:left="140" w:firstLine="437"/>
        <w:spacing w:after="0" w:line="288" w:lineRule="auto"/>
        <w:rPr>
          <w:sz w:val="20"/>
          <w:szCs w:val="20"/>
          <w:color w:val="auto"/>
        </w:rPr>
      </w:pPr>
      <w:r>
        <w:rPr>
          <w:rFonts w:ascii="Arial" w:cs="Arial" w:eastAsia="Arial" w:hAnsi="Arial"/>
          <w:sz w:val="16"/>
          <w:szCs w:val="16"/>
          <w:color w:val="auto"/>
        </w:rPr>
        <w:t>Fair value, as defined under ASC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F-22</w:t>
      </w:r>
    </w:p>
    <w:p>
      <w:pPr>
        <w:sectPr>
          <w:pgSz w:w="12240" w:h="15840" w:orient="portrait"/>
          <w:cols w:equalWidth="0" w:num="1">
            <w:col w:w="10860"/>
          </w:cols>
          <w:pgMar w:left="520" w:top="316" w:right="860"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56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48" w:lineRule="exact"/>
        <w:rPr>
          <w:sz w:val="20"/>
          <w:szCs w:val="20"/>
          <w:color w:val="auto"/>
        </w:rPr>
      </w:pPr>
    </w:p>
    <w:p>
      <w:pPr>
        <w:ind w:left="1580" w:right="1300" w:hanging="896"/>
        <w:spacing w:after="0" w:line="271" w:lineRule="auto"/>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8" w:lineRule="exact"/>
        <w:rPr>
          <w:sz w:val="20"/>
          <w:szCs w:val="20"/>
          <w:color w:val="auto"/>
        </w:rPr>
      </w:pPr>
    </w:p>
    <w:p>
      <w:pPr>
        <w:ind w:left="1580" w:right="560" w:hanging="896"/>
        <w:spacing w:after="0" w:line="259" w:lineRule="auto"/>
        <w:tabs>
          <w:tab w:leader="none" w:pos="15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9" w:lineRule="exact"/>
        <w:rPr>
          <w:sz w:val="20"/>
          <w:szCs w:val="20"/>
          <w:color w:val="auto"/>
        </w:rPr>
      </w:pPr>
    </w:p>
    <w:p>
      <w:pPr>
        <w:ind w:left="1580" w:right="1000" w:hanging="896"/>
        <w:spacing w:after="0" w:line="271" w:lineRule="auto"/>
        <w:tabs>
          <w:tab w:leader="none" w:pos="15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5" w:lineRule="exact"/>
        <w:rPr>
          <w:sz w:val="20"/>
          <w:szCs w:val="20"/>
          <w:color w:val="auto"/>
        </w:rPr>
      </w:pPr>
    </w:p>
    <w:p>
      <w:pPr>
        <w:ind w:left="140" w:right="20" w:firstLine="437"/>
        <w:spacing w:after="0" w:line="255"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1" w:lineRule="exact"/>
        <w:rPr>
          <w:sz w:val="20"/>
          <w:szCs w:val="20"/>
          <w:color w:val="auto"/>
        </w:rPr>
      </w:pPr>
    </w:p>
    <w:p>
      <w:pPr>
        <w:ind w:left="140" w:right="100" w:firstLine="437"/>
        <w:spacing w:after="0" w:line="290"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65" w:lineRule="exact"/>
        <w:rPr>
          <w:sz w:val="20"/>
          <w:szCs w:val="20"/>
          <w:color w:val="auto"/>
        </w:rPr>
      </w:pPr>
    </w:p>
    <w:p>
      <w:pPr>
        <w:ind w:left="140" w:right="20" w:firstLine="437"/>
        <w:spacing w:after="0" w:line="252" w:lineRule="auto"/>
        <w:rPr>
          <w:sz w:val="20"/>
          <w:szCs w:val="20"/>
          <w:color w:val="auto"/>
        </w:rPr>
      </w:pPr>
      <w:r>
        <w:rPr>
          <w:rFonts w:ascii="Arial" w:cs="Arial" w:eastAsia="Arial" w:hAnsi="Arial"/>
          <w:sz w:val="18"/>
          <w:szCs w:val="18"/>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5"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three months ended December 31, 2018 and 2017, our ability to observe valuation inputs resulted in no reclassifications.</w:t>
      </w:r>
    </w:p>
    <w:p>
      <w:pPr>
        <w:spacing w:after="0" w:line="191" w:lineRule="exact"/>
        <w:rPr>
          <w:sz w:val="20"/>
          <w:szCs w:val="20"/>
          <w:color w:val="auto"/>
        </w:rPr>
      </w:pPr>
    </w:p>
    <w:p>
      <w:pPr>
        <w:ind w:left="140" w:right="60" w:firstLine="437"/>
        <w:spacing w:after="0" w:line="259" w:lineRule="auto"/>
        <w:rPr>
          <w:sz w:val="20"/>
          <w:szCs w:val="20"/>
          <w:color w:val="auto"/>
        </w:rPr>
      </w:pPr>
      <w:r>
        <w:rPr>
          <w:rFonts w:ascii="Arial" w:cs="Arial" w:eastAsia="Arial" w:hAnsi="Arial"/>
          <w:sz w:val="18"/>
          <w:szCs w:val="18"/>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2240" w:h="15840" w:orient="portrait"/>
          <w:cols w:equalWidth="0" w:num="1">
            <w:col w:w="11040"/>
          </w:cols>
          <w:pgMar w:left="520" w:top="317" w:right="680"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140" w:right="120" w:firstLine="437"/>
        <w:spacing w:after="0" w:line="293" w:lineRule="auto"/>
        <w:rPr>
          <w:sz w:val="20"/>
          <w:szCs w:val="20"/>
          <w:color w:val="auto"/>
        </w:rPr>
      </w:pPr>
      <w:r>
        <w:rPr>
          <w:rFonts w:ascii="Arial" w:cs="Arial" w:eastAsia="Arial" w:hAnsi="Arial"/>
          <w:sz w:val="16"/>
          <w:szCs w:val="16"/>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w:t>
      </w:r>
    </w:p>
    <w:p>
      <w:pPr>
        <w:spacing w:after="0" w:line="162" w:lineRule="exact"/>
        <w:rPr>
          <w:sz w:val="20"/>
          <w:szCs w:val="20"/>
          <w:color w:val="auto"/>
        </w:rPr>
      </w:pPr>
    </w:p>
    <w:p>
      <w:pPr>
        <w:ind w:left="140" w:right="20" w:firstLine="437"/>
        <w:spacing w:after="0" w:line="283" w:lineRule="auto"/>
        <w:rPr>
          <w:sz w:val="20"/>
          <w:szCs w:val="20"/>
          <w:color w:val="auto"/>
        </w:rPr>
      </w:pPr>
      <w:r>
        <w:rPr>
          <w:rFonts w:ascii="Arial" w:cs="Arial" w:eastAsia="Arial" w:hAnsi="Arial"/>
          <w:sz w:val="16"/>
          <w:szCs w:val="16"/>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2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0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Fair Value at</w:t>
            </w:r>
          </w:p>
        </w:tc>
        <w:tc>
          <w:tcPr>
            <w:tcW w:w="220" w:type="dxa"/>
            <w:vAlign w:val="bottom"/>
          </w:tcPr>
          <w:p>
            <w:pPr>
              <w:spacing w:after="0"/>
              <w:rPr>
                <w:sz w:val="14"/>
                <w:szCs w:val="14"/>
                <w:color w:val="auto"/>
              </w:rPr>
            </w:pPr>
          </w:p>
        </w:tc>
        <w:tc>
          <w:tcPr>
            <w:tcW w:w="21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Valuation Technique</w:t>
            </w:r>
          </w:p>
        </w:tc>
        <w:tc>
          <w:tcPr>
            <w:tcW w:w="25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Unobservable Input</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6"/>
        </w:trPr>
        <w:tc>
          <w:tcPr>
            <w:tcW w:w="920" w:type="dxa"/>
            <w:vAlign w:val="bottom"/>
            <w:tcBorders>
              <w:bottom w:val="single" w:sz="8" w:color="auto"/>
            </w:tcBorders>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December 31, 2018</w:t>
            </w:r>
          </w:p>
        </w:tc>
        <w:tc>
          <w:tcPr>
            <w:tcW w:w="22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2500" w:type="dxa"/>
            <w:vAlign w:val="bottom"/>
            <w:gridSpan w:val="2"/>
            <w:vMerge w:val="continue"/>
          </w:tcPr>
          <w:p>
            <w:pPr>
              <w:spacing w:after="0"/>
              <w:rPr>
                <w:sz w:val="15"/>
                <w:szCs w:val="15"/>
                <w:color w:val="auto"/>
              </w:rPr>
            </w:pPr>
          </w:p>
        </w:tc>
        <w:tc>
          <w:tcPr>
            <w:tcW w:w="150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7,120,000</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Market Comparable</w:t>
            </w:r>
          </w:p>
        </w:tc>
        <w:tc>
          <w:tcPr>
            <w:tcW w:w="26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Broker/Dealer bids or quotes</w:t>
            </w:r>
          </w:p>
        </w:tc>
        <w:tc>
          <w:tcPr>
            <w:tcW w:w="2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N/A</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4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14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180,966,837</w:t>
            </w:r>
          </w:p>
        </w:tc>
        <w:tc>
          <w:tcPr>
            <w:tcW w:w="220" w:type="dxa"/>
            <w:vAlign w:val="bottom"/>
          </w:tcPr>
          <w:p>
            <w:pPr>
              <w:spacing w:after="0"/>
              <w:rPr>
                <w:sz w:val="17"/>
                <w:szCs w:val="17"/>
                <w:color w:val="auto"/>
              </w:rPr>
            </w:pPr>
          </w:p>
        </w:tc>
        <w:tc>
          <w:tcPr>
            <w:tcW w:w="2180" w:type="dxa"/>
            <w:vAlign w:val="bottom"/>
            <w:gridSpan w:val="2"/>
          </w:tcPr>
          <w:p>
            <w:pPr>
              <w:ind w:left="340"/>
              <w:spacing w:after="0"/>
              <w:rPr>
                <w:sz w:val="20"/>
                <w:szCs w:val="20"/>
                <w:color w:val="auto"/>
              </w:rPr>
            </w:pPr>
            <w:r>
              <w:rPr>
                <w:rFonts w:ascii="Arial" w:cs="Arial" w:eastAsia="Arial" w:hAnsi="Arial"/>
                <w:sz w:val="16"/>
                <w:szCs w:val="16"/>
                <w:color w:val="auto"/>
              </w:rPr>
              <w:t>Market Comparable</w:t>
            </w:r>
          </w:p>
        </w:tc>
        <w:tc>
          <w:tcPr>
            <w:tcW w:w="25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Broker/Dealer bids or quotes</w:t>
            </w:r>
          </w:p>
        </w:tc>
        <w:tc>
          <w:tcPr>
            <w:tcW w:w="1500" w:type="dxa"/>
            <w:vAlign w:val="bottom"/>
            <w:gridSpan w:val="2"/>
          </w:tcPr>
          <w:p>
            <w:pPr>
              <w:ind w:left="6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570,273,518</w:t>
            </w:r>
          </w:p>
        </w:tc>
        <w:tc>
          <w:tcPr>
            <w:tcW w:w="22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Market Comparable</w:t>
            </w:r>
          </w:p>
        </w:tc>
        <w:tc>
          <w:tcPr>
            <w:tcW w:w="25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Market Yield</w:t>
            </w:r>
          </w:p>
        </w:tc>
        <w:tc>
          <w:tcPr>
            <w:tcW w:w="150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2"/>
              </w:rPr>
              <w:t>7.5% – 17.6%</w:t>
            </w:r>
          </w:p>
        </w:tc>
        <w:tc>
          <w:tcPr>
            <w:tcW w:w="0" w:type="dxa"/>
            <w:vAlign w:val="bottom"/>
          </w:tcPr>
          <w:p>
            <w:pPr>
              <w:spacing w:after="0"/>
              <w:rPr>
                <w:sz w:val="1"/>
                <w:szCs w:val="1"/>
                <w:color w:val="auto"/>
              </w:rPr>
            </w:pPr>
          </w:p>
        </w:tc>
      </w:tr>
      <w:tr>
        <w:trPr>
          <w:trHeight w:val="211"/>
        </w:trPr>
        <w:tc>
          <w:tcPr>
            <w:tcW w:w="9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4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140" w:type="dxa"/>
            <w:vAlign w:val="bottom"/>
          </w:tcPr>
          <w:p>
            <w:pPr>
              <w:spacing w:after="0"/>
              <w:rPr>
                <w:sz w:val="16"/>
                <w:szCs w:val="16"/>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222,203,968</w:t>
            </w:r>
          </w:p>
        </w:tc>
        <w:tc>
          <w:tcPr>
            <w:tcW w:w="220" w:type="dxa"/>
            <w:vAlign w:val="bottom"/>
          </w:tcPr>
          <w:p>
            <w:pPr>
              <w:spacing w:after="0"/>
              <w:rPr>
                <w:sz w:val="16"/>
                <w:szCs w:val="16"/>
                <w:color w:val="auto"/>
              </w:rPr>
            </w:pPr>
          </w:p>
        </w:tc>
        <w:tc>
          <w:tcPr>
            <w:tcW w:w="2180" w:type="dxa"/>
            <w:vAlign w:val="bottom"/>
            <w:gridSpan w:val="2"/>
          </w:tcPr>
          <w:p>
            <w:pPr>
              <w:ind w:left="340"/>
              <w:spacing w:after="0"/>
              <w:rPr>
                <w:sz w:val="20"/>
                <w:szCs w:val="20"/>
                <w:color w:val="auto"/>
              </w:rPr>
            </w:pPr>
            <w:r>
              <w:rPr>
                <w:rFonts w:ascii="Arial" w:cs="Arial" w:eastAsia="Arial" w:hAnsi="Arial"/>
                <w:sz w:val="16"/>
                <w:szCs w:val="16"/>
                <w:color w:val="auto"/>
              </w:rPr>
              <w:t>Market Comparable</w:t>
            </w:r>
          </w:p>
        </w:tc>
        <w:tc>
          <w:tcPr>
            <w:tcW w:w="250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Market Yield</w:t>
            </w:r>
          </w:p>
        </w:tc>
        <w:tc>
          <w:tcPr>
            <w:tcW w:w="1500" w:type="dxa"/>
            <w:vAlign w:val="bottom"/>
            <w:gridSpan w:val="2"/>
          </w:tcPr>
          <w:p>
            <w:pPr>
              <w:jc w:val="center"/>
              <w:ind w:right="40"/>
              <w:spacing w:after="0"/>
              <w:rPr>
                <w:sz w:val="20"/>
                <w:szCs w:val="20"/>
                <w:color w:val="auto"/>
              </w:rPr>
            </w:pPr>
            <w:r>
              <w:rPr>
                <w:rFonts w:ascii="Arial" w:cs="Arial" w:eastAsia="Arial" w:hAnsi="Arial"/>
                <w:sz w:val="16"/>
                <w:szCs w:val="16"/>
                <w:color w:val="auto"/>
                <w:w w:val="90"/>
              </w:rPr>
              <w:t>11.0% – 14.1%</w:t>
            </w: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(13.1%)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2"/>
              </w:rPr>
              <w:t>12.0% – 17.0%</w:t>
            </w:r>
          </w:p>
        </w:tc>
        <w:tc>
          <w:tcPr>
            <w:tcW w:w="0" w:type="dxa"/>
            <w:vAlign w:val="bottom"/>
          </w:tcPr>
          <w:p>
            <w:pPr>
              <w:spacing w:after="0"/>
              <w:rPr>
                <w:sz w:val="1"/>
                <w:szCs w:val="1"/>
                <w:color w:val="auto"/>
              </w:rPr>
            </w:pPr>
          </w:p>
        </w:tc>
      </w:tr>
      <w:tr>
        <w:trPr>
          <w:trHeight w:val="211"/>
        </w:trPr>
        <w:tc>
          <w:tcPr>
            <w:tcW w:w="9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48,123,067</w:t>
            </w:r>
          </w:p>
        </w:tc>
        <w:tc>
          <w:tcPr>
            <w:tcW w:w="2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Market Comparable</w:t>
            </w:r>
          </w:p>
        </w:tc>
        <w:tc>
          <w:tcPr>
            <w:tcW w:w="25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Market Yield</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40" w:type="dxa"/>
            <w:vAlign w:val="bottom"/>
            <w:gridSpan w:val="2"/>
          </w:tcPr>
          <w:p>
            <w:pPr>
              <w:spacing w:after="0"/>
              <w:rPr>
                <w:sz w:val="20"/>
                <w:szCs w:val="20"/>
                <w:color w:val="auto"/>
              </w:rPr>
            </w:pPr>
            <w:r>
              <w:rPr>
                <w:rFonts w:ascii="Arial" w:cs="Arial" w:eastAsia="Arial" w:hAnsi="Arial"/>
                <w:sz w:val="16"/>
                <w:szCs w:val="16"/>
                <w:color w:val="auto"/>
              </w:rPr>
              <w:t>Equity</w:t>
            </w:r>
          </w:p>
        </w:tc>
        <w:tc>
          <w:tcPr>
            <w:tcW w:w="140" w:type="dxa"/>
            <w:vAlign w:val="bottom"/>
          </w:tcPr>
          <w:p>
            <w:pPr>
              <w:spacing w:after="0"/>
              <w:rPr>
                <w:sz w:val="16"/>
                <w:szCs w:val="16"/>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161,713,242</w:t>
            </w:r>
          </w:p>
        </w:tc>
        <w:tc>
          <w:tcPr>
            <w:tcW w:w="220" w:type="dxa"/>
            <w:vAlign w:val="bottom"/>
          </w:tcPr>
          <w:p>
            <w:pPr>
              <w:spacing w:after="0"/>
              <w:rPr>
                <w:sz w:val="16"/>
                <w:szCs w:val="16"/>
                <w:color w:val="auto"/>
              </w:rPr>
            </w:pPr>
          </w:p>
        </w:tc>
        <w:tc>
          <w:tcPr>
            <w:tcW w:w="2180" w:type="dxa"/>
            <w:vAlign w:val="bottom"/>
            <w:gridSpan w:val="2"/>
          </w:tcPr>
          <w:p>
            <w:pPr>
              <w:ind w:left="200"/>
              <w:spacing w:after="0"/>
              <w:rPr>
                <w:sz w:val="20"/>
                <w:szCs w:val="20"/>
                <w:color w:val="auto"/>
              </w:rPr>
            </w:pPr>
            <w:r>
              <w:rPr>
                <w:rFonts w:ascii="Arial" w:cs="Arial" w:eastAsia="Arial" w:hAnsi="Arial"/>
                <w:sz w:val="16"/>
                <w:szCs w:val="16"/>
                <w:color w:val="auto"/>
              </w:rPr>
              <w:t>Enterprise Market Value</w:t>
            </w:r>
          </w:p>
        </w:tc>
        <w:tc>
          <w:tcPr>
            <w:tcW w:w="250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EBITDA multiple</w:t>
            </w:r>
          </w:p>
        </w:tc>
        <w:tc>
          <w:tcPr>
            <w:tcW w:w="1500" w:type="dxa"/>
            <w:vAlign w:val="bottom"/>
            <w:gridSpan w:val="2"/>
          </w:tcPr>
          <w:p>
            <w:pPr>
              <w:jc w:val="center"/>
              <w:ind w:right="20"/>
              <w:spacing w:after="0"/>
              <w:rPr>
                <w:sz w:val="20"/>
                <w:szCs w:val="20"/>
                <w:color w:val="auto"/>
              </w:rPr>
            </w:pPr>
            <w:r>
              <w:rPr>
                <w:rFonts w:ascii="Arial" w:cs="Arial" w:eastAsia="Arial" w:hAnsi="Arial"/>
                <w:sz w:val="16"/>
                <w:szCs w:val="16"/>
                <w:color w:val="auto"/>
                <w:w w:val="91"/>
              </w:rPr>
              <w:t>6.0x –13.0x</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(9.0x)</w:t>
            </w:r>
          </w:p>
        </w:tc>
        <w:tc>
          <w:tcPr>
            <w:tcW w:w="0" w:type="dxa"/>
            <w:vAlign w:val="bottom"/>
          </w:tcPr>
          <w:p>
            <w:pPr>
              <w:spacing w:after="0"/>
              <w:rPr>
                <w:sz w:val="1"/>
                <w:szCs w:val="1"/>
                <w:color w:val="auto"/>
              </w:rPr>
            </w:pPr>
          </w:p>
        </w:tc>
      </w:tr>
      <w:tr>
        <w:trPr>
          <w:trHeight w:val="201"/>
        </w:trPr>
        <w:tc>
          <w:tcPr>
            <w:tcW w:w="29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Level 3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1,190,400,632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2"/>
            <w:vMerge w:val="restart"/>
          </w:tcPr>
          <w:p>
            <w:pPr>
              <w:ind w:left="340"/>
              <w:spacing w:after="0"/>
              <w:rPr>
                <w:sz w:val="20"/>
                <w:szCs w:val="20"/>
                <w:color w:val="auto"/>
              </w:rPr>
            </w:pPr>
            <w:r>
              <w:rPr>
                <w:rFonts w:ascii="Arial" w:cs="Arial" w:eastAsia="Arial" w:hAnsi="Arial"/>
                <w:sz w:val="16"/>
                <w:szCs w:val="16"/>
                <w:color w:val="auto"/>
              </w:rPr>
              <w:t>Market Comparable</w:t>
            </w:r>
          </w:p>
        </w:tc>
        <w:tc>
          <w:tcPr>
            <w:tcW w:w="250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4"/>
              </w:rPr>
              <w:t>Market Yield</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87"/>
              </w:rPr>
              <w:t>5.6%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4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167,088,178</w:t>
            </w:r>
          </w:p>
        </w:tc>
        <w:tc>
          <w:tcPr>
            <w:tcW w:w="22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50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2240" w:h="15840" w:orient="portrait"/>
          <w:cols w:equalWidth="0" w:num="1">
            <w:col w:w="11060"/>
          </w:cols>
          <w:pgMar w:left="520" w:top="317" w:right="660"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174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262"/>
              <w:spacing w:after="0"/>
              <w:rPr>
                <w:sz w:val="20"/>
                <w:szCs w:val="20"/>
                <w:color w:val="auto"/>
              </w:rPr>
            </w:pPr>
            <w:r>
              <w:rPr>
                <w:rFonts w:ascii="Arial" w:cs="Arial" w:eastAsia="Arial" w:hAnsi="Arial"/>
                <w:sz w:val="14"/>
                <w:szCs w:val="14"/>
                <w:b w:val="1"/>
                <w:bCs w:val="1"/>
                <w:color w:val="auto"/>
              </w:rPr>
              <w:t>Fair Value at</w:t>
            </w:r>
          </w:p>
        </w:tc>
        <w:tc>
          <w:tcPr>
            <w:tcW w:w="360" w:type="dxa"/>
            <w:vAlign w:val="bottom"/>
          </w:tcPr>
          <w:p>
            <w:pPr>
              <w:spacing w:after="0"/>
              <w:rPr>
                <w:sz w:val="14"/>
                <w:szCs w:val="14"/>
                <w:color w:val="auto"/>
              </w:rPr>
            </w:pPr>
          </w:p>
        </w:tc>
        <w:tc>
          <w:tcPr>
            <w:tcW w:w="2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25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Unobservable Input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6"/>
        </w:trPr>
        <w:tc>
          <w:tcPr>
            <w:tcW w:w="920" w:type="dxa"/>
            <w:vAlign w:val="bottom"/>
            <w:tcBorders>
              <w:bottom w:val="single" w:sz="8" w:color="auto"/>
            </w:tcBorders>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62"/>
              <w:spacing w:after="0" w:line="157" w:lineRule="exact"/>
              <w:rPr>
                <w:sz w:val="20"/>
                <w:szCs w:val="20"/>
                <w:color w:val="auto"/>
              </w:rPr>
            </w:pPr>
            <w:r>
              <w:rPr>
                <w:rFonts w:ascii="Arial" w:cs="Arial" w:eastAsia="Arial" w:hAnsi="Arial"/>
                <w:sz w:val="14"/>
                <w:szCs w:val="14"/>
                <w:b w:val="1"/>
                <w:bCs w:val="1"/>
                <w:color w:val="auto"/>
                <w:w w:val="91"/>
              </w:rPr>
              <w:t>September 30, 2018</w:t>
            </w:r>
          </w:p>
        </w:tc>
        <w:tc>
          <w:tcPr>
            <w:tcW w:w="36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500" w:type="dxa"/>
            <w:vAlign w:val="bottom"/>
            <w:gridSpan w:val="2"/>
            <w:vMerge w:val="continue"/>
          </w:tcPr>
          <w:p>
            <w:pPr>
              <w:spacing w:after="0"/>
              <w:rPr>
                <w:sz w:val="15"/>
                <w:szCs w:val="15"/>
                <w:color w:val="auto"/>
              </w:rPr>
            </w:pP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2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164,734,450</w:t>
            </w:r>
          </w:p>
        </w:tc>
        <w:tc>
          <w:tcPr>
            <w:tcW w:w="36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Market Comparable</w:t>
            </w:r>
          </w:p>
        </w:tc>
        <w:tc>
          <w:tcPr>
            <w:tcW w:w="36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90"/>
              </w:rPr>
              <w:t>Broker/Dealer bids or quotes</w:t>
            </w:r>
          </w:p>
        </w:tc>
        <w:tc>
          <w:tcPr>
            <w:tcW w:w="3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266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531,422,088</w:t>
            </w:r>
          </w:p>
        </w:tc>
        <w:tc>
          <w:tcPr>
            <w:tcW w:w="360" w:type="dxa"/>
            <w:vAlign w:val="bottom"/>
          </w:tcPr>
          <w:p>
            <w:pPr>
              <w:spacing w:after="0"/>
              <w:rPr>
                <w:sz w:val="16"/>
                <w:szCs w:val="16"/>
                <w:color w:val="auto"/>
              </w:rPr>
            </w:pPr>
          </w:p>
        </w:tc>
        <w:tc>
          <w:tcPr>
            <w:tcW w:w="2160" w:type="dxa"/>
            <w:vAlign w:val="bottom"/>
            <w:gridSpan w:val="2"/>
          </w:tcPr>
          <w:p>
            <w:pPr>
              <w:ind w:left="280"/>
              <w:spacing w:after="0"/>
              <w:rPr>
                <w:sz w:val="20"/>
                <w:szCs w:val="20"/>
                <w:color w:val="auto"/>
              </w:rPr>
            </w:pPr>
            <w:r>
              <w:rPr>
                <w:rFonts w:ascii="Arial" w:cs="Arial" w:eastAsia="Arial" w:hAnsi="Arial"/>
                <w:sz w:val="16"/>
                <w:szCs w:val="16"/>
                <w:color w:val="auto"/>
              </w:rPr>
              <w:t>Market Comparable</w:t>
            </w:r>
          </w:p>
        </w:tc>
        <w:tc>
          <w:tcPr>
            <w:tcW w:w="250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Market Yield</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7.4% – 17.5%</w:t>
            </w: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(10.1%)</w:t>
            </w: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226,303,579</w:t>
            </w:r>
          </w:p>
        </w:tc>
        <w:tc>
          <w:tcPr>
            <w:tcW w:w="36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Market Comparable</w:t>
            </w:r>
          </w:p>
        </w:tc>
        <w:tc>
          <w:tcPr>
            <w:tcW w:w="25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6"/>
              </w:rPr>
              <w:t>Market Yield</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10.7% – 14.1%</w:t>
            </w:r>
          </w:p>
        </w:tc>
        <w:tc>
          <w:tcPr>
            <w:tcW w:w="0" w:type="dxa"/>
            <w:vAlign w:val="bottom"/>
          </w:tcPr>
          <w:p>
            <w:pPr>
              <w:spacing w:after="0"/>
              <w:rPr>
                <w:sz w:val="1"/>
                <w:szCs w:val="1"/>
                <w:color w:val="auto"/>
              </w:rPr>
            </w:pPr>
          </w:p>
        </w:tc>
      </w:tr>
      <w:tr>
        <w:trPr>
          <w:trHeight w:val="211"/>
        </w:trPr>
        <w:tc>
          <w:tcPr>
            <w:tcW w:w="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(13.3%)</w:t>
            </w:r>
          </w:p>
        </w:tc>
        <w:tc>
          <w:tcPr>
            <w:tcW w:w="0" w:type="dxa"/>
            <w:vAlign w:val="bottom"/>
          </w:tcPr>
          <w:p>
            <w:pPr>
              <w:spacing w:after="0"/>
              <w:rPr>
                <w:sz w:val="1"/>
                <w:szCs w:val="1"/>
                <w:color w:val="auto"/>
              </w:rPr>
            </w:pPr>
          </w:p>
        </w:tc>
      </w:tr>
      <w:tr>
        <w:trPr>
          <w:trHeight w:val="191"/>
        </w:trPr>
        <w:tc>
          <w:tcPr>
            <w:tcW w:w="2660" w:type="dxa"/>
            <w:vAlign w:val="bottom"/>
            <w:gridSpan w:val="2"/>
          </w:tcPr>
          <w:p>
            <w:pPr>
              <w:spacing w:after="0"/>
              <w:rPr>
                <w:sz w:val="20"/>
                <w:szCs w:val="20"/>
                <w:color w:val="auto"/>
              </w:rPr>
            </w:pPr>
            <w:r>
              <w:rPr>
                <w:rFonts w:ascii="Arial" w:cs="Arial" w:eastAsia="Arial" w:hAnsi="Arial"/>
                <w:sz w:val="16"/>
                <w:szCs w:val="16"/>
                <w:color w:val="auto"/>
              </w:rPr>
              <w:t>Subordinated debt / corporate notes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12.5% – 15.3%</w:t>
            </w: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48,127,586</w:t>
            </w:r>
          </w:p>
        </w:tc>
        <w:tc>
          <w:tcPr>
            <w:tcW w:w="360" w:type="dxa"/>
            <w:vAlign w:val="bottom"/>
          </w:tcPr>
          <w:p>
            <w:pPr>
              <w:spacing w:after="0"/>
              <w:rPr>
                <w:sz w:val="17"/>
                <w:szCs w:val="17"/>
                <w:color w:val="auto"/>
              </w:rPr>
            </w:pPr>
          </w:p>
        </w:tc>
        <w:tc>
          <w:tcPr>
            <w:tcW w:w="2160" w:type="dxa"/>
            <w:vAlign w:val="bottom"/>
            <w:gridSpan w:val="2"/>
          </w:tcPr>
          <w:p>
            <w:pPr>
              <w:ind w:left="280"/>
              <w:spacing w:after="0"/>
              <w:rPr>
                <w:sz w:val="20"/>
                <w:szCs w:val="20"/>
                <w:color w:val="auto"/>
              </w:rPr>
            </w:pPr>
            <w:r>
              <w:rPr>
                <w:rFonts w:ascii="Arial" w:cs="Arial" w:eastAsia="Arial" w:hAnsi="Arial"/>
                <w:sz w:val="16"/>
                <w:szCs w:val="16"/>
                <w:color w:val="auto"/>
              </w:rPr>
              <w:t>Market Comparable</w:t>
            </w:r>
          </w:p>
        </w:tc>
        <w:tc>
          <w:tcPr>
            <w:tcW w:w="250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Market Yield</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(14.5%)</w:t>
            </w: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160,656,044</w:t>
            </w:r>
          </w:p>
        </w:tc>
        <w:tc>
          <w:tcPr>
            <w:tcW w:w="36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Enterprise Market Value</w:t>
            </w:r>
          </w:p>
        </w:tc>
        <w:tc>
          <w:tcPr>
            <w:tcW w:w="25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rPr>
              <w:t>EBITDA multiple</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3.9x – 13.8x</w:t>
            </w:r>
          </w:p>
        </w:tc>
        <w:tc>
          <w:tcPr>
            <w:tcW w:w="0" w:type="dxa"/>
            <w:vAlign w:val="bottom"/>
          </w:tcPr>
          <w:p>
            <w:pPr>
              <w:spacing w:after="0"/>
              <w:rPr>
                <w:sz w:val="1"/>
                <w:szCs w:val="1"/>
                <w:color w:val="auto"/>
              </w:rPr>
            </w:pPr>
          </w:p>
        </w:tc>
      </w:tr>
      <w:tr>
        <w:trPr>
          <w:trHeight w:val="211"/>
        </w:trPr>
        <w:tc>
          <w:tcPr>
            <w:tcW w:w="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(8.2x)</w:t>
            </w:r>
          </w:p>
        </w:tc>
        <w:tc>
          <w:tcPr>
            <w:tcW w:w="0" w:type="dxa"/>
            <w:vAlign w:val="bottom"/>
          </w:tcPr>
          <w:p>
            <w:pPr>
              <w:spacing w:after="0"/>
              <w:rPr>
                <w:sz w:val="1"/>
                <w:szCs w:val="1"/>
                <w:color w:val="auto"/>
              </w:rPr>
            </w:pPr>
          </w:p>
        </w:tc>
      </w:tr>
      <w:tr>
        <w:trPr>
          <w:trHeight w:val="205"/>
        </w:trPr>
        <w:tc>
          <w:tcPr>
            <w:tcW w:w="2660" w:type="dxa"/>
            <w:vAlign w:val="bottom"/>
            <w:gridSpan w:val="2"/>
          </w:tcPr>
          <w:p>
            <w:pPr>
              <w:ind w:left="320"/>
              <w:spacing w:after="0"/>
              <w:rPr>
                <w:sz w:val="20"/>
                <w:szCs w:val="20"/>
                <w:color w:val="auto"/>
              </w:rPr>
            </w:pPr>
            <w:r>
              <w:rPr>
                <w:rFonts w:ascii="Arial" w:cs="Arial" w:eastAsia="Arial" w:hAnsi="Arial"/>
                <w:sz w:val="16"/>
                <w:szCs w:val="16"/>
                <w:color w:val="auto"/>
              </w:rPr>
              <w:t>Total Level 3 investments</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1,131,243,747</w:t>
            </w: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77,645,830</w:t>
            </w:r>
          </w:p>
        </w:tc>
        <w:tc>
          <w:tcPr>
            <w:tcW w:w="36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Market Comparable</w:t>
            </w:r>
          </w:p>
        </w:tc>
        <w:tc>
          <w:tcPr>
            <w:tcW w:w="25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6"/>
              </w:rPr>
              <w:t>Market Yield</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40" w:right="280" w:firstLine="437"/>
        <w:spacing w:after="0" w:line="271" w:lineRule="auto"/>
        <w:rPr>
          <w:sz w:val="20"/>
          <w:szCs w:val="20"/>
          <w:color w:val="auto"/>
        </w:rPr>
      </w:pPr>
      <w:r>
        <w:rPr>
          <w:rFonts w:ascii="Arial" w:cs="Arial" w:eastAsia="Arial" w:hAnsi="Arial"/>
          <w:sz w:val="18"/>
          <w:szCs w:val="18"/>
          <w:color w:val="auto"/>
        </w:rPr>
        <w:t>Our investments, cash and cash equivalents, Credit Facility and the 2019 Notes were categorized as follows in the fair value hierarchy for ASC 820 purposes:</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88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Fair Value at December 31, 2018</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00" w:type="dxa"/>
            <w:vAlign w:val="bottom"/>
            <w:tcBorders>
              <w:bottom w:val="single" w:sz="8" w:color="auto"/>
            </w:tcBorders>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ind w:left="220"/>
              <w:spacing w:after="0" w:line="127"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1280" w:type="dxa"/>
            <w:vAlign w:val="bottom"/>
            <w:gridSpan w:val="2"/>
          </w:tcPr>
          <w:p>
            <w:pPr>
              <w:jc w:val="right"/>
              <w:ind w:right="640"/>
              <w:spacing w:after="0" w:line="127"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ind w:left="240"/>
              <w:spacing w:after="0" w:line="127"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jc w:val="right"/>
              <w:ind w:right="553"/>
              <w:spacing w:after="0" w:line="127"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5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Debt investments</w:t>
            </w: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1,028,687,390</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1"/>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ind w:left="980"/>
              <w:spacing w:after="0" w:line="201"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1,028,687,390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162,766,421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1,053,179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161,713,242</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1,191,453,811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1,190,400,632</w:t>
            </w:r>
          </w:p>
        </w:tc>
        <w:tc>
          <w:tcPr>
            <w:tcW w:w="0" w:type="dxa"/>
            <w:vAlign w:val="bottom"/>
          </w:tcPr>
          <w:p>
            <w:pPr>
              <w:spacing w:after="0"/>
              <w:rPr>
                <w:sz w:val="1"/>
                <w:szCs w:val="1"/>
                <w:color w:val="auto"/>
              </w:rPr>
            </w:pPr>
          </w:p>
        </w:tc>
      </w:tr>
      <w:tr>
        <w:trPr>
          <w:trHeight w:val="221"/>
        </w:trPr>
        <w:tc>
          <w:tcPr>
            <w:tcW w:w="3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24,653,889</w:t>
            </w:r>
          </w:p>
        </w:tc>
        <w:tc>
          <w:tcPr>
            <w:tcW w:w="3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24,653,889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CEEFF"/>
          </w:tcPr>
          <w:p>
            <w:pPr>
              <w:ind w:left="360"/>
              <w:spacing w:after="0" w:line="200" w:lineRule="exact"/>
              <w:rPr>
                <w:sz w:val="20"/>
                <w:szCs w:val="20"/>
                <w:color w:val="auto"/>
              </w:rPr>
            </w:pPr>
            <w:r>
              <w:rPr>
                <w:rFonts w:ascii="Arial" w:cs="Arial" w:eastAsia="Arial" w:hAnsi="Arial"/>
                <w:sz w:val="18"/>
                <w:szCs w:val="18"/>
                <w:color w:val="auto"/>
              </w:rPr>
              <w:t>Total investments and cash and cash</w:t>
            </w:r>
          </w:p>
        </w:tc>
        <w:tc>
          <w:tcPr>
            <w:tcW w:w="3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1,216,107,700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25,707,068</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1,190,400,632</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gridSpan w:val="2"/>
            <w:vMerge w:val="continue"/>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167,088,178</w:t>
            </w:r>
          </w:p>
        </w:tc>
        <w:tc>
          <w:tcPr>
            <w:tcW w:w="26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167,088,178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249,430,000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7"/>
              </w:rPr>
              <w:t>249,430,000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580" w:type="dxa"/>
            <w:vAlign w:val="bottom"/>
            <w:gridSpan w:val="2"/>
          </w:tcPr>
          <w:p>
            <w:pPr>
              <w:ind w:left="36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416,518,178</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7"/>
              </w:rPr>
              <w:t>249,430,000</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167,088,178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880" w:type="dxa"/>
            <w:vAlign w:val="bottom"/>
            <w:vMerge w:val="restart"/>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Fair Value at September 30, 2018</w:t>
            </w: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00" w:type="dxa"/>
            <w:vAlign w:val="bottom"/>
            <w:tcBorders>
              <w:bottom w:val="single" w:sz="8" w:color="auto"/>
            </w:tcBorders>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ind w:left="220"/>
              <w:spacing w:after="0" w:line="127"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1280" w:type="dxa"/>
            <w:vAlign w:val="bottom"/>
            <w:gridSpan w:val="2"/>
          </w:tcPr>
          <w:p>
            <w:pPr>
              <w:jc w:val="right"/>
              <w:ind w:right="640"/>
              <w:spacing w:after="0" w:line="127"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ind w:left="240"/>
              <w:spacing w:after="0" w:line="127"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jc w:val="right"/>
              <w:ind w:right="553"/>
              <w:spacing w:after="0" w:line="127"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5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Debt investments</w:t>
            </w: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970,587,703</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1"/>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ind w:left="980"/>
              <w:spacing w:after="0" w:line="201"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970,587,703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161,497,771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841,727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160,656,044</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1,132,085,474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1,131,243,747</w:t>
            </w:r>
          </w:p>
        </w:tc>
        <w:tc>
          <w:tcPr>
            <w:tcW w:w="0" w:type="dxa"/>
            <w:vAlign w:val="bottom"/>
          </w:tcPr>
          <w:p>
            <w:pPr>
              <w:spacing w:after="0"/>
              <w:rPr>
                <w:sz w:val="1"/>
                <w:szCs w:val="1"/>
                <w:color w:val="auto"/>
              </w:rPr>
            </w:pPr>
          </w:p>
        </w:tc>
      </w:tr>
      <w:tr>
        <w:trPr>
          <w:trHeight w:val="221"/>
        </w:trPr>
        <w:tc>
          <w:tcPr>
            <w:tcW w:w="3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19,506,154</w:t>
            </w:r>
          </w:p>
        </w:tc>
        <w:tc>
          <w:tcPr>
            <w:tcW w:w="3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19,506,154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CEEFF"/>
          </w:tcPr>
          <w:p>
            <w:pPr>
              <w:ind w:left="360"/>
              <w:spacing w:after="0" w:line="200" w:lineRule="exact"/>
              <w:rPr>
                <w:sz w:val="20"/>
                <w:szCs w:val="20"/>
                <w:color w:val="auto"/>
              </w:rPr>
            </w:pPr>
            <w:r>
              <w:rPr>
                <w:rFonts w:ascii="Arial" w:cs="Arial" w:eastAsia="Arial" w:hAnsi="Arial"/>
                <w:sz w:val="18"/>
                <w:szCs w:val="18"/>
                <w:color w:val="auto"/>
              </w:rPr>
              <w:t>Total investments and cash and cash</w:t>
            </w:r>
          </w:p>
        </w:tc>
        <w:tc>
          <w:tcPr>
            <w:tcW w:w="3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1,151,591,628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20,347,881</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1,131,243,747</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gridSpan w:val="2"/>
            <w:vMerge w:val="continue"/>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77,645,830</w:t>
            </w:r>
          </w:p>
        </w:tc>
        <w:tc>
          <w:tcPr>
            <w:tcW w:w="26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7"/>
              </w:rPr>
              <w:t>251,322,500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580" w:type="dxa"/>
            <w:vAlign w:val="bottom"/>
            <w:gridSpan w:val="2"/>
          </w:tcPr>
          <w:p>
            <w:pPr>
              <w:ind w:left="36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328,968,330</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7"/>
              </w:rPr>
              <w:t>251,322,500</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3"/>
          </w:tcPr>
          <w:p>
            <w:pPr>
              <w:jc w:val="right"/>
              <w:ind w:right="151"/>
              <w:spacing w:after="0"/>
              <w:rPr>
                <w:sz w:val="20"/>
                <w:szCs w:val="20"/>
                <w:color w:val="auto"/>
              </w:rPr>
            </w:pPr>
            <w:r>
              <w:rPr>
                <w:rFonts w:ascii="Arial" w:cs="Arial" w:eastAsia="Arial" w:hAnsi="Arial"/>
                <w:sz w:val="18"/>
                <w:szCs w:val="18"/>
                <w:color w:val="auto"/>
              </w:rPr>
              <w:t>F-25</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060"/>
          </w:cols>
          <w:pgMar w:left="520" w:top="316" w:right="660"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720" w:right="250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140" w:firstLine="437"/>
        <w:spacing w:after="0" w:line="271"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93" w:lineRule="exact"/>
        <w:rPr>
          <w:sz w:val="20"/>
          <w:szCs w:val="20"/>
          <w:color w:val="auto"/>
        </w:rPr>
      </w:pPr>
    </w:p>
    <w:tbl>
      <w:tblPr>
        <w:tblLayout w:type="fixed"/>
        <w:tblInd w:w="10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9"/>
          </w:tcPr>
          <w:p>
            <w:pPr>
              <w:jc w:val="center"/>
              <w:ind w:right="73"/>
              <w:spacing w:after="0"/>
              <w:rPr>
                <w:sz w:val="20"/>
                <w:szCs w:val="20"/>
                <w:color w:val="auto"/>
              </w:rPr>
            </w:pPr>
            <w:r>
              <w:rPr>
                <w:rFonts w:ascii="Arial" w:cs="Arial" w:eastAsia="Arial" w:hAnsi="Arial"/>
                <w:sz w:val="14"/>
                <w:szCs w:val="14"/>
                <w:b w:val="1"/>
                <w:bCs w:val="1"/>
                <w:color w:val="auto"/>
                <w:w w:val="93"/>
              </w:rPr>
              <w:t>Three Months Ended December 31, 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300"/>
              <w:spacing w:after="0" w:line="118" w:lineRule="exact"/>
              <w:rPr>
                <w:sz w:val="20"/>
                <w:szCs w:val="20"/>
                <w:color w:val="auto"/>
              </w:rPr>
            </w:pPr>
            <w:r>
              <w:rPr>
                <w:rFonts w:ascii="Arial" w:cs="Arial" w:eastAsia="Arial" w:hAnsi="Arial"/>
                <w:sz w:val="13"/>
                <w:szCs w:val="13"/>
                <w:b w:val="1"/>
                <w:bCs w:val="1"/>
                <w:color w:val="auto"/>
                <w:w w:val="96"/>
              </w:rPr>
              <w:t>Debt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320"/>
              <w:spacing w:after="0" w:line="118"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6"/>
        </w:trPr>
        <w:tc>
          <w:tcPr>
            <w:tcW w:w="47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Beginning Balance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970,587,703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160,656,044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1,131,243,747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Net realized gains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805,044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7,672,845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8,477,889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unrealized appreciation (depreciation)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3,054,099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(22,878,354)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(19,824,255)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60" w:type="dxa"/>
            <w:vAlign w:val="bottom"/>
            <w:gridSpan w:val="2"/>
          </w:tcPr>
          <w:p>
            <w:pPr>
              <w:ind w:left="320"/>
              <w:spacing w:after="0" w:line="200" w:lineRule="exact"/>
              <w:rPr>
                <w:sz w:val="20"/>
                <w:szCs w:val="20"/>
                <w:color w:val="auto"/>
              </w:rPr>
            </w:pPr>
            <w:r>
              <w:rPr>
                <w:rFonts w:ascii="Arial" w:cs="Arial" w:eastAsia="Arial" w:hAnsi="Arial"/>
                <w:sz w:val="18"/>
                <w:szCs w:val="18"/>
                <w:color w:val="auto"/>
                <w:w w:val="90"/>
              </w:rPr>
              <w:t>Purchases, PIK interest, net discount accretion and non-cash</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ind w:left="500"/>
              <w:spacing w:after="0"/>
              <w:rPr>
                <w:sz w:val="20"/>
                <w:szCs w:val="20"/>
                <w:color w:val="auto"/>
              </w:rPr>
            </w:pPr>
            <w:r>
              <w:rPr>
                <w:rFonts w:ascii="Arial" w:cs="Arial" w:eastAsia="Arial" w:hAnsi="Arial"/>
                <w:sz w:val="18"/>
                <w:szCs w:val="18"/>
                <w:color w:val="auto"/>
              </w:rPr>
              <w:t>exchanges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175,080,250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21,214,018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196,294,268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Sales, repayments and non-cash exchanges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(120,839,706)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(4,951,311)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(125,791,017)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Transfers in/out of Level 3</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1,028,687,390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161,713,242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1,190,400,632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8"/>
                <w:szCs w:val="18"/>
                <w:color w:val="auto"/>
                <w:w w:val="97"/>
              </w:rPr>
              <w:t>Net change in unrealized appreciation (depreciation) reported</w:t>
            </w: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within the net change in unrealized depreciation 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w w:val="98"/>
              </w:rPr>
              <w:t>investments in our Consolidated Statements of Operations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attributable to our Level 3 assets still held at the reporting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date.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3,476,349</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(14,245,662)</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(10,769,313)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9"/>
          </w:tcPr>
          <w:p>
            <w:pPr>
              <w:jc w:val="center"/>
              <w:ind w:right="73"/>
              <w:spacing w:after="0"/>
              <w:rPr>
                <w:sz w:val="20"/>
                <w:szCs w:val="20"/>
                <w:color w:val="auto"/>
              </w:rPr>
            </w:pPr>
            <w:r>
              <w:rPr>
                <w:rFonts w:ascii="Arial" w:cs="Arial" w:eastAsia="Arial" w:hAnsi="Arial"/>
                <w:sz w:val="14"/>
                <w:szCs w:val="14"/>
                <w:b w:val="1"/>
                <w:bCs w:val="1"/>
                <w:color w:val="auto"/>
                <w:w w:val="93"/>
              </w:rPr>
              <w:t>Three Months Ended December 31, 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300"/>
              <w:spacing w:after="0" w:line="118" w:lineRule="exact"/>
              <w:rPr>
                <w:sz w:val="20"/>
                <w:szCs w:val="20"/>
                <w:color w:val="auto"/>
              </w:rPr>
            </w:pPr>
            <w:r>
              <w:rPr>
                <w:rFonts w:ascii="Arial" w:cs="Arial" w:eastAsia="Arial" w:hAnsi="Arial"/>
                <w:sz w:val="13"/>
                <w:szCs w:val="13"/>
                <w:b w:val="1"/>
                <w:bCs w:val="1"/>
                <w:color w:val="auto"/>
                <w:w w:val="96"/>
              </w:rPr>
              <w:t>Debt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320"/>
              <w:spacing w:after="0" w:line="118"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6"/>
        </w:trPr>
        <w:tc>
          <w:tcPr>
            <w:tcW w:w="47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Beginning Balance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986,328,498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166,268,568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1,152,597,066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Net realized gains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1,961,209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1,810,786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3,771,995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unrealized depreciation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(3,759,168)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(2,980,993)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(6,740,161)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60" w:type="dxa"/>
            <w:vAlign w:val="bottom"/>
            <w:gridSpan w:val="2"/>
          </w:tcPr>
          <w:p>
            <w:pPr>
              <w:ind w:left="320"/>
              <w:spacing w:after="0" w:line="200" w:lineRule="exact"/>
              <w:rPr>
                <w:sz w:val="20"/>
                <w:szCs w:val="20"/>
                <w:color w:val="auto"/>
              </w:rPr>
            </w:pPr>
            <w:r>
              <w:rPr>
                <w:rFonts w:ascii="Arial" w:cs="Arial" w:eastAsia="Arial" w:hAnsi="Arial"/>
                <w:sz w:val="18"/>
                <w:szCs w:val="18"/>
                <w:color w:val="auto"/>
                <w:w w:val="90"/>
              </w:rPr>
              <w:t>Purchases, PIK interest, net discount accretion and non-cash</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ind w:left="500"/>
              <w:spacing w:after="0"/>
              <w:rPr>
                <w:sz w:val="20"/>
                <w:szCs w:val="20"/>
                <w:color w:val="auto"/>
              </w:rPr>
            </w:pPr>
            <w:r>
              <w:rPr>
                <w:rFonts w:ascii="Arial" w:cs="Arial" w:eastAsia="Arial" w:hAnsi="Arial"/>
                <w:sz w:val="18"/>
                <w:szCs w:val="18"/>
                <w:color w:val="auto"/>
              </w:rPr>
              <w:t>exchanges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133,670,716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8,708,434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142,379,150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Sales, repayments and non-cash exchanges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(190,492,232)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(1,810,786)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(192,303,018)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Transfers in/out of Level 3</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927,709,023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171,996,009</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1,099,705,032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8"/>
                <w:szCs w:val="18"/>
                <w:color w:val="auto"/>
                <w:w w:val="98"/>
              </w:rPr>
              <w:t>Net change in unrealized depreciation reported within the net</w:t>
            </w: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change in unrealized (depreciation) appreciation 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w w:val="98"/>
              </w:rPr>
              <w:t>investments in our Consolidated Statements of Operations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attributable to our Level 3 assets still held at the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reporting date.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(1,441,348)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(2,980,993)</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(4,422,341)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80" w:type="dxa"/>
            <w:vAlign w:val="bottom"/>
            <w:vMerge w:val="restart"/>
          </w:tcPr>
          <w:p>
            <w:pPr>
              <w:ind w:left="3700"/>
              <w:spacing w:after="0"/>
              <w:rPr>
                <w:sz w:val="20"/>
                <w:szCs w:val="20"/>
                <w:color w:val="auto"/>
              </w:rPr>
            </w:pPr>
            <w:r>
              <w:rPr>
                <w:rFonts w:ascii="Arial" w:cs="Arial" w:eastAsia="Arial" w:hAnsi="Arial"/>
                <w:sz w:val="18"/>
                <w:szCs w:val="18"/>
                <w:color w:val="auto"/>
                <w:w w:val="97"/>
              </w:rPr>
              <w:t>F-26</w:t>
            </w: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980"/>
          </w:cols>
          <w:pgMar w:left="520" w:top="317" w:right="740"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140" w:right="280" w:firstLine="437"/>
        <w:spacing w:after="0" w:line="271"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70"/>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80" w:type="dxa"/>
            <w:vAlign w:val="bottom"/>
          </w:tcPr>
          <w:p>
            <w:pPr>
              <w:spacing w:after="0"/>
              <w:rPr>
                <w:sz w:val="14"/>
                <w:szCs w:val="14"/>
                <w:color w:val="auto"/>
              </w:rPr>
            </w:pPr>
          </w:p>
        </w:tc>
        <w:tc>
          <w:tcPr>
            <w:tcW w:w="2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9"/>
              </w:rPr>
              <w:t>Three Months Ended December 31,</w:t>
            </w:r>
          </w:p>
        </w:tc>
        <w:tc>
          <w:tcPr>
            <w:tcW w:w="0" w:type="dxa"/>
            <w:vAlign w:val="bottom"/>
          </w:tcPr>
          <w:p>
            <w:pPr>
              <w:spacing w:after="0"/>
              <w:rPr>
                <w:sz w:val="1"/>
                <w:szCs w:val="1"/>
                <w:color w:val="auto"/>
              </w:rPr>
            </w:pPr>
          </w:p>
        </w:tc>
      </w:tr>
      <w:tr>
        <w:trPr>
          <w:trHeight w:val="127"/>
        </w:trPr>
        <w:tc>
          <w:tcPr>
            <w:tcW w:w="550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94"/>
              <w:spacing w:after="0" w:line="127"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251"/>
              <w:spacing w:after="0" w:line="127"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shd w:val="clear" w:color="auto" w:fill="000000"/>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00" w:type="dxa"/>
            <w:vAlign w:val="bottom"/>
            <w:gridSpan w:val="2"/>
            <w:shd w:val="clear" w:color="auto" w:fill="CCEEFF"/>
          </w:tcPr>
          <w:p>
            <w:pPr>
              <w:spacing w:after="0" w:line="173" w:lineRule="exact"/>
              <w:rPr>
                <w:sz w:val="20"/>
                <w:szCs w:val="20"/>
                <w:color w:val="auto"/>
              </w:rPr>
            </w:pPr>
            <w:r>
              <w:rPr>
                <w:rFonts w:ascii="Arial" w:cs="Arial" w:eastAsia="Arial" w:hAnsi="Arial"/>
                <w:sz w:val="18"/>
                <w:szCs w:val="18"/>
                <w:color w:val="auto"/>
              </w:rPr>
              <w:t>Beginning Balance (cost – $80,520,000 and $79,392,900,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77,645,830</w:t>
            </w:r>
          </w:p>
        </w:tc>
        <w:tc>
          <w:tcPr>
            <w:tcW w:w="3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$ 76,037,341</w:t>
            </w:r>
          </w:p>
        </w:tc>
        <w:tc>
          <w:tcPr>
            <w:tcW w:w="0" w:type="dxa"/>
            <w:vAlign w:val="bottom"/>
          </w:tcPr>
          <w:p>
            <w:pPr>
              <w:spacing w:after="0"/>
              <w:rPr>
                <w:sz w:val="1"/>
                <w:szCs w:val="1"/>
                <w:color w:val="auto"/>
              </w:rPr>
            </w:pPr>
          </w:p>
        </w:tc>
      </w:tr>
      <w:tr>
        <w:trPr>
          <w:trHeight w:val="200"/>
        </w:trPr>
        <w:tc>
          <w:tcPr>
            <w:tcW w:w="5500" w:type="dxa"/>
            <w:vAlign w:val="bottom"/>
            <w:gridSpan w:val="2"/>
          </w:tcPr>
          <w:p>
            <w:pPr>
              <w:ind w:left="360"/>
              <w:spacing w:after="0" w:line="200" w:lineRule="exact"/>
              <w:rPr>
                <w:sz w:val="20"/>
                <w:szCs w:val="20"/>
                <w:color w:val="auto"/>
              </w:rPr>
            </w:pPr>
            <w:r>
              <w:rPr>
                <w:rFonts w:ascii="Arial" w:cs="Arial" w:eastAsia="Arial" w:hAnsi="Arial"/>
                <w:sz w:val="18"/>
                <w:szCs w:val="18"/>
                <w:color w:val="auto"/>
              </w:rPr>
              <w:t>Net change in unrealized (depreciation) appreciation included</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00" w:type="dxa"/>
            <w:vAlign w:val="bottom"/>
            <w:gridSpan w:val="2"/>
          </w:tcPr>
          <w:p>
            <w:pPr>
              <w:ind w:left="540"/>
              <w:spacing w:after="0"/>
              <w:rPr>
                <w:sz w:val="20"/>
                <w:szCs w:val="20"/>
                <w:color w:val="auto"/>
              </w:rPr>
            </w:pPr>
            <w:r>
              <w:rPr>
                <w:rFonts w:ascii="Arial" w:cs="Arial" w:eastAsia="Arial" w:hAnsi="Arial"/>
                <w:sz w:val="18"/>
                <w:szCs w:val="18"/>
                <w:color w:val="auto"/>
              </w:rPr>
              <w:t>in earnings</w:t>
            </w:r>
          </w:p>
        </w:tc>
        <w:tc>
          <w:tcPr>
            <w:tcW w:w="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(4,173,652)</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540,734</w:t>
            </w:r>
          </w:p>
        </w:tc>
        <w:tc>
          <w:tcPr>
            <w:tcW w:w="0" w:type="dxa"/>
            <w:vAlign w:val="bottom"/>
          </w:tcPr>
          <w:p>
            <w:pPr>
              <w:spacing w:after="0"/>
              <w:rPr>
                <w:sz w:val="1"/>
                <w:szCs w:val="1"/>
                <w:color w:val="auto"/>
              </w:rPr>
            </w:pPr>
          </w:p>
        </w:tc>
      </w:tr>
      <w:tr>
        <w:trPr>
          <w:trHeight w:val="215"/>
        </w:trPr>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217,000,000</w:t>
            </w:r>
          </w:p>
        </w:tc>
        <w:tc>
          <w:tcPr>
            <w:tcW w:w="3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4"/>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(123,384,000)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4"/>
        </w:trPr>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Transfers in and/or out of Level 3</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Ending Balance (cost – $174,136,000 and $79,392,900,</w:t>
            </w: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167,088,178</w:t>
            </w:r>
          </w:p>
        </w:tc>
        <w:tc>
          <w:tcPr>
            <w:tcW w:w="380" w:type="dxa"/>
            <w:vAlign w:val="bottom"/>
          </w:tcPr>
          <w:p>
            <w:pPr>
              <w:spacing w:after="0"/>
              <w:rPr>
                <w:sz w:val="19"/>
                <w:szCs w:val="19"/>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$ 76,578,075</w:t>
            </w:r>
          </w:p>
        </w:tc>
        <w:tc>
          <w:tcPr>
            <w:tcW w:w="0" w:type="dxa"/>
            <w:vAlign w:val="bottom"/>
          </w:tcPr>
          <w:p>
            <w:pPr>
              <w:spacing w:after="0"/>
              <w:rPr>
                <w:sz w:val="1"/>
                <w:szCs w:val="1"/>
                <w:color w:val="auto"/>
              </w:rPr>
            </w:pPr>
          </w:p>
        </w:tc>
      </w:tr>
      <w:tr>
        <w:trPr>
          <w:trHeight w:val="215"/>
        </w:trPr>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Temporary draws outstanding, at cost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Ending Balance (cost – $174,136,000 and $79,392,900,</w:t>
            </w: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167,088,178</w:t>
            </w:r>
          </w:p>
        </w:tc>
        <w:tc>
          <w:tcPr>
            <w:tcW w:w="380" w:type="dxa"/>
            <w:vAlign w:val="bottom"/>
          </w:tcPr>
          <w:p>
            <w:pPr>
              <w:spacing w:after="0"/>
              <w:rPr>
                <w:sz w:val="19"/>
                <w:szCs w:val="19"/>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$ 76,578,075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62" w:lineRule="exact"/>
        <w:rPr>
          <w:sz w:val="20"/>
          <w:szCs w:val="20"/>
          <w:color w:val="auto"/>
        </w:rPr>
      </w:pPr>
    </w:p>
    <w:p>
      <w:pPr>
        <w:ind w:left="460" w:hanging="326"/>
        <w:spacing w:after="0"/>
        <w:tabs>
          <w:tab w:leader="none" w:pos="460" w:val="left"/>
        </w:tabs>
        <w:numPr>
          <w:ilvl w:val="0"/>
          <w:numId w:val="90"/>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205" w:lineRule="exact"/>
        <w:rPr>
          <w:sz w:val="20"/>
          <w:szCs w:val="20"/>
          <w:color w:val="auto"/>
        </w:rPr>
      </w:pPr>
    </w:p>
    <w:p>
      <w:pPr>
        <w:ind w:left="140" w:right="340" w:firstLine="437"/>
        <w:spacing w:after="0" w:line="271" w:lineRule="auto"/>
        <w:rPr>
          <w:sz w:val="20"/>
          <w:szCs w:val="20"/>
          <w:color w:val="auto"/>
        </w:rPr>
      </w:pPr>
      <w:r>
        <w:rPr>
          <w:rFonts w:ascii="Arial" w:cs="Arial" w:eastAsia="Arial" w:hAnsi="Arial"/>
          <w:sz w:val="18"/>
          <w:szCs w:val="18"/>
          <w:color w:val="auto"/>
        </w:rPr>
        <w:t>As of December 31, 2018, we had outstanding non-U.S. dollar borrowings on our Credit Facility. Net change in fair value on foreign currency translation on outstanding borrowings is listed below:</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Foreign Currency</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 Borrowed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Borrowing Cost</w:t>
            </w:r>
          </w:p>
        </w:tc>
        <w:tc>
          <w:tcPr>
            <w:tcW w:w="20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 Value</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Reset Date</w:t>
            </w:r>
          </w:p>
        </w:tc>
        <w:tc>
          <w:tcPr>
            <w:tcW w:w="26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6"/>
        </w:trPr>
        <w:tc>
          <w:tcPr>
            <w:tcW w:w="1100" w:type="dxa"/>
            <w:vAlign w:val="bottom"/>
            <w:tcBorders>
              <w:bottom w:val="single" w:sz="8" w:color="auto"/>
            </w:tcBorders>
            <w:vMerge w:val="continue"/>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ind w:left="180"/>
              <w:spacing w:after="0" w:line="157"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1"/>
        </w:trPr>
        <w:tc>
          <w:tcPr>
            <w:tcW w:w="110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British Pound</w:t>
            </w:r>
          </w:p>
        </w:tc>
        <w:tc>
          <w:tcPr>
            <w:tcW w:w="1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29,000,000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40,136,000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36,934,197</w:t>
            </w:r>
          </w:p>
        </w:tc>
        <w:tc>
          <w:tcPr>
            <w:tcW w:w="1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ind w:left="240"/>
              <w:spacing w:after="0" w:line="201" w:lineRule="exact"/>
              <w:rPr>
                <w:sz w:val="20"/>
                <w:szCs w:val="20"/>
                <w:color w:val="auto"/>
              </w:rPr>
            </w:pPr>
            <w:r>
              <w:rPr>
                <w:rFonts w:ascii="Arial" w:cs="Arial" w:eastAsia="Arial" w:hAnsi="Arial"/>
                <w:sz w:val="18"/>
                <w:szCs w:val="18"/>
                <w:color w:val="auto"/>
                <w:w w:val="89"/>
              </w:rPr>
              <w:t>March 15, 2019</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(3,201,803)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40" w:right="320" w:firstLine="437"/>
        <w:spacing w:after="0" w:line="271" w:lineRule="auto"/>
        <w:rPr>
          <w:sz w:val="20"/>
          <w:szCs w:val="20"/>
          <w:color w:val="auto"/>
        </w:rPr>
      </w:pPr>
      <w:r>
        <w:rPr>
          <w:rFonts w:ascii="Arial" w:cs="Arial" w:eastAsia="Arial" w:hAnsi="Arial"/>
          <w:sz w:val="18"/>
          <w:szCs w:val="18"/>
          <w:color w:val="auto"/>
        </w:rPr>
        <w:t>As of September 30, 2018, we had outstanding non-U.S. dollar borrowings on our Credit Facility. Net change in fair value on foreign currency translation on outstanding borrowings is listed below:</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Foreign Currency</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 Borrowed</w:t>
            </w:r>
          </w:p>
        </w:tc>
        <w:tc>
          <w:tcPr>
            <w:tcW w:w="18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Borrowing Cost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 Value</w:t>
            </w:r>
          </w:p>
        </w:tc>
        <w:tc>
          <w:tcPr>
            <w:tcW w:w="17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Reset Date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6"/>
        </w:trPr>
        <w:tc>
          <w:tcPr>
            <w:tcW w:w="1100" w:type="dxa"/>
            <w:vAlign w:val="bottom"/>
            <w:tcBorders>
              <w:bottom w:val="single" w:sz="8" w:color="auto"/>
            </w:tcBorders>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200"/>
              <w:spacing w:after="0" w:line="157"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1"/>
        </w:trPr>
        <w:tc>
          <w:tcPr>
            <w:tcW w:w="110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British Pound</w:t>
            </w:r>
          </w:p>
        </w:tc>
        <w:tc>
          <w:tcPr>
            <w:tcW w:w="1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30,000,000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41,520,000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39,121,590</w:t>
            </w:r>
          </w:p>
        </w:tc>
        <w:tc>
          <w:tcPr>
            <w:tcW w:w="16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ind w:left="340"/>
              <w:spacing w:after="0" w:line="201" w:lineRule="exact"/>
              <w:rPr>
                <w:sz w:val="20"/>
                <w:szCs w:val="20"/>
                <w:color w:val="auto"/>
              </w:rPr>
            </w:pPr>
            <w:r>
              <w:rPr>
                <w:rFonts w:ascii="Arial" w:cs="Arial" w:eastAsia="Arial" w:hAnsi="Arial"/>
                <w:sz w:val="18"/>
                <w:szCs w:val="18"/>
                <w:color w:val="auto"/>
                <w:w w:val="87"/>
              </w:rPr>
              <w:t>December 14, 2018</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(2,398,410)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40" w:right="120" w:firstLine="437"/>
        <w:spacing w:after="0" w:line="285" w:lineRule="auto"/>
        <w:rPr>
          <w:sz w:val="20"/>
          <w:szCs w:val="20"/>
          <w:color w:val="auto"/>
        </w:rPr>
      </w:pPr>
      <w:r>
        <w:rPr>
          <w:rFonts w:ascii="Arial" w:cs="Arial" w:eastAsia="Arial" w:hAnsi="Arial"/>
          <w:sz w:val="16"/>
          <w:szCs w:val="16"/>
          <w:color w:val="auto"/>
        </w:rPr>
        <w:t>The carrying value of our consolidated financial liabilities approximates fair value. We have adopted the principles under ASC Subtopic ASC 825-10, Financial Instruments, or ASC 825-10, which provides companies with an option to report selected financial assets and liabilities at fair value, and made an irrevocable election to apply ASC 825-10 to our Credit Facility and the 2019 Notes. We elected to use the fair value option for the Credit Facility and the 2019 Notes to align the measurement attributes of both our assets and liabilities while mitigating volatility in earnings from using different measurement attributes. During both the three months ended December 31, 2018 and 2017 we did not incur any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2019 Notes are reported in our Consolidated Statements of Operations. We elected not to apply ASC 825-10 to any other financial assets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2240" w:h="15840" w:orient="portrait"/>
          <w:cols w:equalWidth="0" w:num="1">
            <w:col w:w="11060"/>
          </w:cols>
          <w:pgMar w:left="520" w:top="316" w:right="660"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140" w:right="140"/>
        <w:spacing w:after="0" w:line="254" w:lineRule="auto"/>
        <w:rPr>
          <w:sz w:val="20"/>
          <w:szCs w:val="20"/>
          <w:color w:val="auto"/>
        </w:rPr>
      </w:pPr>
      <w:r>
        <w:rPr>
          <w:rFonts w:ascii="Arial" w:cs="Arial" w:eastAsia="Arial" w:hAnsi="Arial"/>
          <w:sz w:val="18"/>
          <w:szCs w:val="18"/>
          <w:color w:val="auto"/>
        </w:rPr>
        <w:t>liabilities, including the SBA debentures. For the three months ended December 31, 2018 and 2017, our Credit Facility and the 2019 Notes had a net change in unrealized depreciation of $6.1 million and $1.1 million, respectively. As of December 31, 2018 and September 30, 2018, the net unrealized depreciation on our Credit Facility and the 2019 Notes totaled $7.6 million and $1.6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18" w:lineRule="exact"/>
        <w:rPr>
          <w:sz w:val="20"/>
          <w:szCs w:val="20"/>
          <w:color w:val="auto"/>
        </w:rPr>
      </w:pPr>
    </w:p>
    <w:p>
      <w:pPr>
        <w:ind w:left="140" w:right="200" w:firstLine="437"/>
        <w:spacing w:after="0" w:line="255"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2018 were as follows:</w:t>
      </w:r>
    </w:p>
    <w:p>
      <w:pPr>
        <w:spacing w:after="0" w:line="19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 at</w:t>
            </w:r>
          </w:p>
        </w:tc>
        <w:tc>
          <w:tcPr>
            <w:tcW w:w="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Purchases of /</w:t>
            </w:r>
          </w:p>
        </w:tc>
        <w:tc>
          <w:tcPr>
            <w:tcW w:w="10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 of /</w:t>
            </w:r>
          </w:p>
        </w:tc>
        <w:tc>
          <w:tcPr>
            <w:tcW w:w="8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Income</w:t>
            </w:r>
          </w:p>
        </w:tc>
        <w:tc>
          <w:tcPr>
            <w:tcW w:w="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Change in</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7"/>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9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Advances to</w:t>
            </w:r>
          </w:p>
        </w:tc>
        <w:tc>
          <w:tcPr>
            <w:tcW w:w="100" w:type="dxa"/>
            <w:vAlign w:val="bottom"/>
          </w:tcPr>
          <w:p>
            <w:pPr>
              <w:spacing w:after="0"/>
              <w:rPr>
                <w:sz w:val="12"/>
                <w:szCs w:val="12"/>
                <w:color w:val="auto"/>
              </w:rPr>
            </w:pPr>
          </w:p>
        </w:tc>
        <w:tc>
          <w:tcPr>
            <w:tcW w:w="116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w w:val="94"/>
              </w:rPr>
              <w:t>Distributions</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Appreciation /</w:t>
            </w:r>
          </w:p>
        </w:tc>
        <w:tc>
          <w:tcPr>
            <w:tcW w:w="8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56"/>
        </w:trPr>
        <w:tc>
          <w:tcPr>
            <w:tcW w:w="37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49"/>
              <w:spacing w:after="0" w:line="157"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 xml:space="preserve">Affiliates </w:t>
            </w:r>
            <w:r>
              <w:rPr>
                <w:rFonts w:ascii="Arial" w:cs="Arial" w:eastAsia="Arial" w:hAnsi="Arial"/>
                <w:sz w:val="12"/>
                <w:szCs w:val="12"/>
                <w:b w:val="1"/>
                <w:bCs w:val="1"/>
                <w:color w:val="auto"/>
              </w:rPr>
              <w:t>(1), (2)</w:t>
            </w:r>
          </w:p>
        </w:tc>
        <w:tc>
          <w:tcPr>
            <w:tcW w:w="12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7" w:lineRule="exact"/>
              <w:rPr>
                <w:sz w:val="20"/>
                <w:szCs w:val="20"/>
                <w:color w:val="auto"/>
              </w:rPr>
            </w:pPr>
            <w:r>
              <w:rPr>
                <w:rFonts w:ascii="Arial" w:cs="Arial" w:eastAsia="Arial" w:hAnsi="Arial"/>
                <w:sz w:val="14"/>
                <w:szCs w:val="14"/>
                <w:b w:val="1"/>
                <w:bCs w:val="1"/>
                <w:color w:val="auto"/>
                <w:w w:val="92"/>
              </w:rPr>
              <w:t>Accrued</w:t>
            </w:r>
          </w:p>
        </w:tc>
        <w:tc>
          <w:tcPr>
            <w:tcW w:w="60" w:type="dxa"/>
            <w:vAlign w:val="bottom"/>
          </w:tcPr>
          <w:p>
            <w:pPr>
              <w:spacing w:after="0"/>
              <w:rPr>
                <w:sz w:val="13"/>
                <w:szCs w:val="13"/>
                <w:color w:val="auto"/>
              </w:rPr>
            </w:pPr>
          </w:p>
        </w:tc>
        <w:tc>
          <w:tcPr>
            <w:tcW w:w="110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(Depreciation)</w:t>
            </w:r>
          </w:p>
        </w:tc>
        <w:tc>
          <w:tcPr>
            <w:tcW w:w="100" w:type="dxa"/>
            <w:vAlign w:val="bottom"/>
          </w:tcPr>
          <w:p>
            <w:pPr>
              <w:spacing w:after="0"/>
              <w:rPr>
                <w:sz w:val="13"/>
                <w:szCs w:val="13"/>
                <w:color w:val="auto"/>
              </w:rPr>
            </w:pPr>
          </w:p>
        </w:tc>
        <w:tc>
          <w:tcPr>
            <w:tcW w:w="760" w:type="dxa"/>
            <w:vAlign w:val="bottom"/>
          </w:tcPr>
          <w:p>
            <w:pPr>
              <w:jc w:val="right"/>
              <w:ind w:right="129"/>
              <w:spacing w:after="0" w:line="157"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line="157" w:lineRule="exact"/>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36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Controlled Affiliates</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80" w:type="dxa"/>
            <w:vAlign w:val="bottom"/>
            <w:gridSpan w:val="2"/>
          </w:tcPr>
          <w:p>
            <w:pPr>
              <w:spacing w:after="0" w:line="147" w:lineRule="exact"/>
              <w:rPr>
                <w:sz w:val="20"/>
                <w:szCs w:val="20"/>
                <w:color w:val="auto"/>
              </w:rPr>
            </w:pPr>
            <w:r>
              <w:rPr>
                <w:rFonts w:ascii="Arial" w:cs="Arial" w:eastAsia="Arial" w:hAnsi="Arial"/>
                <w:sz w:val="14"/>
                <w:szCs w:val="14"/>
                <w:color w:val="auto"/>
              </w:rPr>
              <w:t>AKW Holdings Limited</w:t>
            </w:r>
          </w:p>
        </w:tc>
        <w:tc>
          <w:tcPr>
            <w:tcW w:w="12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40,501,278</w:t>
            </w:r>
          </w:p>
        </w:tc>
        <w:tc>
          <w:tcPr>
            <w:tcW w:w="60" w:type="dxa"/>
            <w:vAlign w:val="bottom"/>
          </w:tcPr>
          <w:p>
            <w:pPr>
              <w:spacing w:after="0"/>
              <w:rPr>
                <w:sz w:val="12"/>
                <w:szCs w:val="12"/>
                <w:color w:val="auto"/>
              </w:rPr>
            </w:pPr>
          </w:p>
        </w:tc>
        <w:tc>
          <w:tcPr>
            <w:tcW w:w="160" w:type="dxa"/>
            <w:vAlign w:val="bottom"/>
            <w:gridSpan w:val="2"/>
          </w:tcPr>
          <w:p>
            <w:pPr>
              <w:ind w:left="80"/>
              <w:spacing w:after="0" w:line="147"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64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580,572</w:t>
            </w:r>
          </w:p>
        </w:tc>
        <w:tc>
          <w:tcPr>
            <w:tcW w:w="20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2,466,795</w:t>
            </w:r>
          </w:p>
        </w:tc>
        <w:tc>
          <w:tcPr>
            <w:tcW w:w="200" w:type="dxa"/>
            <w:vAlign w:val="bottom"/>
          </w:tcPr>
          <w:p>
            <w:pPr>
              <w:spacing w:after="0"/>
              <w:rPr>
                <w:sz w:val="12"/>
                <w:szCs w:val="12"/>
                <w:color w:val="auto"/>
              </w:rPr>
            </w:pPr>
          </w:p>
        </w:tc>
        <w:tc>
          <w:tcPr>
            <w:tcW w:w="10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42,968,073</w:t>
            </w:r>
          </w:p>
        </w:tc>
        <w:tc>
          <w:tcPr>
            <w:tcW w:w="260" w:type="dxa"/>
            <w:vAlign w:val="bottom"/>
            <w:gridSpan w:val="2"/>
          </w:tcPr>
          <w:p>
            <w:pPr>
              <w:ind w:left="16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MidOcean JF Holdings Corp. (JF Acquisition, LLC)</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12,099,647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(3,017,406)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9,082,240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80" w:type="dxa"/>
            <w:vAlign w:val="bottom"/>
            <w:gridSpan w:val="2"/>
          </w:tcPr>
          <w:p>
            <w:pPr>
              <w:spacing w:after="0" w:line="147" w:lineRule="exact"/>
              <w:rPr>
                <w:sz w:val="20"/>
                <w:szCs w:val="20"/>
                <w:color w:val="auto"/>
              </w:rPr>
            </w:pPr>
            <w:r>
              <w:rPr>
                <w:rFonts w:ascii="Arial" w:cs="Arial" w:eastAsia="Arial" w:hAnsi="Arial"/>
                <w:sz w:val="14"/>
                <w:szCs w:val="14"/>
                <w:color w:val="auto"/>
              </w:rPr>
              <w:t>RAM Energy LLC</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78,914,960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2"/>
                <w:szCs w:val="12"/>
                <w:color w:val="auto"/>
              </w:rPr>
            </w:pPr>
          </w:p>
        </w:tc>
        <w:tc>
          <w:tcPr>
            <w:tcW w:w="11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w w:val="99"/>
              </w:rPr>
              <w:t>1,010,000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9,415,040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93,330,000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Superior Digital Displays Holdings, Inc.</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17,220,000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16,707,877</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(16,168,548)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203,031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w w:val="98"/>
              </w:rPr>
              <w:t>(10,457,361)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7,500,000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Non-Controlled Affiliates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Affinion Group Holdings, Inc.</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18,166,922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(1,346,115)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16,820,807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80" w:type="dxa"/>
            <w:vAlign w:val="bottom"/>
            <w:gridSpan w:val="2"/>
          </w:tcPr>
          <w:p>
            <w:pPr>
              <w:spacing w:after="0" w:line="147" w:lineRule="exact"/>
              <w:rPr>
                <w:sz w:val="20"/>
                <w:szCs w:val="20"/>
                <w:color w:val="auto"/>
              </w:rPr>
            </w:pPr>
            <w:r>
              <w:rPr>
                <w:rFonts w:ascii="Arial" w:cs="Arial" w:eastAsia="Arial" w:hAnsi="Arial"/>
                <w:sz w:val="14"/>
                <w:szCs w:val="14"/>
                <w:color w:val="auto"/>
              </w:rPr>
              <w:t>Big Run, Inc.</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397,025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4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(447,844)</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277,918</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(227,099)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ETX Energy, LLC</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34,801,373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2,326,900</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(4,891,461)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32,236,812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80" w:type="dxa"/>
            <w:vAlign w:val="bottom"/>
            <w:gridSpan w:val="2"/>
          </w:tcPr>
          <w:p>
            <w:pPr>
              <w:spacing w:after="0" w:line="147" w:lineRule="exact"/>
              <w:rPr>
                <w:sz w:val="20"/>
                <w:szCs w:val="20"/>
                <w:color w:val="auto"/>
              </w:rPr>
            </w:pPr>
            <w:r>
              <w:rPr>
                <w:rFonts w:ascii="Arial" w:cs="Arial" w:eastAsia="Arial" w:hAnsi="Arial"/>
                <w:sz w:val="14"/>
                <w:szCs w:val="14"/>
                <w:color w:val="auto"/>
              </w:rPr>
              <w:t xml:space="preserve">U.S. Well Services, LLC </w:t>
            </w: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24,713,011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225,253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(11,252,488)</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213,730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(5,910,108)</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4,859,930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6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Total Controlled and Non-Controlled Affiliates</w:t>
            </w:r>
          </w:p>
        </w:tc>
        <w:tc>
          <w:tcPr>
            <w:tcW w:w="1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5"/>
              </w:rPr>
              <w:t>226,814,216</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24,260,030</w:t>
            </w:r>
          </w:p>
        </w:tc>
        <w:tc>
          <w:tcPr>
            <w:tcW w:w="1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(27,868,880)</w:t>
            </w: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w w:val="99"/>
              </w:rPr>
              <w:t>2,007,333</w:t>
            </w:r>
          </w:p>
        </w:tc>
        <w:tc>
          <w:tcPr>
            <w:tcW w:w="200" w:type="dxa"/>
            <w:vAlign w:val="bottom"/>
            <w:gridSpan w:val="2"/>
            <w:shd w:val="clear" w:color="auto" w:fill="CCEEFF"/>
          </w:tcPr>
          <w:p>
            <w:pPr>
              <w:ind w:left="60"/>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w w:val="98"/>
              </w:rPr>
              <w:t>(13,462,698)</w:t>
            </w:r>
          </w:p>
        </w:tc>
        <w:tc>
          <w:tcPr>
            <w:tcW w:w="1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5"/>
              </w:rPr>
              <w:t>201,937,932</w:t>
            </w:r>
          </w:p>
        </w:tc>
        <w:tc>
          <w:tcPr>
            <w:tcW w:w="26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4,632,831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60" w:lineRule="exact"/>
        <w:rPr>
          <w:sz w:val="20"/>
          <w:szCs w:val="20"/>
          <w:color w:val="auto"/>
        </w:rPr>
      </w:pPr>
    </w:p>
    <w:p>
      <w:pPr>
        <w:ind w:left="460" w:hanging="326"/>
        <w:spacing w:after="0"/>
        <w:tabs>
          <w:tab w:leader="none" w:pos="460" w:val="left"/>
        </w:tabs>
        <w:numPr>
          <w:ilvl w:val="0"/>
          <w:numId w:val="91"/>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460" w:hanging="326"/>
        <w:spacing w:after="0" w:line="219" w:lineRule="auto"/>
        <w:tabs>
          <w:tab w:leader="none" w:pos="460" w:val="left"/>
        </w:tabs>
        <w:numPr>
          <w:ilvl w:val="0"/>
          <w:numId w:val="91"/>
        </w:numPr>
        <w:rPr>
          <w:rFonts w:ascii="Arial" w:cs="Arial" w:eastAsia="Arial" w:hAnsi="Arial"/>
          <w:sz w:val="12"/>
          <w:szCs w:val="12"/>
          <w:color w:val="auto"/>
        </w:rPr>
      </w:pPr>
      <w:r>
        <w:rPr>
          <w:rFonts w:ascii="Arial" w:cs="Arial" w:eastAsia="Arial" w:hAnsi="Arial"/>
          <w:sz w:val="14"/>
          <w:szCs w:val="14"/>
          <w:color w:val="auto"/>
        </w:rPr>
        <w:t>Includes PIK.</w:t>
      </w:r>
    </w:p>
    <w:p>
      <w:pPr>
        <w:ind w:left="460" w:hanging="326"/>
        <w:spacing w:after="0"/>
        <w:tabs>
          <w:tab w:leader="none" w:pos="460" w:val="left"/>
        </w:tabs>
        <w:numPr>
          <w:ilvl w:val="0"/>
          <w:numId w:val="91"/>
        </w:numPr>
        <w:rPr>
          <w:rFonts w:ascii="Arial" w:cs="Arial" w:eastAsia="Arial" w:hAnsi="Arial"/>
          <w:sz w:val="12"/>
          <w:szCs w:val="12"/>
          <w:color w:val="auto"/>
        </w:rPr>
      </w:pPr>
      <w:r>
        <w:rPr>
          <w:rFonts w:ascii="Arial" w:cs="Arial" w:eastAsia="Arial" w:hAnsi="Arial"/>
          <w:sz w:val="14"/>
          <w:szCs w:val="14"/>
          <w:color w:val="auto"/>
        </w:rPr>
        <w:t>Ceased to be an affiliate during the three months ended December 31, 2018.</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information sets forth the computation of basic and diluted per share net increase in net assets resulting from operations:</w:t>
      </w: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141"/>
        </w:trPr>
        <w:tc>
          <w:tcPr>
            <w:tcW w:w="692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8"/>
              <w:spacing w:after="0" w:line="141"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5"/>
              <w:spacing w:after="0" w:line="141"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08"/>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6,778,189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12,295,397</w:t>
            </w:r>
          </w:p>
        </w:tc>
        <w:tc>
          <w:tcPr>
            <w:tcW w:w="220" w:type="dxa"/>
            <w:vAlign w:val="bottom"/>
            <w:shd w:val="clear" w:color="auto" w:fill="CCEEFF"/>
          </w:tcPr>
          <w:p>
            <w:pPr>
              <w:spacing w:after="0"/>
              <w:rPr>
                <w:sz w:val="18"/>
                <w:szCs w:val="18"/>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68,908,920</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71,060,836</w:t>
            </w:r>
          </w:p>
        </w:tc>
      </w:tr>
      <w:tr>
        <w:trPr>
          <w:trHeight w:val="214"/>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r>
      <w:tr>
        <w:trPr>
          <w:trHeight w:val="360"/>
        </w:trPr>
        <w:tc>
          <w:tcPr>
            <w:tcW w:w="6920" w:type="dxa"/>
            <w:vAlign w:val="bottom"/>
          </w:tcPr>
          <w:p>
            <w:pPr>
              <w:ind w:left="5280"/>
              <w:spacing w:after="0"/>
              <w:rPr>
                <w:sz w:val="20"/>
                <w:szCs w:val="20"/>
                <w:color w:val="auto"/>
              </w:rPr>
            </w:pPr>
            <w:r>
              <w:rPr>
                <w:rFonts w:ascii="Arial" w:cs="Arial" w:eastAsia="Arial" w:hAnsi="Arial"/>
                <w:sz w:val="18"/>
                <w:szCs w:val="18"/>
                <w:color w:val="auto"/>
              </w:rPr>
              <w:t>F-28</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2240" w:h="15840" w:orient="portrait"/>
          <w:cols w:equalWidth="0" w:num="1">
            <w:col w:w="11060"/>
          </w:cols>
          <w:pgMar w:left="520" w:top="316" w:right="660"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8. CASH AND CASH EQUIVALENTS</w:t>
      </w:r>
    </w:p>
    <w:p>
      <w:pPr>
        <w:spacing w:after="0" w:line="118" w:lineRule="exact"/>
        <w:rPr>
          <w:sz w:val="20"/>
          <w:szCs w:val="20"/>
          <w:color w:val="auto"/>
        </w:rPr>
      </w:pPr>
    </w:p>
    <w:p>
      <w:pPr>
        <w:ind w:left="140" w:right="20" w:firstLine="437"/>
        <w:spacing w:after="0" w:line="285" w:lineRule="auto"/>
        <w:rPr>
          <w:sz w:val="20"/>
          <w:szCs w:val="20"/>
          <w:color w:val="auto"/>
        </w:rPr>
      </w:pPr>
      <w:r>
        <w:rPr>
          <w:rFonts w:ascii="Arial" w:cs="Arial" w:eastAsia="Arial" w:hAnsi="Arial"/>
          <w:sz w:val="16"/>
          <w:szCs w:val="16"/>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2018 and September 30, 2018, cash and cash equivalents consisted of money market funds in the amounts of $24.7 million and $19.5 million at fair value, respectively.</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9. FINANCIAL HIGHLIGHTS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Below are the financial highlights:</w:t>
      </w:r>
    </w:p>
    <w:p>
      <w:pPr>
        <w:spacing w:after="0" w:line="240"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3"/>
              <w:spacing w:after="0" w:line="141"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2"/>
              <w:spacing w:after="0" w:line="141"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Per Share Data:</w:t>
            </w:r>
          </w:p>
        </w:tc>
        <w:tc>
          <w:tcPr>
            <w:tcW w:w="2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9.11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loss </w:t>
            </w:r>
            <w:r>
              <w:rPr>
                <w:rFonts w:ascii="Arial" w:cs="Arial" w:eastAsia="Arial" w:hAnsi="Arial"/>
                <w:sz w:val="15"/>
                <w:szCs w:val="15"/>
                <w:color w:val="auto"/>
              </w:rPr>
              <w:t>(1)</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5"/>
                <w:szCs w:val="15"/>
                <w:color w:val="auto"/>
              </w:rPr>
              <w:t>(1)</w:t>
            </w:r>
          </w:p>
        </w:tc>
        <w:tc>
          <w:tcPr>
            <w:tcW w:w="28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5"/>
                <w:szCs w:val="15"/>
                <w:color w:val="auto"/>
              </w:rPr>
              <w:t>(1), (2)</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Repurchase of common stock </w:t>
            </w:r>
            <w:r>
              <w:rPr>
                <w:rFonts w:ascii="Arial" w:cs="Arial" w:eastAsia="Arial" w:hAnsi="Arial"/>
                <w:sz w:val="15"/>
                <w:szCs w:val="15"/>
                <w:color w:val="auto"/>
              </w:rPr>
              <w:t>(1)</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74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28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7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2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(3)</w:t>
            </w: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gridSpan w:val="2"/>
            <w:vMerge w:val="continue"/>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rPr>
              <w:t>(12.39)%</w:t>
            </w: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68,027,537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71,060,836</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Ratios**/ Supplemental Data:</w:t>
            </w:r>
          </w:p>
        </w:tc>
        <w:tc>
          <w:tcPr>
            <w:tcW w:w="2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40" w:type="dxa"/>
            <w:vAlign w:val="bottom"/>
            <w:gridSpan w:val="2"/>
            <w:vMerge w:val="continue"/>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8"/>
              </w:rPr>
              <w:t xml:space="preserve">Ratio of operating expenses to average net assets </w:t>
            </w:r>
            <w:r>
              <w:rPr>
                <w:rFonts w:ascii="Arial" w:cs="Arial" w:eastAsia="Arial" w:hAnsi="Arial"/>
                <w:sz w:val="15"/>
                <w:szCs w:val="15"/>
                <w:color w:val="auto"/>
                <w:w w:val="98"/>
              </w:rPr>
              <w:t>(4), (5), (6)</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6"/>
              </w:rPr>
              <w:t>Ratio of interest and expenses on debt to average net assets</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total expenses to average net assets </w:t>
            </w:r>
            <w:r>
              <w:rPr>
                <w:rFonts w:ascii="Arial" w:cs="Arial" w:eastAsia="Arial" w:hAnsi="Arial"/>
                <w:sz w:val="15"/>
                <w:szCs w:val="15"/>
                <w:color w:val="auto"/>
              </w:rPr>
              <w:t>(5), (6)</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15"/>
                <w:szCs w:val="15"/>
                <w:color w:val="auto"/>
              </w:rPr>
              <w:t>(6)</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7"/>
              </w:rPr>
              <w:t>615,941,105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646,312,918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40" w:type="dxa"/>
            <w:vAlign w:val="bottom"/>
            <w:gridSpan w:val="2"/>
          </w:tcPr>
          <w:p>
            <w:pPr>
              <w:spacing w:after="0"/>
              <w:rPr>
                <w:sz w:val="20"/>
                <w:szCs w:val="20"/>
                <w:color w:val="auto"/>
              </w:rPr>
            </w:pPr>
            <w:r>
              <w:rPr>
                <w:rFonts w:ascii="Arial" w:cs="Arial" w:eastAsia="Arial" w:hAnsi="Arial"/>
                <w:sz w:val="18"/>
                <w:szCs w:val="18"/>
                <w:color w:val="auto"/>
              </w:rPr>
              <w:t xml:space="preserve">Weighted average debt outstanding </w:t>
            </w:r>
            <w:r>
              <w:rPr>
                <w:rFonts w:ascii="Arial" w:cs="Arial" w:eastAsia="Arial" w:hAnsi="Arial"/>
                <w:sz w:val="15"/>
                <w:szCs w:val="15"/>
                <w:color w:val="auto"/>
              </w:rPr>
              <w:t>(7)</w:t>
            </w:r>
          </w:p>
        </w:tc>
        <w:tc>
          <w:tcPr>
            <w:tcW w:w="28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532,965,659</w:t>
            </w:r>
          </w:p>
        </w:tc>
        <w:tc>
          <w:tcPr>
            <w:tcW w:w="7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541,820,206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debt per share </w:t>
            </w:r>
            <w:r>
              <w:rPr>
                <w:rFonts w:ascii="Arial" w:cs="Arial" w:eastAsia="Arial" w:hAnsi="Arial"/>
                <w:sz w:val="15"/>
                <w:szCs w:val="15"/>
                <w:color w:val="auto"/>
              </w:rPr>
              <w:t>(1), (7)</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7.73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Asset coverage per unit </w:t>
            </w:r>
            <w:r>
              <w:rPr>
                <w:rFonts w:ascii="Arial" w:cs="Arial" w:eastAsia="Arial" w:hAnsi="Arial"/>
                <w:sz w:val="15"/>
                <w:szCs w:val="15"/>
                <w:color w:val="auto"/>
              </w:rPr>
              <w:t>(8)</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2,479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2,955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44.50%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000" w:type="dxa"/>
            <w:vAlign w:val="bottom"/>
            <w:gridSpan w:val="2"/>
          </w:tcPr>
          <w:p>
            <w:pPr>
              <w:jc w:val="right"/>
              <w:ind w:right="2031"/>
              <w:spacing w:after="0"/>
              <w:rPr>
                <w:sz w:val="20"/>
                <w:szCs w:val="20"/>
                <w:color w:val="auto"/>
              </w:rPr>
            </w:pPr>
            <w:r>
              <w:rPr>
                <w:rFonts w:ascii="Arial" w:cs="Arial" w:eastAsia="Arial" w:hAnsi="Arial"/>
                <w:sz w:val="18"/>
                <w:szCs w:val="18"/>
                <w:color w:val="auto"/>
              </w:rPr>
              <w:t>F-29</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060"/>
          </w:cols>
          <w:pgMar w:left="520" w:top="316" w:right="660"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80" w:right="254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243205</wp:posOffset>
            </wp:positionV>
            <wp:extent cx="6965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398" w:lineRule="exact"/>
        <w:rPr>
          <w:sz w:val="20"/>
          <w:szCs w:val="20"/>
          <w:color w:val="auto"/>
        </w:rPr>
      </w:pPr>
    </w:p>
    <w:p>
      <w:pPr>
        <w:ind w:left="140" w:right="7960" w:hanging="6"/>
        <w:spacing w:after="0" w:line="245" w:lineRule="auto"/>
        <w:tabs>
          <w:tab w:leader="none" w:pos="461" w:val="left"/>
        </w:tabs>
        <w:numPr>
          <w:ilvl w:val="0"/>
          <w:numId w:val="92"/>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460" w:hanging="326"/>
        <w:spacing w:after="0" w:line="221" w:lineRule="auto"/>
        <w:tabs>
          <w:tab w:leader="none" w:pos="460" w:val="left"/>
        </w:tabs>
        <w:numPr>
          <w:ilvl w:val="0"/>
          <w:numId w:val="93"/>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460" w:right="120" w:hanging="326"/>
        <w:spacing w:after="0" w:line="219" w:lineRule="auto"/>
        <w:tabs>
          <w:tab w:leader="none" w:pos="460" w:val="left"/>
        </w:tabs>
        <w:numPr>
          <w:ilvl w:val="0"/>
          <w:numId w:val="93"/>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460" w:hanging="326"/>
        <w:spacing w:after="0" w:line="236" w:lineRule="auto"/>
        <w:tabs>
          <w:tab w:leader="none" w:pos="460" w:val="left"/>
        </w:tabs>
        <w:numPr>
          <w:ilvl w:val="0"/>
          <w:numId w:val="93"/>
        </w:numPr>
        <w:rPr>
          <w:rFonts w:ascii="Arial" w:cs="Arial" w:eastAsia="Arial" w:hAnsi="Arial"/>
          <w:sz w:val="11"/>
          <w:szCs w:val="11"/>
          <w:color w:val="auto"/>
        </w:rPr>
      </w:pPr>
      <w:r>
        <w:rPr>
          <w:rFonts w:ascii="Arial" w:cs="Arial" w:eastAsia="Arial" w:hAnsi="Arial"/>
          <w:sz w:val="13"/>
          <w:szCs w:val="13"/>
          <w:color w:val="auto"/>
        </w:rPr>
        <w:t>Based on the change in market price per share during the periods and takes into account distributions, if any, reinvested in accordance with our dividend reinvestment plan.</w:t>
      </w:r>
    </w:p>
    <w:p>
      <w:pPr>
        <w:ind w:left="460" w:hanging="326"/>
        <w:spacing w:after="0" w:line="219" w:lineRule="auto"/>
        <w:tabs>
          <w:tab w:leader="none" w:pos="460" w:val="left"/>
        </w:tabs>
        <w:numPr>
          <w:ilvl w:val="0"/>
          <w:numId w:val="93"/>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460" w:right="20" w:hanging="326"/>
        <w:spacing w:after="0" w:line="219" w:lineRule="auto"/>
        <w:tabs>
          <w:tab w:leader="none" w:pos="460" w:val="left"/>
        </w:tabs>
        <w:numPr>
          <w:ilvl w:val="0"/>
          <w:numId w:val="93"/>
        </w:numPr>
        <w:rPr>
          <w:rFonts w:ascii="Arial" w:cs="Arial" w:eastAsia="Arial" w:hAnsi="Arial"/>
          <w:sz w:val="12"/>
          <w:szCs w:val="12"/>
          <w:color w:val="auto"/>
        </w:rPr>
      </w:pPr>
      <w:r>
        <w:rPr>
          <w:rFonts w:ascii="Arial" w:cs="Arial" w:eastAsia="Arial" w:hAnsi="Arial"/>
          <w:sz w:val="14"/>
          <w:szCs w:val="14"/>
          <w:color w:val="auto"/>
        </w:rPr>
        <w:t>For the three months ended December 31, 2017, the ratio of operating expenses to average net assets before the waiver of certain Management Fees to average net assets was 6.20% and the ratio of total expenses before the waiver of certain Management Fees to average net assets was 9.81%.</w:t>
      </w:r>
    </w:p>
    <w:p>
      <w:pPr>
        <w:ind w:left="460" w:hanging="326"/>
        <w:spacing w:after="0" w:line="219" w:lineRule="auto"/>
        <w:tabs>
          <w:tab w:leader="none" w:pos="460" w:val="left"/>
        </w:tabs>
        <w:numPr>
          <w:ilvl w:val="0"/>
          <w:numId w:val="93"/>
        </w:numPr>
        <w:rPr>
          <w:rFonts w:ascii="Arial" w:cs="Arial" w:eastAsia="Arial" w:hAnsi="Arial"/>
          <w:sz w:val="12"/>
          <w:szCs w:val="12"/>
          <w:color w:val="auto"/>
        </w:rPr>
      </w:pPr>
      <w:r>
        <w:rPr>
          <w:rFonts w:ascii="Arial" w:cs="Arial" w:eastAsia="Arial" w:hAnsi="Arial"/>
          <w:sz w:val="14"/>
          <w:szCs w:val="14"/>
          <w:color w:val="auto"/>
        </w:rPr>
        <w:t>Does not annualize non-recurring provision for taxes.</w:t>
      </w:r>
    </w:p>
    <w:p>
      <w:pPr>
        <w:ind w:left="460" w:hanging="326"/>
        <w:spacing w:after="0" w:line="219" w:lineRule="auto"/>
        <w:tabs>
          <w:tab w:leader="none" w:pos="460" w:val="left"/>
        </w:tabs>
        <w:numPr>
          <w:ilvl w:val="0"/>
          <w:numId w:val="93"/>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460" w:right="200" w:hanging="326"/>
        <w:spacing w:after="0" w:line="252" w:lineRule="auto"/>
        <w:tabs>
          <w:tab w:leader="none" w:pos="460" w:val="left"/>
        </w:tabs>
        <w:numPr>
          <w:ilvl w:val="0"/>
          <w:numId w:val="93"/>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exemptive relief received from the SEC in June 2011.</w:t>
      </w:r>
    </w:p>
    <w:p>
      <w:pPr>
        <w:spacing w:after="0" w:line="2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10. DEBT</w:t>
      </w:r>
    </w:p>
    <w:p>
      <w:pPr>
        <w:spacing w:after="0" w:line="118" w:lineRule="exact"/>
        <w:rPr>
          <w:sz w:val="20"/>
          <w:szCs w:val="20"/>
          <w:color w:val="auto"/>
        </w:rPr>
      </w:pPr>
    </w:p>
    <w:p>
      <w:pPr>
        <w:ind w:left="140" w:right="120" w:firstLine="437"/>
        <w:spacing w:after="0" w:line="254" w:lineRule="auto"/>
        <w:rPr>
          <w:sz w:val="20"/>
          <w:szCs w:val="20"/>
          <w:color w:val="auto"/>
        </w:rPr>
      </w:pPr>
      <w:r>
        <w:rPr>
          <w:rFonts w:ascii="Arial" w:cs="Arial" w:eastAsia="Arial" w:hAnsi="Arial"/>
          <w:sz w:val="18"/>
          <w:szCs w:val="18"/>
          <w:color w:val="auto"/>
        </w:rPr>
        <w:t>The annualized weighted average cost of debt for the three months ended December 31, 2018 and 2017, inclusive of the fee on the undrawn commitment and amendment costs on the Credit Facility, amortized upfront fees on SBA debentures and debt issuance costs, was 4.71% and 4.32%, respectively. As of December 31,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89" w:lineRule="exact"/>
        <w:rPr>
          <w:sz w:val="20"/>
          <w:szCs w:val="20"/>
          <w:color w:val="auto"/>
        </w:rPr>
      </w:pPr>
    </w:p>
    <w:p>
      <w:pPr>
        <w:ind w:left="140" w:right="120" w:firstLine="437"/>
        <w:spacing w:after="0" w:line="272" w:lineRule="auto"/>
        <w:rPr>
          <w:sz w:val="20"/>
          <w:szCs w:val="20"/>
          <w:color w:val="auto"/>
        </w:rPr>
      </w:pPr>
      <w:r>
        <w:rPr>
          <w:rFonts w:ascii="Arial" w:cs="Arial" w:eastAsia="Arial" w:hAnsi="Arial"/>
          <w:sz w:val="17"/>
          <w:szCs w:val="17"/>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requirements applicable to us for senior securities have been reduced from 200% to 150%, subject to compliance with certain disclosure requirements. As of December 31, 2018 and September 30, 2018, our asset coverage ratio, as computed in accordance with the 1940 Act, was 248% and 291%, respectively.</w:t>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December 31, 2018, we had a $445 million multi-currency Credit Facility with certain lenders and SunTrust Bank, acting as administrative</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agent, and JPMorgan Chase Bank, N.A., acting as syndication agent for the lenders. As of December 31, 2018 and September 30, 2018, we had</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$174.1 million and $80.5 million (including a $2.0 million temporary draw), respectively, in outstanding borrowings under the Credit Facility. The</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Credit Facility had a weighted average interest rate of 4.39% and 3.79%, respectively, exclusive of the fee on undrawn commitments of 0.375%, as of</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December 31, 2018 and September 30, 2018. The Credit Facility is a five-year revolving facility with a stated maturity date of May 25, 2022, a one-year</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term-out period following its fourth year and pricing set at 225 basis points over LIBOR. The Credit Facility is secured by substantially all of our assets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excluding assets held by our SBIC Funds.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F-30</w:t>
      </w:r>
    </w:p>
    <w:p>
      <w:pPr>
        <w:sectPr>
          <w:pgSz w:w="12240" w:h="15840" w:orient="portrait"/>
          <w:cols w:equalWidth="0" w:num="1">
            <w:col w:w="11020"/>
          </w:cols>
          <w:pgMar w:left="520" w:top="316" w:right="700"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56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4" w:lineRule="exact"/>
        <w:rPr>
          <w:sz w:val="20"/>
          <w:szCs w:val="20"/>
          <w:color w:val="auto"/>
        </w:rPr>
      </w:pPr>
    </w:p>
    <w:p>
      <w:pPr>
        <w:ind w:left="140" w:firstLine="437"/>
        <w:spacing w:after="0" w:line="288" w:lineRule="auto"/>
        <w:rPr>
          <w:sz w:val="20"/>
          <w:szCs w:val="20"/>
          <w:color w:val="auto"/>
        </w:rPr>
      </w:pPr>
      <w:r>
        <w:rPr>
          <w:rFonts w:ascii="Arial" w:cs="Arial" w:eastAsia="Arial" w:hAnsi="Arial"/>
          <w:sz w:val="16"/>
          <w:szCs w:val="16"/>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zero SBA debentures outstanding as of December 31, 2018. We have funded SBIC II with $75.0 million of equity capital and it had SBA debentures outstanding of $150 million as of December 31,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67" w:lineRule="exact"/>
        <w:rPr>
          <w:sz w:val="20"/>
          <w:szCs w:val="20"/>
          <w:color w:val="auto"/>
        </w:rPr>
      </w:pPr>
    </w:p>
    <w:p>
      <w:pPr>
        <w:ind w:left="140" w:right="60" w:firstLine="437"/>
        <w:spacing w:after="0" w:line="255" w:lineRule="auto"/>
        <w:rPr>
          <w:sz w:val="20"/>
          <w:szCs w:val="20"/>
          <w:color w:val="auto"/>
        </w:rPr>
      </w:pPr>
      <w:r>
        <w:rPr>
          <w:rFonts w:ascii="Arial" w:cs="Arial" w:eastAsia="Arial" w:hAnsi="Arial"/>
          <w:sz w:val="18"/>
          <w:szCs w:val="18"/>
          <w:color w:val="auto"/>
        </w:rPr>
        <w:t>As of December 31, 2018 and September 30, 2018, our SBIC Funds had $150.0 million and $300.0 million in debt commitments, respectively, of which $150.0 million and $180.0 million was drawn, respectively. As of December 31, 2018 and September 30, 2018, the unamortized fees on the SBA debentures was $4.2 million and $4.6 million, respectively. The SBA debentures’ upfront fees of 3.43% consist of a commitment fee of 1.00% and an issuance discount of 2.43%, which are being amortized.</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fixed-rate SBA debentures were as follows:</w:t>
      </w:r>
    </w:p>
    <w:p>
      <w:pPr>
        <w:spacing w:after="0" w:line="22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58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Fixed All-in</w:t>
            </w:r>
          </w:p>
        </w:tc>
        <w:tc>
          <w:tcPr>
            <w:tcW w:w="3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As of December 31, 2018</w:t>
            </w:r>
          </w:p>
        </w:tc>
        <w:tc>
          <w:tcPr>
            <w:tcW w:w="0" w:type="dxa"/>
            <w:vAlign w:val="bottom"/>
          </w:tcPr>
          <w:p>
            <w:pPr>
              <w:spacing w:after="0"/>
              <w:rPr>
                <w:sz w:val="1"/>
                <w:szCs w:val="1"/>
                <w:color w:val="auto"/>
              </w:rPr>
            </w:pPr>
          </w:p>
        </w:tc>
      </w:tr>
      <w:tr>
        <w:trPr>
          <w:trHeight w:val="156"/>
        </w:trPr>
        <w:tc>
          <w:tcPr>
            <w:tcW w:w="3860" w:type="dxa"/>
            <w:vAlign w:val="bottom"/>
            <w:gridSpan w:val="3"/>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2020" w:type="dxa"/>
            <w:vAlign w:val="bottom"/>
            <w:gridSpan w:val="3"/>
          </w:tcPr>
          <w:p>
            <w:pPr>
              <w:jc w:val="center"/>
              <w:ind w:left="36"/>
              <w:spacing w:after="0" w:line="157" w:lineRule="exact"/>
              <w:rPr>
                <w:sz w:val="20"/>
                <w:szCs w:val="20"/>
                <w:color w:val="auto"/>
              </w:rPr>
            </w:pPr>
            <w:r>
              <w:rPr>
                <w:rFonts w:ascii="Arial" w:cs="Arial" w:eastAsia="Arial" w:hAnsi="Arial"/>
                <w:sz w:val="14"/>
                <w:szCs w:val="14"/>
                <w:b w:val="1"/>
                <w:bCs w:val="1"/>
                <w:color w:val="auto"/>
                <w:w w:val="92"/>
              </w:rPr>
              <w:t xml:space="preserve">Coupon Rate </w:t>
            </w:r>
            <w:r>
              <w:rPr>
                <w:rFonts w:ascii="Arial" w:cs="Arial" w:eastAsia="Arial" w:hAnsi="Arial"/>
                <w:sz w:val="12"/>
                <w:szCs w:val="12"/>
                <w:b w:val="1"/>
                <w:bCs w:val="1"/>
                <w:color w:val="auto"/>
                <w:w w:val="92"/>
              </w:rPr>
              <w:t>(1)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23, 2016</w:t>
            </w:r>
          </w:p>
        </w:tc>
        <w:tc>
          <w:tcPr>
            <w:tcW w:w="14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March 1, 2026</w:t>
            </w:r>
          </w:p>
        </w:tc>
        <w:tc>
          <w:tcPr>
            <w:tcW w:w="5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22,500,000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September 21, 2016</w:t>
            </w:r>
          </w:p>
        </w:tc>
        <w:tc>
          <w:tcPr>
            <w:tcW w:w="1400" w:type="dxa"/>
            <w:vAlign w:val="bottom"/>
          </w:tcPr>
          <w:p>
            <w:pPr>
              <w:ind w:left="40"/>
              <w:spacing w:after="0"/>
              <w:rPr>
                <w:sz w:val="20"/>
                <w:szCs w:val="20"/>
                <w:color w:val="auto"/>
              </w:rPr>
            </w:pPr>
            <w:r>
              <w:rPr>
                <w:rFonts w:ascii="Arial" w:cs="Arial" w:eastAsia="Arial" w:hAnsi="Arial"/>
                <w:sz w:val="18"/>
                <w:szCs w:val="18"/>
                <w:color w:val="auto"/>
                <w:w w:val="87"/>
              </w:rPr>
              <w:t>September 1, 2026</w:t>
            </w: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w w:val="85"/>
              </w:rPr>
              <w:t>2.41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September 1, 2027</w:t>
            </w: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85"/>
              </w:rPr>
              <w:t>2.87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March 21, 2018</w:t>
            </w:r>
          </w:p>
        </w:tc>
        <w:tc>
          <w:tcPr>
            <w:tcW w:w="1400" w:type="dxa"/>
            <w:vAlign w:val="bottom"/>
          </w:tcPr>
          <w:p>
            <w:pPr>
              <w:ind w:left="40"/>
              <w:spacing w:after="0"/>
              <w:rPr>
                <w:sz w:val="20"/>
                <w:szCs w:val="20"/>
                <w:color w:val="auto"/>
              </w:rPr>
            </w:pPr>
            <w:r>
              <w:rPr>
                <w:rFonts w:ascii="Arial" w:cs="Arial" w:eastAsia="Arial" w:hAnsi="Arial"/>
                <w:sz w:val="18"/>
                <w:szCs w:val="18"/>
                <w:color w:val="auto"/>
              </w:rPr>
              <w:t>March 1, 2028</w:t>
            </w:r>
          </w:p>
        </w:tc>
        <w:tc>
          <w:tcPr>
            <w:tcW w:w="580" w:type="dxa"/>
            <w:vAlign w:val="bottom"/>
          </w:tcPr>
          <w:p>
            <w:pPr>
              <w:spacing w:after="0"/>
              <w:rPr>
                <w:sz w:val="19"/>
                <w:szCs w:val="19"/>
                <w:color w:val="auto"/>
              </w:rPr>
            </w:pP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5"/>
              </w:rPr>
              <w:t>3.53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Rate / Total</w:t>
            </w: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3.11%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580" w:type="dxa"/>
            <w:vAlign w:val="bottom"/>
          </w:tcPr>
          <w:p>
            <w:pPr>
              <w:spacing w:after="0"/>
              <w:rPr>
                <w:sz w:val="19"/>
                <w:szCs w:val="19"/>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Fixed All-in</w:t>
            </w:r>
          </w:p>
        </w:tc>
        <w:tc>
          <w:tcPr>
            <w:tcW w:w="1880" w:type="dxa"/>
            <w:vAlign w:val="bottom"/>
            <w:gridSpan w:val="4"/>
          </w:tcPr>
          <w:p>
            <w:pPr>
              <w:jc w:val="center"/>
              <w:ind w:left="140"/>
              <w:spacing w:after="0"/>
              <w:rPr>
                <w:sz w:val="20"/>
                <w:szCs w:val="20"/>
                <w:color w:val="auto"/>
              </w:rPr>
            </w:pPr>
            <w:r>
              <w:rPr>
                <w:rFonts w:ascii="Arial" w:cs="Arial" w:eastAsia="Arial" w:hAnsi="Arial"/>
                <w:sz w:val="14"/>
                <w:szCs w:val="14"/>
                <w:b w:val="1"/>
                <w:bCs w:val="1"/>
                <w:color w:val="auto"/>
                <w:w w:val="90"/>
              </w:rPr>
              <w:t>As of September 30, 2018</w:t>
            </w:r>
          </w:p>
        </w:tc>
        <w:tc>
          <w:tcPr>
            <w:tcW w:w="0" w:type="dxa"/>
            <w:vAlign w:val="bottom"/>
          </w:tcPr>
          <w:p>
            <w:pPr>
              <w:spacing w:after="0"/>
              <w:rPr>
                <w:sz w:val="1"/>
                <w:szCs w:val="1"/>
                <w:color w:val="auto"/>
              </w:rPr>
            </w:pPr>
          </w:p>
        </w:tc>
      </w:tr>
      <w:tr>
        <w:trPr>
          <w:trHeight w:val="156"/>
        </w:trPr>
        <w:tc>
          <w:tcPr>
            <w:tcW w:w="3860" w:type="dxa"/>
            <w:vAlign w:val="bottom"/>
            <w:gridSpan w:val="3"/>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2020" w:type="dxa"/>
            <w:vAlign w:val="bottom"/>
            <w:gridSpan w:val="3"/>
          </w:tcPr>
          <w:p>
            <w:pPr>
              <w:jc w:val="center"/>
              <w:ind w:left="36"/>
              <w:spacing w:after="0" w:line="157" w:lineRule="exact"/>
              <w:rPr>
                <w:sz w:val="20"/>
                <w:szCs w:val="20"/>
                <w:color w:val="auto"/>
              </w:rPr>
            </w:pPr>
            <w:r>
              <w:rPr>
                <w:rFonts w:ascii="Arial" w:cs="Arial" w:eastAsia="Arial" w:hAnsi="Arial"/>
                <w:sz w:val="14"/>
                <w:szCs w:val="14"/>
                <w:b w:val="1"/>
                <w:bCs w:val="1"/>
                <w:color w:val="auto"/>
                <w:w w:val="92"/>
              </w:rPr>
              <w:t xml:space="preserve">Coupon Rate </w:t>
            </w:r>
            <w:r>
              <w:rPr>
                <w:rFonts w:ascii="Arial" w:cs="Arial" w:eastAsia="Arial" w:hAnsi="Arial"/>
                <w:sz w:val="12"/>
                <w:szCs w:val="12"/>
                <w:b w:val="1"/>
                <w:bCs w:val="1"/>
                <w:color w:val="auto"/>
                <w:w w:val="92"/>
              </w:rPr>
              <w:t>(1)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21, 2011</w:t>
            </w:r>
          </w:p>
        </w:tc>
        <w:tc>
          <w:tcPr>
            <w:tcW w:w="14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87"/>
              </w:rPr>
              <w:t>September 1, 2021</w:t>
            </w:r>
          </w:p>
        </w:tc>
        <w:tc>
          <w:tcPr>
            <w:tcW w:w="5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30,000,000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1400" w:type="dxa"/>
            <w:vAlign w:val="bottom"/>
          </w:tcPr>
          <w:p>
            <w:pPr>
              <w:ind w:left="40"/>
              <w:spacing w:after="0"/>
              <w:rPr>
                <w:sz w:val="20"/>
                <w:szCs w:val="20"/>
                <w:color w:val="auto"/>
              </w:rPr>
            </w:pPr>
            <w:r>
              <w:rPr>
                <w:rFonts w:ascii="Arial" w:cs="Arial" w:eastAsia="Arial" w:hAnsi="Arial"/>
                <w:sz w:val="18"/>
                <w:szCs w:val="18"/>
                <w:color w:val="auto"/>
              </w:rPr>
              <w:t>March 1, 2026</w:t>
            </w: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w w:val="85"/>
              </w:rPr>
              <w:t>2.86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September 1, 2026</w:t>
            </w: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85"/>
              </w:rPr>
              <w:t>2.41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September 20, 2017</w:t>
            </w:r>
          </w:p>
        </w:tc>
        <w:tc>
          <w:tcPr>
            <w:tcW w:w="1400" w:type="dxa"/>
            <w:vAlign w:val="bottom"/>
          </w:tcPr>
          <w:p>
            <w:pPr>
              <w:ind w:left="40"/>
              <w:spacing w:after="0"/>
              <w:rPr>
                <w:sz w:val="20"/>
                <w:szCs w:val="20"/>
                <w:color w:val="auto"/>
              </w:rPr>
            </w:pPr>
            <w:r>
              <w:rPr>
                <w:rFonts w:ascii="Arial" w:cs="Arial" w:eastAsia="Arial" w:hAnsi="Arial"/>
                <w:sz w:val="18"/>
                <w:szCs w:val="18"/>
                <w:color w:val="auto"/>
                <w:w w:val="87"/>
              </w:rPr>
              <w:t>September 1, 2027</w:t>
            </w: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w w:val="85"/>
              </w:rPr>
              <w:t>2.87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2018</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 2028</w:t>
            </w:r>
          </w:p>
        </w:tc>
        <w:tc>
          <w:tcPr>
            <w:tcW w:w="5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5"/>
              </w:rPr>
              <w:t>3.53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6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62" w:lineRule="exact"/>
        <w:rPr>
          <w:sz w:val="20"/>
          <w:szCs w:val="20"/>
          <w:color w:val="auto"/>
        </w:rPr>
      </w:pPr>
    </w:p>
    <w:p>
      <w:pPr>
        <w:ind w:left="460" w:hanging="326"/>
        <w:spacing w:after="0"/>
        <w:tabs>
          <w:tab w:leader="none" w:pos="460" w:val="left"/>
        </w:tabs>
        <w:numPr>
          <w:ilvl w:val="0"/>
          <w:numId w:val="94"/>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5" w:lineRule="exact"/>
        <w:rPr>
          <w:sz w:val="20"/>
          <w:szCs w:val="20"/>
          <w:color w:val="auto"/>
        </w:rPr>
      </w:pPr>
    </w:p>
    <w:p>
      <w:pPr>
        <w:ind w:left="140" w:right="60" w:firstLine="437"/>
        <w:spacing w:after="0" w:line="290"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2018, our SBIC Funds were in compliance with their regulatory requirements.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F-31</w:t>
      </w:r>
    </w:p>
    <w:p>
      <w:pPr>
        <w:sectPr>
          <w:pgSz w:w="12240" w:h="15840" w:orient="portrait"/>
          <w:cols w:equalWidth="0" w:num="1">
            <w:col w:w="11040"/>
          </w:cols>
          <w:pgMar w:left="520" w:top="317" w:right="680"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2019 Notes</w:t>
      </w:r>
    </w:p>
    <w:p>
      <w:pPr>
        <w:spacing w:after="0" w:line="114" w:lineRule="exact"/>
        <w:rPr>
          <w:sz w:val="20"/>
          <w:szCs w:val="20"/>
          <w:color w:val="auto"/>
        </w:rPr>
      </w:pPr>
    </w:p>
    <w:p>
      <w:pPr>
        <w:ind w:left="140" w:right="60" w:firstLine="437"/>
        <w:spacing w:after="0" w:line="272" w:lineRule="auto"/>
        <w:rPr>
          <w:sz w:val="20"/>
          <w:szCs w:val="20"/>
          <w:color w:val="auto"/>
        </w:rPr>
      </w:pPr>
      <w:r>
        <w:rPr>
          <w:rFonts w:ascii="Arial" w:cs="Arial" w:eastAsia="Arial" w:hAnsi="Arial"/>
          <w:sz w:val="17"/>
          <w:szCs w:val="17"/>
          <w:color w:val="auto"/>
        </w:rPr>
        <w:t>As of December 31, 2018 and September 30, 2018,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November 13, 2018, our board of directors authorized the Company to redeem $250.0 million outstanding aggregate principal amount of its</w:t>
      </w:r>
    </w:p>
    <w:p>
      <w:pPr>
        <w:spacing w:after="0" w:line="43" w:lineRule="exact"/>
        <w:rPr>
          <w:sz w:val="20"/>
          <w:szCs w:val="20"/>
          <w:color w:val="auto"/>
        </w:rPr>
      </w:pPr>
    </w:p>
    <w:p>
      <w:pPr>
        <w:ind w:left="140" w:right="440"/>
        <w:spacing w:after="0" w:line="256" w:lineRule="auto"/>
        <w:rPr>
          <w:sz w:val="20"/>
          <w:szCs w:val="20"/>
          <w:color w:val="auto"/>
        </w:rPr>
      </w:pPr>
      <w:r>
        <w:rPr>
          <w:rFonts w:ascii="Arial" w:cs="Arial" w:eastAsia="Arial" w:hAnsi="Arial"/>
          <w:sz w:val="18"/>
          <w:szCs w:val="18"/>
          <w:color w:val="auto"/>
        </w:rPr>
        <w:t>2019 Notes. Upon the delivery of a notice of redemption, the 2019 Notes will be prepaid at 100% of the principal amount, plus accrued and unpaid interest through the prepayment date, as well as a make-whole premium.</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11. COMMITMENTS AND CONTINGENCIES</w:t>
      </w:r>
    </w:p>
    <w:p>
      <w:pPr>
        <w:spacing w:after="0" w:line="118" w:lineRule="exact"/>
        <w:rPr>
          <w:sz w:val="20"/>
          <w:szCs w:val="20"/>
          <w:color w:val="auto"/>
        </w:rPr>
      </w:pPr>
    </w:p>
    <w:p>
      <w:pPr>
        <w:ind w:left="140" w:right="100" w:firstLine="437"/>
        <w:spacing w:after="0" w:line="290"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December 31, 2018 and September 30, 2018, we had $41.0 million and $60.6 million, respectively, in commitments to fund investments. For the same periods, there were no letters of credit issued.</w:t>
      </w: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12. UNCONSOLIDATED SIGNIFICANT SUBSIDIARIES</w:t>
      </w:r>
    </w:p>
    <w:p>
      <w:pPr>
        <w:spacing w:after="0" w:line="118" w:lineRule="exact"/>
        <w:rPr>
          <w:sz w:val="20"/>
          <w:szCs w:val="20"/>
          <w:color w:val="auto"/>
        </w:rPr>
      </w:pPr>
    </w:p>
    <w:p>
      <w:pPr>
        <w:ind w:left="140" w:right="360" w:firstLine="437"/>
        <w:spacing w:after="0" w:line="284" w:lineRule="auto"/>
        <w:rPr>
          <w:sz w:val="20"/>
          <w:szCs w:val="20"/>
          <w:color w:val="auto"/>
        </w:rPr>
      </w:pPr>
      <w:r>
        <w:rPr>
          <w:rFonts w:ascii="Arial" w:cs="Arial" w:eastAsia="Arial" w:hAnsi="Arial"/>
          <w:sz w:val="16"/>
          <w:szCs w:val="16"/>
          <w:color w:val="auto"/>
        </w:rPr>
        <w:t>We must determine which, if any, of our unconsolidated controlled portfolio companies is a “significant subsidiary” within the meaning of Regulation S-X. Superior Digital Displays, LLC became a controlled affiliated investment as of December 31, 2013. We have determined that, as of December 31, 2018, Superior Digital Displays, LLC triggered at least one of the significance tests by 20%. As a result and in accordance with</w:t>
      </w:r>
    </w:p>
    <w:p>
      <w:pPr>
        <w:spacing w:after="0" w:line="2" w:lineRule="exact"/>
        <w:rPr>
          <w:sz w:val="20"/>
          <w:szCs w:val="20"/>
          <w:color w:val="auto"/>
        </w:rPr>
      </w:pPr>
    </w:p>
    <w:p>
      <w:pPr>
        <w:ind w:left="140" w:right="40"/>
        <w:spacing w:after="0" w:line="256" w:lineRule="auto"/>
        <w:rPr>
          <w:sz w:val="20"/>
          <w:szCs w:val="20"/>
          <w:color w:val="auto"/>
        </w:rPr>
      </w:pPr>
      <w:r>
        <w:rPr>
          <w:rFonts w:ascii="Arial" w:cs="Arial" w:eastAsia="Arial" w:hAnsi="Arial"/>
          <w:sz w:val="18"/>
          <w:szCs w:val="18"/>
          <w:color w:val="auto"/>
        </w:rPr>
        <w:t>Rule 4-08(g) of Regulation S-K, presented below is summarized unaudited financial information for Superior Digital Displays, LLC as of December 31, 2018 and September 30, 2018 as well as for the three months ended December 31, 2018 and 2017.</w:t>
      </w: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71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December 31, 2018 </w:t>
            </w:r>
            <w:r>
              <w:rPr>
                <w:rFonts w:ascii="Arial" w:cs="Arial" w:eastAsia="Arial" w:hAnsi="Arial"/>
                <w:sz w:val="12"/>
                <w:szCs w:val="12"/>
                <w:b w:val="1"/>
                <w:bCs w:val="1"/>
                <w:color w:val="auto"/>
              </w:rPr>
              <w:t>(2)</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2018</w:t>
            </w:r>
          </w:p>
        </w:tc>
        <w:tc>
          <w:tcPr>
            <w:tcW w:w="0" w:type="dxa"/>
            <w:vAlign w:val="bottom"/>
          </w:tcPr>
          <w:p>
            <w:pPr>
              <w:spacing w:after="0"/>
              <w:rPr>
                <w:sz w:val="1"/>
                <w:szCs w:val="1"/>
                <w:color w:val="auto"/>
              </w:rPr>
            </w:pPr>
          </w:p>
        </w:tc>
      </w:tr>
      <w:tr>
        <w:trPr>
          <w:trHeight w:val="201"/>
        </w:trPr>
        <w:tc>
          <w:tcPr>
            <w:tcW w:w="10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5"/>
              </w:rPr>
              <w:t>Current assets</w:t>
            </w:r>
          </w:p>
        </w:tc>
        <w:tc>
          <w:tcPr>
            <w:tcW w:w="616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739.5</w:t>
            </w:r>
          </w:p>
        </w:tc>
        <w:tc>
          <w:tcPr>
            <w:tcW w:w="1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1,033.7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8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5,923.5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8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7,225.0</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23,065.9</w:t>
            </w:r>
          </w:p>
        </w:tc>
        <w:tc>
          <w:tcPr>
            <w:tcW w:w="0" w:type="dxa"/>
            <w:vAlign w:val="bottom"/>
          </w:tcPr>
          <w:p>
            <w:pPr>
              <w:spacing w:after="0"/>
              <w:rPr>
                <w:sz w:val="1"/>
                <w:szCs w:val="1"/>
                <w:color w:val="auto"/>
              </w:rPr>
            </w:pPr>
          </w:p>
        </w:tc>
      </w:tr>
      <w:tr>
        <w:trPr>
          <w:trHeight w:val="241"/>
        </w:trPr>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xml:space="preserve">Income Statement </w:t>
            </w:r>
            <w:r>
              <w:rPr>
                <w:rFonts w:ascii="Arial" w:cs="Arial" w:eastAsia="Arial" w:hAnsi="Arial"/>
                <w:sz w:val="12"/>
                <w:szCs w:val="12"/>
                <w:b w:val="1"/>
                <w:bCs w:val="1"/>
                <w:color w:val="auto"/>
                <w:w w:val="90"/>
              </w:rPr>
              <w:t>(1)</w:t>
            </w:r>
          </w:p>
        </w:tc>
        <w:tc>
          <w:tcPr>
            <w:tcW w:w="590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34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7"/>
        </w:trPr>
        <w:tc>
          <w:tcPr>
            <w:tcW w:w="1280" w:type="dxa"/>
            <w:vAlign w:val="bottom"/>
            <w:tcBorders>
              <w:bottom w:val="single" w:sz="8" w:color="auto"/>
            </w:tcBorders>
            <w:gridSpan w:val="2"/>
            <w:vMerge w:val="continue"/>
          </w:tcPr>
          <w:p>
            <w:pPr>
              <w:spacing w:after="0"/>
              <w:rPr>
                <w:sz w:val="12"/>
                <w:szCs w:val="12"/>
                <w:color w:val="auto"/>
              </w:rPr>
            </w:pPr>
          </w:p>
        </w:tc>
        <w:tc>
          <w:tcPr>
            <w:tcW w:w="5900" w:type="dxa"/>
            <w:vAlign w:val="bottom"/>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55"/>
              <w:spacing w:after="0" w:line="127"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(2)</w:t>
            </w:r>
          </w:p>
        </w:tc>
        <w:tc>
          <w:tcPr>
            <w:tcW w:w="1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73"/>
              <w:spacing w:after="0" w:line="127" w:lineRule="exact"/>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180" w:type="dxa"/>
            <w:vAlign w:val="bottom"/>
            <w:tcBorders>
              <w:top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367.7</w:t>
            </w:r>
          </w:p>
        </w:tc>
        <w:tc>
          <w:tcPr>
            <w:tcW w:w="1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413.1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8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2,255.3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(1,887.6)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85090</wp:posOffset>
            </wp:positionV>
            <wp:extent cx="6965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47"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All amounts are in thousands.</w:t>
      </w:r>
    </w:p>
    <w:p>
      <w:pPr>
        <w:ind w:left="140"/>
        <w:spacing w:after="0"/>
        <w:tabs>
          <w:tab w:leader="none" w:pos="44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4"/>
          <w:szCs w:val="14"/>
          <w:color w:val="auto"/>
        </w:rPr>
        <w:t>Unaudited.</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2240" w:h="15840" w:orient="portrait"/>
          <w:cols w:equalWidth="0" w:num="1">
            <w:col w:w="11060"/>
          </w:cols>
          <w:pgMar w:left="520" w:top="316" w:right="660"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54"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13. STOCK REPURCHASE PROGRAM</w:t>
      </w:r>
    </w:p>
    <w:p>
      <w:pPr>
        <w:spacing w:after="0" w:line="118" w:lineRule="exact"/>
        <w:rPr>
          <w:sz w:val="20"/>
          <w:szCs w:val="20"/>
          <w:color w:val="auto"/>
        </w:rPr>
      </w:pPr>
    </w:p>
    <w:p>
      <w:pPr>
        <w:ind w:left="140" w:right="20" w:firstLine="437"/>
        <w:spacing w:after="0" w:line="290" w:lineRule="auto"/>
        <w:rPr>
          <w:sz w:val="20"/>
          <w:szCs w:val="20"/>
          <w:color w:val="auto"/>
        </w:rPr>
      </w:pPr>
      <w:r>
        <w:rPr>
          <w:rFonts w:ascii="Arial" w:cs="Arial" w:eastAsia="Arial" w:hAnsi="Arial"/>
          <w:sz w:val="16"/>
          <w:szCs w:val="16"/>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months ended December 31, 2018 and 2017 we repurchased 1.0 million and zero shares of common stock in open market transactions for an aggregate cost (including transaction costs) of $7.5 million and zero, respectively.</w:t>
      </w: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14. SUBSEQUENT EVENTS</w:t>
      </w:r>
    </w:p>
    <w:p>
      <w:pPr>
        <w:spacing w:after="0" w:line="118" w:lineRule="exact"/>
        <w:rPr>
          <w:sz w:val="20"/>
          <w:szCs w:val="20"/>
          <w:color w:val="auto"/>
        </w:rPr>
      </w:pPr>
    </w:p>
    <w:p>
      <w:pPr>
        <w:ind w:left="140" w:firstLine="437"/>
        <w:spacing w:after="0" w:line="293" w:lineRule="auto"/>
        <w:rPr>
          <w:sz w:val="20"/>
          <w:szCs w:val="20"/>
          <w:color w:val="auto"/>
        </w:rPr>
      </w:pPr>
      <w:r>
        <w:rPr>
          <w:rFonts w:ascii="Arial" w:cs="Arial" w:eastAsia="Arial" w:hAnsi="Arial"/>
          <w:sz w:val="16"/>
          <w:szCs w:val="16"/>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to 150%,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62" w:lineRule="exact"/>
        <w:rPr>
          <w:sz w:val="20"/>
          <w:szCs w:val="20"/>
          <w:color w:val="auto"/>
        </w:rPr>
      </w:pPr>
    </w:p>
    <w:p>
      <w:pPr>
        <w:ind w:left="140" w:right="300" w:firstLine="437"/>
        <w:spacing w:after="0" w:line="259" w:lineRule="auto"/>
        <w:rPr>
          <w:sz w:val="20"/>
          <w:szCs w:val="20"/>
          <w:color w:val="auto"/>
        </w:rPr>
      </w:pPr>
      <w:r>
        <w:rPr>
          <w:rFonts w:ascii="Arial" w:cs="Arial" w:eastAsia="Arial" w:hAnsi="Arial"/>
          <w:sz w:val="18"/>
          <w:szCs w:val="18"/>
          <w:color w:val="auto"/>
        </w:rPr>
        <w:t>On January 31, 2019, the Company announced the redemption of $250.0 million outstanding aggregate principal amount of its 2019 Notes due October 1, 2019. The 2019 Notes will be prepaid at 100% of the principal amount, plus accrued and unpaid interest through the payment date of March 4, 2019, as well as a make-whole premium.</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2240" w:h="15840" w:orient="portrait"/>
          <w:cols w:equalWidth="0" w:num="1">
            <w:col w:w="11060"/>
          </w:cols>
          <w:pgMar w:left="520" w:top="316" w:right="660"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5" w:lineRule="exact"/>
        <w:rPr>
          <w:sz w:val="20"/>
          <w:szCs w:val="20"/>
          <w:color w:val="auto"/>
        </w:rPr>
      </w:pPr>
    </w:p>
    <w:p>
      <w:pPr>
        <w:ind w:left="140" w:right="120" w:firstLine="437"/>
        <w:spacing w:after="0" w:line="293" w:lineRule="auto"/>
        <w:rPr>
          <w:sz w:val="20"/>
          <w:szCs w:val="20"/>
          <w:color w:val="auto"/>
        </w:rPr>
      </w:pPr>
      <w:r>
        <w:rPr>
          <w:rFonts w:ascii="Arial" w:cs="Arial" w:eastAsia="Arial" w:hAnsi="Arial"/>
          <w:sz w:val="16"/>
          <w:szCs w:val="16"/>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2018. Our internal control system is a process designed to provide reasonable assurance to our management and board of directors regarding the preparation and fair presentation of published financial statements.</w:t>
      </w:r>
    </w:p>
    <w:p>
      <w:pPr>
        <w:spacing w:after="0" w:line="162" w:lineRule="exact"/>
        <w:rPr>
          <w:sz w:val="20"/>
          <w:szCs w:val="20"/>
          <w:color w:val="auto"/>
        </w:rPr>
      </w:pPr>
    </w:p>
    <w:p>
      <w:pPr>
        <w:ind w:left="140" w:right="40" w:firstLine="437"/>
        <w:spacing w:after="0" w:line="293"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ind w:left="140" w:right="60" w:firstLine="437"/>
        <w:spacing w:after="0" w:line="255"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ind w:left="140" w:right="40" w:firstLine="437"/>
        <w:spacing w:after="0" w:line="255"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2018.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Based on the assessment management believes that, as of September 30, 2018, our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based on those criteria.</w:t>
      </w:r>
    </w:p>
    <w:p>
      <w:pPr>
        <w:spacing w:after="0" w:line="191" w:lineRule="exact"/>
        <w:rPr>
          <w:sz w:val="20"/>
          <w:szCs w:val="20"/>
          <w:color w:val="auto"/>
        </w:rPr>
      </w:pPr>
    </w:p>
    <w:p>
      <w:pPr>
        <w:ind w:left="140" w:firstLine="437"/>
        <w:spacing w:after="0" w:line="271" w:lineRule="auto"/>
        <w:rPr>
          <w:sz w:val="20"/>
          <w:szCs w:val="20"/>
          <w:color w:val="auto"/>
        </w:rPr>
      </w:pPr>
      <w:r>
        <w:rPr>
          <w:rFonts w:ascii="Arial" w:cs="Arial" w:eastAsia="Arial" w:hAnsi="Arial"/>
          <w:sz w:val="18"/>
          <w:szCs w:val="18"/>
          <w:color w:val="auto"/>
        </w:rPr>
        <w:t>PennantPark Investment’s independent registered public accounting firm has issued an audit report on the effectiveness of our internal control over financial reporting as of September 30, 2018. This report appears on page F-36.</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2240" w:h="15840" w:orient="portrait"/>
          <w:cols w:equalWidth="0" w:num="1">
            <w:col w:w="11060"/>
          </w:cols>
          <w:pgMar w:left="520" w:top="317" w:right="660"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 the Stockholders and the Board of Directors of</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PennantPark Investment Corporation and its Subsidiaries</w:t>
      </w:r>
    </w:p>
    <w:p>
      <w:pPr>
        <w:spacing w:after="0" w:line="31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8" w:lineRule="exact"/>
        <w:rPr>
          <w:sz w:val="20"/>
          <w:szCs w:val="20"/>
          <w:color w:val="auto"/>
        </w:rPr>
      </w:pPr>
    </w:p>
    <w:p>
      <w:pPr>
        <w:ind w:left="140" w:right="120" w:firstLine="437"/>
        <w:spacing w:after="0" w:line="287" w:lineRule="auto"/>
        <w:rPr>
          <w:sz w:val="20"/>
          <w:szCs w:val="20"/>
          <w:color w:val="auto"/>
        </w:rPr>
      </w:pPr>
      <w:r>
        <w:rPr>
          <w:rFonts w:ascii="Arial" w:cs="Arial" w:eastAsia="Arial" w:hAnsi="Arial"/>
          <w:sz w:val="16"/>
          <w:szCs w:val="16"/>
          <w:color w:val="auto"/>
        </w:rPr>
        <w:t>We have audited the accompanying consolidated statements of assets and liabilities, including the consolidated schedules of investments, of PennantPark Investment Corporation and its Subsidiaries (collectively referred to as the “Company”) as of September 30, 2018 and 2017, and the related consolidated statements of operations, changes in net assets and cash flows for each of the three years in the period ended September 30, 2018, and the related notes to the consolidated financial statements of the Company (collectively, the financial statements). In our opinion, the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 and in our opinion, the related financial statements schedules, when considered in relation to the basic consolidated financial statements taken as a whole, presents fairly in all material respects the information set forth therein.</w:t>
      </w:r>
    </w:p>
    <w:p>
      <w:pPr>
        <w:spacing w:after="0" w:line="167" w:lineRule="exact"/>
        <w:rPr>
          <w:sz w:val="20"/>
          <w:szCs w:val="20"/>
          <w:color w:val="auto"/>
        </w:rPr>
      </w:pPr>
    </w:p>
    <w:p>
      <w:pPr>
        <w:ind w:left="140" w:right="200" w:firstLine="437"/>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PennantPark Investment Corporation and its Subsidiaries’ internal control over financial reporting as of September 30,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and our report dated November 15, 2018, expressed an unqualified opinion on the effectiveness of the Company’s internal control over financial reporting.</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1" w:lineRule="exact"/>
        <w:rPr>
          <w:sz w:val="20"/>
          <w:szCs w:val="20"/>
          <w:color w:val="auto"/>
        </w:rPr>
      </w:pPr>
    </w:p>
    <w:p>
      <w:pPr>
        <w:ind w:left="140" w:firstLine="437"/>
        <w:spacing w:after="0" w:line="26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September 30, 2018, by correspondence with the custodians and brokers or by other appropriate auditing procedures where replies from brokers were not received. We believe that our audits provide a reasonable basis for our opinion.</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RSM US LLP</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have served as the Company’s auditor since 2013.</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November 15, 2018</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F-35</w:t>
      </w:r>
    </w:p>
    <w:p>
      <w:pPr>
        <w:sectPr>
          <w:pgSz w:w="12240" w:h="15840" w:orient="portrait"/>
          <w:cols w:equalWidth="0" w:num="1">
            <w:col w:w="10980"/>
          </w:cols>
          <w:pgMar w:left="520" w:top="317" w:right="740"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 the Stockholders and the Board of Directors of</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PennantPark Investment Corporation and its Subsidiaries</w:t>
      </w:r>
    </w:p>
    <w:p>
      <w:pPr>
        <w:spacing w:after="0" w:line="31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118" w:lineRule="exact"/>
        <w:rPr>
          <w:sz w:val="20"/>
          <w:szCs w:val="20"/>
          <w:color w:val="auto"/>
        </w:rPr>
      </w:pPr>
    </w:p>
    <w:p>
      <w:pPr>
        <w:ind w:left="140" w:right="200" w:firstLine="437"/>
        <w:spacing w:after="0" w:line="272" w:lineRule="auto"/>
        <w:rPr>
          <w:sz w:val="20"/>
          <w:szCs w:val="20"/>
          <w:color w:val="auto"/>
        </w:rPr>
      </w:pPr>
      <w:r>
        <w:rPr>
          <w:rFonts w:ascii="Arial" w:cs="Arial" w:eastAsia="Arial" w:hAnsi="Arial"/>
          <w:sz w:val="17"/>
          <w:szCs w:val="17"/>
          <w:color w:val="auto"/>
        </w:rPr>
        <w:t xml:space="preserve">We have audited PennantPark Investment Corporation and its Subsidiaries’ (collectively referred to as the “Company”) internal control over financial reporting as of September 30, 2018,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in 2013. In our opinion, the Company maintained, in all material respects, effective internal control over financial reporting as of September 30, 2018,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in 2013.</w:t>
      </w:r>
    </w:p>
    <w:p>
      <w:pPr>
        <w:spacing w:after="0" w:line="177" w:lineRule="exact"/>
        <w:rPr>
          <w:sz w:val="20"/>
          <w:szCs w:val="20"/>
          <w:color w:val="auto"/>
        </w:rPr>
      </w:pPr>
    </w:p>
    <w:p>
      <w:pPr>
        <w:ind w:left="140" w:right="20" w:firstLine="437"/>
        <w:spacing w:after="0" w:line="25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statements of assets and liabilities, including the consolidated schedules of investments as of September 30, 2018 and 2017, the related consolidated statements of operations, changes in net assets and cash flows for each of the three years in the period ended September 30, 2018, and the related notes to the consolidated financial statements (collectively, the financial statements) of the Company and our report dated November 15, 2018 expressed an unqualified opinion.</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ind w:left="140" w:firstLine="437"/>
        <w:spacing w:after="0" w:line="27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7" w:lineRule="exact"/>
        <w:rPr>
          <w:sz w:val="20"/>
          <w:szCs w:val="20"/>
          <w:color w:val="auto"/>
        </w:rPr>
      </w:pPr>
    </w:p>
    <w:p>
      <w:pPr>
        <w:ind w:left="140" w:firstLine="437"/>
        <w:spacing w:after="0" w:line="27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8" w:lineRule="exact"/>
        <w:rPr>
          <w:sz w:val="20"/>
          <w:szCs w:val="20"/>
          <w:color w:val="auto"/>
        </w:rPr>
      </w:pPr>
    </w:p>
    <w:p>
      <w:pPr>
        <w:ind w:left="140" w:right="20" w:firstLine="437"/>
        <w:spacing w:after="0" w:line="26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2240" w:h="15840" w:orient="portrait"/>
          <w:cols w:equalWidth="0" w:num="1">
            <w:col w:w="10920"/>
          </w:cols>
          <w:pgMar w:left="520" w:top="316" w:right="800"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firstLine="437"/>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RSM US LLP</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November 15, 2018</w:t>
      </w:r>
    </w:p>
    <w:p>
      <w:pPr>
        <w:spacing w:after="0" w:line="14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F-37</w:t>
      </w:r>
    </w:p>
    <w:p>
      <w:pPr>
        <w:sectPr>
          <w:pgSz w:w="12240" w:h="15840" w:orient="portrait"/>
          <w:cols w:equalWidth="0" w:num="1">
            <w:col w:w="10740"/>
          </w:cols>
          <w:pgMar w:left="520" w:top="317" w:right="980"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September 30, 2018</w:t>
            </w:r>
          </w:p>
        </w:tc>
        <w:tc>
          <w:tcPr>
            <w:tcW w:w="2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Non-controlled, non-affiliated investments (cost—$896,720,950 and $824,106,322, respectively)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905,271,258</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849,351,548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Non-controlled, affiliated investments (cost—$91,520,908 and $185,799,943, respectively)</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78,078,331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189,674,977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 (cost—$255,574,317 and $200,120,407, respectively)</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148,735,885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114,550,983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Total of investments (cost—$1,243,816,175 and $1,210,026,672, respectively)</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1,132,085,474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1,153,577,508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(cost—$19,543,625 and $38,182,373, respectively)</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19,506,154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38,202,068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7,606,964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5,906,976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920,235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2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1,160,118,827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1,202,195,841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Distributions payable</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12,429,712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12,790,950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Credit Facility payable (cost—$80,520,000 and $79,392,900, respectively) (See Notes 5 and 11)</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77,645,830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76,037,341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2019 Notes payable (par—$250,000,000) (See Notes 5 and 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251,322,500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255,665,000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20" w:type="dxa"/>
            <w:vAlign w:val="bottom"/>
          </w:tcPr>
          <w:p>
            <w:pPr>
              <w:spacing w:after="0" w:line="200" w:lineRule="exact"/>
              <w:rPr>
                <w:sz w:val="20"/>
                <w:szCs w:val="20"/>
                <w:color w:val="auto"/>
              </w:rPr>
            </w:pPr>
            <w:r>
              <w:rPr>
                <w:rFonts w:ascii="Arial" w:cs="Arial" w:eastAsia="Arial" w:hAnsi="Arial"/>
                <w:sz w:val="18"/>
                <w:szCs w:val="18"/>
                <w:color w:val="auto"/>
                <w:w w:val="96"/>
              </w:rPr>
              <w:t>SBA debentures payable, net (par—$180,000,000 and $199,000,000, respectively) (See Notes 5 and</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840" w:type="dxa"/>
            <w:vAlign w:val="bottom"/>
            <w:gridSpan w:val="2"/>
          </w:tcPr>
          <w:p>
            <w:pPr>
              <w:ind w:left="1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175,373,229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194,364,653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net (See Note 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4,086,831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Performance-based incentive fee payable, net (See Note 3)</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2,964,265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2,270,008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debt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6,576,393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818,172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531,216,932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555,387,370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12)</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20" w:type="dxa"/>
            <w:vAlign w:val="bottom"/>
          </w:tcPr>
          <w:p>
            <w:pPr>
              <w:spacing w:after="0" w:line="200" w:lineRule="exact"/>
              <w:rPr>
                <w:sz w:val="20"/>
                <w:szCs w:val="20"/>
                <w:color w:val="auto"/>
              </w:rPr>
            </w:pPr>
            <w:r>
              <w:rPr>
                <w:rFonts w:ascii="Arial" w:cs="Arial" w:eastAsia="Arial" w:hAnsi="Arial"/>
                <w:sz w:val="18"/>
                <w:szCs w:val="18"/>
                <w:color w:val="auto"/>
              </w:rPr>
              <w:t>Common stock, 69,053,958 and 71,060,836 shares issued and outstanding, respectively.</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Par value $0.001 per share and 100,000,000 shares authorized</w:t>
            </w:r>
          </w:p>
        </w:tc>
        <w:tc>
          <w:tcPr>
            <w:tcW w:w="14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69,054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803,729,220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818,737,784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6,003,360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3,333,195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(70,687,629)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(116,598,355)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4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(111,763,780)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(56,425,773)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debt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1,551,670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(2,309,441)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20" w:type="dxa"/>
            <w:vAlign w:val="bottom"/>
          </w:tcPr>
          <w:p>
            <w:pPr>
              <w:ind w:left="680"/>
              <w:spacing w:after="0"/>
              <w:rPr>
                <w:sz w:val="20"/>
                <w:szCs w:val="20"/>
                <w:color w:val="auto"/>
              </w:rPr>
            </w:pPr>
            <w:r>
              <w:rPr>
                <w:rFonts w:ascii="Arial" w:cs="Arial" w:eastAsia="Arial" w:hAnsi="Arial"/>
                <w:sz w:val="18"/>
                <w:szCs w:val="18"/>
                <w:b w:val="1"/>
                <w:bCs w:val="1"/>
                <w:color w:val="auto"/>
              </w:rPr>
              <w:t>Total net assets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628,901,895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646,808,471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net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1,160,118,827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1,202,195,841</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4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2240" w:h="15840" w:orient="portrait"/>
          <w:cols w:equalWidth="0" w:num="1">
            <w:col w:w="11060"/>
          </w:cols>
          <w:pgMar w:left="520" w:top="316" w:right="660"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11"/>
              <w:spacing w:after="0"/>
              <w:rPr>
                <w:sz w:val="20"/>
                <w:szCs w:val="20"/>
                <w:color w:val="auto"/>
              </w:rPr>
            </w:pPr>
            <w:r>
              <w:rPr>
                <w:rFonts w:ascii="Arial" w:cs="Arial" w:eastAsia="Arial" w:hAnsi="Arial"/>
                <w:sz w:val="14"/>
                <w:szCs w:val="14"/>
                <w:b w:val="1"/>
                <w:bCs w:val="1"/>
                <w:color w:val="auto"/>
              </w:rPr>
              <w:t>Years Ended September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1"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1"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1"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83,255,593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84,685,961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103,659,182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5,645,535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3,819,996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848,834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6,981,507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7,079,034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10,945,240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3,013,976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10,339,444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12,374,621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2,031,589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5,475,491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680,746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4,499,350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734,163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731,381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2,850,498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10,790,300</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12,750,302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6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108,278,048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124,534,324</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142,070,827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17,468,376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24,218,029</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24,852,898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11,492,928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11,077,956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16,018,790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Interest and expenses on debt (See Note 11)</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22,818,492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26,642,113</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27,601,242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2,086,500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2,504,853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2,662,640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3,605,923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b w:val="1"/>
                <w:bCs w:val="1"/>
                <w:color w:val="auto"/>
                <w:w w:val="95"/>
              </w:rPr>
              <w:t>Expenses before Management Fees waiver, provision for taxes and Credit Facility</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6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amendment costs</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56,371,149</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68,176,738</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75,645,520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Management Fees waiver (See Note 3)</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(1,427,253)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(5,647,358)</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(6,539,475)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taxes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Credit Facility amendment costs (See Notes 5 and 11)</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3,866,633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54,943,896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68,096,013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71,456,045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6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53,334,152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56,438,311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70,614,782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(loss) gain on investments and debt: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realized gain (loss) on investments 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34,813,876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2,567,041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(76,780,707)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11,042,330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(33,594,078)</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realized gain (loss) on investments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45,856,206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(31,027,037)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(80,530,707)</w:t>
            </w:r>
          </w:p>
        </w:tc>
        <w:tc>
          <w:tcPr>
            <w:tcW w:w="0" w:type="dxa"/>
            <w:vAlign w:val="bottom"/>
          </w:tcPr>
          <w:p>
            <w:pPr>
              <w:spacing w:after="0"/>
              <w:rPr>
                <w:sz w:val="1"/>
                <w:szCs w:val="1"/>
                <w:color w:val="auto"/>
              </w:rPr>
            </w:pPr>
          </w:p>
        </w:tc>
      </w:tr>
      <w:tr>
        <w:trPr>
          <w:trHeight w:val="220"/>
        </w:trPr>
        <w:tc>
          <w:tcPr>
            <w:tcW w:w="7080" w:type="dxa"/>
            <w:vAlign w:val="bottom"/>
            <w:gridSpan w:val="2"/>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2"/>
              </w:rPr>
              <w:t>(16,751,386)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16,950,900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48,052,466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12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(38,586,621)</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26,904,281</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(23,126,408)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depreciation (appreciation) (See Notes 5 and 11)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3,861,111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(7,554,954)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60" w:type="dxa"/>
            <w:vAlign w:val="bottom"/>
          </w:tcPr>
          <w:p>
            <w:pPr>
              <w:ind w:left="340"/>
              <w:spacing w:after="0"/>
              <w:rPr>
                <w:sz w:val="20"/>
                <w:szCs w:val="20"/>
                <w:color w:val="auto"/>
              </w:rPr>
            </w:pPr>
            <w:r>
              <w:rPr>
                <w:rFonts w:ascii="Arial" w:cs="Arial" w:eastAsia="Arial" w:hAnsi="Arial"/>
                <w:sz w:val="18"/>
                <w:szCs w:val="18"/>
                <w:b w:val="1"/>
                <w:bCs w:val="1"/>
                <w:color w:val="auto"/>
              </w:rPr>
              <w:t>Net change in unrealized (depreciation) appreciation on investments and debt</w:t>
            </w: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(51,476,896)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36,300,227</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28,652,631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(loss) gain from investments and debt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(5,620,690)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5,273,190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(51,878,076)</w:t>
            </w:r>
          </w:p>
        </w:tc>
        <w:tc>
          <w:tcPr>
            <w:tcW w:w="0" w:type="dxa"/>
            <w:vAlign w:val="bottom"/>
          </w:tcPr>
          <w:p>
            <w:pPr>
              <w:spacing w:after="0"/>
              <w:rPr>
                <w:sz w:val="1"/>
                <w:szCs w:val="1"/>
                <w:color w:val="auto"/>
              </w:rPr>
            </w:pPr>
          </w:p>
        </w:tc>
      </w:tr>
      <w:tr>
        <w:trPr>
          <w:trHeight w:val="221"/>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47,713,462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61,711,501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18,736,706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0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2240" w:h="15840" w:orient="portrait"/>
          <w:cols w:equalWidth="0" w:num="1">
            <w:col w:w="11060"/>
          </w:cols>
          <w:pgMar w:left="520" w:top="316" w:right="660"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Years Ended September 30,</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1"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1"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2"/>
              <w:spacing w:after="0" w:line="141"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9"/>
              <w:spacing w:after="0"/>
              <w:rPr>
                <w:sz w:val="20"/>
                <w:szCs w:val="20"/>
                <w:color w:val="auto"/>
              </w:rPr>
            </w:pPr>
            <w:r>
              <w:rPr>
                <w:rFonts w:ascii="Arial" w:cs="Arial" w:eastAsia="Arial" w:hAnsi="Arial"/>
                <w:sz w:val="18"/>
                <w:szCs w:val="18"/>
                <w:color w:val="auto"/>
              </w:rPr>
              <w:t>53,334,152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56,438,311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70,614,782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(loss) on investments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45,856,206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(31,027,037)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(80,530,707)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9"/>
              <w:spacing w:after="0"/>
              <w:rPr>
                <w:sz w:val="20"/>
                <w:szCs w:val="20"/>
                <w:color w:val="auto"/>
              </w:rPr>
            </w:pPr>
            <w:r>
              <w:rPr>
                <w:rFonts w:ascii="Arial" w:cs="Arial" w:eastAsia="Arial" w:hAnsi="Arial"/>
                <w:sz w:val="18"/>
                <w:szCs w:val="18"/>
                <w:color w:val="auto"/>
                <w:w w:val="95"/>
              </w:rPr>
              <w:t>(55,338,007)</w:t>
            </w: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43,855,181</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24,926,058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depreciation (appreciation) on debt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3,861,111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(7,554,954)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47,713,462</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61,711,501</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18,736,706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Distribution of net investment income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9"/>
              <w:spacing w:after="0"/>
              <w:rPr>
                <w:sz w:val="20"/>
                <w:szCs w:val="20"/>
                <w:color w:val="auto"/>
              </w:rPr>
            </w:pPr>
            <w:r>
              <w:rPr>
                <w:rFonts w:ascii="Arial" w:cs="Arial" w:eastAsia="Arial" w:hAnsi="Arial"/>
                <w:sz w:val="18"/>
                <w:szCs w:val="18"/>
                <w:color w:val="auto"/>
                <w:w w:val="95"/>
              </w:rPr>
              <w:t>(50,609,467)</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(58,269,886)</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(58,068,894)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of realized gains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(21,711,007)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b w:val="1"/>
                <w:bCs w:val="1"/>
                <w:color w:val="auto"/>
              </w:rPr>
              <w:t>Total distributions to stockholders</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(50,609,467)</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(58,269,886)</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(79,779,901)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9"/>
              <w:spacing w:after="0"/>
              <w:rPr>
                <w:sz w:val="20"/>
                <w:szCs w:val="20"/>
                <w:color w:val="auto"/>
              </w:rPr>
            </w:pPr>
            <w:r>
              <w:rPr>
                <w:rFonts w:ascii="Arial" w:cs="Arial" w:eastAsia="Arial" w:hAnsi="Arial"/>
                <w:sz w:val="18"/>
                <w:szCs w:val="18"/>
                <w:color w:val="auto"/>
                <w:w w:val="95"/>
              </w:rPr>
              <w:t>(15,010,571)</w:t>
            </w: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(12,180,491)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net assets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w w:val="95"/>
              </w:rPr>
              <w:t>(17,906,576)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3,441,615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(73,223,686)</w:t>
            </w:r>
          </w:p>
        </w:tc>
        <w:tc>
          <w:tcPr>
            <w:tcW w:w="0" w:type="dxa"/>
            <w:vAlign w:val="bottom"/>
          </w:tcPr>
          <w:p>
            <w:pPr>
              <w:spacing w:after="0"/>
              <w:rPr>
                <w:sz w:val="1"/>
                <w:szCs w:val="1"/>
                <w:color w:val="auto"/>
              </w:rPr>
            </w:pPr>
          </w:p>
        </w:tc>
      </w:tr>
      <w:tr>
        <w:trPr>
          <w:trHeight w:val="220"/>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w w:val="91"/>
              </w:rPr>
              <w:t>646,808,471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643,366,856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716,590,542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End of year</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628,901,895</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646,808,471</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643,366,856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Undistributed net investment income, at end of year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6,003,360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3,333,195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3,119,380</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4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of common stock repurchased</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(2,006,878)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(1,905,207)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2240" w:h="15840" w:orient="portrait"/>
          <w:cols w:equalWidth="0" w:num="1">
            <w:col w:w="11060"/>
          </w:cols>
          <w:pgMar w:left="520" w:top="317" w:right="660"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September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1"/>
              <w:spacing w:after="0" w:line="141"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1"/>
              <w:spacing w:after="0" w:line="141"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1"/>
              <w:spacing w:after="0" w:line="141"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68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47,713,462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61,711,501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18,736,706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shd w:val="clear" w:color="auto" w:fill="CCEEFF"/>
          </w:tcPr>
          <w:p>
            <w:pPr>
              <w:ind w:left="680"/>
              <w:spacing w:after="0" w:line="200" w:lineRule="exact"/>
              <w:rPr>
                <w:sz w:val="20"/>
                <w:szCs w:val="20"/>
                <w:color w:val="auto"/>
              </w:rPr>
            </w:pPr>
            <w:r>
              <w:rPr>
                <w:rFonts w:ascii="Arial" w:cs="Arial" w:eastAsia="Arial" w:hAnsi="Arial"/>
                <w:sz w:val="18"/>
                <w:szCs w:val="18"/>
                <w:color w:val="auto"/>
              </w:rPr>
              <w:t>Adjustments to reconcile net increase in net assets resulting from</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operations to net cash provided by operating activities:</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040"/>
              <w:spacing w:after="0"/>
              <w:rPr>
                <w:sz w:val="20"/>
                <w:szCs w:val="20"/>
                <w:color w:val="auto"/>
              </w:rPr>
            </w:pPr>
            <w:r>
              <w:rPr>
                <w:rFonts w:ascii="Arial" w:cs="Arial" w:eastAsia="Arial" w:hAnsi="Arial"/>
                <w:sz w:val="18"/>
                <w:szCs w:val="18"/>
                <w:color w:val="auto"/>
                <w:w w:val="99"/>
              </w:rPr>
              <w:t>Net change in net unrealized depreciation (appreciation) on investments</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55,338,007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(43,855,181)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(24,926,058)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change in unrealized (depreciation) appreciation on debt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(3,861,111)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7,554,954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(3,726,573)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04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(45,856,206)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31,027,037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80,530,707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(2,285,720)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(2,514,784)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(5,251,804)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04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(604,740,676)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(508,261,736)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(330,552,035)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Payment-in-kind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(11,404,966)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(21,200,913)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(15,123,817)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04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630,502,386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543,975,791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439,738,846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1,730,326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1,133,994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040"/>
              <w:spacing w:after="0"/>
              <w:rPr>
                <w:sz w:val="20"/>
                <w:szCs w:val="20"/>
                <w:color w:val="auto"/>
              </w:rPr>
            </w:pPr>
            <w:r>
              <w:rPr>
                <w:rFonts w:ascii="Arial" w:cs="Arial" w:eastAsia="Arial" w:hAnsi="Arial"/>
                <w:sz w:val="18"/>
                <w:szCs w:val="18"/>
                <w:color w:val="auto"/>
              </w:rPr>
              <w:t>(Increase) decrease in interest receivable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(1,699,988)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1,125,882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3,589,054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(1,894,057)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040"/>
              <w:spacing w:after="0"/>
              <w:rPr>
                <w:sz w:val="20"/>
                <w:szCs w:val="20"/>
                <w:color w:val="auto"/>
              </w:rPr>
            </w:pPr>
            <w:r>
              <w:rPr>
                <w:rFonts w:ascii="Arial" w:cs="Arial" w:eastAsia="Arial" w:hAnsi="Arial"/>
                <w:sz w:val="18"/>
                <w:szCs w:val="18"/>
                <w:color w:val="auto"/>
              </w:rPr>
              <w:t>(Decrease) increase in payable for investments purchased</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(1,014,000)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1,014,000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(3,591,177)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Decrease in interest payable on debt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(300,363)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(643,357)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040"/>
              <w:spacing w:after="0"/>
              <w:rPr>
                <w:sz w:val="20"/>
                <w:szCs w:val="20"/>
                <w:color w:val="auto"/>
              </w:rPr>
            </w:pPr>
            <w:r>
              <w:rPr>
                <w:rFonts w:ascii="Arial" w:cs="Arial" w:eastAsia="Arial" w:hAnsi="Arial"/>
                <w:sz w:val="18"/>
                <w:szCs w:val="18"/>
                <w:color w:val="auto"/>
              </w:rPr>
              <w:t>Decrease in base management fee payable, net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(758,406)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(229,593)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(1,527,199)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Increase (decrease) in performance-based incentive fee payable,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694,257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(595,436)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(2,142,348)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040"/>
              <w:spacing w:after="0"/>
              <w:rPr>
                <w:sz w:val="20"/>
                <w:szCs w:val="20"/>
                <w:color w:val="auto"/>
              </w:rPr>
            </w:pPr>
            <w:r>
              <w:rPr>
                <w:rFonts w:ascii="Arial" w:cs="Arial" w:eastAsia="Arial" w:hAnsi="Arial"/>
                <w:sz w:val="18"/>
                <w:szCs w:val="18"/>
                <w:color w:val="auto"/>
              </w:rPr>
              <w:t>(Decrease) increase in accrued other expenses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(705,253)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900,545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(1,699,487)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66,940,803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69,248,647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157,706,863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(15,010,571)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(12,180,491)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040"/>
              <w:spacing w:after="0"/>
              <w:rPr>
                <w:sz w:val="20"/>
                <w:szCs w:val="20"/>
                <w:color w:val="auto"/>
              </w:rPr>
            </w:pPr>
            <w:r>
              <w:rPr>
                <w:rFonts w:ascii="Arial" w:cs="Arial" w:eastAsia="Arial" w:hAnsi="Arial"/>
                <w:sz w:val="18"/>
                <w:szCs w:val="18"/>
                <w:color w:val="auto"/>
              </w:rPr>
              <w:t>Distributions paid to stockholders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(50,970,704)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(65,375,968)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(80,313,359)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Borrowings under SBA debentures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71,000,000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47,500,000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040"/>
              <w:spacing w:after="0"/>
              <w:rPr>
                <w:sz w:val="20"/>
                <w:szCs w:val="20"/>
                <w:color w:val="auto"/>
              </w:rPr>
            </w:pPr>
            <w:r>
              <w:rPr>
                <w:rFonts w:ascii="Arial" w:cs="Arial" w:eastAsia="Arial" w:hAnsi="Arial"/>
                <w:sz w:val="18"/>
                <w:szCs w:val="18"/>
                <w:color w:val="auto"/>
              </w:rPr>
              <w:t>Repayments under SBA debentures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(90,000,000)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(30,000,000)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Repayments under 2025 Notes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(71,250,000)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040"/>
              <w:spacing w:after="0"/>
              <w:rPr>
                <w:sz w:val="20"/>
                <w:szCs w:val="20"/>
                <w:color w:val="auto"/>
              </w:rPr>
            </w:pPr>
            <w:r>
              <w:rPr>
                <w:rFonts w:ascii="Arial" w:cs="Arial" w:eastAsia="Arial" w:hAnsi="Arial"/>
                <w:sz w:val="18"/>
                <w:szCs w:val="18"/>
                <w:color w:val="auto"/>
              </w:rPr>
              <w:t>Capitalized borrowing costs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(1,721,750)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(1,513,875)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(1,151,875)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235,520,000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363,760,000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413,664,923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040"/>
              <w:spacing w:after="0"/>
              <w:rPr>
                <w:sz w:val="20"/>
                <w:szCs w:val="20"/>
                <w:color w:val="auto"/>
              </w:rPr>
            </w:pPr>
            <w:r>
              <w:rPr>
                <w:rFonts w:ascii="Arial" w:cs="Arial" w:eastAsia="Arial" w:hAnsi="Arial"/>
                <w:sz w:val="18"/>
                <w:szCs w:val="18"/>
                <w:color w:val="auto"/>
              </w:rPr>
              <w:t>Repayments under Credit Facility</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(234,392,900)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(334,706,800)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(500,189,523)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(85,575,925)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(107,586,643)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(132,670,325)</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(18,635,122)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(38,337,996)</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25,036,538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931,951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38,202,068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75,608,113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49,619,256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38,202,068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75,608,113</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21,388,530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26,151,475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27,093,191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340"/>
              <w:spacing w:after="0"/>
              <w:rPr>
                <w:sz w:val="20"/>
                <w:szCs w:val="20"/>
                <w:color w:val="auto"/>
              </w:rPr>
            </w:pPr>
            <w:r>
              <w:rPr>
                <w:rFonts w:ascii="Arial" w:cs="Arial" w:eastAsia="Arial" w:hAnsi="Arial"/>
                <w:sz w:val="18"/>
                <w:szCs w:val="18"/>
                <w:color w:val="auto"/>
              </w:rPr>
              <w:t>Taxes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7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1,267,064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exchanges and conversions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31,942,605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93,152,647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62,949,729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2240" w:h="15840" w:orient="portrait"/>
          <w:cols w:equalWidth="0" w:num="1">
            <w:col w:w="11060"/>
          </w:cols>
          <w:pgMar w:left="520" w:top="316" w:right="660"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2018</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20"/>
              <w:spacing w:after="0" w:line="134"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60" w:type="dxa"/>
            <w:vAlign w:val="bottom"/>
          </w:tcPr>
          <w:p>
            <w:pPr>
              <w:jc w:val="right"/>
              <w:ind w:right="162"/>
              <w:spacing w:after="0" w:line="134" w:lineRule="exact"/>
              <w:rPr>
                <w:sz w:val="20"/>
                <w:szCs w:val="20"/>
                <w:color w:val="auto"/>
              </w:rPr>
            </w:pPr>
            <w:r>
              <w:rPr>
                <w:rFonts w:ascii="Arial" w:cs="Arial" w:eastAsia="Arial" w:hAnsi="Arial"/>
                <w:sz w:val="12"/>
                <w:szCs w:val="12"/>
                <w:b w:val="1"/>
                <w:bCs w:val="1"/>
                <w:color w:val="auto"/>
              </w:rPr>
              <w:t>Maturity /</w:t>
            </w:r>
          </w:p>
        </w:tc>
        <w:tc>
          <w:tcPr>
            <w:tcW w:w="250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gridSpan w:val="2"/>
          </w:tcPr>
          <w:p>
            <w:pPr>
              <w:jc w:val="right"/>
              <w:ind w:right="300"/>
              <w:spacing w:after="0" w:line="134" w:lineRule="exact"/>
              <w:rPr>
                <w:sz w:val="20"/>
                <w:szCs w:val="20"/>
                <w:color w:val="auto"/>
              </w:rPr>
            </w:pPr>
            <w:r>
              <w:rPr>
                <w:rFonts w:ascii="Arial" w:cs="Arial" w:eastAsia="Arial" w:hAnsi="Arial"/>
                <w:sz w:val="12"/>
                <w:szCs w:val="12"/>
                <w:b w:val="1"/>
                <w:bCs w:val="1"/>
                <w:color w:val="auto"/>
              </w:rPr>
              <w:t>Current</w:t>
            </w:r>
          </w:p>
        </w:tc>
        <w:tc>
          <w:tcPr>
            <w:tcW w:w="860" w:type="dxa"/>
            <w:vAlign w:val="bottom"/>
            <w:gridSpan w:val="2"/>
          </w:tcPr>
          <w:p>
            <w:pPr>
              <w:jc w:val="center"/>
              <w:ind w:right="220"/>
              <w:spacing w:after="0" w:line="134"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2"/>
              </w:rPr>
              <w:t>Par /</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gridSpan w:val="2"/>
            <w:vMerge w:val="continue"/>
          </w:tcPr>
          <w:p>
            <w:pPr>
              <w:spacing w:after="0"/>
              <w:rPr>
                <w:sz w:val="12"/>
                <w:szCs w:val="12"/>
                <w:color w:val="auto"/>
              </w:rPr>
            </w:pPr>
          </w:p>
        </w:tc>
        <w:tc>
          <w:tcPr>
            <w:tcW w:w="860" w:type="dxa"/>
            <w:vAlign w:val="bottom"/>
          </w:tcPr>
          <w:p>
            <w:pPr>
              <w:jc w:val="right"/>
              <w:ind w:right="142"/>
              <w:spacing w:after="0"/>
              <w:rPr>
                <w:sz w:val="20"/>
                <w:szCs w:val="20"/>
                <w:color w:val="auto"/>
              </w:rPr>
            </w:pPr>
            <w:r>
              <w:rPr>
                <w:rFonts w:ascii="Arial" w:cs="Arial" w:eastAsia="Arial" w:hAnsi="Arial"/>
                <w:sz w:val="12"/>
                <w:szCs w:val="12"/>
                <w:b w:val="1"/>
                <w:bCs w:val="1"/>
                <w:color w:val="auto"/>
              </w:rPr>
              <w:t>Expiration</w:t>
            </w:r>
          </w:p>
        </w:tc>
        <w:tc>
          <w:tcPr>
            <w:tcW w:w="2500" w:type="dxa"/>
            <w:vAlign w:val="bottom"/>
            <w:gridSpan w:val="2"/>
            <w:vMerge w:val="continue"/>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4"/>
              </w:rPr>
              <w:t>Shares</w:t>
            </w: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440" w:type="dxa"/>
            <w:vAlign w:val="bottom"/>
            <w:tcBorders>
              <w:top w:val="single" w:sz="8" w:color="auto"/>
            </w:tcBorders>
            <w:gridSpan w:val="2"/>
            <w:shd w:val="clear" w:color="auto" w:fill="CCEEFF"/>
          </w:tcPr>
          <w:p>
            <w:pPr>
              <w:spacing w:after="0" w:line="128" w:lineRule="exact"/>
              <w:rPr>
                <w:sz w:val="20"/>
                <w:szCs w:val="20"/>
                <w:color w:val="auto"/>
              </w:rPr>
            </w:pPr>
            <w:r>
              <w:rPr>
                <w:rFonts w:ascii="Arial" w:cs="Arial" w:eastAsia="Arial" w:hAnsi="Arial"/>
                <w:sz w:val="12"/>
                <w:szCs w:val="12"/>
                <w:b w:val="1"/>
                <w:bCs w:val="1"/>
                <w:color w:val="auto"/>
                <w:w w:val="95"/>
              </w:rPr>
              <w:t xml:space="preserve">Investments in Non-Controlled, Non-Affiliated Portfolio Companies—144.0% </w:t>
            </w:r>
            <w:r>
              <w:rPr>
                <w:rFonts w:ascii="Arial" w:cs="Arial" w:eastAsia="Arial" w:hAnsi="Arial"/>
                <w:sz w:val="9"/>
                <w:szCs w:val="9"/>
                <w:b w:val="1"/>
                <w:bCs w:val="1"/>
                <w:color w:val="auto"/>
                <w:w w:val="95"/>
              </w:rPr>
              <w:t>(1), (2)</w:t>
            </w:r>
          </w:p>
        </w:tc>
        <w:tc>
          <w:tcPr>
            <w:tcW w:w="2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b w:val="1"/>
                <w:bCs w:val="1"/>
                <w:color w:val="auto"/>
              </w:rPr>
              <w:t>First Lien Secured Debt—66.9%</w:t>
            </w:r>
          </w:p>
        </w:tc>
        <w:tc>
          <w:tcPr>
            <w:tcW w:w="8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Allied America, Inc.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08/08/2022</w:t>
            </w:r>
          </w:p>
        </w:tc>
        <w:tc>
          <w:tcPr>
            <w:tcW w:w="250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9.39%</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L+700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21,435,548</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9"/>
              </w:rPr>
              <w:t>$  21,116,138</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89"/>
              </w:rPr>
              <w:t>$  21,478,419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08/08/2022</w:t>
            </w:r>
          </w:p>
        </w:tc>
        <w:tc>
          <w:tcPr>
            <w:tcW w:w="25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2,000,000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Bazaarvoice, Inc.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02/01/2024</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89"/>
              </w:rPr>
              <w:t>Printing and Publishing</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10.24%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L+800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14,925,000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14,783,825</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Bottom Line Systems, LLC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02/13/2023</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9.74%</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L+750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19,583,330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19,345,650</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Broder Bros., Co.</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12/02/2022</w:t>
            </w:r>
          </w:p>
        </w:tc>
        <w:tc>
          <w:tcPr>
            <w:tcW w:w="250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10.33%</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L+800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31,676,768</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31,678,078</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31,676,768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Cano Health, LLC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12/23/2021</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10.61%</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L+850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32,813,941</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32,240,776</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Cano Health, LLC (Revolver)</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11/05/2018</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10.68%</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L+850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3,150,000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3,150,000</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3,150,000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DermaRite Industries LLC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03/03/2022</w:t>
            </w:r>
          </w:p>
        </w:tc>
        <w:tc>
          <w:tcPr>
            <w:tcW w:w="25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8"/>
              </w:rPr>
              <w:t>Manufacturing / Basic Industries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9.24%</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L+700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9,850,000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9,738,431</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Deva Holdings, Inc.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10/31/2023</w:t>
            </w:r>
          </w:p>
        </w:tc>
        <w:tc>
          <w:tcPr>
            <w:tcW w:w="250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7.74%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L+550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4,962,500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4,877,212</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4,962,500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10/31/2022</w:t>
            </w:r>
          </w:p>
        </w:tc>
        <w:tc>
          <w:tcPr>
            <w:tcW w:w="25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385,000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08/29/2022</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9.74%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L+750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19,800,000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19,475,599</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19,800,000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08/29/2022</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4,000,000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(11)</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08/29/2022</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4,000,000</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Hollander Sleep Products, LLC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06/09/2023</w:t>
            </w:r>
          </w:p>
        </w:tc>
        <w:tc>
          <w:tcPr>
            <w:tcW w:w="25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10.39%</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3M L+800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19,713,838</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19,386,443</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Impact Group, LLC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06/27/2023</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86"/>
              </w:rPr>
              <w:t>Personal, Food and Miscellaneous Services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8.64%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L+625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22,457,923</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22,225,155</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22,345,634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06/27/2023</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86"/>
              </w:rPr>
              <w:t>Personal, Food and Miscellaneous Services</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12,491,009</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(62,455)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Juniper Landscaping of Florida, LLC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12/22/2021</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86"/>
              </w:rPr>
              <w:t>Personal, Food and Miscellaneous Services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11.61%</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L+950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14,350,500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14,140,360</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14,350,500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K2 Pure Solutions NoCal, L.P.</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02/19/2021</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85"/>
              </w:rPr>
              <w:t>Chemicals, Plastics and Rubber</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11.24%</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L+900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14,243,249</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14,033,015</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Ox Two, LLC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02/27/2023</w:t>
            </w:r>
          </w:p>
        </w:tc>
        <w:tc>
          <w:tcPr>
            <w:tcW w:w="250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92"/>
              </w:rPr>
              <w:t>Building Materials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8.49%</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L+625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22,218,750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21,819,701</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22,218,750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Ox Two, LLC (Revolver)</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02/27/2023</w:t>
            </w:r>
          </w:p>
        </w:tc>
        <w:tc>
          <w:tcPr>
            <w:tcW w:w="25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92"/>
              </w:rPr>
              <w:t>Building Materials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12.50%</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P+725</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750,000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750,000</w:t>
            </w:r>
          </w:p>
        </w:tc>
        <w:tc>
          <w:tcPr>
            <w:tcW w:w="7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750,000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02/27/2023</w:t>
            </w:r>
          </w:p>
        </w:tc>
        <w:tc>
          <w:tcPr>
            <w:tcW w:w="250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92"/>
              </w:rPr>
              <w:t>Building Materials</w:t>
            </w:r>
          </w:p>
        </w:tc>
        <w:tc>
          <w:tcPr>
            <w:tcW w:w="78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1,750,000</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Questex, LLC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09/09/2024</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91"/>
              </w:rPr>
              <w:t>Media</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8.57%</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3M L+625</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22,500,000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22,054,120</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Questex, LLC (Revolver)</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09/09/2024</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8.57%</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L+625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598,404</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598,404</w:t>
            </w:r>
          </w:p>
        </w:tc>
        <w:tc>
          <w:tcPr>
            <w:tcW w:w="7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586,436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09/09/2024</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91"/>
              </w:rPr>
              <w:t>Media</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2,992,021</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(59,840)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Research Horizons, LLC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06/28/2022</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8.36%</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L+625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22,500,000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22,071,351</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22,050,000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06/28/2022</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91"/>
              </w:rPr>
              <w:t>Media</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9,121,622</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(182,432)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Research Horizons, LLC (Revolver)</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06/28/2022</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8.36%</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L+625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1,783,784</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1,783,784</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1,748,108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06/28/2022</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91"/>
              </w:rPr>
              <w:t>Media</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2,270,270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(45,405)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SFP Holding, Inc.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09/01/2022</w:t>
            </w:r>
          </w:p>
        </w:tc>
        <w:tc>
          <w:tcPr>
            <w:tcW w:w="250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7"/>
              </w:rPr>
              <w:t>Buildings and Real Estate</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8.59%</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L+625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20,925,313</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20,642,473</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20,925,313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09/01/2022</w:t>
            </w:r>
          </w:p>
        </w:tc>
        <w:tc>
          <w:tcPr>
            <w:tcW w:w="25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7"/>
              </w:rPr>
              <w:t>Buildings and Real Estate</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1,375,000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09/01/2022</w:t>
            </w:r>
          </w:p>
        </w:tc>
        <w:tc>
          <w:tcPr>
            <w:tcW w:w="250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7"/>
              </w:rPr>
              <w:t>Buildings and Real Estate</w:t>
            </w:r>
          </w:p>
        </w:tc>
        <w:tc>
          <w:tcPr>
            <w:tcW w:w="78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2,500,000</w:t>
            </w: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Triad Manufacturing, Inc.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12/28/2020</w:t>
            </w:r>
          </w:p>
        </w:tc>
        <w:tc>
          <w:tcPr>
            <w:tcW w:w="25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8"/>
              </w:rPr>
              <w:t>Manufacturing / Basic Industries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15.49%</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w w:val="97"/>
              </w:rPr>
              <w:t>1M L+1,325</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23,718,379</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23,464,517</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US Dominion, Inc.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07/15/2024</w:t>
            </w:r>
          </w:p>
        </w:tc>
        <w:tc>
          <w:tcPr>
            <w:tcW w:w="250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8"/>
              </w:rPr>
              <w:t>Electronics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9.14%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L+675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29,925,000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29,415,076</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29,925,000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07/15/2024</w:t>
            </w:r>
          </w:p>
        </w:tc>
        <w:tc>
          <w:tcPr>
            <w:tcW w:w="25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8"/>
              </w:rPr>
              <w:t>Electronics</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7,500,000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US Med Acquisition, Inc.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08/13/2021</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11.39%</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L+900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8,476,563</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8,476,563</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8,052,732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Walker Edison Furniture Company LLC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09/26/2024</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88"/>
              </w:rPr>
              <w:t>Home and Office Furnishings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8.88%</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3M L+650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22,500,000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22,050,866</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Whitney, Bradley &amp; Brown, Inc.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10/18/2022</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85"/>
              </w:rPr>
              <w:t>Aerospace and Defense</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11.25%</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L+900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19,305,000</w:t>
            </w: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18,977,907</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19,305,000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w w:val="98"/>
              </w:rPr>
              <w:t>418,295,444</w:t>
            </w:r>
          </w:p>
        </w:tc>
        <w:tc>
          <w:tcPr>
            <w:tcW w:w="680" w:type="dxa"/>
            <w:vAlign w:val="bottom"/>
          </w:tcPr>
          <w:p>
            <w:pPr>
              <w:jc w:val="right"/>
              <w:spacing w:after="0"/>
              <w:rPr>
                <w:sz w:val="20"/>
                <w:szCs w:val="20"/>
                <w:color w:val="auto"/>
              </w:rPr>
            </w:pPr>
            <w:r>
              <w:rPr>
                <w:rFonts w:ascii="Arial" w:cs="Arial" w:eastAsia="Arial" w:hAnsi="Arial"/>
                <w:sz w:val="12"/>
                <w:szCs w:val="12"/>
                <w:color w:val="auto"/>
                <w:w w:val="98"/>
              </w:rPr>
              <w:t>420,847,539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Second Lien Secured Debt—62.2%</w:t>
            </w:r>
          </w:p>
        </w:tc>
        <w:tc>
          <w:tcPr>
            <w:tcW w:w="8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Condor Borrower, LLC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04/25/2025</w:t>
            </w:r>
          </w:p>
        </w:tc>
        <w:tc>
          <w:tcPr>
            <w:tcW w:w="25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11.09%</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3M L+875</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12,500,000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12,271,734</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DecoPac, Inc.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03/31/2025</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84"/>
              </w:rPr>
              <w:t>Beverage, Food and Tobacco</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10.64%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L+825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23,024,259</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22,607,675</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23,024,259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Halo Buyer, Inc.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07/06/2026</w:t>
            </w:r>
          </w:p>
        </w:tc>
        <w:tc>
          <w:tcPr>
            <w:tcW w:w="25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10.49%</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L+825</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45,000,000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44,338,109</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Infogroup, Inc.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04/03/2024</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87"/>
              </w:rPr>
              <w:t>Other Media</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11.64%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L+925</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20,400,000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20,056,087</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20,400,000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Integrity Marketing Partners, LLC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01/02/2023</w:t>
            </w:r>
          </w:p>
        </w:tc>
        <w:tc>
          <w:tcPr>
            <w:tcW w:w="25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6"/>
              </w:rPr>
              <w:t>Banking, Finance, Insurance and Real Estate</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11.17%</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L+900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6,000,000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5,913,341</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03/01/2019</w:t>
            </w:r>
          </w:p>
        </w:tc>
        <w:tc>
          <w:tcPr>
            <w:tcW w:w="250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6"/>
              </w:rPr>
              <w:t>Cargo Transport</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11.00%</w:t>
            </w:r>
          </w:p>
        </w:tc>
        <w:tc>
          <w:tcPr>
            <w:tcW w:w="86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481,052</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447,988</w:t>
            </w:r>
          </w:p>
        </w:tc>
        <w:tc>
          <w:tcPr>
            <w:tcW w:w="7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481,052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5"/>
              </w:rPr>
              <w:t>(PIK 11.00%)</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MailSouth, Inc.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10/23/2024</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89"/>
              </w:rPr>
              <w:t>Printing and Publishing</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12.00%</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3M L+925</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48,425,000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47,496,549</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47,456,500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MBS Holdings, Inc.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01/02/2024</w:t>
            </w:r>
          </w:p>
        </w:tc>
        <w:tc>
          <w:tcPr>
            <w:tcW w:w="250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7"/>
              </w:rPr>
              <w:t>Telecommunications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10.60%</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L+850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15,000,000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14,710,035</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14,700,000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12/17/2021</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88"/>
              </w:rPr>
              <w:t>Hotels, Motels, Inns and Gaming</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14.39%</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w w:val="97"/>
              </w:rPr>
              <w:t>3M L+1,200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76,500,000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76,500,000</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80,904,325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Pathway Partners Vet Management LLC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10/10/2025</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10.24%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1M L+800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19,300,700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19,246,644</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19,107,693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10/10/2025</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78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4,699,300</w:t>
            </w: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(46,993)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PT Network, LLC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04/12/2023</w:t>
            </w:r>
          </w:p>
        </w:tc>
        <w:tc>
          <w:tcPr>
            <w:tcW w:w="25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12.34%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w w:val="97"/>
              </w:rPr>
              <w:t>3M L+1,000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41,666,667</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40,959,198</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41,250,000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Shift4 Payments, LLC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11/28/2025</w:t>
            </w:r>
          </w:p>
        </w:tc>
        <w:tc>
          <w:tcPr>
            <w:tcW w:w="25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10.84%</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3M L+850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37,000,000</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36,835,458</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36,768,750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VT Topco, Inc.</w:t>
            </w:r>
          </w:p>
        </w:tc>
        <w:tc>
          <w:tcPr>
            <w:tcW w:w="860" w:type="dxa"/>
            <w:vAlign w:val="bottom"/>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08/24/2026</w:t>
            </w:r>
          </w:p>
        </w:tc>
        <w:tc>
          <w:tcPr>
            <w:tcW w:w="250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9.34%</w:t>
            </w:r>
          </w:p>
        </w:tc>
        <w:tc>
          <w:tcPr>
            <w:tcW w:w="8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3M L+700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3"/>
              </w:rPr>
              <w:t>12,500,000</w:t>
            </w: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12,437,500</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12,500,000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580" w:type="dxa"/>
            <w:vAlign w:val="bottom"/>
          </w:tcPr>
          <w:p>
            <w:pPr>
              <w:spacing w:after="0" w:line="134" w:lineRule="exact"/>
              <w:rPr>
                <w:sz w:val="20"/>
                <w:szCs w:val="20"/>
                <w:color w:val="auto"/>
              </w:rPr>
            </w:pPr>
            <w:r>
              <w:rPr>
                <w:rFonts w:ascii="Arial" w:cs="Arial" w:eastAsia="Arial" w:hAnsi="Arial"/>
                <w:sz w:val="12"/>
                <w:szCs w:val="12"/>
                <w:color w:val="auto"/>
              </w:rPr>
              <w:t>Winter Park Intermediate, Inc.</w:t>
            </w:r>
          </w:p>
        </w:tc>
        <w:tc>
          <w:tcPr>
            <w:tcW w:w="86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04/03/2026</w:t>
            </w:r>
          </w:p>
        </w:tc>
        <w:tc>
          <w:tcPr>
            <w:tcW w:w="25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9"/>
              </w:rPr>
              <w:t>Auto Sector</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10.62%</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1M L+850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3"/>
              </w:rPr>
              <w:t>32,000,000</w:t>
            </w:r>
          </w:p>
        </w:tc>
        <w:tc>
          <w:tcPr>
            <w:tcW w:w="6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31,380,959</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31,680,000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Second Lien Secured Debt</w:t>
            </w:r>
          </w:p>
        </w:tc>
        <w:tc>
          <w:tcPr>
            <w:tcW w:w="8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8"/>
              </w:rPr>
              <w:t>385,201,277</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8"/>
              </w:rPr>
              <w:t>391,038,029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2240" w:h="15840" w:orient="portrait"/>
          <w:cols w:equalWidth="0" w:num="1">
            <w:col w:w="11060"/>
          </w:cols>
          <w:pgMar w:left="520" w:top="316" w:right="660"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Maturity /</w:t>
            </w:r>
          </w:p>
        </w:tc>
        <w:tc>
          <w:tcPr>
            <w:tcW w:w="244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92"/>
              </w:rPr>
              <w:t>Industry</w:t>
            </w:r>
          </w:p>
        </w:tc>
        <w:tc>
          <w:tcPr>
            <w:tcW w:w="840" w:type="dxa"/>
            <w:vAlign w:val="bottom"/>
            <w:gridSpan w:val="2"/>
          </w:tcPr>
          <w:p>
            <w:pPr>
              <w:jc w:val="right"/>
              <w:ind w:right="360"/>
              <w:spacing w:after="0" w:line="134" w:lineRule="exact"/>
              <w:rPr>
                <w:sz w:val="20"/>
                <w:szCs w:val="20"/>
                <w:color w:val="auto"/>
              </w:rPr>
            </w:pPr>
            <w:r>
              <w:rPr>
                <w:rFonts w:ascii="Arial" w:cs="Arial" w:eastAsia="Arial" w:hAnsi="Arial"/>
                <w:sz w:val="12"/>
                <w:szCs w:val="12"/>
                <w:b w:val="1"/>
                <w:bCs w:val="1"/>
                <w:color w:val="auto"/>
              </w:rPr>
              <w:t>Current</w:t>
            </w:r>
          </w:p>
        </w:tc>
        <w:tc>
          <w:tcPr>
            <w:tcW w:w="78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right"/>
              <w:ind w:right="400"/>
              <w:spacing w:after="0" w:line="134" w:lineRule="exact"/>
              <w:rPr>
                <w:sz w:val="20"/>
                <w:szCs w:val="20"/>
                <w:color w:val="auto"/>
              </w:rPr>
            </w:pPr>
            <w:r>
              <w:rPr>
                <w:rFonts w:ascii="Arial" w:cs="Arial" w:eastAsia="Arial" w:hAnsi="Arial"/>
                <w:sz w:val="12"/>
                <w:szCs w:val="12"/>
                <w:b w:val="1"/>
                <w:bCs w:val="1"/>
                <w:color w:val="auto"/>
              </w:rPr>
              <w:t>Par /</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Expiration</w:t>
            </w:r>
          </w:p>
        </w:tc>
        <w:tc>
          <w:tcPr>
            <w:tcW w:w="2440" w:type="dxa"/>
            <w:vAlign w:val="bottom"/>
            <w:gridSpan w:val="2"/>
            <w:vMerge w:val="continue"/>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70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Subordinated Debt/Corporate Notes—7.7%</w:t>
            </w: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00" w:type="dxa"/>
            <w:vAlign w:val="bottom"/>
          </w:tcPr>
          <w:p>
            <w:pPr>
              <w:spacing w:after="0" w:line="128" w:lineRule="exact"/>
              <w:rPr>
                <w:sz w:val="20"/>
                <w:szCs w:val="20"/>
                <w:color w:val="auto"/>
              </w:rPr>
            </w:pPr>
            <w:r>
              <w:rPr>
                <w:rFonts w:ascii="Arial" w:cs="Arial" w:eastAsia="Arial" w:hAnsi="Arial"/>
                <w:sz w:val="12"/>
                <w:szCs w:val="12"/>
                <w:color w:val="auto"/>
              </w:rPr>
              <w:t>Blackhawk Industrial Distribution, Inc.</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color w:val="auto"/>
              </w:rPr>
              <w:t>03/17/2025</w:t>
            </w:r>
          </w:p>
        </w:tc>
        <w:tc>
          <w:tcPr>
            <w:tcW w:w="2440" w:type="dxa"/>
            <w:vAlign w:val="bottom"/>
            <w:gridSpan w:val="2"/>
          </w:tcPr>
          <w:p>
            <w:pPr>
              <w:jc w:val="center"/>
              <w:ind w:right="40"/>
              <w:spacing w:after="0" w:line="128" w:lineRule="exact"/>
              <w:rPr>
                <w:sz w:val="20"/>
                <w:szCs w:val="20"/>
                <w:color w:val="auto"/>
              </w:rPr>
            </w:pPr>
            <w:r>
              <w:rPr>
                <w:rFonts w:ascii="Arial" w:cs="Arial" w:eastAsia="Arial" w:hAnsi="Arial"/>
                <w:sz w:val="12"/>
                <w:szCs w:val="12"/>
                <w:color w:val="auto"/>
                <w:w w:val="93"/>
              </w:rPr>
              <w:t>Distribution</w:t>
            </w:r>
          </w:p>
        </w:tc>
        <w:tc>
          <w:tcPr>
            <w:tcW w:w="84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12.00%</w:t>
            </w:r>
          </w:p>
        </w:tc>
        <w:tc>
          <w:tcPr>
            <w:tcW w:w="780" w:type="dxa"/>
            <w:vAlign w:val="bottom"/>
            <w:gridSpan w:val="2"/>
          </w:tcPr>
          <w:p>
            <w:pPr>
              <w:ind w:left="460"/>
              <w:spacing w:after="0" w:line="128"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w w:val="89"/>
              </w:rPr>
              <w:t>13,500,000</w:t>
            </w:r>
          </w:p>
        </w:tc>
        <w:tc>
          <w:tcPr>
            <w:tcW w:w="90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  13,230,411</w:t>
            </w:r>
          </w:p>
        </w:tc>
        <w:tc>
          <w:tcPr>
            <w:tcW w:w="7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w w:val="87"/>
              </w:rPr>
              <w:t>$  13,230,000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(PIK 2.00%)</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Cascade Environmental LLC</w:t>
            </w:r>
          </w:p>
        </w:tc>
        <w:tc>
          <w:tcPr>
            <w:tcW w:w="740" w:type="dxa"/>
            <w:vAlign w:val="bottom"/>
            <w:gridSpan w:val="2"/>
            <w:shd w:val="clear" w:color="auto" w:fill="CCEEFF"/>
          </w:tcPr>
          <w:p>
            <w:pPr>
              <w:ind w:left="60"/>
              <w:spacing w:after="0" w:line="134" w:lineRule="exact"/>
              <w:rPr>
                <w:sz w:val="20"/>
                <w:szCs w:val="20"/>
                <w:color w:val="auto"/>
              </w:rPr>
            </w:pPr>
            <w:r>
              <w:rPr>
                <w:rFonts w:ascii="Arial" w:cs="Arial" w:eastAsia="Arial" w:hAnsi="Arial"/>
                <w:sz w:val="12"/>
                <w:szCs w:val="12"/>
                <w:color w:val="auto"/>
              </w:rPr>
              <w:t>08/20/2021</w:t>
            </w:r>
          </w:p>
        </w:tc>
        <w:tc>
          <w:tcPr>
            <w:tcW w:w="244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7"/>
              </w:rPr>
              <w:t>Environmental Services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15.00%</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w w:val="89"/>
              </w:rPr>
              <w:t>35,792,396</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35,386,702</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34,897,586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4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5"/>
              </w:rPr>
              <w:t>(PIK 13.00%)</w:t>
            </w:r>
          </w:p>
        </w:tc>
        <w:tc>
          <w:tcPr>
            <w:tcW w:w="6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48,617,113</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48,127,586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AH Holdings, Inc.</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6.00%</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211</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500,000</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396,898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36,450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546,750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565,339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4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556,000</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64,277</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64,277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556,000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491,723</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491,723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HW Holdco, LLC</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7"/>
              </w:rPr>
              <w:t>Other Media</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8.00%</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3,591</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ind w:right="2"/>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25,771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Preferred Equity/Partnership Interests</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1,602,750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1,544,008</w:t>
            </w:r>
          </w:p>
        </w:tc>
        <w:tc>
          <w:tcPr>
            <w:tcW w:w="0" w:type="dxa"/>
            <w:vAlign w:val="bottom"/>
          </w:tcPr>
          <w:p>
            <w:pPr>
              <w:spacing w:after="0"/>
              <w:rPr>
                <w:sz w:val="1"/>
                <w:szCs w:val="1"/>
                <w:color w:val="auto"/>
              </w:rPr>
            </w:pPr>
          </w:p>
        </w:tc>
      </w:tr>
      <w:tr>
        <w:trPr>
          <w:trHeight w:val="141"/>
        </w:trPr>
        <w:tc>
          <w:tcPr>
            <w:tcW w:w="37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Equity/Partnership Interests/Warrants—7.0% </w:t>
            </w:r>
            <w:r>
              <w:rPr>
                <w:rFonts w:ascii="Arial" w:cs="Arial" w:eastAsia="Arial" w:hAnsi="Arial"/>
                <w:sz w:val="9"/>
                <w:szCs w:val="9"/>
                <w:b w:val="1"/>
                <w:bCs w:val="1"/>
                <w:color w:val="auto"/>
              </w:rPr>
              <w:t>(6)</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AH Holdings, Inc. (Warrants)</w:t>
            </w:r>
          </w:p>
        </w:tc>
        <w:tc>
          <w:tcPr>
            <w:tcW w:w="740" w:type="dxa"/>
            <w:vAlign w:val="bottom"/>
            <w:gridSpan w:val="2"/>
            <w:shd w:val="clear" w:color="auto" w:fill="CCEEFF"/>
          </w:tcPr>
          <w:p>
            <w:pPr>
              <w:ind w:left="60"/>
              <w:spacing w:after="0" w:line="134" w:lineRule="exact"/>
              <w:rPr>
                <w:sz w:val="20"/>
                <w:szCs w:val="20"/>
                <w:color w:val="auto"/>
              </w:rPr>
            </w:pPr>
            <w:r>
              <w:rPr>
                <w:rFonts w:ascii="Arial" w:cs="Arial" w:eastAsia="Arial" w:hAnsi="Arial"/>
                <w:sz w:val="12"/>
                <w:szCs w:val="12"/>
                <w:color w:val="auto"/>
              </w:rPr>
              <w:t>03/23/2021</w:t>
            </w:r>
          </w:p>
        </w:tc>
        <w:tc>
          <w:tcPr>
            <w:tcW w:w="244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753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ASP LCG Holdings, Inc. (Warrants)</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color w:val="auto"/>
              </w:rPr>
              <w:t>05/05/2026</w:t>
            </w:r>
          </w:p>
        </w:tc>
        <w:tc>
          <w:tcPr>
            <w:tcW w:w="244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6"/>
              </w:rPr>
              <w:t>Education</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933</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586,975</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1,651,653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Autumn Games, LLC</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7"/>
              </w:rPr>
              <w:t>Broadcasting and Entertainment</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1,333,330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3,000,000</w:t>
            </w:r>
          </w:p>
        </w:tc>
        <w:tc>
          <w:tcPr>
            <w:tcW w:w="700" w:type="dxa"/>
            <w:vAlign w:val="bottom"/>
            <w:gridSpan w:val="2"/>
            <w:shd w:val="clear" w:color="auto" w:fill="CCEEFF"/>
          </w:tcPr>
          <w:p>
            <w:pPr>
              <w:ind w:left="4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w w:val="93"/>
              </w:rPr>
              <w:t xml:space="preserve">Cardinal Logistics Holdings LLC (Intermediate Transportation 100, LLC) </w:t>
            </w:r>
            <w:r>
              <w:rPr>
                <w:rFonts w:ascii="Arial" w:cs="Arial" w:eastAsia="Arial" w:hAnsi="Arial"/>
                <w:sz w:val="9"/>
                <w:szCs w:val="9"/>
                <w:color w:val="auto"/>
                <w:w w:val="93"/>
              </w:rPr>
              <w:t>(9)</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40"/>
              <w:spacing w:after="0" w:line="134" w:lineRule="exact"/>
              <w:rPr>
                <w:sz w:val="20"/>
                <w:szCs w:val="20"/>
                <w:color w:val="auto"/>
              </w:rPr>
            </w:pPr>
            <w:r>
              <w:rPr>
                <w:rFonts w:ascii="Arial" w:cs="Arial" w:eastAsia="Arial" w:hAnsi="Arial"/>
                <w:sz w:val="12"/>
                <w:szCs w:val="12"/>
                <w:color w:val="auto"/>
                <w:w w:val="86"/>
              </w:rPr>
              <w:t>Cargo Transport</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(13)</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5,411,024</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2,776,777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7"/>
              </w:rPr>
              <w:t>Environmental Services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33,901</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2,852,080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1,186,539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 xml:space="preserve">CI (Allied) Investment Holdings, LLC (Allied America, Inc.) </w:t>
            </w:r>
            <w:r>
              <w:rPr>
                <w:rFonts w:ascii="Arial" w:cs="Arial" w:eastAsia="Arial" w:hAnsi="Arial"/>
                <w:sz w:val="9"/>
                <w:szCs w:val="9"/>
                <w:color w:val="auto"/>
              </w:rPr>
              <w:t>(9)</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4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84,000</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840,004</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957,866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333,333</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5,000,000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5,000,000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CI (Summit) Investment Holdings LLC (SFP Holdings, Inc.)</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40"/>
              <w:spacing w:after="0" w:line="134"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100,000</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1,000,000</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1,245,827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Cowboy Parent LLC (Blackhawk Industrial Distribution, Inc.)</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2"/>
                <w:szCs w:val="12"/>
                <w:color w:val="auto"/>
                <w:w w:val="93"/>
              </w:rPr>
              <w:t>Distribution</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2,250,000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2,250,000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2,250,000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DecoPac Holdings Inc.</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4"/>
              </w:rPr>
              <w:t>Beverage, Food and Tobacco</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3,449</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3,448,658</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4,165,759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8"/>
              </w:rPr>
              <w:t>Financial Services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80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800,000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1,049,378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Faraday Holdings, LLC</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40"/>
              <w:spacing w:after="0" w:line="134"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4,277</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217,635</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1,147,011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Green Veracity Holdings, LP—Class A (VT Topco, Inc.)</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15,000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1,500,000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1,500,000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HW Holdco, LLC</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7"/>
              </w:rPr>
              <w:t>Other Media</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388,378</w:t>
            </w: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2,787,265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Infogroup Parent Holdings, Inc.</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7"/>
              </w:rPr>
              <w:t>Other Media</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181,495</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2,040,000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2,167,874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204,985</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2,049,849</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3,654,472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JWC-WE Holdings, L.P. (Walker Edison Furniture Company LLC)</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8"/>
              </w:rPr>
              <w:t>Home and Office Furnishings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1,906,433</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1,906,433</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1,906,433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252,014</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2,265,639</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841,727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2"/>
                <w:szCs w:val="12"/>
                <w:color w:val="auto"/>
                <w:w w:val="93"/>
              </w:rPr>
              <w:t>Distribution</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19</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493,280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522,889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87"/>
              </w:rPr>
              <w:t>Environmental Services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1,148,703</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1,158,703</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672,195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SSC Dominion Holdings, LLC Class A (US Dominion, Inc.)</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2"/>
                <w:szCs w:val="12"/>
                <w:color w:val="auto"/>
                <w:w w:val="88"/>
              </w:rPr>
              <w:t>Electronics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1,500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1,500,000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1,500,000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SSC Dominion Holdings, LLC Class B (US Dominion, Inc.)</w:t>
            </w:r>
          </w:p>
        </w:tc>
        <w:tc>
          <w:tcPr>
            <w:tcW w:w="74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40"/>
              <w:spacing w:after="0" w:line="134" w:lineRule="exact"/>
              <w:rPr>
                <w:sz w:val="20"/>
                <w:szCs w:val="20"/>
                <w:color w:val="auto"/>
              </w:rPr>
            </w:pPr>
            <w:r>
              <w:rPr>
                <w:rFonts w:ascii="Arial" w:cs="Arial" w:eastAsia="Arial" w:hAnsi="Arial"/>
                <w:sz w:val="12"/>
                <w:szCs w:val="12"/>
                <w:color w:val="auto"/>
                <w:w w:val="88"/>
              </w:rPr>
              <w:t>Electronics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1,500</w:t>
            </w: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WBB Equity, LLC (Whitney, Bradley &amp; Brown, Inc.) </w:t>
            </w:r>
            <w:r>
              <w:rPr>
                <w:rFonts w:ascii="Arial" w:cs="Arial" w:eastAsia="Arial" w:hAnsi="Arial"/>
                <w:sz w:val="9"/>
                <w:szCs w:val="9"/>
                <w:color w:val="auto"/>
              </w:rPr>
              <w:t>(9)</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5"/>
              </w:rPr>
              <w:t>Aerospace and Defense</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628,571</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628,571</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1,181,714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Wheel Pros Holdings, L.P. (Winter Park Intermediate, Inc.)</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40" w:type="dxa"/>
            <w:vAlign w:val="bottom"/>
            <w:gridSpan w:val="2"/>
          </w:tcPr>
          <w:p>
            <w:pPr>
              <w:jc w:val="center"/>
              <w:ind w:right="40"/>
              <w:spacing w:after="0" w:line="134" w:lineRule="exact"/>
              <w:rPr>
                <w:sz w:val="20"/>
                <w:szCs w:val="20"/>
                <w:color w:val="auto"/>
              </w:rPr>
            </w:pPr>
            <w:r>
              <w:rPr>
                <w:rFonts w:ascii="Arial" w:cs="Arial" w:eastAsia="Arial" w:hAnsi="Arial"/>
                <w:sz w:val="12"/>
                <w:szCs w:val="12"/>
                <w:color w:val="auto"/>
                <w:w w:val="89"/>
              </w:rPr>
              <w:t>Auto Sector</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3,200,000</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3,200,000</w:t>
            </w:r>
          </w:p>
        </w:tc>
        <w:tc>
          <w:tcPr>
            <w:tcW w:w="7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4,513,118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(9)</w:t>
            </w:r>
          </w:p>
        </w:tc>
        <w:tc>
          <w:tcPr>
            <w:tcW w:w="74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86"/>
              </w:rPr>
              <w:t>Personal, Food and Miscellaneous Services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856</w:t>
            </w: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855,515</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1,035,599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72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43,004,366</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43,714,096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89"/>
              </w:rPr>
              <w:t>Total Investments in Non-Controlled, Non-Affiliated Portfolio Companies</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896,720,950</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5"/>
              </w:rPr>
              <w:t>905,271,258</w:t>
            </w:r>
          </w:p>
        </w:tc>
        <w:tc>
          <w:tcPr>
            <w:tcW w:w="0" w:type="dxa"/>
            <w:vAlign w:val="bottom"/>
          </w:tcPr>
          <w:p>
            <w:pPr>
              <w:spacing w:after="0"/>
              <w:rPr>
                <w:sz w:val="1"/>
                <w:szCs w:val="1"/>
                <w:color w:val="auto"/>
              </w:rPr>
            </w:pPr>
          </w:p>
        </w:tc>
      </w:tr>
      <w:tr>
        <w:trPr>
          <w:trHeight w:val="141"/>
        </w:trPr>
        <w:tc>
          <w:tcPr>
            <w:tcW w:w="4460" w:type="dxa"/>
            <w:vAlign w:val="bottom"/>
            <w:gridSpan w:val="4"/>
          </w:tcPr>
          <w:p>
            <w:pPr>
              <w:spacing w:after="0"/>
              <w:rPr>
                <w:sz w:val="20"/>
                <w:szCs w:val="20"/>
                <w:color w:val="auto"/>
              </w:rPr>
            </w:pPr>
            <w:r>
              <w:rPr>
                <w:rFonts w:ascii="Arial" w:cs="Arial" w:eastAsia="Arial" w:hAnsi="Arial"/>
                <w:sz w:val="12"/>
                <w:szCs w:val="12"/>
                <w:b w:val="1"/>
                <w:bCs w:val="1"/>
                <w:color w:val="auto"/>
              </w:rPr>
              <w:t xml:space="preserve">Investments in Non-Controlled, Affiliated Portfolio Companies—12.4% </w:t>
            </w:r>
            <w:r>
              <w:rPr>
                <w:rFonts w:ascii="Arial" w:cs="Arial" w:eastAsia="Arial" w:hAnsi="Arial"/>
                <w:sz w:val="9"/>
                <w:szCs w:val="9"/>
                <w:b w:val="1"/>
                <w:bCs w:val="1"/>
                <w:color w:val="auto"/>
              </w:rPr>
              <w:t>(1), (2)</w:t>
            </w: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First Lien Secured Debt—1.9%</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00" w:type="dxa"/>
            <w:vAlign w:val="bottom"/>
          </w:tcPr>
          <w:p>
            <w:pPr>
              <w:spacing w:after="0" w:line="128" w:lineRule="exact"/>
              <w:rPr>
                <w:sz w:val="20"/>
                <w:szCs w:val="20"/>
                <w:color w:val="auto"/>
              </w:rPr>
            </w:pPr>
            <w:r>
              <w:rPr>
                <w:rFonts w:ascii="Arial" w:cs="Arial" w:eastAsia="Arial" w:hAnsi="Arial"/>
                <w:sz w:val="12"/>
                <w:szCs w:val="12"/>
                <w:color w:val="auto"/>
              </w:rPr>
              <w:t>U.S. Well Services, LLC</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color w:val="auto"/>
              </w:rPr>
              <w:t>02/02/2022</w:t>
            </w:r>
          </w:p>
        </w:tc>
        <w:tc>
          <w:tcPr>
            <w:tcW w:w="2440" w:type="dxa"/>
            <w:vAlign w:val="bottom"/>
            <w:gridSpan w:val="2"/>
          </w:tcPr>
          <w:p>
            <w:pPr>
              <w:jc w:val="center"/>
              <w:ind w:right="40"/>
              <w:spacing w:after="0" w:line="128" w:lineRule="exact"/>
              <w:rPr>
                <w:sz w:val="20"/>
                <w:szCs w:val="20"/>
                <w:color w:val="auto"/>
              </w:rPr>
            </w:pPr>
            <w:r>
              <w:rPr>
                <w:rFonts w:ascii="Arial" w:cs="Arial" w:eastAsia="Arial" w:hAnsi="Arial"/>
                <w:sz w:val="12"/>
                <w:szCs w:val="12"/>
                <w:color w:val="auto"/>
                <w:w w:val="88"/>
              </w:rPr>
              <w:t>Oil and Gas</w:t>
            </w:r>
          </w:p>
        </w:tc>
        <w:tc>
          <w:tcPr>
            <w:tcW w:w="84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13.08%</w:t>
            </w:r>
          </w:p>
        </w:tc>
        <w:tc>
          <w:tcPr>
            <w:tcW w:w="7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w w:val="97"/>
              </w:rPr>
              <w:t>1M L+1,100</w:t>
            </w:r>
          </w:p>
        </w:tc>
        <w:tc>
          <w:tcPr>
            <w:tcW w:w="80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w w:val="89"/>
              </w:rPr>
              <w:t>10,160,537</w:t>
            </w:r>
          </w:p>
        </w:tc>
        <w:tc>
          <w:tcPr>
            <w:tcW w:w="90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10,098,625</w:t>
            </w:r>
          </w:p>
        </w:tc>
        <w:tc>
          <w:tcPr>
            <w:tcW w:w="7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10,160,537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w w:val="95"/>
              </w:rPr>
              <w:t>(PIK 13.08%)</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U.S. Well Services, LLC (Revolver)</w:t>
            </w:r>
          </w:p>
        </w:tc>
        <w:tc>
          <w:tcPr>
            <w:tcW w:w="740" w:type="dxa"/>
            <w:vAlign w:val="bottom"/>
            <w:gridSpan w:val="2"/>
            <w:shd w:val="clear" w:color="auto" w:fill="CCEEFF"/>
          </w:tcPr>
          <w:p>
            <w:pPr>
              <w:ind w:left="60"/>
              <w:spacing w:after="0" w:line="134" w:lineRule="exact"/>
              <w:rPr>
                <w:sz w:val="20"/>
                <w:szCs w:val="20"/>
                <w:color w:val="auto"/>
              </w:rPr>
            </w:pPr>
            <w:r>
              <w:rPr>
                <w:rFonts w:ascii="Arial" w:cs="Arial" w:eastAsia="Arial" w:hAnsi="Arial"/>
                <w:sz w:val="12"/>
                <w:szCs w:val="12"/>
                <w:color w:val="auto"/>
              </w:rPr>
              <w:t>02/02/2022</w:t>
            </w:r>
          </w:p>
        </w:tc>
        <w:tc>
          <w:tcPr>
            <w:tcW w:w="244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2"/>
                <w:szCs w:val="12"/>
                <w:color w:val="auto"/>
                <w:w w:val="88"/>
              </w:rPr>
              <w:t>Oil and Gas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8.08%</w:t>
            </w:r>
          </w:p>
        </w:tc>
        <w:tc>
          <w:tcPr>
            <w:tcW w:w="7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1M L+600</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1,680,528</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1,680,528</w:t>
            </w:r>
          </w:p>
        </w:tc>
        <w:tc>
          <w:tcPr>
            <w:tcW w:w="7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1,680,528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00" w:type="dxa"/>
            <w:vAlign w:val="bottom"/>
          </w:tcPr>
          <w:p>
            <w:pPr>
              <w:spacing w:after="0" w:line="134"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color w:val="auto"/>
              </w:rPr>
              <w:t>02/02/2022</w:t>
            </w:r>
          </w:p>
        </w:tc>
        <w:tc>
          <w:tcPr>
            <w:tcW w:w="2440" w:type="dxa"/>
            <w:vAlign w:val="bottom"/>
            <w:gridSpan w:val="2"/>
          </w:tcPr>
          <w:p>
            <w:pPr>
              <w:jc w:val="center"/>
              <w:ind w:right="40"/>
              <w:spacing w:after="0" w:line="134" w:lineRule="exact"/>
              <w:rPr>
                <w:sz w:val="20"/>
                <w:szCs w:val="20"/>
                <w:color w:val="auto"/>
              </w:rPr>
            </w:pPr>
            <w:r>
              <w:rPr>
                <w:rFonts w:ascii="Arial" w:cs="Arial" w:eastAsia="Arial" w:hAnsi="Arial"/>
                <w:sz w:val="12"/>
                <w:szCs w:val="12"/>
                <w:color w:val="auto"/>
                <w:w w:val="88"/>
              </w:rPr>
              <w:t>Oil and Gas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511,893</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ind w:right="2"/>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Borders>
              <w:bottom w:val="single" w:sz="8" w:color="auto"/>
            </w:tcBorders>
          </w:tcPr>
          <w:p>
            <w:pPr>
              <w:ind w:left="480"/>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11,779,153</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11,841,065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2240" w:h="15840" w:orient="portrait"/>
          <w:cols w:equalWidth="0" w:num="1">
            <w:col w:w="11060"/>
          </w:cols>
          <w:pgMar w:left="520" w:top="316" w:right="660"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5"/>
              </w:rPr>
              <w:t>Basis Point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tcPr>
          <w:p>
            <w:pPr>
              <w:jc w:val="center"/>
              <w:ind w:right="60"/>
              <w:spacing w:after="0" w:line="134" w:lineRule="exact"/>
              <w:rPr>
                <w:sz w:val="20"/>
                <w:szCs w:val="20"/>
                <w:color w:val="auto"/>
              </w:rPr>
            </w:pPr>
            <w:r>
              <w:rPr>
                <w:rFonts w:ascii="Arial" w:cs="Arial" w:eastAsia="Arial" w:hAnsi="Arial"/>
                <w:sz w:val="12"/>
                <w:szCs w:val="12"/>
                <w:b w:val="1"/>
                <w:bCs w:val="1"/>
                <w:color w:val="auto"/>
                <w:w w:val="88"/>
              </w:rPr>
              <w:t>Spread</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Maturity /</w:t>
            </w:r>
          </w:p>
        </w:tc>
        <w:tc>
          <w:tcPr>
            <w:tcW w:w="24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800" w:type="dxa"/>
            <w:vAlign w:val="bottom"/>
            <w:gridSpan w:val="2"/>
          </w:tcPr>
          <w:p>
            <w:pPr>
              <w:jc w:val="right"/>
              <w:ind w:right="340"/>
              <w:spacing w:after="0" w:line="134" w:lineRule="exact"/>
              <w:rPr>
                <w:sz w:val="20"/>
                <w:szCs w:val="20"/>
                <w:color w:val="auto"/>
              </w:rPr>
            </w:pPr>
            <w:r>
              <w:rPr>
                <w:rFonts w:ascii="Arial" w:cs="Arial" w:eastAsia="Arial" w:hAnsi="Arial"/>
                <w:sz w:val="12"/>
                <w:szCs w:val="12"/>
                <w:b w:val="1"/>
                <w:bCs w:val="1"/>
                <w:color w:val="auto"/>
              </w:rPr>
              <w:t>Current</w:t>
            </w:r>
          </w:p>
        </w:tc>
        <w:tc>
          <w:tcPr>
            <w:tcW w:w="660" w:type="dxa"/>
            <w:vAlign w:val="bottom"/>
            <w:gridSpan w:val="2"/>
          </w:tcPr>
          <w:p>
            <w:pPr>
              <w:jc w:val="center"/>
              <w:ind w:right="60"/>
              <w:spacing w:after="0" w:line="134" w:lineRule="exact"/>
              <w:rPr>
                <w:sz w:val="20"/>
                <w:szCs w:val="20"/>
                <w:color w:val="auto"/>
              </w:rPr>
            </w:pPr>
            <w:r>
              <w:rPr>
                <w:rFonts w:ascii="Arial" w:cs="Arial" w:eastAsia="Arial" w:hAnsi="Arial"/>
                <w:sz w:val="12"/>
                <w:szCs w:val="12"/>
                <w:b w:val="1"/>
                <w:bCs w:val="1"/>
                <w:color w:val="auto"/>
                <w:w w:val="87"/>
              </w:rPr>
              <w:t>Above</w:t>
            </w:r>
          </w:p>
        </w:tc>
        <w:tc>
          <w:tcPr>
            <w:tcW w:w="80" w:type="dxa"/>
            <w:vAlign w:val="bottom"/>
          </w:tcPr>
          <w:p>
            <w:pPr>
              <w:spacing w:after="0"/>
              <w:rPr>
                <w:sz w:val="11"/>
                <w:szCs w:val="11"/>
                <w:color w:val="auto"/>
              </w:rPr>
            </w:pPr>
          </w:p>
        </w:tc>
        <w:tc>
          <w:tcPr>
            <w:tcW w:w="680" w:type="dxa"/>
            <w:vAlign w:val="bottom"/>
            <w:gridSpan w:val="2"/>
          </w:tcPr>
          <w:p>
            <w:pPr>
              <w:jc w:val="center"/>
              <w:ind w:right="80"/>
              <w:spacing w:after="0" w:line="134"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40" w:type="dxa"/>
            <w:vAlign w:val="bottom"/>
            <w:gridSpan w:val="2"/>
            <w:vMerge w:val="continue"/>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2480" w:type="dxa"/>
            <w:vAlign w:val="bottom"/>
            <w:gridSpan w:val="2"/>
            <w:vMerge w:val="continue"/>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6"/>
              </w:rPr>
              <w:t>Coupon</w:t>
            </w:r>
          </w:p>
        </w:tc>
        <w:tc>
          <w:tcPr>
            <w:tcW w:w="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 w:type="dxa"/>
            <w:vAlign w:val="bottom"/>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42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 xml:space="preserve">Common Equity/Partnership Interests/Warrants—10.5% </w:t>
            </w:r>
            <w:r>
              <w:rPr>
                <w:rFonts w:ascii="Arial" w:cs="Arial" w:eastAsia="Arial" w:hAnsi="Arial"/>
                <w:sz w:val="9"/>
                <w:szCs w:val="9"/>
                <w:b w:val="1"/>
                <w:bCs w:val="1"/>
                <w:color w:val="auto"/>
              </w:rPr>
              <w:t>(6)</w:t>
            </w:r>
          </w:p>
        </w:tc>
        <w:tc>
          <w:tcPr>
            <w:tcW w:w="900" w:type="dxa"/>
            <w:vAlign w:val="bottom"/>
            <w:tcBorders>
              <w:top w:val="single" w:sz="8" w:color="auto"/>
            </w:tcBorders>
            <w:shd w:val="clear" w:color="auto" w:fill="CCEEFF"/>
          </w:tcPr>
          <w:p>
            <w:pPr>
              <w:spacing w:after="0"/>
              <w:rPr>
                <w:sz w:val="11"/>
                <w:szCs w:val="11"/>
                <w:color w:val="auto"/>
              </w:rPr>
            </w:pPr>
          </w:p>
        </w:tc>
        <w:tc>
          <w:tcPr>
            <w:tcW w:w="2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Affinion Group Holdings, Inc.</w:t>
            </w:r>
          </w:p>
        </w:tc>
        <w:tc>
          <w:tcPr>
            <w:tcW w:w="900" w:type="dxa"/>
            <w:vAlign w:val="bottom"/>
          </w:tcPr>
          <w:p>
            <w:pPr>
              <w:ind w:left="440"/>
              <w:spacing w:after="0" w:line="134"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859,496</w:t>
            </w:r>
          </w:p>
        </w:tc>
        <w:tc>
          <w:tcPr>
            <w:tcW w:w="1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30,503,493</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auto"/>
              </w:rPr>
              <w:t>18,137,081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Affinion Group Holdings, Inc., Series C and Series D</w:t>
            </w:r>
          </w:p>
        </w:tc>
        <w:tc>
          <w:tcPr>
            <w:tcW w:w="90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37,181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10,265,973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29,841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Big Run, Inc.</w:t>
            </w:r>
          </w:p>
        </w:tc>
        <w:tc>
          <w:tcPr>
            <w:tcW w:w="900" w:type="dxa"/>
            <w:vAlign w:val="bottom"/>
          </w:tcPr>
          <w:p>
            <w:pPr>
              <w:ind w:left="440"/>
              <w:spacing w:after="0" w:line="134"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88"/>
              </w:rPr>
              <w:t>Environmental Services</w:t>
            </w:r>
          </w:p>
        </w:tc>
        <w:tc>
          <w:tcPr>
            <w:tcW w:w="80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143,668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674,943</w:t>
            </w:r>
          </w:p>
        </w:tc>
        <w:tc>
          <w:tcPr>
            <w:tcW w:w="60" w:type="dxa"/>
            <w:vAlign w:val="bottom"/>
          </w:tcPr>
          <w:p>
            <w:pPr>
              <w:spacing w:after="0"/>
              <w:rPr>
                <w:sz w:val="11"/>
                <w:szCs w:val="11"/>
                <w:color w:val="auto"/>
              </w:rPr>
            </w:pPr>
          </w:p>
        </w:tc>
        <w:tc>
          <w:tcPr>
            <w:tcW w:w="8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397,025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0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88"/>
              </w:rPr>
              <w:t>Oil and Gas</w:t>
            </w:r>
          </w:p>
        </w:tc>
        <w:tc>
          <w:tcPr>
            <w:tcW w:w="80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1,658,389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29,711,576</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33,040,294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ETX Energy Management Company, LLC</w:t>
            </w:r>
          </w:p>
        </w:tc>
        <w:tc>
          <w:tcPr>
            <w:tcW w:w="900" w:type="dxa"/>
            <w:vAlign w:val="bottom"/>
          </w:tcPr>
          <w:p>
            <w:pPr>
              <w:ind w:left="440"/>
              <w:spacing w:after="0" w:line="134"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88"/>
              </w:rPr>
              <w:t>Oil and Gas</w:t>
            </w:r>
          </w:p>
        </w:tc>
        <w:tc>
          <w:tcPr>
            <w:tcW w:w="80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1,754,104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1,562,020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auto"/>
              </w:rPr>
              <w:t>1,761,079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USWS Holdings, LLC—Class A and Class B </w:t>
            </w:r>
            <w:r>
              <w:rPr>
                <w:rFonts w:ascii="Arial" w:cs="Arial" w:eastAsia="Arial" w:hAnsi="Arial"/>
                <w:sz w:val="9"/>
                <w:szCs w:val="9"/>
                <w:color w:val="auto"/>
              </w:rPr>
              <w:t>(9)</w:t>
            </w:r>
          </w:p>
        </w:tc>
        <w:tc>
          <w:tcPr>
            <w:tcW w:w="90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88"/>
              </w:rPr>
              <w:t>Oil and Gas</w:t>
            </w:r>
          </w:p>
        </w:tc>
        <w:tc>
          <w:tcPr>
            <w:tcW w:w="80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8,190,817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7,023,750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12,871,946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79,741,755</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66,237,266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88"/>
              </w:rPr>
              <w:t>Total Investments in Non-Controlled, Affiliated Portfolio Companies</w:t>
            </w:r>
          </w:p>
        </w:tc>
        <w:tc>
          <w:tcPr>
            <w:tcW w:w="9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91,520,908</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78,078,331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Companies—23.6% </w:t>
            </w:r>
            <w:r>
              <w:rPr>
                <w:rFonts w:ascii="Arial" w:cs="Arial" w:eastAsia="Arial" w:hAnsi="Arial"/>
                <w:sz w:val="9"/>
                <w:szCs w:val="9"/>
                <w:b w:val="1"/>
                <w:bCs w:val="1"/>
                <w:color w:val="auto"/>
              </w:rPr>
              <w:t>(1), (2)</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First Lien Secured Debt—15.7%</w:t>
            </w:r>
          </w:p>
        </w:tc>
        <w:tc>
          <w:tcPr>
            <w:tcW w:w="9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00" w:type="dxa"/>
            <w:vAlign w:val="bottom"/>
          </w:tcPr>
          <w:p>
            <w:pPr>
              <w:ind w:left="100"/>
              <w:spacing w:after="0" w:line="134" w:lineRule="exact"/>
              <w:rPr>
                <w:sz w:val="20"/>
                <w:szCs w:val="20"/>
                <w:color w:val="auto"/>
              </w:rPr>
            </w:pPr>
            <w:r>
              <w:rPr>
                <w:rFonts w:ascii="Arial" w:cs="Arial" w:eastAsia="Arial" w:hAnsi="Arial"/>
                <w:sz w:val="12"/>
                <w:szCs w:val="12"/>
                <w:color w:val="auto"/>
              </w:rPr>
              <w:t>03/13/2024</w:t>
            </w:r>
          </w:p>
        </w:tc>
        <w:tc>
          <w:tcPr>
            <w:tcW w:w="24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6.55%</w:t>
            </w:r>
          </w:p>
        </w:tc>
        <w:tc>
          <w:tcPr>
            <w:tcW w:w="660" w:type="dxa"/>
            <w:vAlign w:val="bottom"/>
            <w:gridSpan w:val="2"/>
          </w:tcPr>
          <w:p>
            <w:pPr>
              <w:ind w:left="100"/>
              <w:spacing w:after="0" w:line="134" w:lineRule="exact"/>
              <w:rPr>
                <w:sz w:val="20"/>
                <w:szCs w:val="20"/>
                <w:color w:val="auto"/>
              </w:rPr>
            </w:pPr>
            <w:r>
              <w:rPr>
                <w:rFonts w:ascii="Arial" w:cs="Arial" w:eastAsia="Arial" w:hAnsi="Arial"/>
                <w:sz w:val="12"/>
                <w:szCs w:val="12"/>
                <w:color w:val="auto"/>
              </w:rPr>
              <w:t>3M L+575</w:t>
            </w:r>
          </w:p>
        </w:tc>
        <w:tc>
          <w:tcPr>
            <w:tcW w:w="700" w:type="dxa"/>
            <w:vAlign w:val="bottom"/>
            <w:gridSpan w:val="2"/>
          </w:tcPr>
          <w:p>
            <w:pPr>
              <w:jc w:val="right"/>
              <w:spacing w:after="0" w:line="134" w:lineRule="exact"/>
              <w:rPr>
                <w:sz w:val="20"/>
                <w:szCs w:val="20"/>
                <w:color w:val="auto"/>
              </w:rPr>
            </w:pPr>
            <w:r>
              <w:rPr>
                <w:rFonts w:ascii="Arial" w:cs="Arial" w:eastAsia="Arial" w:hAnsi="Arial"/>
                <w:sz w:val="12"/>
                <w:szCs w:val="12"/>
                <w:color w:val="auto"/>
                <w:w w:val="96"/>
              </w:rPr>
              <w:t>£ 28,000,000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39,051,600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auto"/>
              </w:rPr>
              <w:t>36,513,484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RAM Energy LLC</w:t>
            </w:r>
          </w:p>
        </w:tc>
        <w:tc>
          <w:tcPr>
            <w:tcW w:w="900" w:type="dxa"/>
            <w:vAlign w:val="bottom"/>
            <w:shd w:val="clear" w:color="auto" w:fill="CCEEFF"/>
          </w:tcPr>
          <w:p>
            <w:pPr>
              <w:ind w:left="100"/>
              <w:spacing w:after="0" w:line="134" w:lineRule="exact"/>
              <w:rPr>
                <w:sz w:val="20"/>
                <w:szCs w:val="20"/>
                <w:color w:val="auto"/>
              </w:rPr>
            </w:pPr>
            <w:r>
              <w:rPr>
                <w:rFonts w:ascii="Arial" w:cs="Arial" w:eastAsia="Arial" w:hAnsi="Arial"/>
                <w:sz w:val="12"/>
                <w:szCs w:val="12"/>
                <w:color w:val="auto"/>
              </w:rPr>
              <w:t>07/01/2022</w:t>
            </w:r>
          </w:p>
        </w:tc>
        <w:tc>
          <w:tcPr>
            <w:tcW w:w="24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88"/>
              </w:rPr>
              <w:t>Energy and Utilities</w:t>
            </w:r>
          </w:p>
        </w:tc>
        <w:tc>
          <w:tcPr>
            <w:tcW w:w="8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8.00%</w:t>
            </w:r>
          </w:p>
        </w:tc>
        <w:tc>
          <w:tcPr>
            <w:tcW w:w="66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35,000,000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35,000,000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35,000,000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RAM Energy LLC (Revolver)</w:t>
            </w:r>
          </w:p>
        </w:tc>
        <w:tc>
          <w:tcPr>
            <w:tcW w:w="900" w:type="dxa"/>
            <w:vAlign w:val="bottom"/>
          </w:tcPr>
          <w:p>
            <w:pPr>
              <w:ind w:left="100"/>
              <w:spacing w:after="0" w:line="134" w:lineRule="exact"/>
              <w:rPr>
                <w:sz w:val="20"/>
                <w:szCs w:val="20"/>
                <w:color w:val="auto"/>
              </w:rPr>
            </w:pPr>
            <w:r>
              <w:rPr>
                <w:rFonts w:ascii="Arial" w:cs="Arial" w:eastAsia="Arial" w:hAnsi="Arial"/>
                <w:sz w:val="12"/>
                <w:szCs w:val="12"/>
                <w:color w:val="auto"/>
              </w:rPr>
              <w:t>07/01/2022</w:t>
            </w:r>
          </w:p>
        </w:tc>
        <w:tc>
          <w:tcPr>
            <w:tcW w:w="24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88"/>
              </w:rPr>
              <w:t>Energy and Utilities</w:t>
            </w:r>
          </w:p>
        </w:tc>
        <w:tc>
          <w:tcPr>
            <w:tcW w:w="8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8.00%</w:t>
            </w:r>
          </w:p>
        </w:tc>
        <w:tc>
          <w:tcPr>
            <w:tcW w:w="66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10,000,000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10,000,000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auto"/>
              </w:rPr>
              <w:t>10,000,000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900" w:type="dxa"/>
            <w:vAlign w:val="bottom"/>
            <w:shd w:val="clear" w:color="auto" w:fill="CCEEFF"/>
          </w:tcPr>
          <w:p>
            <w:pPr>
              <w:ind w:left="100"/>
              <w:spacing w:after="0" w:line="134" w:lineRule="exact"/>
              <w:rPr>
                <w:sz w:val="20"/>
                <w:szCs w:val="20"/>
                <w:color w:val="auto"/>
              </w:rPr>
            </w:pPr>
            <w:r>
              <w:rPr>
                <w:rFonts w:ascii="Arial" w:cs="Arial" w:eastAsia="Arial" w:hAnsi="Arial"/>
                <w:sz w:val="12"/>
                <w:szCs w:val="12"/>
                <w:color w:val="auto"/>
              </w:rPr>
              <w:t>07/01/2022</w:t>
            </w:r>
          </w:p>
        </w:tc>
        <w:tc>
          <w:tcPr>
            <w:tcW w:w="24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88"/>
              </w:rPr>
              <w:t>Energy and Utilities</w:t>
            </w:r>
          </w:p>
        </w:tc>
        <w:tc>
          <w:tcPr>
            <w:tcW w:w="80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5,000,000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20"/>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2"/>
                <w:szCs w:val="12"/>
                <w:color w:val="auto"/>
              </w:rPr>
              <w:t>Superior Digital Displays, LLC</w:t>
            </w:r>
          </w:p>
        </w:tc>
        <w:tc>
          <w:tcPr>
            <w:tcW w:w="900" w:type="dxa"/>
            <w:vAlign w:val="bottom"/>
          </w:tcPr>
          <w:p>
            <w:pPr>
              <w:ind w:left="100"/>
              <w:spacing w:after="0" w:line="128" w:lineRule="exact"/>
              <w:rPr>
                <w:sz w:val="20"/>
                <w:szCs w:val="20"/>
                <w:color w:val="auto"/>
              </w:rPr>
            </w:pPr>
            <w:r>
              <w:rPr>
                <w:rFonts w:ascii="Arial" w:cs="Arial" w:eastAsia="Arial" w:hAnsi="Arial"/>
                <w:sz w:val="12"/>
                <w:szCs w:val="12"/>
                <w:color w:val="auto"/>
              </w:rPr>
              <w:t>12/31/2018</w:t>
            </w:r>
          </w:p>
        </w:tc>
        <w:tc>
          <w:tcPr>
            <w:tcW w:w="2480" w:type="dxa"/>
            <w:vAlign w:val="bottom"/>
            <w:gridSpan w:val="2"/>
          </w:tcPr>
          <w:p>
            <w:pPr>
              <w:jc w:val="center"/>
              <w:ind w:right="240"/>
              <w:spacing w:after="0" w:line="128" w:lineRule="exact"/>
              <w:rPr>
                <w:sz w:val="20"/>
                <w:szCs w:val="20"/>
                <w:color w:val="auto"/>
              </w:rPr>
            </w:pPr>
            <w:r>
              <w:rPr>
                <w:rFonts w:ascii="Arial" w:cs="Arial" w:eastAsia="Arial" w:hAnsi="Arial"/>
                <w:sz w:val="12"/>
                <w:szCs w:val="12"/>
                <w:color w:val="auto"/>
                <w:w w:val="85"/>
              </w:rPr>
              <w:t>Media</w:t>
            </w:r>
          </w:p>
        </w:tc>
        <w:tc>
          <w:tcPr>
            <w:tcW w:w="80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7.84%</w:t>
            </w:r>
          </w:p>
        </w:tc>
        <w:tc>
          <w:tcPr>
            <w:tcW w:w="660" w:type="dxa"/>
            <w:vAlign w:val="bottom"/>
            <w:gridSpan w:val="2"/>
          </w:tcPr>
          <w:p>
            <w:pPr>
              <w:ind w:left="100"/>
              <w:spacing w:after="0" w:line="128" w:lineRule="exact"/>
              <w:rPr>
                <w:sz w:val="20"/>
                <w:szCs w:val="20"/>
                <w:color w:val="auto"/>
              </w:rPr>
            </w:pPr>
            <w:r>
              <w:rPr>
                <w:rFonts w:ascii="Arial" w:cs="Arial" w:eastAsia="Arial" w:hAnsi="Arial"/>
                <w:sz w:val="12"/>
                <w:szCs w:val="12"/>
                <w:color w:val="auto"/>
              </w:rPr>
              <w:t>3M L+550</w:t>
            </w: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23,208,601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Arial" w:cs="Arial" w:eastAsia="Arial" w:hAnsi="Arial"/>
                <w:sz w:val="12"/>
                <w:szCs w:val="12"/>
                <w:color w:val="auto"/>
              </w:rPr>
              <w:t>22,749,435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17,220,000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w w:val="98"/>
              </w:rPr>
              <w:t>(PIK 7.84%)</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First Lien Secured Debt</w:t>
            </w:r>
          </w:p>
        </w:tc>
        <w:tc>
          <w:tcPr>
            <w:tcW w:w="9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106,801,035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98,733,484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4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MidOcean JF Holdings Corp.</w:t>
            </w:r>
          </w:p>
        </w:tc>
        <w:tc>
          <w:tcPr>
            <w:tcW w:w="90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93"/>
              </w:rPr>
              <w:t>Distribution</w:t>
            </w:r>
          </w:p>
        </w:tc>
        <w:tc>
          <w:tcPr>
            <w:tcW w:w="80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153,922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15,392,189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12,099,647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Superior Digital Displays Holdings, Inc.</w:t>
            </w:r>
          </w:p>
        </w:tc>
        <w:tc>
          <w:tcPr>
            <w:tcW w:w="900" w:type="dxa"/>
            <w:vAlign w:val="bottom"/>
          </w:tcPr>
          <w:p>
            <w:pPr>
              <w:ind w:left="440"/>
              <w:spacing w:after="0" w:line="134"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85"/>
              </w:rPr>
              <w:t>Media</w:t>
            </w:r>
          </w:p>
        </w:tc>
        <w:tc>
          <w:tcPr>
            <w:tcW w:w="8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15.00%</w:t>
            </w:r>
          </w:p>
        </w:tc>
        <w:tc>
          <w:tcPr>
            <w:tcW w:w="66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873,289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30,011,026</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Preferred Equity</w:t>
            </w:r>
          </w:p>
        </w:tc>
        <w:tc>
          <w:tcPr>
            <w:tcW w:w="9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45,403,215</w:t>
            </w: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12,099,647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4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Equity—6.0%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0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950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132,497</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3,987,794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MidOcean JF Holdings Corp.</w:t>
            </w:r>
          </w:p>
        </w:tc>
        <w:tc>
          <w:tcPr>
            <w:tcW w:w="900" w:type="dxa"/>
            <w:vAlign w:val="bottom"/>
          </w:tcPr>
          <w:p>
            <w:pPr>
              <w:ind w:left="440"/>
              <w:spacing w:after="0" w:line="134"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93"/>
              </w:rPr>
              <w:t>Distribution</w:t>
            </w:r>
          </w:p>
        </w:tc>
        <w:tc>
          <w:tcPr>
            <w:tcW w:w="80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65,933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24,761,831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RAM Energy Holdings LLC</w:t>
            </w:r>
          </w:p>
        </w:tc>
        <w:tc>
          <w:tcPr>
            <w:tcW w:w="90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240"/>
              <w:spacing w:after="0" w:line="134" w:lineRule="exact"/>
              <w:rPr>
                <w:sz w:val="20"/>
                <w:szCs w:val="20"/>
                <w:color w:val="auto"/>
              </w:rPr>
            </w:pPr>
            <w:r>
              <w:rPr>
                <w:rFonts w:ascii="Arial" w:cs="Arial" w:eastAsia="Arial" w:hAnsi="Arial"/>
                <w:sz w:val="12"/>
                <w:szCs w:val="12"/>
                <w:color w:val="auto"/>
                <w:w w:val="88"/>
              </w:rPr>
              <w:t>Energy and Utilities</w:t>
            </w:r>
          </w:p>
        </w:tc>
        <w:tc>
          <w:tcPr>
            <w:tcW w:w="80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84,747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76,264,739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33,914,960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Superior Digital Displays Holdings, Inc.</w:t>
            </w:r>
          </w:p>
        </w:tc>
        <w:tc>
          <w:tcPr>
            <w:tcW w:w="900" w:type="dxa"/>
            <w:vAlign w:val="bottom"/>
          </w:tcPr>
          <w:p>
            <w:pPr>
              <w:ind w:left="440"/>
              <w:spacing w:after="0" w:line="134"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240"/>
              <w:spacing w:after="0" w:line="134" w:lineRule="exact"/>
              <w:rPr>
                <w:sz w:val="20"/>
                <w:szCs w:val="20"/>
                <w:color w:val="auto"/>
              </w:rPr>
            </w:pPr>
            <w:r>
              <w:rPr>
                <w:rFonts w:ascii="Arial" w:cs="Arial" w:eastAsia="Arial" w:hAnsi="Arial"/>
                <w:sz w:val="12"/>
                <w:szCs w:val="12"/>
                <w:color w:val="auto"/>
                <w:w w:val="85"/>
              </w:rPr>
              <w:t>Media</w:t>
            </w:r>
          </w:p>
        </w:tc>
        <w:tc>
          <w:tcPr>
            <w:tcW w:w="80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11,100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2,211,000</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Common Equity</w:t>
            </w:r>
          </w:p>
        </w:tc>
        <w:tc>
          <w:tcPr>
            <w:tcW w:w="9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103,370,067</w:t>
            </w: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37,902,754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gridSpan w:val="2"/>
          </w:tcPr>
          <w:p>
            <w:pPr>
              <w:spacing w:after="0"/>
              <w:rPr>
                <w:sz w:val="20"/>
                <w:szCs w:val="20"/>
                <w:color w:val="auto"/>
              </w:rPr>
            </w:pPr>
            <w:r>
              <w:rPr>
                <w:rFonts w:ascii="Arial" w:cs="Arial" w:eastAsia="Arial" w:hAnsi="Arial"/>
                <w:sz w:val="12"/>
                <w:szCs w:val="12"/>
                <w:b w:val="1"/>
                <w:bCs w:val="1"/>
                <w:color w:val="auto"/>
                <w:w w:val="95"/>
              </w:rPr>
              <w:t>Total Investments in Controlled, Affiliated Portfolio Companies</w:t>
            </w: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255,574,317</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148,735,885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Investments—180.0%</w:t>
            </w:r>
          </w:p>
        </w:tc>
        <w:tc>
          <w:tcPr>
            <w:tcW w:w="9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8"/>
              </w:rPr>
              <w:t>1,243,816,175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w w:val="91"/>
              </w:rPr>
              <w:t>1,132,085,474</w:t>
            </w:r>
          </w:p>
        </w:tc>
        <w:tc>
          <w:tcPr>
            <w:tcW w:w="0" w:type="dxa"/>
            <w:vAlign w:val="bottom"/>
          </w:tcPr>
          <w:p>
            <w:pPr>
              <w:spacing w:after="0"/>
              <w:rPr>
                <w:sz w:val="1"/>
                <w:szCs w:val="1"/>
                <w:color w:val="auto"/>
              </w:rPr>
            </w:pPr>
          </w:p>
        </w:tc>
      </w:tr>
      <w:tr>
        <w:trPr>
          <w:trHeight w:val="141"/>
        </w:trPr>
        <w:tc>
          <w:tcPr>
            <w:tcW w:w="344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Equivalents—3.1%</w:t>
            </w: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BlackRock Federal FD Institutional 30</w:t>
            </w:r>
          </w:p>
        </w:tc>
        <w:tc>
          <w:tcPr>
            <w:tcW w:w="9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531,379</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531,379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20" w:type="dxa"/>
            <w:vAlign w:val="bottom"/>
          </w:tcPr>
          <w:p>
            <w:pPr>
              <w:spacing w:after="0" w:line="134" w:lineRule="exact"/>
              <w:rPr>
                <w:sz w:val="20"/>
                <w:szCs w:val="20"/>
                <w:color w:val="auto"/>
              </w:rPr>
            </w:pPr>
            <w:r>
              <w:rPr>
                <w:rFonts w:ascii="Arial" w:cs="Arial" w:eastAsia="Arial" w:hAnsi="Arial"/>
                <w:sz w:val="12"/>
                <w:szCs w:val="12"/>
                <w:color w:val="auto"/>
              </w:rPr>
              <w:t>BNY Mellon Cash Reserve and Cash</w:t>
            </w: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19,012,246</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18,974,775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Cash and Cash Equivalents</w:t>
            </w:r>
          </w:p>
        </w:tc>
        <w:tc>
          <w:tcPr>
            <w:tcW w:w="9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19,543,625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19,506,154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44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and Cash Equivalents—183.1%</w:t>
            </w: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w w:val="88"/>
              </w:rPr>
              <w:t>1,263,359,800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w w:val="91"/>
              </w:rPr>
              <w:t>1,151,591,628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Liabilities in Excess of Other Assets—(83.1%)</w:t>
            </w:r>
          </w:p>
        </w:tc>
        <w:tc>
          <w:tcPr>
            <w:tcW w:w="9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w w:val="98"/>
              </w:rPr>
              <w:t>(522,689,733)</w:t>
            </w:r>
          </w:p>
        </w:tc>
        <w:tc>
          <w:tcPr>
            <w:tcW w:w="0" w:type="dxa"/>
            <w:vAlign w:val="bottom"/>
          </w:tcPr>
          <w:p>
            <w:pPr>
              <w:spacing w:after="0"/>
              <w:rPr>
                <w:sz w:val="1"/>
                <w:szCs w:val="1"/>
                <w:color w:val="auto"/>
              </w:rPr>
            </w:pPr>
          </w:p>
        </w:tc>
      </w:tr>
      <w:tr>
        <w:trPr>
          <w:trHeight w:val="141"/>
        </w:trPr>
        <w:tc>
          <w:tcPr>
            <w:tcW w:w="3440" w:type="dxa"/>
            <w:vAlign w:val="bottom"/>
            <w:gridSpan w:val="2"/>
          </w:tcPr>
          <w:p>
            <w:pPr>
              <w:spacing w:after="0"/>
              <w:rPr>
                <w:sz w:val="20"/>
                <w:szCs w:val="20"/>
                <w:color w:val="auto"/>
              </w:rPr>
            </w:pPr>
            <w:r>
              <w:rPr>
                <w:rFonts w:ascii="Arial" w:cs="Arial" w:eastAsia="Arial" w:hAnsi="Arial"/>
                <w:sz w:val="12"/>
                <w:szCs w:val="12"/>
                <w:b w:val="1"/>
                <w:bCs w:val="1"/>
                <w:color w:val="auto"/>
              </w:rPr>
              <w:t>Net Assets—100.0%</w:t>
            </w: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628,901,895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75" w:lineRule="exact"/>
        <w:rPr>
          <w:sz w:val="20"/>
          <w:szCs w:val="20"/>
          <w:color w:val="auto"/>
        </w:rPr>
      </w:pPr>
    </w:p>
    <w:p>
      <w:pPr>
        <w:ind w:left="340" w:right="180" w:hanging="206"/>
        <w:spacing w:after="0" w:line="241"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right="120" w:hanging="206"/>
        <w:spacing w:after="0" w:line="232"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40" w:hanging="206"/>
        <w:spacing w:after="0" w:line="232"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60" w:hanging="206"/>
        <w:spacing w:after="0" w:line="279" w:lineRule="auto"/>
        <w:tabs>
          <w:tab w:leader="none" w:pos="340" w:val="left"/>
        </w:tabs>
        <w:numPr>
          <w:ilvl w:val="0"/>
          <w:numId w:val="95"/>
        </w:numPr>
        <w:rPr>
          <w:rFonts w:ascii="Arial" w:cs="Arial" w:eastAsia="Arial" w:hAnsi="Arial"/>
          <w:sz w:val="10"/>
          <w:szCs w:val="10"/>
          <w:color w:val="auto"/>
        </w:rPr>
      </w:pPr>
      <w:r>
        <w:rPr>
          <w:rFonts w:ascii="Arial" w:cs="Arial" w:eastAsia="Arial" w:hAnsi="Arial"/>
          <w:sz w:val="10"/>
          <w:szCs w:val="10"/>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ind w:left="340" w:hanging="206"/>
        <w:spacing w:after="0"/>
        <w:tabs>
          <w:tab w:leader="none" w:pos="340" w:val="left"/>
        </w:tabs>
        <w:numPr>
          <w:ilvl w:val="0"/>
          <w:numId w:val="95"/>
        </w:numPr>
        <w:rPr>
          <w:rFonts w:ascii="Arial" w:cs="Arial" w:eastAsia="Arial" w:hAnsi="Arial"/>
          <w:sz w:val="10"/>
          <w:szCs w:val="10"/>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18" w:lineRule="exact"/>
        <w:rPr>
          <w:rFonts w:ascii="Arial" w:cs="Arial" w:eastAsia="Arial" w:hAnsi="Arial"/>
          <w:sz w:val="10"/>
          <w:szCs w:val="10"/>
          <w:color w:val="auto"/>
        </w:rPr>
      </w:pPr>
    </w:p>
    <w:p>
      <w:pPr>
        <w:ind w:left="340" w:hanging="206"/>
        <w:spacing w:after="0"/>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2240" w:h="15840" w:orient="portrait"/>
          <w:cols w:equalWidth="0" w:num="1">
            <w:col w:w="11060"/>
          </w:cols>
          <w:pgMar w:left="520" w:top="316" w:right="660"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860" w:right="24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8" w:lineRule="exact"/>
        <w:rPr>
          <w:sz w:val="20"/>
          <w:szCs w:val="20"/>
          <w:color w:val="auto"/>
        </w:rPr>
      </w:pPr>
    </w:p>
    <w:p>
      <w:pPr>
        <w:ind w:left="340" w:hanging="206"/>
        <w:spacing w:after="0"/>
        <w:tabs>
          <w:tab w:leader="none" w:pos="340" w:val="left"/>
        </w:tabs>
        <w:numPr>
          <w:ilvl w:val="0"/>
          <w:numId w:val="96"/>
        </w:numPr>
        <w:rPr>
          <w:rFonts w:ascii="Arial" w:cs="Arial" w:eastAsia="Arial" w:hAnsi="Arial"/>
          <w:sz w:val="10"/>
          <w:szCs w:val="10"/>
          <w:color w:val="auto"/>
        </w:rPr>
      </w:pP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8" w:lineRule="exact"/>
        <w:rPr>
          <w:rFonts w:ascii="Arial" w:cs="Arial" w:eastAsia="Arial" w:hAnsi="Arial"/>
          <w:sz w:val="10"/>
          <w:szCs w:val="10"/>
          <w:color w:val="auto"/>
        </w:rPr>
      </w:pPr>
    </w:p>
    <w:p>
      <w:pPr>
        <w:ind w:left="340" w:hanging="206"/>
        <w:spacing w:after="0" w:line="232" w:lineRule="auto"/>
        <w:tabs>
          <w:tab w:leader="none" w:pos="3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206"/>
        <w:spacing w:after="0" w:line="232" w:lineRule="auto"/>
        <w:tabs>
          <w:tab w:leader="none" w:pos="3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40" w:hanging="206"/>
        <w:spacing w:after="0"/>
        <w:tabs>
          <w:tab w:leader="none" w:pos="340" w:val="left"/>
        </w:tabs>
        <w:numPr>
          <w:ilvl w:val="0"/>
          <w:numId w:val="96"/>
        </w:numPr>
        <w:rPr>
          <w:rFonts w:ascii="Arial" w:cs="Arial" w:eastAsia="Arial" w:hAnsi="Arial"/>
          <w:sz w:val="10"/>
          <w:szCs w:val="10"/>
          <w:color w:val="auto"/>
        </w:rPr>
      </w:pPr>
      <w:r>
        <w:rPr>
          <w:rFonts w:ascii="Arial" w:cs="Arial" w:eastAsia="Arial" w:hAnsi="Arial"/>
          <w:sz w:val="10"/>
          <w:szCs w:val="10"/>
          <w:color w:val="auto"/>
        </w:rPr>
        <w:t>Par / Shares amount is denominated in British Pounds (£) or in Euros (€) as denoted.</w:t>
      </w:r>
    </w:p>
    <w:p>
      <w:pPr>
        <w:spacing w:after="0" w:line="18" w:lineRule="exact"/>
        <w:rPr>
          <w:rFonts w:ascii="Arial" w:cs="Arial" w:eastAsia="Arial" w:hAnsi="Arial"/>
          <w:sz w:val="10"/>
          <w:szCs w:val="10"/>
          <w:color w:val="auto"/>
        </w:rPr>
      </w:pPr>
    </w:p>
    <w:p>
      <w:pPr>
        <w:ind w:left="340" w:hanging="206"/>
        <w:spacing w:after="0" w:line="279" w:lineRule="auto"/>
        <w:tabs>
          <w:tab w:leader="none" w:pos="340" w:val="left"/>
        </w:tabs>
        <w:numPr>
          <w:ilvl w:val="0"/>
          <w:numId w:val="96"/>
        </w:numPr>
        <w:rPr>
          <w:rFonts w:ascii="Arial" w:cs="Arial" w:eastAsia="Arial" w:hAnsi="Arial"/>
          <w:sz w:val="10"/>
          <w:szCs w:val="10"/>
          <w:color w:val="auto"/>
        </w:rPr>
      </w:pPr>
      <w:r>
        <w:rPr>
          <w:rFonts w:ascii="Arial" w:cs="Arial" w:eastAsia="Arial" w:hAnsi="Arial"/>
          <w:sz w:val="10"/>
          <w:szCs w:val="10"/>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340" w:hanging="206"/>
        <w:spacing w:after="0"/>
        <w:tabs>
          <w:tab w:leader="none" w:pos="340" w:val="left"/>
        </w:tabs>
        <w:numPr>
          <w:ilvl w:val="0"/>
          <w:numId w:val="96"/>
        </w:numPr>
        <w:rPr>
          <w:rFonts w:ascii="Arial" w:cs="Arial" w:eastAsia="Arial" w:hAnsi="Arial"/>
          <w:sz w:val="10"/>
          <w:szCs w:val="10"/>
          <w:color w:val="auto"/>
        </w:rPr>
      </w:pPr>
      <w:r>
        <w:rPr>
          <w:rFonts w:ascii="Arial" w:cs="Arial" w:eastAsia="Arial" w:hAnsi="Arial"/>
          <w:sz w:val="10"/>
          <w:szCs w:val="10"/>
          <w:color w:val="auto"/>
        </w:rPr>
        <w:t>The security was not valued using significant unobservable inputs. The value of all other securities was determined using significant unobservable inputs (See Note 5).</w:t>
      </w:r>
    </w:p>
    <w:p>
      <w:pPr>
        <w:spacing w:after="0" w:line="18" w:lineRule="exact"/>
        <w:rPr>
          <w:rFonts w:ascii="Arial" w:cs="Arial" w:eastAsia="Arial" w:hAnsi="Arial"/>
          <w:sz w:val="10"/>
          <w:szCs w:val="10"/>
          <w:color w:val="auto"/>
        </w:rPr>
      </w:pPr>
    </w:p>
    <w:p>
      <w:pPr>
        <w:ind w:left="340" w:hanging="206"/>
        <w:spacing w:after="0"/>
        <w:tabs>
          <w:tab w:leader="none" w:pos="340" w:val="left"/>
        </w:tabs>
        <w:numPr>
          <w:ilvl w:val="0"/>
          <w:numId w:val="96"/>
        </w:numPr>
        <w:rPr>
          <w:rFonts w:ascii="Arial" w:cs="Arial" w:eastAsia="Arial" w:hAnsi="Arial"/>
          <w:sz w:val="10"/>
          <w:szCs w:val="10"/>
          <w:color w:val="auto"/>
        </w:rPr>
      </w:pPr>
      <w:r>
        <w:rPr>
          <w:rFonts w:ascii="Arial" w:cs="Arial" w:eastAsia="Arial" w:hAnsi="Arial"/>
          <w:sz w:val="10"/>
          <w:szCs w:val="10"/>
          <w:color w:val="auto"/>
        </w:rPr>
        <w:t>Share amount is 70,443,882,243.</w:t>
      </w:r>
    </w:p>
    <w:p>
      <w:pPr>
        <w:spacing w:after="0" w:line="1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F-45</w:t>
      </w:r>
    </w:p>
    <w:p>
      <w:pPr>
        <w:sectPr>
          <w:pgSz w:w="12240" w:h="15840" w:orient="portrait"/>
          <w:cols w:equalWidth="0" w:num="1">
            <w:col w:w="10860"/>
          </w:cols>
          <w:pgMar w:left="520" w:top="316" w:right="860"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2017</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88"/>
              </w:rPr>
              <w:t>Spread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20" w:type="dxa"/>
            <w:vAlign w:val="bottom"/>
          </w:tcPr>
          <w:p>
            <w:pPr>
              <w:jc w:val="right"/>
              <w:ind w:right="122"/>
              <w:spacing w:after="0" w:line="134" w:lineRule="exact"/>
              <w:rPr>
                <w:sz w:val="20"/>
                <w:szCs w:val="20"/>
                <w:color w:val="auto"/>
              </w:rPr>
            </w:pPr>
            <w:r>
              <w:rPr>
                <w:rFonts w:ascii="Arial" w:cs="Arial" w:eastAsia="Arial" w:hAnsi="Arial"/>
                <w:sz w:val="12"/>
                <w:szCs w:val="12"/>
                <w:b w:val="1"/>
                <w:bCs w:val="1"/>
                <w:color w:val="auto"/>
              </w:rPr>
              <w:t>Maturity /</w:t>
            </w:r>
          </w:p>
        </w:tc>
        <w:tc>
          <w:tcPr>
            <w:tcW w:w="24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840" w:type="dxa"/>
            <w:vAlign w:val="bottom"/>
            <w:gridSpan w:val="2"/>
          </w:tcPr>
          <w:p>
            <w:pPr>
              <w:jc w:val="right"/>
              <w:ind w:right="360"/>
              <w:spacing w:after="0" w:line="134" w:lineRule="exact"/>
              <w:rPr>
                <w:sz w:val="20"/>
                <w:szCs w:val="20"/>
                <w:color w:val="auto"/>
              </w:rPr>
            </w:pPr>
            <w:r>
              <w:rPr>
                <w:rFonts w:ascii="Arial" w:cs="Arial" w:eastAsia="Arial" w:hAnsi="Arial"/>
                <w:sz w:val="12"/>
                <w:szCs w:val="12"/>
                <w:b w:val="1"/>
                <w:bCs w:val="1"/>
                <w:color w:val="auto"/>
              </w:rPr>
              <w:t>Current</w:t>
            </w:r>
          </w:p>
        </w:tc>
        <w:tc>
          <w:tcPr>
            <w:tcW w:w="76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87"/>
              </w:rPr>
              <w:t>Above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320"/>
              <w:spacing w:after="0" w:line="134" w:lineRule="exact"/>
              <w:rPr>
                <w:sz w:val="20"/>
                <w:szCs w:val="20"/>
                <w:color w:val="auto"/>
              </w:rPr>
            </w:pPr>
            <w:r>
              <w:rPr>
                <w:rFonts w:ascii="Arial" w:cs="Arial" w:eastAsia="Arial" w:hAnsi="Arial"/>
                <w:sz w:val="12"/>
                <w:szCs w:val="12"/>
                <w:b w:val="1"/>
                <w:bCs w:val="1"/>
                <w:color w:val="auto"/>
              </w:rPr>
              <w:t>Par /</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80" w:type="dxa"/>
            <w:vAlign w:val="bottom"/>
            <w:gridSpan w:val="2"/>
            <w:vMerge w:val="continue"/>
          </w:tcPr>
          <w:p>
            <w:pPr>
              <w:spacing w:after="0"/>
              <w:rPr>
                <w:sz w:val="12"/>
                <w:szCs w:val="12"/>
                <w:color w:val="auto"/>
              </w:rPr>
            </w:pPr>
          </w:p>
        </w:tc>
        <w:tc>
          <w:tcPr>
            <w:tcW w:w="820" w:type="dxa"/>
            <w:vAlign w:val="bottom"/>
          </w:tcPr>
          <w:p>
            <w:pPr>
              <w:jc w:val="right"/>
              <w:ind w:right="102"/>
              <w:spacing w:after="0"/>
              <w:rPr>
                <w:sz w:val="20"/>
                <w:szCs w:val="20"/>
                <w:color w:val="auto"/>
              </w:rPr>
            </w:pPr>
            <w:r>
              <w:rPr>
                <w:rFonts w:ascii="Arial" w:cs="Arial" w:eastAsia="Arial" w:hAnsi="Arial"/>
                <w:sz w:val="12"/>
                <w:szCs w:val="12"/>
                <w:b w:val="1"/>
                <w:bCs w:val="1"/>
                <w:color w:val="auto"/>
              </w:rPr>
              <w:t>Expiration</w:t>
            </w:r>
          </w:p>
        </w:tc>
        <w:tc>
          <w:tcPr>
            <w:tcW w:w="2460" w:type="dxa"/>
            <w:vAlign w:val="bottom"/>
            <w:gridSpan w:val="2"/>
            <w:vMerge w:val="continue"/>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4"/>
              </w:rPr>
              <w:t>Shares</w:t>
            </w:r>
          </w:p>
        </w:tc>
        <w:tc>
          <w:tcPr>
            <w:tcW w:w="60" w:type="dxa"/>
            <w:vAlign w:val="bottom"/>
          </w:tcPr>
          <w:p>
            <w:pPr>
              <w:spacing w:after="0"/>
              <w:rPr>
                <w:sz w:val="12"/>
                <w:szCs w:val="12"/>
                <w:color w:val="auto"/>
              </w:rPr>
            </w:pPr>
          </w:p>
        </w:tc>
        <w:tc>
          <w:tcPr>
            <w:tcW w:w="66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480" w:type="dxa"/>
            <w:vAlign w:val="bottom"/>
            <w:tcBorders>
              <w:top w:val="single" w:sz="8" w:color="auto"/>
            </w:tcBorders>
            <w:gridSpan w:val="2"/>
            <w:shd w:val="clear" w:color="auto" w:fill="CCEEFF"/>
          </w:tcPr>
          <w:p>
            <w:pPr>
              <w:spacing w:after="0" w:line="128" w:lineRule="exact"/>
              <w:rPr>
                <w:sz w:val="20"/>
                <w:szCs w:val="20"/>
                <w:color w:val="auto"/>
              </w:rPr>
            </w:pPr>
            <w:r>
              <w:rPr>
                <w:rFonts w:ascii="Arial" w:cs="Arial" w:eastAsia="Arial" w:hAnsi="Arial"/>
                <w:sz w:val="12"/>
                <w:szCs w:val="12"/>
                <w:b w:val="1"/>
                <w:bCs w:val="1"/>
                <w:color w:val="auto"/>
                <w:w w:val="96"/>
              </w:rPr>
              <w:t xml:space="preserve">Investments in Non-Controlled, Non-Affiliated Portfolio Companies—131.3% </w:t>
            </w:r>
            <w:r>
              <w:rPr>
                <w:rFonts w:ascii="Arial" w:cs="Arial" w:eastAsia="Arial" w:hAnsi="Arial"/>
                <w:sz w:val="9"/>
                <w:szCs w:val="9"/>
                <w:b w:val="1"/>
                <w:bCs w:val="1"/>
                <w:color w:val="auto"/>
                <w:w w:val="96"/>
              </w:rPr>
              <w:t>(1), (2)</w:t>
            </w:r>
          </w:p>
        </w:tc>
        <w:tc>
          <w:tcPr>
            <w:tcW w:w="2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b w:val="1"/>
                <w:bCs w:val="1"/>
                <w:color w:val="auto"/>
              </w:rPr>
              <w:t>First Lien Secured Debt—52.8%</w:t>
            </w:r>
          </w:p>
        </w:tc>
        <w:tc>
          <w:tcPr>
            <w:tcW w:w="8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ACC of Tamarac, LLC</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06/20/2022</w:t>
            </w:r>
          </w:p>
        </w:tc>
        <w:tc>
          <w:tcPr>
            <w:tcW w:w="246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7"/>
              </w:rPr>
              <w:t>Telecommunications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10.82%</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L+950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3"/>
              </w:rPr>
              <w:t>7,481,250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7,362,571</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7,331,625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Allied America, Inc.</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08/08/2022</w:t>
            </w:r>
          </w:p>
        </w:tc>
        <w:tc>
          <w:tcPr>
            <w:tcW w:w="246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8.32%</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L+700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19,950,000</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w w:val="96"/>
              </w:rPr>
              <w:t>19,557,525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6"/>
              </w:rPr>
              <w:t>19,551,000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(8)</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08/08/2022</w:t>
            </w:r>
          </w:p>
        </w:tc>
        <w:tc>
          <w:tcPr>
            <w:tcW w:w="246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3"/>
              </w:rPr>
              <w:t>2,000,000</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Bottom Line Systems, LLC</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02/13/2023</w:t>
            </w:r>
          </w:p>
        </w:tc>
        <w:tc>
          <w:tcPr>
            <w:tcW w:w="246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8.83%</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L+750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19,850,000</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w w:val="96"/>
              </w:rPr>
              <w:t>19,573,919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6"/>
              </w:rPr>
              <w:t>19,773,923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Broder Bros., Co., Tranche A</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06/03/2021</w:t>
            </w:r>
          </w:p>
        </w:tc>
        <w:tc>
          <w:tcPr>
            <w:tcW w:w="246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7.08%</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L+575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3"/>
              </w:rPr>
              <w:t>8,398,102</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8,279,029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8,398,102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Broder Bros., Co., Tranche B</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06/03/2021</w:t>
            </w:r>
          </w:p>
        </w:tc>
        <w:tc>
          <w:tcPr>
            <w:tcW w:w="246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13.58%</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L+1,225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93"/>
              </w:rPr>
              <w:t>8,723,735</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8,593,867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8,723,735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Cano Health, LLC</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12/23/2021</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9.74%</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L+850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23,538,688</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22,997,008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23,538,687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Cano Health, LLC (Revolver)</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09/21/2018</w:t>
            </w:r>
          </w:p>
        </w:tc>
        <w:tc>
          <w:tcPr>
            <w:tcW w:w="246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9.74%</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L+850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540,000</w:t>
            </w:r>
          </w:p>
        </w:tc>
        <w:tc>
          <w:tcPr>
            <w:tcW w:w="60" w:type="dxa"/>
            <w:vAlign w:val="bottom"/>
          </w:tcPr>
          <w:p>
            <w:pPr>
              <w:spacing w:after="0"/>
              <w:rPr>
                <w:sz w:val="11"/>
                <w:szCs w:val="11"/>
                <w:color w:val="auto"/>
              </w:rPr>
            </w:pP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540,000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540,000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(8)</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09/21/2018</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360,000</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DermaRite Industries LLC</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03/03/2022</w:t>
            </w:r>
          </w:p>
        </w:tc>
        <w:tc>
          <w:tcPr>
            <w:tcW w:w="246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8"/>
              </w:rPr>
              <w:t>Manufacturing / Basic Industries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8.24%</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L+700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93"/>
              </w:rPr>
              <w:t>9,950,000</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9,814,043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9,938,114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(12)</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08/29/2022</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8"/>
              </w:rPr>
              <w:t>Financial Services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8.74%</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L+750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20,000,000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19,605,736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19,600,000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(8), (12)</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08/29/2022</w:t>
            </w:r>
          </w:p>
        </w:tc>
        <w:tc>
          <w:tcPr>
            <w:tcW w:w="246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8"/>
              </w:rPr>
              <w:t>Financial Services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93"/>
              </w:rPr>
              <w:t>4,000,000</w:t>
            </w:r>
          </w:p>
        </w:tc>
        <w:tc>
          <w:tcPr>
            <w:tcW w:w="60" w:type="dxa"/>
            <w:vAlign w:val="bottom"/>
          </w:tcPr>
          <w:p>
            <w:pPr>
              <w:spacing w:after="0"/>
              <w:rPr>
                <w:sz w:val="11"/>
                <w:szCs w:val="11"/>
                <w:color w:val="auto"/>
              </w:rPr>
            </w:pPr>
          </w:p>
        </w:tc>
        <w:tc>
          <w:tcPr>
            <w:tcW w:w="66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(8), (12)</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08/29/2022</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8"/>
              </w:rPr>
              <w:t>Financial Services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3"/>
              </w:rPr>
              <w:t>4,000,000</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Hollander Sleep Products, LLC</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06/09/2023</w:t>
            </w:r>
          </w:p>
        </w:tc>
        <w:tc>
          <w:tcPr>
            <w:tcW w:w="246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9.30%</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L+800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22,443,750</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w w:val="96"/>
              </w:rPr>
              <w:t>22,010,693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6"/>
              </w:rPr>
              <w:t>22,219,312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Home Town Cable TV, LLC</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06/20/2022</w:t>
            </w:r>
          </w:p>
        </w:tc>
        <w:tc>
          <w:tcPr>
            <w:tcW w:w="246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7"/>
              </w:rPr>
              <w:t>Telecommunications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10.82%</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L+950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10,000,000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9,806,795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9,800,000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Interior Specialists, Inc.</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06/30/2020</w:t>
            </w:r>
          </w:p>
        </w:tc>
        <w:tc>
          <w:tcPr>
            <w:tcW w:w="246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9.25%</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L+800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24,470,390</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w w:val="96"/>
              </w:rPr>
              <w:t>24,323,542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6"/>
              </w:rPr>
              <w:t>24,470,390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Juniper Landscaping of Florida, LLC</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12/22/2021</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6"/>
              </w:rPr>
              <w:t>Personal, Food and Miscellaneous Services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10.74%</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L+950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14,083,875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13,836,409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14,083,875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K2 Pure Solutions NoCal, L.P.</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02/19/2021</w:t>
            </w:r>
          </w:p>
        </w:tc>
        <w:tc>
          <w:tcPr>
            <w:tcW w:w="246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5"/>
              </w:rPr>
              <w:t>Chemicals, Plastics and Rubber</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10.24%</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L+900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14,522,529</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w w:val="96"/>
              </w:rPr>
              <w:t>14,290,133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6"/>
              </w:rPr>
              <w:t>14,111,098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One Sixty Over Ninety, LLC</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03/03/2022</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91"/>
              </w:rPr>
              <w:t>Media</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10.52%</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L+918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16,250,000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15,953,520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16,250,000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12/16/2019</w:t>
            </w:r>
          </w:p>
        </w:tc>
        <w:tc>
          <w:tcPr>
            <w:tcW w:w="246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8"/>
              </w:rPr>
              <w:t>Mining, Steel, Iron and Non-Precious Metals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11.50%</w:t>
            </w:r>
          </w:p>
        </w:tc>
        <w:tc>
          <w:tcPr>
            <w:tcW w:w="76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14,250,000</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w w:val="96"/>
              </w:rPr>
              <w:t>14,184,265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6"/>
              </w:rPr>
              <w:t>14,820,000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SFP Holding, Inc.</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09/01/2022</w:t>
            </w:r>
          </w:p>
        </w:tc>
        <w:tc>
          <w:tcPr>
            <w:tcW w:w="246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7.57%</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L+625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17,500,000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17,155,691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17,150,000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(8)</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09/01/2022</w:t>
            </w:r>
          </w:p>
        </w:tc>
        <w:tc>
          <w:tcPr>
            <w:tcW w:w="246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93"/>
              </w:rPr>
              <w:t>5,000,000</w:t>
            </w:r>
          </w:p>
        </w:tc>
        <w:tc>
          <w:tcPr>
            <w:tcW w:w="60" w:type="dxa"/>
            <w:vAlign w:val="bottom"/>
          </w:tcPr>
          <w:p>
            <w:pPr>
              <w:spacing w:after="0"/>
              <w:rPr>
                <w:sz w:val="11"/>
                <w:szCs w:val="11"/>
                <w:color w:val="auto"/>
              </w:rPr>
            </w:pPr>
          </w:p>
        </w:tc>
        <w:tc>
          <w:tcPr>
            <w:tcW w:w="660" w:type="dxa"/>
            <w:vAlign w:val="bottom"/>
            <w:gridSpan w:val="2"/>
          </w:tcPr>
          <w:p>
            <w:pPr>
              <w:ind w:left="42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(8)</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09/01/2022</w:t>
            </w:r>
          </w:p>
        </w:tc>
        <w:tc>
          <w:tcPr>
            <w:tcW w:w="246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3"/>
              </w:rPr>
              <w:t>2,500,000</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60" w:type="dxa"/>
            <w:vAlign w:val="bottom"/>
          </w:tcPr>
          <w:p>
            <w:pPr>
              <w:spacing w:after="0" w:line="128" w:lineRule="exact"/>
              <w:rPr>
                <w:sz w:val="20"/>
                <w:szCs w:val="20"/>
                <w:color w:val="auto"/>
              </w:rPr>
            </w:pPr>
            <w:r>
              <w:rPr>
                <w:rFonts w:ascii="Arial" w:cs="Arial" w:eastAsia="Arial" w:hAnsi="Arial"/>
                <w:sz w:val="12"/>
                <w:szCs w:val="12"/>
                <w:color w:val="auto"/>
              </w:rPr>
              <w:t xml:space="preserve">Sunborn Oy, Sunborn Saga Oy </w:t>
            </w:r>
            <w:r>
              <w:rPr>
                <w:rFonts w:ascii="Arial" w:cs="Arial" w:eastAsia="Arial" w:hAnsi="Arial"/>
                <w:sz w:val="9"/>
                <w:szCs w:val="9"/>
                <w:color w:val="auto"/>
              </w:rPr>
              <w:t>(9), (11), (12)</w:t>
            </w:r>
          </w:p>
        </w:tc>
        <w:tc>
          <w:tcPr>
            <w:tcW w:w="820" w:type="dxa"/>
            <w:vAlign w:val="bottom"/>
          </w:tcPr>
          <w:p>
            <w:pPr>
              <w:jc w:val="right"/>
              <w:ind w:right="82"/>
              <w:spacing w:after="0" w:line="128" w:lineRule="exact"/>
              <w:rPr>
                <w:sz w:val="20"/>
                <w:szCs w:val="20"/>
                <w:color w:val="auto"/>
              </w:rPr>
            </w:pPr>
            <w:r>
              <w:rPr>
                <w:rFonts w:ascii="Arial" w:cs="Arial" w:eastAsia="Arial" w:hAnsi="Arial"/>
                <w:sz w:val="12"/>
                <w:szCs w:val="12"/>
                <w:color w:val="auto"/>
              </w:rPr>
              <w:t>06/28/2019</w:t>
            </w:r>
          </w:p>
        </w:tc>
        <w:tc>
          <w:tcPr>
            <w:tcW w:w="2460" w:type="dxa"/>
            <w:vAlign w:val="bottom"/>
            <w:gridSpan w:val="2"/>
          </w:tcPr>
          <w:p>
            <w:pPr>
              <w:jc w:val="center"/>
              <w:ind w:right="120"/>
              <w:spacing w:after="0" w:line="128" w:lineRule="exact"/>
              <w:rPr>
                <w:sz w:val="20"/>
                <w:szCs w:val="20"/>
                <w:color w:val="auto"/>
              </w:rPr>
            </w:pPr>
            <w:r>
              <w:rPr>
                <w:rFonts w:ascii="Arial" w:cs="Arial" w:eastAsia="Arial" w:hAnsi="Arial"/>
                <w:sz w:val="12"/>
                <w:szCs w:val="12"/>
                <w:color w:val="auto"/>
                <w:w w:val="88"/>
              </w:rPr>
              <w:t>Hotels, Motels, Inns and Gaming</w:t>
            </w:r>
          </w:p>
        </w:tc>
        <w:tc>
          <w:tcPr>
            <w:tcW w:w="84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11.50%</w:t>
            </w:r>
          </w:p>
        </w:tc>
        <w:tc>
          <w:tcPr>
            <w:tcW w:w="7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L+1,050</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line="128" w:lineRule="exact"/>
              <w:rPr>
                <w:sz w:val="20"/>
                <w:szCs w:val="20"/>
                <w:color w:val="auto"/>
              </w:rPr>
            </w:pPr>
            <w:r>
              <w:rPr>
                <w:rFonts w:ascii="Arial" w:cs="Arial" w:eastAsia="Arial" w:hAnsi="Arial"/>
                <w:sz w:val="12"/>
                <w:szCs w:val="12"/>
                <w:color w:val="auto"/>
                <w:w w:val="83"/>
              </w:rPr>
              <w:t>30,150,294</w:t>
            </w:r>
          </w:p>
        </w:tc>
        <w:tc>
          <w:tcPr>
            <w:tcW w:w="60" w:type="dxa"/>
            <w:vAlign w:val="bottom"/>
          </w:tcPr>
          <w:p>
            <w:pPr>
              <w:spacing w:after="0"/>
              <w:rPr>
                <w:sz w:val="11"/>
                <w:szCs w:val="11"/>
                <w:color w:val="auto"/>
              </w:rPr>
            </w:pPr>
          </w:p>
        </w:tc>
        <w:tc>
          <w:tcPr>
            <w:tcW w:w="600" w:type="dxa"/>
            <w:vAlign w:val="bottom"/>
          </w:tcPr>
          <w:p>
            <w:pPr>
              <w:jc w:val="right"/>
              <w:spacing w:after="0" w:line="128" w:lineRule="exact"/>
              <w:rPr>
                <w:sz w:val="20"/>
                <w:szCs w:val="20"/>
                <w:color w:val="auto"/>
              </w:rPr>
            </w:pPr>
            <w:r>
              <w:rPr>
                <w:rFonts w:ascii="Arial" w:cs="Arial" w:eastAsia="Arial" w:hAnsi="Arial"/>
                <w:sz w:val="12"/>
                <w:szCs w:val="12"/>
                <w:color w:val="auto"/>
                <w:w w:val="96"/>
              </w:rPr>
              <w:t>31,228,529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w w:val="96"/>
              </w:rPr>
              <w:t>35,821,926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(PIK 3.50%)</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Triad Manufacturing, Inc.</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12/28/2020</w:t>
            </w:r>
          </w:p>
        </w:tc>
        <w:tc>
          <w:tcPr>
            <w:tcW w:w="246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8"/>
              </w:rPr>
              <w:t>Manufacturing / Basic Industries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12.49%</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L+1,125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24,797,823</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24,446,831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24,673,834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02/12/2020</w:t>
            </w:r>
          </w:p>
        </w:tc>
        <w:tc>
          <w:tcPr>
            <w:tcW w:w="246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10.83%</w:t>
            </w: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(7)</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16,890,936</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w w:val="96"/>
              </w:rPr>
              <w:t>27,246,877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6"/>
              </w:rPr>
              <w:t>22,817,525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US Med Acquisition, Inc.</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08/13/2021</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10.33%</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L+900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3"/>
              </w:rPr>
              <w:t>8,564,063</w:t>
            </w: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8,564,063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8,135,859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86"/>
              </w:rPr>
              <w:t>339,371,046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341,489,005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Second Lien Secured Debt—60.3%</w:t>
            </w:r>
          </w:p>
        </w:tc>
        <w:tc>
          <w:tcPr>
            <w:tcW w:w="8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Acre Operating Company, LLC</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12/12/2023</w:t>
            </w:r>
          </w:p>
        </w:tc>
        <w:tc>
          <w:tcPr>
            <w:tcW w:w="246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8"/>
              </w:rPr>
              <w:t>Electronics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10.74%</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L+950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38,800,000</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w w:val="96"/>
              </w:rPr>
              <w:t>38,164,636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6"/>
              </w:rPr>
              <w:t>39,576,000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03/04/2022</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8"/>
              </w:rPr>
              <w:t>Financial Services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13.75%</w:t>
            </w:r>
          </w:p>
        </w:tc>
        <w:tc>
          <w:tcPr>
            <w:tcW w:w="76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28,500,000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28,288,480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28,500,000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DecoPac, Inc.</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03/31/2025</w:t>
            </w:r>
          </w:p>
        </w:tc>
        <w:tc>
          <w:tcPr>
            <w:tcW w:w="246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4"/>
              </w:rPr>
              <w:t>Beverage, Food and Tobacco</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9.58%</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L+825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35,500,000</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w w:val="96"/>
              </w:rPr>
              <w:t>34,790,399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6"/>
              </w:rPr>
              <w:t>34,790,000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Howard Berger Co. LLC</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09/30/2020</w:t>
            </w:r>
          </w:p>
        </w:tc>
        <w:tc>
          <w:tcPr>
            <w:tcW w:w="246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93"/>
              </w:rPr>
              <w:t>Distribution</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11.34%</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L+1,000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42,937,500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41,491,290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41,220,000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(PIK 5.18%)</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Infogroup, Inc.</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04/03/2024</w:t>
            </w:r>
          </w:p>
        </w:tc>
        <w:tc>
          <w:tcPr>
            <w:tcW w:w="246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7"/>
              </w:rPr>
              <w:t>Other Media</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10.58%</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L+925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20,400,000</w:t>
            </w:r>
          </w:p>
        </w:tc>
        <w:tc>
          <w:tcPr>
            <w:tcW w:w="60" w:type="dxa"/>
            <w:vAlign w:val="bottom"/>
          </w:tcPr>
          <w:p>
            <w:pPr>
              <w:spacing w:after="0"/>
              <w:rPr>
                <w:sz w:val="11"/>
                <w:szCs w:val="11"/>
                <w:color w:val="auto"/>
              </w:rPr>
            </w:pPr>
          </w:p>
        </w:tc>
        <w:tc>
          <w:tcPr>
            <w:tcW w:w="6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w w:val="96"/>
              </w:rPr>
              <w:t>20,011,940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6"/>
              </w:rPr>
              <w:t>19,992,000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03/01/2019</w:t>
            </w:r>
          </w:p>
        </w:tc>
        <w:tc>
          <w:tcPr>
            <w:tcW w:w="246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6"/>
              </w:rPr>
              <w:t>Cargo Transport</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11.00%</w:t>
            </w:r>
          </w:p>
        </w:tc>
        <w:tc>
          <w:tcPr>
            <w:tcW w:w="76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432,203</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334,401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432,203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2"/>
              </w:rPr>
              <w:t>(PIK 11.00%)</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Lighthouse Network, LLC (f/k/a Harbortouch Payments, LLC)</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10/11/2024</w:t>
            </w:r>
          </w:p>
        </w:tc>
        <w:tc>
          <w:tcPr>
            <w:tcW w:w="246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8"/>
              </w:rPr>
              <w:t>Financial Services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10.74%</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L+950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33,900,000</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w w:val="96"/>
              </w:rPr>
              <w:t>33,633,877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6"/>
              </w:rPr>
              <w:t>33,900,000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MailSouth, Inc.</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10/22/2021</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9"/>
              </w:rPr>
              <w:t>Printing and Publishing</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11.80%</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L+1,050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26,425,000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26,004,601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26,689,250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12/17/2021</w:t>
            </w:r>
          </w:p>
        </w:tc>
        <w:tc>
          <w:tcPr>
            <w:tcW w:w="246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8"/>
              </w:rPr>
              <w:t>Hotels, Motels, Inns and Gaming</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13.24%</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L+1,200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76,500,000</w:t>
            </w:r>
          </w:p>
        </w:tc>
        <w:tc>
          <w:tcPr>
            <w:tcW w:w="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w w:val="96"/>
              </w:rPr>
              <w:t>76,500,000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6"/>
              </w:rPr>
              <w:t>83,295,634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Pre-Paid Legal Services, Inc.</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07/01/2020</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6"/>
              </w:rPr>
              <w:t>Personal, Food and Miscellaneous Services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10.25%</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L+900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62,750,000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62,291,419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62,985,313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Veritext Corp.</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01/30/2023</w:t>
            </w:r>
          </w:p>
        </w:tc>
        <w:tc>
          <w:tcPr>
            <w:tcW w:w="246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10.33%</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L+900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18,834,375</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96"/>
              </w:rPr>
              <w:t>18,351,647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96"/>
              </w:rPr>
              <w:t>18,646,031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Second Lien Secured Debt</w:t>
            </w:r>
          </w:p>
        </w:tc>
        <w:tc>
          <w:tcPr>
            <w:tcW w:w="8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86"/>
              </w:rPr>
              <w:t>379,862,690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86"/>
              </w:rPr>
              <w:t>390,026,431</w:t>
            </w:r>
          </w:p>
        </w:tc>
        <w:tc>
          <w:tcPr>
            <w:tcW w:w="0" w:type="dxa"/>
            <w:vAlign w:val="bottom"/>
          </w:tcPr>
          <w:p>
            <w:pPr>
              <w:spacing w:after="0"/>
              <w:rPr>
                <w:sz w:val="1"/>
                <w:szCs w:val="1"/>
                <w:color w:val="auto"/>
              </w:rPr>
            </w:pPr>
          </w:p>
        </w:tc>
      </w:tr>
      <w:tr>
        <w:trPr>
          <w:trHeight w:val="141"/>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Subordinated Debt/Corporate Notes—10.6%</w:t>
            </w: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Cascade Environmental LLC</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08/20/2021</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7"/>
              </w:rPr>
              <w:t>Environmental Services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12.00%</w:t>
            </w:r>
          </w:p>
        </w:tc>
        <w:tc>
          <w:tcPr>
            <w:tcW w:w="76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3"/>
              </w:rPr>
              <w:t>32,675,553</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32,158,389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31,940,353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60" w:type="dxa"/>
            <w:vAlign w:val="bottom"/>
          </w:tcPr>
          <w:p>
            <w:pPr>
              <w:spacing w:after="0" w:line="128" w:lineRule="exact"/>
              <w:rPr>
                <w:sz w:val="20"/>
                <w:szCs w:val="20"/>
                <w:color w:val="auto"/>
              </w:rPr>
            </w:pPr>
            <w:r>
              <w:rPr>
                <w:rFonts w:ascii="Arial" w:cs="Arial" w:eastAsia="Arial" w:hAnsi="Arial"/>
                <w:sz w:val="12"/>
                <w:szCs w:val="12"/>
                <w:color w:val="auto"/>
              </w:rPr>
              <w:t>Credit Infonet, Inc.</w:t>
            </w:r>
          </w:p>
        </w:tc>
        <w:tc>
          <w:tcPr>
            <w:tcW w:w="82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10/26/2020</w:t>
            </w:r>
          </w:p>
        </w:tc>
        <w:tc>
          <w:tcPr>
            <w:tcW w:w="2460" w:type="dxa"/>
            <w:vAlign w:val="bottom"/>
            <w:gridSpan w:val="2"/>
          </w:tcPr>
          <w:p>
            <w:pPr>
              <w:jc w:val="center"/>
              <w:ind w:right="120"/>
              <w:spacing w:after="0" w:line="128" w:lineRule="exact"/>
              <w:rPr>
                <w:sz w:val="20"/>
                <w:szCs w:val="20"/>
                <w:color w:val="auto"/>
              </w:rPr>
            </w:pPr>
            <w:r>
              <w:rPr>
                <w:rFonts w:ascii="Arial" w:cs="Arial" w:eastAsia="Arial" w:hAnsi="Arial"/>
                <w:sz w:val="12"/>
                <w:szCs w:val="12"/>
                <w:color w:val="auto"/>
                <w:w w:val="86"/>
              </w:rPr>
              <w:t>Personal, Food and Miscellaneous Services</w:t>
            </w:r>
          </w:p>
        </w:tc>
        <w:tc>
          <w:tcPr>
            <w:tcW w:w="84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13.00%</w:t>
            </w:r>
          </w:p>
        </w:tc>
        <w:tc>
          <w:tcPr>
            <w:tcW w:w="760" w:type="dxa"/>
            <w:vAlign w:val="bottom"/>
            <w:gridSpan w:val="2"/>
          </w:tcPr>
          <w:p>
            <w:pPr>
              <w:jc w:val="right"/>
              <w:ind w:right="260"/>
              <w:spacing w:after="0" w:line="12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0"/>
              <w:spacing w:after="0" w:line="128" w:lineRule="exact"/>
              <w:rPr>
                <w:sz w:val="20"/>
                <w:szCs w:val="20"/>
                <w:color w:val="auto"/>
              </w:rPr>
            </w:pPr>
            <w:r>
              <w:rPr>
                <w:rFonts w:ascii="Arial" w:cs="Arial" w:eastAsia="Arial" w:hAnsi="Arial"/>
                <w:sz w:val="12"/>
                <w:szCs w:val="12"/>
                <w:color w:val="auto"/>
                <w:w w:val="83"/>
              </w:rPr>
              <w:t>11,151,903</w:t>
            </w:r>
          </w:p>
        </w:tc>
        <w:tc>
          <w:tcPr>
            <w:tcW w:w="60" w:type="dxa"/>
            <w:vAlign w:val="bottom"/>
          </w:tcPr>
          <w:p>
            <w:pPr>
              <w:spacing w:after="0"/>
              <w:rPr>
                <w:sz w:val="11"/>
                <w:szCs w:val="11"/>
                <w:color w:val="auto"/>
              </w:rPr>
            </w:pPr>
          </w:p>
        </w:tc>
        <w:tc>
          <w:tcPr>
            <w:tcW w:w="600" w:type="dxa"/>
            <w:vAlign w:val="bottom"/>
          </w:tcPr>
          <w:p>
            <w:pPr>
              <w:jc w:val="right"/>
              <w:spacing w:after="0" w:line="128" w:lineRule="exact"/>
              <w:rPr>
                <w:sz w:val="20"/>
                <w:szCs w:val="20"/>
                <w:color w:val="auto"/>
              </w:rPr>
            </w:pPr>
            <w:r>
              <w:rPr>
                <w:rFonts w:ascii="Arial" w:cs="Arial" w:eastAsia="Arial" w:hAnsi="Arial"/>
                <w:sz w:val="12"/>
                <w:szCs w:val="12"/>
                <w:color w:val="auto"/>
                <w:w w:val="96"/>
              </w:rPr>
              <w:t>10,939,903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w w:val="96"/>
              </w:rPr>
              <w:t>11,151,903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(PIK 0.75%)</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820" w:type="dxa"/>
            <w:vAlign w:val="bottom"/>
            <w:shd w:val="clear" w:color="auto" w:fill="CCEEFF"/>
          </w:tcPr>
          <w:p>
            <w:pPr>
              <w:jc w:val="right"/>
              <w:ind w:right="82"/>
              <w:spacing w:after="0" w:line="134" w:lineRule="exact"/>
              <w:rPr>
                <w:sz w:val="20"/>
                <w:szCs w:val="20"/>
                <w:color w:val="auto"/>
              </w:rPr>
            </w:pPr>
            <w:r>
              <w:rPr>
                <w:rFonts w:ascii="Arial" w:cs="Arial" w:eastAsia="Arial" w:hAnsi="Arial"/>
                <w:sz w:val="12"/>
                <w:szCs w:val="12"/>
                <w:color w:val="auto"/>
              </w:rPr>
              <w:t>02/19/2018</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20.50%</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L+1,600</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3"/>
              </w:rPr>
              <w:t>9,112,485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13,280,807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12,225,783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2"/>
              </w:rPr>
              <w:t>(PIK 12.00%)</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tcPr>
          <w:p>
            <w:pPr>
              <w:spacing w:after="0" w:line="134" w:lineRule="exact"/>
              <w:rPr>
                <w:sz w:val="20"/>
                <w:szCs w:val="20"/>
                <w:color w:val="auto"/>
              </w:rPr>
            </w:pPr>
            <w:r>
              <w:rPr>
                <w:rFonts w:ascii="Arial" w:cs="Arial" w:eastAsia="Arial" w:hAnsi="Arial"/>
                <w:sz w:val="12"/>
                <w:szCs w:val="12"/>
                <w:color w:val="auto"/>
              </w:rPr>
              <w:t>Sonny’s Enterprises, LLC</w:t>
            </w:r>
          </w:p>
        </w:tc>
        <w:tc>
          <w:tcPr>
            <w:tcW w:w="820" w:type="dxa"/>
            <w:vAlign w:val="bottom"/>
          </w:tcPr>
          <w:p>
            <w:pPr>
              <w:jc w:val="right"/>
              <w:ind w:right="82"/>
              <w:spacing w:after="0" w:line="134" w:lineRule="exact"/>
              <w:rPr>
                <w:sz w:val="20"/>
                <w:szCs w:val="20"/>
                <w:color w:val="auto"/>
              </w:rPr>
            </w:pPr>
            <w:r>
              <w:rPr>
                <w:rFonts w:ascii="Arial" w:cs="Arial" w:eastAsia="Arial" w:hAnsi="Arial"/>
                <w:sz w:val="12"/>
                <w:szCs w:val="12"/>
                <w:color w:val="auto"/>
              </w:rPr>
              <w:t>06/01/2023</w:t>
            </w:r>
          </w:p>
        </w:tc>
        <w:tc>
          <w:tcPr>
            <w:tcW w:w="246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8"/>
              </w:rPr>
              <w:t>Manufacturing / Basic Industries</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11.00%</w:t>
            </w:r>
          </w:p>
        </w:tc>
        <w:tc>
          <w:tcPr>
            <w:tcW w:w="76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w w:val="83"/>
              </w:rPr>
              <w:t>13,300,000</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96"/>
              </w:rPr>
              <w:t>13,055,456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96"/>
              </w:rPr>
              <w:t>13,300,000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Subordinated Debt/Corporate Notes</w:t>
            </w:r>
          </w:p>
        </w:tc>
        <w:tc>
          <w:tcPr>
            <w:tcW w:w="8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69,434,555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6"/>
              </w:rPr>
              <w:t>68,618,039</w:t>
            </w:r>
          </w:p>
        </w:tc>
        <w:tc>
          <w:tcPr>
            <w:tcW w:w="0" w:type="dxa"/>
            <w:vAlign w:val="bottom"/>
          </w:tcPr>
          <w:p>
            <w:pPr>
              <w:spacing w:after="0"/>
              <w:rPr>
                <w:sz w:val="1"/>
                <w:szCs w:val="1"/>
                <w:color w:val="auto"/>
              </w:rPr>
            </w:pPr>
          </w:p>
        </w:tc>
      </w:tr>
      <w:tr>
        <w:trPr>
          <w:trHeight w:val="141"/>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Equity/Partnership Interests—0.9% </w:t>
            </w:r>
            <w:r>
              <w:rPr>
                <w:rFonts w:ascii="Arial" w:cs="Arial" w:eastAsia="Arial" w:hAnsi="Arial"/>
                <w:sz w:val="9"/>
                <w:szCs w:val="9"/>
                <w:b w:val="1"/>
                <w:bCs w:val="1"/>
                <w:color w:val="auto"/>
              </w:rPr>
              <w:t>(6)</w:t>
            </w: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AH Holdings, Inc.</w:t>
            </w:r>
          </w:p>
        </w:tc>
        <w:tc>
          <w:tcPr>
            <w:tcW w:w="820" w:type="dxa"/>
            <w:vAlign w:val="bottom"/>
            <w:shd w:val="clear" w:color="auto" w:fill="CCEEFF"/>
          </w:tcPr>
          <w:p>
            <w:pPr>
              <w:jc w:val="right"/>
              <w:ind w:right="142"/>
              <w:spacing w:after="0" w:line="134" w:lineRule="exact"/>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6.00%</w:t>
            </w:r>
          </w:p>
        </w:tc>
        <w:tc>
          <w:tcPr>
            <w:tcW w:w="76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211</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327,380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60" w:type="dxa"/>
            <w:vAlign w:val="bottom"/>
          </w:tcPr>
          <w:p>
            <w:pPr>
              <w:spacing w:after="0"/>
              <w:rPr>
                <w:sz w:val="20"/>
                <w:szCs w:val="20"/>
                <w:color w:val="auto"/>
              </w:rPr>
            </w:pPr>
            <w:r>
              <w:rPr>
                <w:rFonts w:ascii="Arial" w:cs="Arial" w:eastAsia="Arial" w:hAnsi="Arial"/>
                <w:sz w:val="12"/>
                <w:szCs w:val="12"/>
                <w:color w:val="auto"/>
              </w:rPr>
              <w:t>Alegeus Technologies Holdings Corp.</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8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949</w:t>
            </w:r>
          </w:p>
        </w:tc>
        <w:tc>
          <w:tcPr>
            <w:tcW w:w="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949,050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1,144,391</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2240" w:h="15840" w:orient="portrait"/>
          <w:cols w:equalWidth="0" w:num="1">
            <w:col w:w="11060"/>
          </w:cols>
          <w:pgMar w:left="520" w:top="317" w:right="660"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2017</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2"/>
              </w:rPr>
              <w:t>Basis Point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3"/>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Pr>
          <w:p>
            <w:pPr>
              <w:spacing w:after="0"/>
              <w:rPr>
                <w:sz w:val="11"/>
                <w:szCs w:val="11"/>
                <w:color w:val="auto"/>
              </w:rPr>
            </w:pPr>
          </w:p>
        </w:tc>
        <w:tc>
          <w:tcPr>
            <w:tcW w:w="7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Maturity /</w:t>
            </w: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Current</w:t>
            </w:r>
          </w:p>
        </w:tc>
        <w:tc>
          <w:tcPr>
            <w:tcW w:w="7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1"/>
              </w:rPr>
              <w:t>Above</w:t>
            </w:r>
          </w:p>
        </w:tc>
        <w:tc>
          <w:tcPr>
            <w:tcW w:w="800" w:type="dxa"/>
            <w:vAlign w:val="bottom"/>
            <w:gridSpan w:val="2"/>
          </w:tcPr>
          <w:p>
            <w:pPr>
              <w:jc w:val="right"/>
              <w:ind w:right="400"/>
              <w:spacing w:after="0" w:line="134" w:lineRule="exact"/>
              <w:rPr>
                <w:sz w:val="20"/>
                <w:szCs w:val="20"/>
                <w:color w:val="auto"/>
              </w:rPr>
            </w:pPr>
            <w:r>
              <w:rPr>
                <w:rFonts w:ascii="Arial" w:cs="Arial" w:eastAsia="Arial" w:hAnsi="Arial"/>
                <w:sz w:val="12"/>
                <w:szCs w:val="12"/>
                <w:b w:val="1"/>
                <w:bCs w:val="1"/>
                <w:color w:val="auto"/>
              </w:rPr>
              <w:t>Par /</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Expiration</w:t>
            </w:r>
          </w:p>
        </w:tc>
        <w:tc>
          <w:tcPr>
            <w:tcW w:w="2420" w:type="dxa"/>
            <w:vAlign w:val="bottom"/>
            <w:gridSpan w:val="2"/>
            <w:vMerge w:val="continue"/>
          </w:tcPr>
          <w:p>
            <w:pPr>
              <w:spacing w:after="0"/>
              <w:rPr>
                <w:sz w:val="12"/>
                <w:szCs w:val="12"/>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Coupon</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36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Convergint Technologies Holdings, LLC</w:t>
            </w:r>
          </w:p>
        </w:tc>
        <w:tc>
          <w:tcPr>
            <w:tcW w:w="10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ind w:left="400"/>
              <w:spacing w:after="0" w:line="128" w:lineRule="exact"/>
              <w:rPr>
                <w:sz w:val="20"/>
                <w:szCs w:val="20"/>
                <w:color w:val="auto"/>
              </w:rPr>
            </w:pPr>
            <w:r>
              <w:rPr>
                <w:rFonts w:ascii="Arial" w:cs="Arial" w:eastAsia="Arial" w:hAnsi="Arial"/>
                <w:sz w:val="12"/>
                <w:szCs w:val="12"/>
                <w:color w:val="auto"/>
              </w:rPr>
              <w:t>—</w:t>
            </w:r>
          </w:p>
        </w:tc>
        <w:tc>
          <w:tcPr>
            <w:tcW w:w="140" w:type="dxa"/>
            <w:vAlign w:val="bottom"/>
            <w:vMerge w:val="continue"/>
            <w:shd w:val="clear" w:color="auto" w:fill="CCEEFF"/>
          </w:tcPr>
          <w:p>
            <w:pPr>
              <w:spacing w:after="0"/>
              <w:rPr>
                <w:sz w:val="11"/>
                <w:szCs w:val="11"/>
                <w:color w:val="auto"/>
              </w:rPr>
            </w:pPr>
          </w:p>
        </w:tc>
        <w:tc>
          <w:tcPr>
            <w:tcW w:w="230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8"/>
              </w:rPr>
              <w:t>Electronics</w:t>
            </w:r>
          </w:p>
        </w:tc>
        <w:tc>
          <w:tcPr>
            <w:tcW w:w="120" w:type="dxa"/>
            <w:vAlign w:val="bottom"/>
            <w:vMerge w:val="continue"/>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8.00%</w:t>
            </w:r>
          </w:p>
        </w:tc>
        <w:tc>
          <w:tcPr>
            <w:tcW w:w="58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w:t>
            </w:r>
          </w:p>
        </w:tc>
        <w:tc>
          <w:tcPr>
            <w:tcW w:w="140" w:type="dxa"/>
            <w:vAlign w:val="bottom"/>
            <w:vMerge w:val="continue"/>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2,375</w:t>
            </w:r>
          </w:p>
        </w:tc>
        <w:tc>
          <w:tcPr>
            <w:tcW w:w="24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91"/>
              </w:rPr>
              <w:t>$   2,088,121</w:t>
            </w:r>
          </w:p>
        </w:tc>
        <w:tc>
          <w:tcPr>
            <w:tcW w:w="140" w:type="dxa"/>
            <w:vAlign w:val="bottom"/>
            <w:vMerge w:val="continue"/>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jc w:val="right"/>
              <w:spacing w:after="0" w:line="128" w:lineRule="exact"/>
              <w:rPr>
                <w:sz w:val="20"/>
                <w:szCs w:val="20"/>
                <w:color w:val="auto"/>
              </w:rPr>
            </w:pPr>
            <w:r>
              <w:rPr>
                <w:rFonts w:ascii="Arial" w:cs="Arial" w:eastAsia="Arial" w:hAnsi="Arial"/>
                <w:sz w:val="12"/>
                <w:szCs w:val="12"/>
                <w:color w:val="auto"/>
                <w:w w:val="91"/>
              </w:rPr>
              <w:t>$   2,552,034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HW Holdco, LLC</w:t>
            </w:r>
          </w:p>
        </w:tc>
        <w:tc>
          <w:tcPr>
            <w:tcW w:w="100" w:type="dxa"/>
            <w:vAlign w:val="bottom"/>
          </w:tcPr>
          <w:p>
            <w:pPr>
              <w:spacing w:after="0"/>
              <w:rPr>
                <w:sz w:val="11"/>
                <w:szCs w:val="11"/>
                <w:color w:val="auto"/>
              </w:rPr>
            </w:pP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7"/>
              </w:rPr>
              <w:t>Other Media</w:t>
            </w:r>
          </w:p>
        </w:tc>
        <w:tc>
          <w:tcPr>
            <w:tcW w:w="92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8.00%</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3,591</w:t>
            </w:r>
          </w:p>
        </w:tc>
        <w:tc>
          <w:tcPr>
            <w:tcW w:w="100" w:type="dxa"/>
            <w:vAlign w:val="bottom"/>
          </w:tcPr>
          <w:p>
            <w:pPr>
              <w:spacing w:after="0"/>
              <w:rPr>
                <w:sz w:val="11"/>
                <w:szCs w:val="11"/>
                <w:color w:val="auto"/>
              </w:rPr>
            </w:pPr>
          </w:p>
        </w:tc>
        <w:tc>
          <w:tcPr>
            <w:tcW w:w="80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24,971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Roto Holdings, Inc.</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8"/>
              </w:rPr>
              <w:t>Manufacturing / Basic Industries</w:t>
            </w:r>
          </w:p>
        </w:tc>
        <w:tc>
          <w:tcPr>
            <w:tcW w:w="92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9.00%</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1,197</w:t>
            </w: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1,197,000</w:t>
            </w: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1,537,236</w:t>
            </w:r>
          </w:p>
        </w:tc>
        <w:tc>
          <w:tcPr>
            <w:tcW w:w="0" w:type="dxa"/>
            <w:vAlign w:val="bottom"/>
          </w:tcPr>
          <w:p>
            <w:pPr>
              <w:spacing w:after="0"/>
              <w:rPr>
                <w:sz w:val="1"/>
                <w:szCs w:val="1"/>
                <w:color w:val="auto"/>
              </w:rPr>
            </w:pPr>
          </w:p>
        </w:tc>
      </w:tr>
      <w:tr>
        <w:trPr>
          <w:trHeight w:val="14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2"/>
                <w:szCs w:val="12"/>
                <w:color w:val="auto"/>
              </w:rPr>
              <w:t>4,734,171</w:t>
            </w:r>
          </w:p>
        </w:tc>
        <w:tc>
          <w:tcPr>
            <w:tcW w:w="700" w:type="dxa"/>
            <w:vAlign w:val="bottom"/>
          </w:tcPr>
          <w:p>
            <w:pPr>
              <w:jc w:val="right"/>
              <w:spacing w:after="0"/>
              <w:rPr>
                <w:sz w:val="20"/>
                <w:szCs w:val="20"/>
                <w:color w:val="auto"/>
              </w:rPr>
            </w:pPr>
            <w:r>
              <w:rPr>
                <w:rFonts w:ascii="Arial" w:cs="Arial" w:eastAsia="Arial" w:hAnsi="Arial"/>
                <w:sz w:val="12"/>
                <w:szCs w:val="12"/>
                <w:color w:val="auto"/>
              </w:rPr>
              <w:t>5,586,012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 xml:space="preserve">Common Equity/Partnership Interests/Warrants—6.7% </w:t>
            </w:r>
            <w:r>
              <w:rPr>
                <w:rFonts w:ascii="Arial" w:cs="Arial" w:eastAsia="Arial" w:hAnsi="Arial"/>
                <w:sz w:val="9"/>
                <w:szCs w:val="9"/>
                <w:b w:val="1"/>
                <w:bCs w:val="1"/>
                <w:color w:val="auto"/>
              </w:rPr>
              <w:t>(6)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AH Holdings, Inc. (Warrants)</w:t>
            </w:r>
          </w:p>
        </w:tc>
        <w:tc>
          <w:tcPr>
            <w:tcW w:w="82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03/23/2021</w:t>
            </w:r>
          </w:p>
        </w:tc>
        <w:tc>
          <w:tcPr>
            <w:tcW w:w="242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92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753</w:t>
            </w:r>
          </w:p>
        </w:tc>
        <w:tc>
          <w:tcPr>
            <w:tcW w:w="100" w:type="dxa"/>
            <w:vAlign w:val="bottom"/>
          </w:tcPr>
          <w:p>
            <w:pPr>
              <w:spacing w:after="0"/>
              <w:rPr>
                <w:sz w:val="11"/>
                <w:szCs w:val="11"/>
                <w:color w:val="auto"/>
              </w:rPr>
            </w:pPr>
          </w:p>
        </w:tc>
        <w:tc>
          <w:tcPr>
            <w:tcW w:w="80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42"/>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Alegeus Technologies Holdings Corp.</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8"/>
              </w:rPr>
              <w:t>Financial Services</w:t>
            </w:r>
          </w:p>
        </w:tc>
        <w:tc>
          <w:tcPr>
            <w:tcW w:w="9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950</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1,146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ASP LCG Holdings, Inc. (Warrants)</w:t>
            </w:r>
          </w:p>
        </w:tc>
        <w:tc>
          <w:tcPr>
            <w:tcW w:w="82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05/05/2026</w:t>
            </w:r>
          </w:p>
        </w:tc>
        <w:tc>
          <w:tcPr>
            <w:tcW w:w="242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6"/>
              </w:rPr>
              <w:t>Education</w:t>
            </w:r>
          </w:p>
        </w:tc>
        <w:tc>
          <w:tcPr>
            <w:tcW w:w="92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933</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586,975</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1,752,663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Autumn Games, LLC</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7"/>
              </w:rPr>
              <w:t>Broadcasting and Entertainment</w:t>
            </w:r>
          </w:p>
        </w:tc>
        <w:tc>
          <w:tcPr>
            <w:tcW w:w="9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1,333,330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3,000,000</w:t>
            </w:r>
          </w:p>
        </w:tc>
        <w:tc>
          <w:tcPr>
            <w:tcW w:w="700" w:type="dxa"/>
            <w:vAlign w:val="bottom"/>
            <w:tcBorders>
              <w:right w:val="single" w:sz="8" w:color="CCEEFF"/>
            </w:tcBorders>
            <w:shd w:val="clear" w:color="auto" w:fill="CCEEFF"/>
          </w:tcPr>
          <w:p>
            <w:pPr>
              <w:jc w:val="right"/>
              <w:ind w:right="42"/>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w w:val="89"/>
              </w:rPr>
              <w:t xml:space="preserve">Cardinal Logistics Holdings LLC </w:t>
            </w:r>
            <w:r>
              <w:rPr>
                <w:rFonts w:ascii="Arial" w:cs="Arial" w:eastAsia="Arial" w:hAnsi="Arial"/>
                <w:sz w:val="9"/>
                <w:szCs w:val="9"/>
                <w:color w:val="auto"/>
                <w:w w:val="89"/>
              </w:rPr>
              <w:t>(10)</w:t>
            </w:r>
            <w:r>
              <w:rPr>
                <w:rFonts w:ascii="Arial" w:cs="Arial" w:eastAsia="Arial" w:hAnsi="Arial"/>
                <w:sz w:val="12"/>
                <w:szCs w:val="12"/>
                <w:color w:val="auto"/>
                <w:w w:val="89"/>
              </w:rPr>
              <w:t xml:space="preserve"> (Intermediate Transportation 100, LLC)</w:t>
            </w:r>
          </w:p>
        </w:tc>
        <w:tc>
          <w:tcPr>
            <w:tcW w:w="100" w:type="dxa"/>
            <w:vAlign w:val="bottom"/>
          </w:tcPr>
          <w:p>
            <w:pPr>
              <w:spacing w:after="0"/>
              <w:rPr>
                <w:sz w:val="11"/>
                <w:szCs w:val="11"/>
                <w:color w:val="auto"/>
              </w:rPr>
            </w:pP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6"/>
              </w:rPr>
              <w:t>Cargo Transport</w:t>
            </w:r>
          </w:p>
        </w:tc>
        <w:tc>
          <w:tcPr>
            <w:tcW w:w="92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(14)</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5,411,024</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3,688,211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7"/>
              </w:rPr>
              <w:t>Environmental Services</w:t>
            </w:r>
          </w:p>
        </w:tc>
        <w:tc>
          <w:tcPr>
            <w:tcW w:w="9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24,382</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2,518,909</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2,438,193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100" w:type="dxa"/>
            <w:vAlign w:val="bottom"/>
          </w:tcPr>
          <w:p>
            <w:pPr>
              <w:spacing w:after="0"/>
              <w:rPr>
                <w:sz w:val="11"/>
                <w:szCs w:val="11"/>
                <w:color w:val="auto"/>
              </w:rPr>
            </w:pP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93"/>
              </w:rPr>
              <w:t>Distribution</w:t>
            </w:r>
          </w:p>
        </w:tc>
        <w:tc>
          <w:tcPr>
            <w:tcW w:w="92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1,745,639</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1,745,639</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3,928,695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CI (Summit) Investment Holdings LLC</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7"/>
              </w:rPr>
              <w:t>Buildings and Real Estate</w:t>
            </w:r>
          </w:p>
        </w:tc>
        <w:tc>
          <w:tcPr>
            <w:tcW w:w="9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100,000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1,000,000</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Convergint Technologies Holdings, LLC</w:t>
            </w:r>
          </w:p>
        </w:tc>
        <w:tc>
          <w:tcPr>
            <w:tcW w:w="100" w:type="dxa"/>
            <w:vAlign w:val="bottom"/>
          </w:tcPr>
          <w:p>
            <w:pPr>
              <w:spacing w:after="0"/>
              <w:rPr>
                <w:sz w:val="11"/>
                <w:szCs w:val="11"/>
                <w:color w:val="auto"/>
              </w:rPr>
            </w:pP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8"/>
              </w:rPr>
              <w:t>Electronics</w:t>
            </w:r>
          </w:p>
        </w:tc>
        <w:tc>
          <w:tcPr>
            <w:tcW w:w="92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2,375</w:t>
            </w:r>
          </w:p>
        </w:tc>
        <w:tc>
          <w:tcPr>
            <w:tcW w:w="100" w:type="dxa"/>
            <w:vAlign w:val="bottom"/>
          </w:tcPr>
          <w:p>
            <w:pPr>
              <w:spacing w:after="0"/>
              <w:rPr>
                <w:sz w:val="11"/>
                <w:szCs w:val="11"/>
                <w:color w:val="auto"/>
              </w:rPr>
            </w:pPr>
          </w:p>
        </w:tc>
        <w:tc>
          <w:tcPr>
            <w:tcW w:w="80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4,612,054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DecoPac Holdings Inc.</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4"/>
              </w:rPr>
              <w:t>Beverage, Food and Tobacco</w:t>
            </w:r>
          </w:p>
        </w:tc>
        <w:tc>
          <w:tcPr>
            <w:tcW w:w="9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3,449</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3,448,658</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3,448,658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(12)</w:t>
            </w:r>
          </w:p>
        </w:tc>
        <w:tc>
          <w:tcPr>
            <w:tcW w:w="100" w:type="dxa"/>
            <w:vAlign w:val="bottom"/>
          </w:tcPr>
          <w:p>
            <w:pPr>
              <w:spacing w:after="0"/>
              <w:rPr>
                <w:sz w:val="11"/>
                <w:szCs w:val="11"/>
                <w:color w:val="auto"/>
              </w:rPr>
            </w:pP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8"/>
              </w:rPr>
              <w:t>Financial Services</w:t>
            </w:r>
          </w:p>
        </w:tc>
        <w:tc>
          <w:tcPr>
            <w:tcW w:w="92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80,000</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800,000</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800,000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Faraday Holdings, LLC (Interior Specialists, Inc.)</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92"/>
              </w:rPr>
              <w:t>Building Materials</w:t>
            </w:r>
          </w:p>
        </w:tc>
        <w:tc>
          <w:tcPr>
            <w:tcW w:w="9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4,277</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217,635</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767,569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HW Holdco, LLC</w:t>
            </w:r>
          </w:p>
        </w:tc>
        <w:tc>
          <w:tcPr>
            <w:tcW w:w="100" w:type="dxa"/>
            <w:vAlign w:val="bottom"/>
          </w:tcPr>
          <w:p>
            <w:pPr>
              <w:spacing w:after="0"/>
              <w:rPr>
                <w:sz w:val="11"/>
                <w:szCs w:val="11"/>
                <w:color w:val="auto"/>
              </w:rPr>
            </w:pP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7"/>
              </w:rPr>
              <w:t>Other Media</w:t>
            </w:r>
          </w:p>
        </w:tc>
        <w:tc>
          <w:tcPr>
            <w:tcW w:w="92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388,378</w:t>
            </w:r>
          </w:p>
        </w:tc>
        <w:tc>
          <w:tcPr>
            <w:tcW w:w="100" w:type="dxa"/>
            <w:vAlign w:val="bottom"/>
          </w:tcPr>
          <w:p>
            <w:pPr>
              <w:spacing w:after="0"/>
              <w:rPr>
                <w:sz w:val="11"/>
                <w:szCs w:val="11"/>
                <w:color w:val="auto"/>
              </w:rPr>
            </w:pPr>
          </w:p>
        </w:tc>
        <w:tc>
          <w:tcPr>
            <w:tcW w:w="800" w:type="dxa"/>
            <w:vAlign w:val="bottom"/>
            <w:gridSpan w:val="2"/>
          </w:tcPr>
          <w:p>
            <w:pPr>
              <w:ind w:left="480"/>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2,700,680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Infogroup Parent Holdings, Inc.</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7"/>
              </w:rPr>
              <w:t>Other Media</w:t>
            </w:r>
          </w:p>
        </w:tc>
        <w:tc>
          <w:tcPr>
            <w:tcW w:w="9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181,495</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2,040,000</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1,934,243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(10)</w:t>
            </w:r>
          </w:p>
        </w:tc>
        <w:tc>
          <w:tcPr>
            <w:tcW w:w="100" w:type="dxa"/>
            <w:vAlign w:val="bottom"/>
          </w:tcPr>
          <w:p>
            <w:pPr>
              <w:spacing w:after="0"/>
              <w:rPr>
                <w:sz w:val="11"/>
                <w:szCs w:val="11"/>
                <w:color w:val="auto"/>
              </w:rPr>
            </w:pP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92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204,985</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2,049,849</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2,197,752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(13)</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6"/>
              </w:rPr>
              <w:t>Healthcare, Education and Childcare</w:t>
            </w:r>
          </w:p>
        </w:tc>
        <w:tc>
          <w:tcPr>
            <w:tcW w:w="9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252,014</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2,265,639</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844,247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100" w:type="dxa"/>
            <w:vAlign w:val="bottom"/>
          </w:tcPr>
          <w:p>
            <w:pPr>
              <w:spacing w:after="0"/>
              <w:rPr>
                <w:sz w:val="11"/>
                <w:szCs w:val="11"/>
                <w:color w:val="auto"/>
              </w:rPr>
            </w:pP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93"/>
              </w:rPr>
              <w:t>Distribution</w:t>
            </w:r>
          </w:p>
        </w:tc>
        <w:tc>
          <w:tcPr>
            <w:tcW w:w="92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19</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493,280</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803,665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7"/>
              </w:rPr>
              <w:t>Environmental Services</w:t>
            </w:r>
          </w:p>
        </w:tc>
        <w:tc>
          <w:tcPr>
            <w:tcW w:w="9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1,000,000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1,000,000</w:t>
            </w:r>
          </w:p>
        </w:tc>
        <w:tc>
          <w:tcPr>
            <w:tcW w:w="700" w:type="dxa"/>
            <w:vAlign w:val="bottom"/>
            <w:tcBorders>
              <w:right w:val="single" w:sz="8" w:color="CCEEFF"/>
            </w:tcBorders>
            <w:shd w:val="clear" w:color="auto" w:fill="CCEEFF"/>
          </w:tcPr>
          <w:p>
            <w:pPr>
              <w:jc w:val="right"/>
              <w:ind w:right="42"/>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Pr>
          <w:p>
            <w:pPr>
              <w:spacing w:after="0" w:line="128" w:lineRule="exact"/>
              <w:rPr>
                <w:sz w:val="20"/>
                <w:szCs w:val="20"/>
                <w:color w:val="auto"/>
              </w:rPr>
            </w:pPr>
            <w:r>
              <w:rPr>
                <w:rFonts w:ascii="Arial" w:cs="Arial" w:eastAsia="Arial" w:hAnsi="Arial"/>
                <w:sz w:val="12"/>
                <w:szCs w:val="12"/>
                <w:color w:val="auto"/>
              </w:rPr>
              <w:t>MidOcean PPL Holdings, Corp.</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40" w:type="dxa"/>
            <w:vAlign w:val="bottom"/>
            <w:gridSpan w:val="2"/>
          </w:tcPr>
          <w:p>
            <w:pPr>
              <w:spacing w:after="0"/>
              <w:rPr>
                <w:sz w:val="20"/>
                <w:szCs w:val="20"/>
                <w:color w:val="auto"/>
              </w:rPr>
            </w:pPr>
            <w:r>
              <w:rPr>
                <w:rFonts w:ascii="Arial" w:cs="Arial" w:eastAsia="Arial" w:hAnsi="Arial"/>
                <w:sz w:val="12"/>
                <w:szCs w:val="12"/>
                <w:color w:val="auto"/>
              </w:rPr>
              <w:t>(Pre-Paid Legal Services, Inc.)</w:t>
            </w:r>
          </w:p>
        </w:tc>
        <w:tc>
          <w:tcPr>
            <w:tcW w:w="100" w:type="dxa"/>
            <w:vAlign w:val="bottom"/>
          </w:tcPr>
          <w:p>
            <w:pPr>
              <w:spacing w:after="0"/>
              <w:rPr>
                <w:sz w:val="13"/>
                <w:szCs w:val="13"/>
                <w:color w:val="auto"/>
              </w:rPr>
            </w:pPr>
          </w:p>
        </w:tc>
        <w:tc>
          <w:tcPr>
            <w:tcW w:w="7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Personal, Food and Miscellaneous Services</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3,000</w:t>
            </w:r>
          </w:p>
        </w:tc>
        <w:tc>
          <w:tcPr>
            <w:tcW w:w="900" w:type="dxa"/>
            <w:vAlign w:val="bottom"/>
            <w:gridSpan w:val="3"/>
          </w:tcPr>
          <w:p>
            <w:pPr>
              <w:jc w:val="right"/>
              <w:ind w:right="140"/>
              <w:spacing w:after="0"/>
              <w:rPr>
                <w:sz w:val="20"/>
                <w:szCs w:val="20"/>
                <w:color w:val="auto"/>
              </w:rPr>
            </w:pPr>
            <w:r>
              <w:rPr>
                <w:rFonts w:ascii="Arial" w:cs="Arial" w:eastAsia="Arial" w:hAnsi="Arial"/>
                <w:sz w:val="12"/>
                <w:szCs w:val="12"/>
                <w:color w:val="auto"/>
              </w:rPr>
              <w:t>3,000,000</w:t>
            </w:r>
          </w:p>
        </w:tc>
        <w:tc>
          <w:tcPr>
            <w:tcW w:w="700" w:type="dxa"/>
            <w:vAlign w:val="bottom"/>
          </w:tcPr>
          <w:p>
            <w:pPr>
              <w:jc w:val="right"/>
              <w:spacing w:after="0"/>
              <w:rPr>
                <w:sz w:val="20"/>
                <w:szCs w:val="20"/>
                <w:color w:val="auto"/>
              </w:rPr>
            </w:pPr>
            <w:r>
              <w:rPr>
                <w:rFonts w:ascii="Arial" w:cs="Arial" w:eastAsia="Arial" w:hAnsi="Arial"/>
                <w:sz w:val="12"/>
                <w:szCs w:val="12"/>
                <w:color w:val="auto"/>
              </w:rPr>
              <w:t>9,786,996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7"/>
              </w:rPr>
              <w:t>Insurance</w:t>
            </w:r>
          </w:p>
        </w:tc>
        <w:tc>
          <w:tcPr>
            <w:tcW w:w="9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100,885</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238,038</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136,195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Roto Holdings, Inc.</w:t>
            </w:r>
          </w:p>
        </w:tc>
        <w:tc>
          <w:tcPr>
            <w:tcW w:w="100" w:type="dxa"/>
            <w:vAlign w:val="bottom"/>
          </w:tcPr>
          <w:p>
            <w:pPr>
              <w:spacing w:after="0"/>
              <w:rPr>
                <w:sz w:val="11"/>
                <w:szCs w:val="11"/>
                <w:color w:val="auto"/>
              </w:rPr>
            </w:pPr>
          </w:p>
        </w:tc>
        <w:tc>
          <w:tcPr>
            <w:tcW w:w="720" w:type="dxa"/>
            <w:vAlign w:val="bottom"/>
            <w:gridSpan w:val="2"/>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8"/>
              </w:rPr>
              <w:t>Manufacturing / Basic Industries</w:t>
            </w:r>
          </w:p>
        </w:tc>
        <w:tc>
          <w:tcPr>
            <w:tcW w:w="92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1,330</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133,000</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2,036,830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(10)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6"/>
              </w:rPr>
              <w:t>Personal, Food and Miscellaneous Services</w:t>
            </w:r>
          </w:p>
        </w:tc>
        <w:tc>
          <w:tcPr>
            <w:tcW w:w="9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754</w:t>
            </w: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754,264</w:t>
            </w: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754,264</w:t>
            </w:r>
          </w:p>
        </w:tc>
        <w:tc>
          <w:tcPr>
            <w:tcW w:w="0" w:type="dxa"/>
            <w:vAlign w:val="bottom"/>
          </w:tcPr>
          <w:p>
            <w:pPr>
              <w:spacing w:after="0"/>
              <w:rPr>
                <w:sz w:val="1"/>
                <w:szCs w:val="1"/>
                <w:color w:val="auto"/>
              </w:rPr>
            </w:pPr>
          </w:p>
        </w:tc>
      </w:tr>
      <w:tr>
        <w:trPr>
          <w:trHeight w:val="14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30,703,860</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43,632,061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87"/>
              </w:rPr>
              <w:t>Total Investments in Non-Controlled, Non-Affiliated Portfolio Companies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824,106,322</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5"/>
              </w:rPr>
              <w:t>849,351,548</w:t>
            </w:r>
          </w:p>
        </w:tc>
        <w:tc>
          <w:tcPr>
            <w:tcW w:w="0" w:type="dxa"/>
            <w:vAlign w:val="bottom"/>
          </w:tcPr>
          <w:p>
            <w:pPr>
              <w:spacing w:after="0"/>
              <w:rPr>
                <w:sz w:val="1"/>
                <w:szCs w:val="1"/>
                <w:color w:val="auto"/>
              </w:rPr>
            </w:pPr>
          </w:p>
        </w:tc>
      </w:tr>
      <w:tr>
        <w:trPr>
          <w:trHeight w:val="141"/>
        </w:trPr>
        <w:tc>
          <w:tcPr>
            <w:tcW w:w="4460" w:type="dxa"/>
            <w:vAlign w:val="bottom"/>
            <w:gridSpan w:val="5"/>
          </w:tcPr>
          <w:p>
            <w:pPr>
              <w:spacing w:after="0"/>
              <w:rPr>
                <w:sz w:val="20"/>
                <w:szCs w:val="20"/>
                <w:color w:val="auto"/>
              </w:rPr>
            </w:pPr>
            <w:r>
              <w:rPr>
                <w:rFonts w:ascii="Arial" w:cs="Arial" w:eastAsia="Arial" w:hAnsi="Arial"/>
                <w:sz w:val="12"/>
                <w:szCs w:val="12"/>
                <w:b w:val="1"/>
                <w:bCs w:val="1"/>
                <w:color w:val="auto"/>
              </w:rPr>
              <w:t xml:space="preserve">Investments in Non-Controlled, Affiliated Portfolio Companies—29.3% </w:t>
            </w:r>
            <w:r>
              <w:rPr>
                <w:rFonts w:ascii="Arial" w:cs="Arial" w:eastAsia="Arial" w:hAnsi="Arial"/>
                <w:sz w:val="9"/>
                <w:szCs w:val="9"/>
                <w:b w:val="1"/>
                <w:bCs w:val="1"/>
                <w:color w:val="auto"/>
              </w:rPr>
              <w:t>(1), (2)</w:t>
            </w: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First Lien Secured Debt—9.8%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American Gilsonite Company</w:t>
            </w:r>
          </w:p>
        </w:tc>
        <w:tc>
          <w:tcPr>
            <w:tcW w:w="82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12/31/2021</w:t>
            </w:r>
          </w:p>
        </w:tc>
        <w:tc>
          <w:tcPr>
            <w:tcW w:w="242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8"/>
              </w:rPr>
              <w:t>Diversified Natural Resources,</w:t>
            </w:r>
          </w:p>
        </w:tc>
        <w:tc>
          <w:tcPr>
            <w:tcW w:w="92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15.00%</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3,257,511</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3,168,502</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3,583,262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7"/>
              </w:rPr>
              <w:t>Precious Metals and Minerals</w:t>
            </w:r>
          </w:p>
        </w:tc>
        <w:tc>
          <w:tcPr>
            <w:tcW w:w="9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(PIK 5.00%)</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Corfin Industries LLC</w:t>
            </w:r>
          </w:p>
        </w:tc>
        <w:tc>
          <w:tcPr>
            <w:tcW w:w="82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11/25/2020</w:t>
            </w:r>
          </w:p>
        </w:tc>
        <w:tc>
          <w:tcPr>
            <w:tcW w:w="242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10.99%</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L+975</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w w:val="89"/>
              </w:rPr>
              <w:t>22,593,352</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22,280,645</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22,480,385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82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11/25/2020</w:t>
            </w: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1,942,623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80"/>
              <w:spacing w:after="0" w:line="134" w:lineRule="exact"/>
              <w:rPr>
                <w:sz w:val="20"/>
                <w:szCs w:val="20"/>
                <w:color w:val="auto"/>
              </w:rPr>
            </w:pPr>
            <w:r>
              <w:rPr>
                <w:rFonts w:ascii="Arial" w:cs="Arial" w:eastAsia="Arial" w:hAnsi="Arial"/>
                <w:sz w:val="12"/>
                <w:szCs w:val="12"/>
                <w:color w:val="auto"/>
              </w:rPr>
              <w:t>—</w:t>
            </w:r>
          </w:p>
        </w:tc>
        <w:tc>
          <w:tcPr>
            <w:tcW w:w="700" w:type="dxa"/>
            <w:vAlign w:val="bottom"/>
            <w:tcBorders>
              <w:right w:val="single" w:sz="8" w:color="CCEEFF"/>
            </w:tcBorders>
            <w:shd w:val="clear" w:color="auto" w:fill="CCEEFF"/>
          </w:tcPr>
          <w:p>
            <w:pPr>
              <w:jc w:val="right"/>
              <w:ind w:right="42"/>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TRAK Acquisition Corp.</w:t>
            </w:r>
          </w:p>
        </w:tc>
        <w:tc>
          <w:tcPr>
            <w:tcW w:w="82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04/30/2018</w:t>
            </w:r>
          </w:p>
        </w:tc>
        <w:tc>
          <w:tcPr>
            <w:tcW w:w="242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12.00%</w:t>
            </w: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L+1,050</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w w:val="89"/>
              </w:rPr>
              <w:t>21,202,411</w:t>
            </w:r>
          </w:p>
        </w:tc>
        <w:tc>
          <w:tcPr>
            <w:tcW w:w="90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21,136,798</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21,202,411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TRAK Acquisition Corp. (Revolver)</w:t>
            </w:r>
          </w:p>
        </w:tc>
        <w:tc>
          <w:tcPr>
            <w:tcW w:w="82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04/30/2018</w:t>
            </w:r>
          </w:p>
        </w:tc>
        <w:tc>
          <w:tcPr>
            <w:tcW w:w="242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12.00%</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L+1,050</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5,000,000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5,000,000</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5,000,000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Pr>
          <w:p>
            <w:pPr>
              <w:spacing w:after="0" w:line="128" w:lineRule="exact"/>
              <w:rPr>
                <w:sz w:val="20"/>
                <w:szCs w:val="20"/>
                <w:color w:val="auto"/>
              </w:rPr>
            </w:pPr>
            <w:r>
              <w:rPr>
                <w:rFonts w:ascii="Arial" w:cs="Arial" w:eastAsia="Arial" w:hAnsi="Arial"/>
                <w:sz w:val="12"/>
                <w:szCs w:val="12"/>
                <w:color w:val="auto"/>
              </w:rPr>
              <w:t>U.S. Well Services, LLC</w:t>
            </w:r>
          </w:p>
        </w:tc>
        <w:tc>
          <w:tcPr>
            <w:tcW w:w="82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02/02/2022</w:t>
            </w:r>
          </w:p>
        </w:tc>
        <w:tc>
          <w:tcPr>
            <w:tcW w:w="2420" w:type="dxa"/>
            <w:vAlign w:val="bottom"/>
            <w:gridSpan w:val="2"/>
          </w:tcPr>
          <w:p>
            <w:pPr>
              <w:jc w:val="center"/>
              <w:ind w:right="100"/>
              <w:spacing w:after="0" w:line="128" w:lineRule="exact"/>
              <w:rPr>
                <w:sz w:val="20"/>
                <w:szCs w:val="20"/>
                <w:color w:val="auto"/>
              </w:rPr>
            </w:pPr>
            <w:r>
              <w:rPr>
                <w:rFonts w:ascii="Arial" w:cs="Arial" w:eastAsia="Arial" w:hAnsi="Arial"/>
                <w:sz w:val="12"/>
                <w:szCs w:val="12"/>
                <w:color w:val="auto"/>
                <w:w w:val="88"/>
              </w:rPr>
              <w:t>Oil and Gas</w:t>
            </w:r>
          </w:p>
        </w:tc>
        <w:tc>
          <w:tcPr>
            <w:tcW w:w="92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12.24%</w:t>
            </w:r>
          </w:p>
        </w:tc>
        <w:tc>
          <w:tcPr>
            <w:tcW w:w="72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L+1,100</w:t>
            </w:r>
          </w:p>
        </w:tc>
        <w:tc>
          <w:tcPr>
            <w:tcW w:w="80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rPr>
              <w:t>9,644,284</w:t>
            </w:r>
          </w:p>
        </w:tc>
        <w:tc>
          <w:tcPr>
            <w:tcW w:w="90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9,566,510</w:t>
            </w:r>
          </w:p>
        </w:tc>
        <w:tc>
          <w:tcPr>
            <w:tcW w:w="700" w:type="dxa"/>
            <w:vAlign w:val="bottom"/>
          </w:tcPr>
          <w:p>
            <w:pPr>
              <w:jc w:val="right"/>
              <w:spacing w:after="0" w:line="128" w:lineRule="exact"/>
              <w:rPr>
                <w:sz w:val="20"/>
                <w:szCs w:val="20"/>
                <w:color w:val="auto"/>
              </w:rPr>
            </w:pPr>
            <w:r>
              <w:rPr>
                <w:rFonts w:ascii="Arial" w:cs="Arial" w:eastAsia="Arial" w:hAnsi="Arial"/>
                <w:sz w:val="12"/>
                <w:szCs w:val="12"/>
                <w:color w:val="auto"/>
              </w:rPr>
              <w:t>9,644,284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w w:val="86"/>
              </w:rPr>
              <w:t>(PIK 12.24%)</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U.S. Well Services, LLC (Revolver)</w:t>
            </w:r>
          </w:p>
        </w:tc>
        <w:tc>
          <w:tcPr>
            <w:tcW w:w="82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02/02/2022</w:t>
            </w:r>
          </w:p>
        </w:tc>
        <w:tc>
          <w:tcPr>
            <w:tcW w:w="242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8"/>
              </w:rPr>
              <w:t>Oil and Gas</w:t>
            </w:r>
          </w:p>
        </w:tc>
        <w:tc>
          <w:tcPr>
            <w:tcW w:w="92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7.24%</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L+600</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1,478,151</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1,478,151</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1,478,151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(8)</w:t>
            </w:r>
          </w:p>
        </w:tc>
        <w:tc>
          <w:tcPr>
            <w:tcW w:w="82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02/02/2022</w:t>
            </w:r>
          </w:p>
        </w:tc>
        <w:tc>
          <w:tcPr>
            <w:tcW w:w="242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8"/>
              </w:rPr>
              <w:t>Oil and Gas</w:t>
            </w:r>
          </w:p>
        </w:tc>
        <w:tc>
          <w:tcPr>
            <w:tcW w:w="920" w:type="dxa"/>
            <w:vAlign w:val="bottom"/>
            <w:gridSpan w:val="2"/>
          </w:tcPr>
          <w:p>
            <w:pPr>
              <w:jc w:val="right"/>
              <w:ind w:right="32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714,270</w:t>
            </w:r>
          </w:p>
        </w:tc>
        <w:tc>
          <w:tcPr>
            <w:tcW w:w="100" w:type="dxa"/>
            <w:vAlign w:val="bottom"/>
          </w:tcPr>
          <w:p>
            <w:pPr>
              <w:spacing w:after="0"/>
              <w:rPr>
                <w:sz w:val="12"/>
                <w:szCs w:val="12"/>
                <w:color w:val="auto"/>
              </w:rPr>
            </w:pPr>
          </w:p>
        </w:tc>
        <w:tc>
          <w:tcPr>
            <w:tcW w:w="660" w:type="dxa"/>
            <w:vAlign w:val="bottom"/>
            <w:tcBorders>
              <w:bottom w:val="single" w:sz="8" w:color="auto"/>
            </w:tcBorders>
          </w:tcPr>
          <w:p>
            <w:pPr>
              <w:ind w:left="480"/>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42"/>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First Lien Secured Debt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62,630,606</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63,388,493</w:t>
            </w:r>
          </w:p>
        </w:tc>
        <w:tc>
          <w:tcPr>
            <w:tcW w:w="0" w:type="dxa"/>
            <w:vAlign w:val="bottom"/>
          </w:tcPr>
          <w:p>
            <w:pPr>
              <w:spacing w:after="0"/>
              <w:rPr>
                <w:sz w:val="1"/>
                <w:szCs w:val="1"/>
                <w:color w:val="auto"/>
              </w:rPr>
            </w:pPr>
          </w:p>
        </w:tc>
      </w:tr>
      <w:tr>
        <w:trPr>
          <w:trHeight w:val="141"/>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Debt—1.5%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EnviroSolutions Real Property Holdings, Inc. - Tranche A</w:t>
            </w:r>
          </w:p>
        </w:tc>
        <w:tc>
          <w:tcPr>
            <w:tcW w:w="82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12/23/2019</w:t>
            </w: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7"/>
              </w:rPr>
              <w:t>Environmental Services</w:t>
            </w:r>
          </w:p>
        </w:tc>
        <w:tc>
          <w:tcPr>
            <w:tcW w:w="92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9.34%</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L+800</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4,856,640</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4,834,021</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4,856,640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Pr>
          <w:p>
            <w:pPr>
              <w:spacing w:after="0" w:line="128" w:lineRule="exact"/>
              <w:rPr>
                <w:sz w:val="20"/>
                <w:szCs w:val="20"/>
                <w:color w:val="auto"/>
              </w:rPr>
            </w:pPr>
            <w:r>
              <w:rPr>
                <w:rFonts w:ascii="Arial" w:cs="Arial" w:eastAsia="Arial" w:hAnsi="Arial"/>
                <w:sz w:val="12"/>
                <w:szCs w:val="12"/>
                <w:color w:val="auto"/>
              </w:rPr>
              <w:t>EnviroSolutions Real Property Holdings, Inc. - Tranche B</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80"/>
              <w:spacing w:after="0" w:line="128" w:lineRule="exact"/>
              <w:rPr>
                <w:sz w:val="20"/>
                <w:szCs w:val="20"/>
                <w:color w:val="auto"/>
              </w:rPr>
            </w:pPr>
            <w:r>
              <w:rPr>
                <w:rFonts w:ascii="Arial" w:cs="Arial" w:eastAsia="Arial" w:hAnsi="Arial"/>
                <w:sz w:val="12"/>
                <w:szCs w:val="12"/>
                <w:color w:val="auto"/>
              </w:rPr>
              <w:t>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2"/>
                <w:szCs w:val="12"/>
                <w:color w:val="auto"/>
              </w:rPr>
              <w:t>08/03/2020</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Environmental Services</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w w:val="95"/>
              </w:rPr>
              <w:t>(PIK 9.34%)</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L+800</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4,661,312</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4,639,603</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4,661,312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Second Lien Secured Debt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9,473,624</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9,517,952</w:t>
            </w:r>
          </w:p>
        </w:tc>
        <w:tc>
          <w:tcPr>
            <w:tcW w:w="0" w:type="dxa"/>
            <w:vAlign w:val="bottom"/>
          </w:tcPr>
          <w:p>
            <w:pPr>
              <w:spacing w:after="0"/>
              <w:rPr>
                <w:sz w:val="1"/>
                <w:szCs w:val="1"/>
                <w:color w:val="auto"/>
              </w:rPr>
            </w:pPr>
          </w:p>
        </w:tc>
      </w:tr>
      <w:tr>
        <w:trPr>
          <w:trHeight w:val="141"/>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Subordinated Debt/Corporate Notes—8.0%</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82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12/31/2021</w:t>
            </w:r>
          </w:p>
        </w:tc>
        <w:tc>
          <w:tcPr>
            <w:tcW w:w="2420" w:type="dxa"/>
            <w:vAlign w:val="bottom"/>
            <w:gridSpan w:val="2"/>
            <w:shd w:val="clear" w:color="auto" w:fill="CCEEFF"/>
          </w:tcPr>
          <w:p>
            <w:pPr>
              <w:jc w:val="center"/>
              <w:ind w:right="100"/>
              <w:spacing w:after="0" w:line="134" w:lineRule="exact"/>
              <w:rPr>
                <w:sz w:val="20"/>
                <w:szCs w:val="20"/>
                <w:color w:val="auto"/>
              </w:rPr>
            </w:pPr>
            <w:r>
              <w:rPr>
                <w:rFonts w:ascii="Arial" w:cs="Arial" w:eastAsia="Arial" w:hAnsi="Arial"/>
                <w:sz w:val="12"/>
                <w:szCs w:val="12"/>
                <w:color w:val="auto"/>
                <w:w w:val="88"/>
              </w:rPr>
              <w:t>Diversified Natural Resources,</w:t>
            </w:r>
          </w:p>
        </w:tc>
        <w:tc>
          <w:tcPr>
            <w:tcW w:w="92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17.00%</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9,727,948</w:t>
            </w:r>
          </w:p>
        </w:tc>
        <w:tc>
          <w:tcPr>
            <w:tcW w:w="9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9,727,948</w:t>
            </w:r>
          </w:p>
        </w:tc>
        <w:tc>
          <w:tcPr>
            <w:tcW w:w="70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10,603,464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87"/>
              </w:rPr>
              <w:t>Precious Metals and Minerals</w:t>
            </w:r>
          </w:p>
        </w:tc>
        <w:tc>
          <w:tcPr>
            <w:tcW w:w="92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2"/>
                <w:szCs w:val="12"/>
                <w:color w:val="auto"/>
              </w:rPr>
              <w:t>(PIK 17.00%)</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Pr>
          <w:p>
            <w:pPr>
              <w:spacing w:after="0" w:line="128" w:lineRule="exact"/>
              <w:rPr>
                <w:sz w:val="20"/>
                <w:szCs w:val="20"/>
                <w:color w:val="auto"/>
              </w:rPr>
            </w:pPr>
            <w:r>
              <w:rPr>
                <w:rFonts w:ascii="Arial" w:cs="Arial" w:eastAsia="Arial" w:hAnsi="Arial"/>
                <w:sz w:val="12"/>
                <w:szCs w:val="12"/>
                <w:color w:val="auto"/>
              </w:rPr>
              <w:t xml:space="preserve">ETX Energy, LLC, Convertible Note </w:t>
            </w:r>
            <w:r>
              <w:rPr>
                <w:rFonts w:ascii="Arial" w:cs="Arial" w:eastAsia="Arial" w:hAnsi="Arial"/>
                <w:sz w:val="9"/>
                <w:szCs w:val="9"/>
                <w:color w:val="auto"/>
              </w:rPr>
              <w:t>(5)</w:t>
            </w:r>
          </w:p>
        </w:tc>
        <w:tc>
          <w:tcPr>
            <w:tcW w:w="82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05/03/2021</w:t>
            </w:r>
          </w:p>
        </w:tc>
        <w:tc>
          <w:tcPr>
            <w:tcW w:w="2420" w:type="dxa"/>
            <w:vAlign w:val="bottom"/>
            <w:gridSpan w:val="2"/>
          </w:tcPr>
          <w:p>
            <w:pPr>
              <w:jc w:val="center"/>
              <w:ind w:right="100"/>
              <w:spacing w:after="0" w:line="128" w:lineRule="exact"/>
              <w:rPr>
                <w:sz w:val="20"/>
                <w:szCs w:val="20"/>
                <w:color w:val="auto"/>
              </w:rPr>
            </w:pPr>
            <w:r>
              <w:rPr>
                <w:rFonts w:ascii="Arial" w:cs="Arial" w:eastAsia="Arial" w:hAnsi="Arial"/>
                <w:sz w:val="12"/>
                <w:szCs w:val="12"/>
                <w:color w:val="auto"/>
                <w:w w:val="88"/>
              </w:rPr>
              <w:t>Oil and Gas</w:t>
            </w:r>
          </w:p>
        </w:tc>
        <w:tc>
          <w:tcPr>
            <w:tcW w:w="92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12.50%</w:t>
            </w:r>
          </w:p>
        </w:tc>
        <w:tc>
          <w:tcPr>
            <w:tcW w:w="72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w w:val="89"/>
              </w:rPr>
              <w:t>28,611,214</w:t>
            </w:r>
          </w:p>
        </w:tc>
        <w:tc>
          <w:tcPr>
            <w:tcW w:w="90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37,434,384</w:t>
            </w:r>
          </w:p>
        </w:tc>
        <w:tc>
          <w:tcPr>
            <w:tcW w:w="700" w:type="dxa"/>
            <w:vAlign w:val="bottom"/>
          </w:tcPr>
          <w:p>
            <w:pPr>
              <w:jc w:val="right"/>
              <w:spacing w:after="0" w:line="128" w:lineRule="exact"/>
              <w:rPr>
                <w:sz w:val="20"/>
                <w:szCs w:val="20"/>
                <w:color w:val="auto"/>
              </w:rPr>
            </w:pPr>
            <w:r>
              <w:rPr>
                <w:rFonts w:ascii="Arial" w:cs="Arial" w:eastAsia="Arial" w:hAnsi="Arial"/>
                <w:sz w:val="12"/>
                <w:szCs w:val="12"/>
                <w:color w:val="auto"/>
              </w:rPr>
              <w:t>41,486,260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color w:val="auto"/>
              </w:rPr>
              <w:t>(PIK 12.50%)</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Subordinated Debt/Corporate Notes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47,162,332</w:t>
            </w: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52,089,724</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2240" w:h="15840" w:orient="portrait"/>
          <w:cols w:equalWidth="0" w:num="1">
            <w:col w:w="11060"/>
          </w:cols>
          <w:pgMar w:left="520" w:top="317" w:right="660"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2017</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jc w:val="center"/>
              <w:ind w:right="262"/>
              <w:spacing w:after="0" w:line="134" w:lineRule="exact"/>
              <w:rPr>
                <w:sz w:val="20"/>
                <w:szCs w:val="20"/>
                <w:color w:val="auto"/>
              </w:rPr>
            </w:pPr>
            <w:r>
              <w:rPr>
                <w:rFonts w:ascii="Arial" w:cs="Arial" w:eastAsia="Arial" w:hAnsi="Arial"/>
                <w:sz w:val="12"/>
                <w:szCs w:val="12"/>
                <w:b w:val="1"/>
                <w:bCs w:val="1"/>
                <w:color w:val="auto"/>
                <w:w w:val="97"/>
              </w:rPr>
              <w:t>Maturity /</w:t>
            </w:r>
          </w:p>
        </w:tc>
        <w:tc>
          <w:tcPr>
            <w:tcW w:w="240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88"/>
              </w:rPr>
              <w:t>Industry</w:t>
            </w:r>
          </w:p>
        </w:tc>
        <w:tc>
          <w:tcPr>
            <w:tcW w:w="840" w:type="dxa"/>
            <w:vAlign w:val="bottom"/>
            <w:gridSpan w:val="2"/>
          </w:tcPr>
          <w:p>
            <w:pPr>
              <w:jc w:val="right"/>
              <w:ind w:right="360"/>
              <w:spacing w:after="0" w:line="134" w:lineRule="exact"/>
              <w:rPr>
                <w:sz w:val="20"/>
                <w:szCs w:val="20"/>
                <w:color w:val="auto"/>
              </w:rPr>
            </w:pPr>
            <w:r>
              <w:rPr>
                <w:rFonts w:ascii="Arial" w:cs="Arial" w:eastAsia="Arial" w:hAnsi="Arial"/>
                <w:sz w:val="12"/>
                <w:szCs w:val="12"/>
                <w:b w:val="1"/>
                <w:bCs w:val="1"/>
                <w:color w:val="auto"/>
              </w:rPr>
              <w:t>Current</w:t>
            </w:r>
          </w:p>
        </w:tc>
        <w:tc>
          <w:tcPr>
            <w:tcW w:w="7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gridSpan w:val="2"/>
          </w:tcPr>
          <w:p>
            <w:pPr>
              <w:jc w:val="right"/>
              <w:ind w:right="320"/>
              <w:spacing w:after="0" w:line="134" w:lineRule="exact"/>
              <w:rPr>
                <w:sz w:val="20"/>
                <w:szCs w:val="20"/>
                <w:color w:val="auto"/>
              </w:rPr>
            </w:pPr>
            <w:r>
              <w:rPr>
                <w:rFonts w:ascii="Arial" w:cs="Arial" w:eastAsia="Arial" w:hAnsi="Arial"/>
                <w:sz w:val="12"/>
                <w:szCs w:val="12"/>
                <w:b w:val="1"/>
                <w:bCs w:val="1"/>
                <w:color w:val="auto"/>
              </w:rPr>
              <w:t>Par /</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40" w:type="dxa"/>
            <w:vAlign w:val="bottom"/>
            <w:gridSpan w:val="2"/>
            <w:vMerge w:val="continue"/>
          </w:tcPr>
          <w:p>
            <w:pPr>
              <w:spacing w:after="0"/>
              <w:rPr>
                <w:sz w:val="12"/>
                <w:szCs w:val="12"/>
                <w:color w:val="auto"/>
              </w:rPr>
            </w:pPr>
          </w:p>
        </w:tc>
        <w:tc>
          <w:tcPr>
            <w:tcW w:w="920" w:type="dxa"/>
            <w:vAlign w:val="bottom"/>
          </w:tcPr>
          <w:p>
            <w:pPr>
              <w:jc w:val="center"/>
              <w:ind w:right="282"/>
              <w:spacing w:after="0"/>
              <w:rPr>
                <w:sz w:val="20"/>
                <w:szCs w:val="20"/>
                <w:color w:val="auto"/>
              </w:rPr>
            </w:pPr>
            <w:r>
              <w:rPr>
                <w:rFonts w:ascii="Arial" w:cs="Arial" w:eastAsia="Arial" w:hAnsi="Arial"/>
                <w:sz w:val="12"/>
                <w:szCs w:val="12"/>
                <w:b w:val="1"/>
                <w:bCs w:val="1"/>
                <w:color w:val="auto"/>
                <w:w w:val="91"/>
              </w:rPr>
              <w:t>Expiration</w:t>
            </w:r>
          </w:p>
        </w:tc>
        <w:tc>
          <w:tcPr>
            <w:tcW w:w="2400" w:type="dxa"/>
            <w:vAlign w:val="bottom"/>
            <w:gridSpan w:val="2"/>
            <w:vMerge w:val="continue"/>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7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2"/>
                <w:szCs w:val="12"/>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2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 xml:space="preserve">Common Equity/Partnership Interests/Warrants—10.0% </w:t>
            </w:r>
            <w:r>
              <w:rPr>
                <w:rFonts w:ascii="Arial" w:cs="Arial" w:eastAsia="Arial" w:hAnsi="Arial"/>
                <w:sz w:val="9"/>
                <w:szCs w:val="9"/>
                <w:b w:val="1"/>
                <w:bCs w:val="1"/>
                <w:color w:val="auto"/>
              </w:rPr>
              <w:t>(6)</w:t>
            </w:r>
          </w:p>
        </w:tc>
        <w:tc>
          <w:tcPr>
            <w:tcW w:w="920" w:type="dxa"/>
            <w:vAlign w:val="bottom"/>
            <w:tcBorders>
              <w:top w:val="single" w:sz="8" w:color="auto"/>
            </w:tcBorders>
            <w:shd w:val="clear" w:color="auto" w:fill="CCEEFF"/>
          </w:tcPr>
          <w:p>
            <w:pPr>
              <w:spacing w:after="0"/>
              <w:rPr>
                <w:sz w:val="11"/>
                <w:szCs w:val="11"/>
                <w:color w:val="auto"/>
              </w:rPr>
            </w:pPr>
          </w:p>
        </w:tc>
        <w:tc>
          <w:tcPr>
            <w:tcW w:w="2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Affinion Group Holdings, Inc.</w:t>
            </w:r>
          </w:p>
        </w:tc>
        <w:tc>
          <w:tcPr>
            <w:tcW w:w="920" w:type="dxa"/>
            <w:vAlign w:val="bottom"/>
          </w:tcPr>
          <w:p>
            <w:pPr>
              <w:ind w:left="400"/>
              <w:spacing w:after="0" w:line="134" w:lineRule="exact"/>
              <w:rPr>
                <w:sz w:val="20"/>
                <w:szCs w:val="20"/>
                <w:color w:val="auto"/>
              </w:rPr>
            </w:pPr>
            <w:r>
              <w:rPr>
                <w:rFonts w:ascii="Arial" w:cs="Arial" w:eastAsia="Arial" w:hAnsi="Arial"/>
                <w:sz w:val="12"/>
                <w:szCs w:val="12"/>
                <w:color w:val="auto"/>
              </w:rPr>
              <w:t>—</w:t>
            </w:r>
          </w:p>
        </w:tc>
        <w:tc>
          <w:tcPr>
            <w:tcW w:w="2400" w:type="dxa"/>
            <w:vAlign w:val="bottom"/>
            <w:gridSpan w:val="2"/>
          </w:tcPr>
          <w:p>
            <w:pPr>
              <w:jc w:val="center"/>
              <w:ind w:right="300"/>
              <w:spacing w:after="0" w:line="134" w:lineRule="exact"/>
              <w:rPr>
                <w:sz w:val="20"/>
                <w:szCs w:val="20"/>
                <w:color w:val="auto"/>
              </w:rPr>
            </w:pPr>
            <w:r>
              <w:rPr>
                <w:rFonts w:ascii="Arial" w:cs="Arial" w:eastAsia="Arial" w:hAnsi="Arial"/>
                <w:sz w:val="12"/>
                <w:szCs w:val="12"/>
                <w:color w:val="auto"/>
                <w:w w:val="84"/>
              </w:rPr>
              <w:t>Consumer Products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859,496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30,503,493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19,648,795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Affinion Group Holdings, Inc., Series C and Series D</w:t>
            </w:r>
          </w:p>
        </w:tc>
        <w:tc>
          <w:tcPr>
            <w:tcW w:w="920" w:type="dxa"/>
            <w:vAlign w:val="bottom"/>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00" w:type="dxa"/>
            <w:vAlign w:val="bottom"/>
            <w:gridSpan w:val="2"/>
            <w:shd w:val="clear" w:color="auto" w:fill="CCEEFF"/>
          </w:tcPr>
          <w:p>
            <w:pPr>
              <w:jc w:val="center"/>
              <w:ind w:right="300"/>
              <w:spacing w:after="0" w:line="134" w:lineRule="exact"/>
              <w:rPr>
                <w:sz w:val="20"/>
                <w:szCs w:val="20"/>
                <w:color w:val="auto"/>
              </w:rPr>
            </w:pPr>
            <w:r>
              <w:rPr>
                <w:rFonts w:ascii="Arial" w:cs="Arial" w:eastAsia="Arial" w:hAnsi="Arial"/>
                <w:sz w:val="12"/>
                <w:szCs w:val="12"/>
                <w:color w:val="auto"/>
                <w:w w:val="84"/>
              </w:rPr>
              <w:t>Consumer Products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37,181</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10,265,972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55,344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Pr>
          <w:p>
            <w:pPr>
              <w:spacing w:after="0" w:line="128" w:lineRule="exact"/>
              <w:rPr>
                <w:sz w:val="20"/>
                <w:szCs w:val="20"/>
                <w:color w:val="auto"/>
              </w:rPr>
            </w:pPr>
            <w:r>
              <w:rPr>
                <w:rFonts w:ascii="Arial" w:cs="Arial" w:eastAsia="Arial" w:hAnsi="Arial"/>
                <w:sz w:val="12"/>
                <w:szCs w:val="12"/>
                <w:color w:val="auto"/>
              </w:rPr>
              <w:t>American Gilsonite Company</w:t>
            </w:r>
          </w:p>
        </w:tc>
        <w:tc>
          <w:tcPr>
            <w:tcW w:w="920" w:type="dxa"/>
            <w:vAlign w:val="bottom"/>
          </w:tcPr>
          <w:p>
            <w:pPr>
              <w:spacing w:after="0"/>
              <w:rPr>
                <w:sz w:val="11"/>
                <w:szCs w:val="11"/>
                <w:color w:val="auto"/>
              </w:rPr>
            </w:pPr>
          </w:p>
        </w:tc>
        <w:tc>
          <w:tcPr>
            <w:tcW w:w="2400" w:type="dxa"/>
            <w:vAlign w:val="bottom"/>
            <w:gridSpan w:val="2"/>
          </w:tcPr>
          <w:p>
            <w:pPr>
              <w:jc w:val="center"/>
              <w:ind w:right="300"/>
              <w:spacing w:after="0" w:line="128" w:lineRule="exact"/>
              <w:rPr>
                <w:sz w:val="20"/>
                <w:szCs w:val="20"/>
                <w:color w:val="auto"/>
              </w:rPr>
            </w:pPr>
            <w:r>
              <w:rPr>
                <w:rFonts w:ascii="Arial" w:cs="Arial" w:eastAsia="Arial" w:hAnsi="Arial"/>
                <w:sz w:val="12"/>
                <w:szCs w:val="12"/>
                <w:color w:val="auto"/>
                <w:w w:val="87"/>
              </w:rPr>
              <w:t>Diversified Natural Resources,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920" w:type="dxa"/>
            <w:vAlign w:val="bottom"/>
          </w:tcPr>
          <w:p>
            <w:pPr>
              <w:ind w:left="400"/>
              <w:spacing w:after="0"/>
              <w:rPr>
                <w:sz w:val="20"/>
                <w:szCs w:val="20"/>
                <w:color w:val="auto"/>
              </w:rPr>
            </w:pPr>
            <w:r>
              <w:rPr>
                <w:rFonts w:ascii="Arial" w:cs="Arial" w:eastAsia="Arial" w:hAnsi="Arial"/>
                <w:sz w:val="12"/>
                <w:szCs w:val="12"/>
                <w:color w:val="auto"/>
              </w:rPr>
              <w:t>—</w:t>
            </w:r>
          </w:p>
        </w:tc>
        <w:tc>
          <w:tcPr>
            <w:tcW w:w="24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Precious Metals and Minerals</w:t>
            </w:r>
          </w:p>
        </w:tc>
        <w:tc>
          <w:tcPr>
            <w:tcW w:w="8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70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25,400</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5,465,627</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8,620,806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Corfin InvestCo, L.P.</w:t>
            </w:r>
          </w:p>
        </w:tc>
        <w:tc>
          <w:tcPr>
            <w:tcW w:w="920" w:type="dxa"/>
            <w:vAlign w:val="bottom"/>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00" w:type="dxa"/>
            <w:vAlign w:val="bottom"/>
            <w:gridSpan w:val="2"/>
            <w:shd w:val="clear" w:color="auto" w:fill="CCEEFF"/>
          </w:tcPr>
          <w:p>
            <w:pPr>
              <w:jc w:val="center"/>
              <w:ind w:right="300"/>
              <w:spacing w:after="0" w:line="134" w:lineRule="exact"/>
              <w:rPr>
                <w:sz w:val="20"/>
                <w:szCs w:val="20"/>
                <w:color w:val="auto"/>
              </w:rPr>
            </w:pPr>
            <w:r>
              <w:rPr>
                <w:rFonts w:ascii="Arial" w:cs="Arial" w:eastAsia="Arial" w:hAnsi="Arial"/>
                <w:sz w:val="12"/>
                <w:szCs w:val="12"/>
                <w:color w:val="auto"/>
                <w:w w:val="85"/>
              </w:rPr>
              <w:t>Aerospace and Defense</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11,250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1,125,000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1,609,091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920" w:type="dxa"/>
            <w:vAlign w:val="bottom"/>
          </w:tcPr>
          <w:p>
            <w:pPr>
              <w:ind w:left="400"/>
              <w:spacing w:after="0" w:line="134" w:lineRule="exact"/>
              <w:rPr>
                <w:sz w:val="20"/>
                <w:szCs w:val="20"/>
                <w:color w:val="auto"/>
              </w:rPr>
            </w:pPr>
            <w:r>
              <w:rPr>
                <w:rFonts w:ascii="Arial" w:cs="Arial" w:eastAsia="Arial" w:hAnsi="Arial"/>
                <w:sz w:val="12"/>
                <w:szCs w:val="12"/>
                <w:color w:val="auto"/>
              </w:rPr>
              <w:t>—</w:t>
            </w:r>
          </w:p>
        </w:tc>
        <w:tc>
          <w:tcPr>
            <w:tcW w:w="2400" w:type="dxa"/>
            <w:vAlign w:val="bottom"/>
            <w:gridSpan w:val="2"/>
          </w:tcPr>
          <w:p>
            <w:pPr>
              <w:jc w:val="center"/>
              <w:ind w:right="300"/>
              <w:spacing w:after="0" w:line="134" w:lineRule="exact"/>
              <w:rPr>
                <w:sz w:val="20"/>
                <w:szCs w:val="20"/>
                <w:color w:val="auto"/>
              </w:rPr>
            </w:pPr>
            <w:r>
              <w:rPr>
                <w:rFonts w:ascii="Arial" w:cs="Arial" w:eastAsia="Arial" w:hAnsi="Arial"/>
                <w:sz w:val="12"/>
                <w:szCs w:val="12"/>
                <w:color w:val="auto"/>
                <w:w w:val="85"/>
              </w:rPr>
              <w:t>Aerospace and Defense</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11,250</w:t>
            </w:r>
          </w:p>
        </w:tc>
        <w:tc>
          <w:tcPr>
            <w:tcW w:w="60" w:type="dxa"/>
            <w:vAlign w:val="bottom"/>
          </w:tcPr>
          <w:p>
            <w:pPr>
              <w:spacing w:after="0"/>
              <w:rPr>
                <w:sz w:val="11"/>
                <w:szCs w:val="11"/>
                <w:color w:val="auto"/>
              </w:rPr>
            </w:pP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EnviroSolutions Holdings, Inc.</w:t>
            </w:r>
          </w:p>
        </w:tc>
        <w:tc>
          <w:tcPr>
            <w:tcW w:w="920" w:type="dxa"/>
            <w:vAlign w:val="bottom"/>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00" w:type="dxa"/>
            <w:vAlign w:val="bottom"/>
            <w:gridSpan w:val="2"/>
            <w:shd w:val="clear" w:color="auto" w:fill="CCEEFF"/>
          </w:tcPr>
          <w:p>
            <w:pPr>
              <w:jc w:val="center"/>
              <w:ind w:right="300"/>
              <w:spacing w:after="0" w:line="134" w:lineRule="exact"/>
              <w:rPr>
                <w:sz w:val="20"/>
                <w:szCs w:val="20"/>
                <w:color w:val="auto"/>
              </w:rPr>
            </w:pPr>
            <w:r>
              <w:rPr>
                <w:rFonts w:ascii="Arial" w:cs="Arial" w:eastAsia="Arial" w:hAnsi="Arial"/>
                <w:sz w:val="12"/>
                <w:szCs w:val="12"/>
                <w:color w:val="auto"/>
                <w:w w:val="87"/>
              </w:rPr>
              <w:t>Environmental Services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143,668</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11,960,702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15,718,184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(10)</w:t>
            </w:r>
          </w:p>
        </w:tc>
        <w:tc>
          <w:tcPr>
            <w:tcW w:w="920" w:type="dxa"/>
            <w:vAlign w:val="bottom"/>
          </w:tcPr>
          <w:p>
            <w:pPr>
              <w:ind w:left="400"/>
              <w:spacing w:after="0" w:line="134" w:lineRule="exact"/>
              <w:rPr>
                <w:sz w:val="20"/>
                <w:szCs w:val="20"/>
                <w:color w:val="auto"/>
              </w:rPr>
            </w:pPr>
            <w:r>
              <w:rPr>
                <w:rFonts w:ascii="Arial" w:cs="Arial" w:eastAsia="Arial" w:hAnsi="Arial"/>
                <w:sz w:val="12"/>
                <w:szCs w:val="12"/>
                <w:color w:val="auto"/>
              </w:rPr>
              <w:t>—</w:t>
            </w:r>
          </w:p>
        </w:tc>
        <w:tc>
          <w:tcPr>
            <w:tcW w:w="2400" w:type="dxa"/>
            <w:vAlign w:val="bottom"/>
            <w:gridSpan w:val="2"/>
          </w:tcPr>
          <w:p>
            <w:pPr>
              <w:jc w:val="center"/>
              <w:ind w:right="300"/>
              <w:spacing w:after="0" w:line="134" w:lineRule="exact"/>
              <w:rPr>
                <w:sz w:val="20"/>
                <w:szCs w:val="20"/>
                <w:color w:val="auto"/>
              </w:rPr>
            </w:pPr>
            <w:r>
              <w:rPr>
                <w:rFonts w:ascii="Arial" w:cs="Arial" w:eastAsia="Arial" w:hAnsi="Arial"/>
                <w:sz w:val="12"/>
                <w:szCs w:val="12"/>
                <w:color w:val="auto"/>
                <w:w w:val="85"/>
              </w:rPr>
              <w:t>Oil and Gas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113,610</w:t>
            </w:r>
          </w:p>
        </w:tc>
        <w:tc>
          <w:tcPr>
            <w:tcW w:w="60" w:type="dxa"/>
            <w:vAlign w:val="bottom"/>
          </w:tcPr>
          <w:p>
            <w:pPr>
              <w:spacing w:after="0"/>
              <w:rPr>
                <w:sz w:val="11"/>
                <w:szCs w:val="11"/>
                <w:color w:val="auto"/>
              </w:rPr>
            </w:pPr>
          </w:p>
        </w:tc>
        <w:tc>
          <w:tcPr>
            <w:tcW w:w="820" w:type="dxa"/>
            <w:vAlign w:val="bottom"/>
            <w:gridSpan w:val="2"/>
          </w:tcPr>
          <w:p>
            <w:pPr>
              <w:ind w:left="500"/>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2,797,423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 xml:space="preserve">ETX Energy Management Company, LLC </w:t>
            </w:r>
            <w:r>
              <w:rPr>
                <w:rFonts w:ascii="Arial" w:cs="Arial" w:eastAsia="Arial" w:hAnsi="Arial"/>
                <w:sz w:val="9"/>
                <w:szCs w:val="9"/>
                <w:color w:val="auto"/>
              </w:rPr>
              <w:t>(10)</w:t>
            </w:r>
          </w:p>
        </w:tc>
        <w:tc>
          <w:tcPr>
            <w:tcW w:w="920" w:type="dxa"/>
            <w:vAlign w:val="bottom"/>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00" w:type="dxa"/>
            <w:vAlign w:val="bottom"/>
            <w:gridSpan w:val="2"/>
            <w:shd w:val="clear" w:color="auto" w:fill="CCEEFF"/>
          </w:tcPr>
          <w:p>
            <w:pPr>
              <w:jc w:val="center"/>
              <w:ind w:right="300"/>
              <w:spacing w:after="0" w:line="134" w:lineRule="exact"/>
              <w:rPr>
                <w:sz w:val="20"/>
                <w:szCs w:val="20"/>
                <w:color w:val="auto"/>
              </w:rPr>
            </w:pPr>
            <w:r>
              <w:rPr>
                <w:rFonts w:ascii="Arial" w:cs="Arial" w:eastAsia="Arial" w:hAnsi="Arial"/>
                <w:sz w:val="12"/>
                <w:szCs w:val="12"/>
                <w:color w:val="auto"/>
                <w:w w:val="85"/>
              </w:rPr>
              <w:t>Oil and Gas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119,603</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147,249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TRAK Acquisition Corp.</w:t>
            </w:r>
          </w:p>
        </w:tc>
        <w:tc>
          <w:tcPr>
            <w:tcW w:w="920" w:type="dxa"/>
            <w:vAlign w:val="bottom"/>
          </w:tcPr>
          <w:p>
            <w:pPr>
              <w:ind w:left="400"/>
              <w:spacing w:after="0" w:line="134" w:lineRule="exact"/>
              <w:rPr>
                <w:sz w:val="20"/>
                <w:szCs w:val="20"/>
                <w:color w:val="auto"/>
              </w:rPr>
            </w:pPr>
            <w:r>
              <w:rPr>
                <w:rFonts w:ascii="Arial" w:cs="Arial" w:eastAsia="Arial" w:hAnsi="Arial"/>
                <w:sz w:val="12"/>
                <w:szCs w:val="12"/>
                <w:color w:val="auto"/>
              </w:rPr>
              <w:t>—</w:t>
            </w:r>
          </w:p>
        </w:tc>
        <w:tc>
          <w:tcPr>
            <w:tcW w:w="2400" w:type="dxa"/>
            <w:vAlign w:val="bottom"/>
            <w:gridSpan w:val="2"/>
          </w:tcPr>
          <w:p>
            <w:pPr>
              <w:jc w:val="center"/>
              <w:ind w:right="300"/>
              <w:spacing w:after="0" w:line="134" w:lineRule="exact"/>
              <w:rPr>
                <w:sz w:val="20"/>
                <w:szCs w:val="20"/>
                <w:color w:val="auto"/>
              </w:rPr>
            </w:pPr>
            <w:r>
              <w:rPr>
                <w:rFonts w:ascii="Arial" w:cs="Arial" w:eastAsia="Arial" w:hAnsi="Arial"/>
                <w:sz w:val="12"/>
                <w:szCs w:val="12"/>
                <w:color w:val="auto"/>
                <w:w w:val="83"/>
              </w:rPr>
              <w:t>Business Services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491,755</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188,837</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5,972,967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USWS Holdings, LLC—Class A and Class B</w:t>
            </w:r>
          </w:p>
        </w:tc>
        <w:tc>
          <w:tcPr>
            <w:tcW w:w="920" w:type="dxa"/>
            <w:vAlign w:val="bottom"/>
            <w:shd w:val="clear" w:color="auto" w:fill="CCEEFF"/>
          </w:tcPr>
          <w:p>
            <w:pPr>
              <w:ind w:left="400"/>
              <w:spacing w:after="0" w:line="134" w:lineRule="exact"/>
              <w:rPr>
                <w:sz w:val="20"/>
                <w:szCs w:val="20"/>
                <w:color w:val="auto"/>
              </w:rPr>
            </w:pPr>
            <w:r>
              <w:rPr>
                <w:rFonts w:ascii="Arial" w:cs="Arial" w:eastAsia="Arial" w:hAnsi="Arial"/>
                <w:sz w:val="12"/>
                <w:szCs w:val="12"/>
                <w:color w:val="auto"/>
              </w:rPr>
              <w:t>—</w:t>
            </w:r>
          </w:p>
        </w:tc>
        <w:tc>
          <w:tcPr>
            <w:tcW w:w="2400" w:type="dxa"/>
            <w:vAlign w:val="bottom"/>
            <w:gridSpan w:val="2"/>
            <w:shd w:val="clear" w:color="auto" w:fill="CCEEFF"/>
          </w:tcPr>
          <w:p>
            <w:pPr>
              <w:jc w:val="center"/>
              <w:ind w:right="300"/>
              <w:spacing w:after="0" w:line="134" w:lineRule="exact"/>
              <w:rPr>
                <w:sz w:val="20"/>
                <w:szCs w:val="20"/>
                <w:color w:val="auto"/>
              </w:rPr>
            </w:pPr>
            <w:r>
              <w:rPr>
                <w:rFonts w:ascii="Arial" w:cs="Arial" w:eastAsia="Arial" w:hAnsi="Arial"/>
                <w:sz w:val="12"/>
                <w:szCs w:val="12"/>
                <w:color w:val="auto"/>
                <w:w w:val="85"/>
              </w:rPr>
              <w:t>Oil and Gas</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8,190,817</w:t>
            </w: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7,023,750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10,108,949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66,533,381</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64,678,808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3"/>
              </w:rPr>
              <w:t>Total Investments in Non-Controlled, Affiliated Portfolio Companies</w:t>
            </w:r>
          </w:p>
        </w:tc>
        <w:tc>
          <w:tcPr>
            <w:tcW w:w="9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8"/>
              </w:rPr>
              <w:t>185,799,943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98"/>
              </w:rPr>
              <w:t>189,674,977</w:t>
            </w:r>
          </w:p>
        </w:tc>
        <w:tc>
          <w:tcPr>
            <w:tcW w:w="0" w:type="dxa"/>
            <w:vAlign w:val="bottom"/>
          </w:tcPr>
          <w:p>
            <w:pPr>
              <w:spacing w:after="0"/>
              <w:rPr>
                <w:sz w:val="1"/>
                <w:szCs w:val="1"/>
                <w:color w:val="auto"/>
              </w:rPr>
            </w:pPr>
          </w:p>
        </w:tc>
      </w:tr>
      <w:tr>
        <w:trPr>
          <w:trHeight w:val="141"/>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w w:val="89"/>
              </w:rPr>
              <w:t xml:space="preserve">Investments in Controlled, Affiliated Portfolio Companies—17.8% </w:t>
            </w:r>
            <w:r>
              <w:rPr>
                <w:rFonts w:ascii="Arial" w:cs="Arial" w:eastAsia="Arial" w:hAnsi="Arial"/>
                <w:sz w:val="9"/>
                <w:szCs w:val="9"/>
                <w:b w:val="1"/>
                <w:bCs w:val="1"/>
                <w:color w:val="auto"/>
                <w:w w:val="89"/>
              </w:rPr>
              <w:t>(1), (2)</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First Lien Secured Debt—9.5%</w:t>
            </w:r>
          </w:p>
        </w:tc>
        <w:tc>
          <w:tcPr>
            <w:tcW w:w="9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RAM Energy Holdings LLC</w:t>
            </w:r>
          </w:p>
        </w:tc>
        <w:tc>
          <w:tcPr>
            <w:tcW w:w="920" w:type="dxa"/>
            <w:vAlign w:val="bottom"/>
            <w:shd w:val="clear" w:color="auto" w:fill="CCEEFF"/>
          </w:tcPr>
          <w:p>
            <w:pPr>
              <w:ind w:left="60"/>
              <w:spacing w:after="0" w:line="134" w:lineRule="exact"/>
              <w:rPr>
                <w:sz w:val="20"/>
                <w:szCs w:val="20"/>
                <w:color w:val="auto"/>
              </w:rPr>
            </w:pPr>
            <w:r>
              <w:rPr>
                <w:rFonts w:ascii="Arial" w:cs="Arial" w:eastAsia="Arial" w:hAnsi="Arial"/>
                <w:sz w:val="12"/>
                <w:szCs w:val="12"/>
                <w:color w:val="auto"/>
              </w:rPr>
              <w:t>07/01/2022</w:t>
            </w:r>
          </w:p>
        </w:tc>
        <w:tc>
          <w:tcPr>
            <w:tcW w:w="2400" w:type="dxa"/>
            <w:vAlign w:val="bottom"/>
            <w:gridSpan w:val="2"/>
            <w:shd w:val="clear" w:color="auto" w:fill="CCEEFF"/>
          </w:tcPr>
          <w:p>
            <w:pPr>
              <w:jc w:val="center"/>
              <w:ind w:right="300"/>
              <w:spacing w:after="0" w:line="134" w:lineRule="exact"/>
              <w:rPr>
                <w:sz w:val="20"/>
                <w:szCs w:val="20"/>
                <w:color w:val="auto"/>
              </w:rPr>
            </w:pPr>
            <w:r>
              <w:rPr>
                <w:rFonts w:ascii="Arial" w:cs="Arial" w:eastAsia="Arial" w:hAnsi="Arial"/>
                <w:sz w:val="12"/>
                <w:szCs w:val="12"/>
                <w:color w:val="auto"/>
                <w:w w:val="90"/>
              </w:rPr>
              <w:t>Energy and Utilities</w:t>
            </w:r>
          </w:p>
        </w:tc>
        <w:tc>
          <w:tcPr>
            <w:tcW w:w="8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8.00%</w:t>
            </w:r>
          </w:p>
        </w:tc>
        <w:tc>
          <w:tcPr>
            <w:tcW w:w="700" w:type="dxa"/>
            <w:vAlign w:val="bottom"/>
            <w:gridSpan w:val="2"/>
            <w:shd w:val="clear" w:color="auto" w:fill="CCEEFF"/>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89"/>
              </w:rPr>
              <w:t>35,000,000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35,000,000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35,000,000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(PIK 4.00%)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Pr>
          <w:p>
            <w:pPr>
              <w:spacing w:after="0" w:line="128" w:lineRule="exact"/>
              <w:rPr>
                <w:sz w:val="20"/>
                <w:szCs w:val="20"/>
                <w:color w:val="auto"/>
              </w:rPr>
            </w:pPr>
            <w:r>
              <w:rPr>
                <w:rFonts w:ascii="Arial" w:cs="Arial" w:eastAsia="Arial" w:hAnsi="Arial"/>
                <w:sz w:val="12"/>
                <w:szCs w:val="12"/>
                <w:color w:val="auto"/>
              </w:rPr>
              <w:t>Superior Digital Displays, LLC</w:t>
            </w:r>
          </w:p>
        </w:tc>
        <w:tc>
          <w:tcPr>
            <w:tcW w:w="920" w:type="dxa"/>
            <w:vAlign w:val="bottom"/>
          </w:tcPr>
          <w:p>
            <w:pPr>
              <w:ind w:left="60"/>
              <w:spacing w:after="0" w:line="128" w:lineRule="exact"/>
              <w:rPr>
                <w:sz w:val="20"/>
                <w:szCs w:val="20"/>
                <w:color w:val="auto"/>
              </w:rPr>
            </w:pPr>
            <w:r>
              <w:rPr>
                <w:rFonts w:ascii="Arial" w:cs="Arial" w:eastAsia="Arial" w:hAnsi="Arial"/>
                <w:sz w:val="12"/>
                <w:szCs w:val="12"/>
                <w:color w:val="auto"/>
              </w:rPr>
              <w:t>12/31/2018</w:t>
            </w:r>
          </w:p>
        </w:tc>
        <w:tc>
          <w:tcPr>
            <w:tcW w:w="2400" w:type="dxa"/>
            <w:vAlign w:val="bottom"/>
            <w:gridSpan w:val="2"/>
          </w:tcPr>
          <w:p>
            <w:pPr>
              <w:jc w:val="center"/>
              <w:ind w:right="300"/>
              <w:spacing w:after="0" w:line="128" w:lineRule="exact"/>
              <w:rPr>
                <w:sz w:val="20"/>
                <w:szCs w:val="20"/>
                <w:color w:val="auto"/>
              </w:rPr>
            </w:pPr>
            <w:r>
              <w:rPr>
                <w:rFonts w:ascii="Arial" w:cs="Arial" w:eastAsia="Arial" w:hAnsi="Arial"/>
                <w:sz w:val="12"/>
                <w:szCs w:val="12"/>
                <w:color w:val="auto"/>
                <w:w w:val="91"/>
              </w:rPr>
              <w:t>Media</w:t>
            </w:r>
          </w:p>
        </w:tc>
        <w:tc>
          <w:tcPr>
            <w:tcW w:w="84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10.30%</w:t>
            </w: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L+900</w:t>
            </w:r>
          </w:p>
        </w:tc>
        <w:tc>
          <w:tcPr>
            <w:tcW w:w="720" w:type="dxa"/>
            <w:vAlign w:val="bottom"/>
            <w:gridSpan w:val="2"/>
          </w:tcPr>
          <w:p>
            <w:pPr>
              <w:jc w:val="right"/>
              <w:ind w:right="160"/>
              <w:spacing w:after="0" w:line="128" w:lineRule="exact"/>
              <w:rPr>
                <w:sz w:val="20"/>
                <w:szCs w:val="20"/>
                <w:color w:val="auto"/>
              </w:rPr>
            </w:pPr>
            <w:r>
              <w:rPr>
                <w:rFonts w:ascii="Arial" w:cs="Arial" w:eastAsia="Arial" w:hAnsi="Arial"/>
                <w:sz w:val="12"/>
                <w:szCs w:val="12"/>
                <w:color w:val="auto"/>
                <w:w w:val="89"/>
              </w:rPr>
              <w:t>29,386,130</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28,233,485</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26,198,854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w w:val="92"/>
              </w:rPr>
              <w:t>(PIK 10.30%)</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First Lien Secured Debt</w:t>
            </w:r>
          </w:p>
        </w:tc>
        <w:tc>
          <w:tcPr>
            <w:tcW w:w="9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63,233,485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61,198,854</w:t>
            </w:r>
          </w:p>
        </w:tc>
        <w:tc>
          <w:tcPr>
            <w:tcW w:w="0" w:type="dxa"/>
            <w:vAlign w:val="bottom"/>
          </w:tcPr>
          <w:p>
            <w:pPr>
              <w:spacing w:after="0"/>
              <w:rPr>
                <w:sz w:val="1"/>
                <w:szCs w:val="1"/>
                <w:color w:val="auto"/>
              </w:rPr>
            </w:pPr>
          </w:p>
        </w:tc>
      </w:tr>
      <w:tr>
        <w:trPr>
          <w:trHeight w:val="141"/>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Equity—2.5% </w:t>
            </w:r>
            <w:r>
              <w:rPr>
                <w:rFonts w:ascii="Arial" w:cs="Arial" w:eastAsia="Arial" w:hAnsi="Arial"/>
                <w:sz w:val="9"/>
                <w:szCs w:val="9"/>
                <w:b w:val="1"/>
                <w:bCs w:val="1"/>
                <w:color w:val="auto"/>
              </w:rPr>
              <w:t>(6)</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MidOcean JF Holdings Corp.</w:t>
            </w:r>
          </w:p>
        </w:tc>
        <w:tc>
          <w:tcPr>
            <w:tcW w:w="920" w:type="dxa"/>
            <w:vAlign w:val="bottom"/>
            <w:shd w:val="clear" w:color="auto" w:fill="CCEEFF"/>
          </w:tcPr>
          <w:p>
            <w:pPr>
              <w:jc w:val="center"/>
              <w:ind w:right="302"/>
              <w:spacing w:after="0" w:line="134" w:lineRule="exact"/>
              <w:rPr>
                <w:sz w:val="20"/>
                <w:szCs w:val="20"/>
                <w:color w:val="auto"/>
              </w:rPr>
            </w:pPr>
            <w:r>
              <w:rPr>
                <w:rFonts w:ascii="Arial" w:cs="Arial" w:eastAsia="Arial" w:hAnsi="Arial"/>
                <w:sz w:val="12"/>
                <w:szCs w:val="12"/>
                <w:color w:val="auto"/>
                <w:w w:val="99"/>
              </w:rPr>
              <w:t>—</w:t>
            </w:r>
          </w:p>
        </w:tc>
        <w:tc>
          <w:tcPr>
            <w:tcW w:w="2400" w:type="dxa"/>
            <w:vAlign w:val="bottom"/>
            <w:gridSpan w:val="2"/>
            <w:shd w:val="clear" w:color="auto" w:fill="CCEEFF"/>
          </w:tcPr>
          <w:p>
            <w:pPr>
              <w:jc w:val="center"/>
              <w:ind w:right="320"/>
              <w:spacing w:after="0" w:line="134" w:lineRule="exact"/>
              <w:rPr>
                <w:sz w:val="20"/>
                <w:szCs w:val="20"/>
                <w:color w:val="auto"/>
              </w:rPr>
            </w:pPr>
            <w:r>
              <w:rPr>
                <w:rFonts w:ascii="Arial" w:cs="Arial" w:eastAsia="Arial" w:hAnsi="Arial"/>
                <w:sz w:val="12"/>
                <w:szCs w:val="12"/>
                <w:color w:val="auto"/>
                <w:w w:val="93"/>
              </w:rPr>
              <w:t>Distribution</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143,183</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14,318,325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16,117,208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Superior Digital Displays Holdings, Inc.</w:t>
            </w:r>
          </w:p>
        </w:tc>
        <w:tc>
          <w:tcPr>
            <w:tcW w:w="920" w:type="dxa"/>
            <w:vAlign w:val="bottom"/>
          </w:tcPr>
          <w:p>
            <w:pPr>
              <w:jc w:val="center"/>
              <w:ind w:right="302"/>
              <w:spacing w:after="0" w:line="134" w:lineRule="exact"/>
              <w:rPr>
                <w:sz w:val="20"/>
                <w:szCs w:val="20"/>
                <w:color w:val="auto"/>
              </w:rPr>
            </w:pPr>
            <w:r>
              <w:rPr>
                <w:rFonts w:ascii="Arial" w:cs="Arial" w:eastAsia="Arial" w:hAnsi="Arial"/>
                <w:sz w:val="12"/>
                <w:szCs w:val="12"/>
                <w:color w:val="auto"/>
                <w:w w:val="99"/>
              </w:rPr>
              <w:t>—</w:t>
            </w:r>
          </w:p>
        </w:tc>
        <w:tc>
          <w:tcPr>
            <w:tcW w:w="2400" w:type="dxa"/>
            <w:vAlign w:val="bottom"/>
            <w:gridSpan w:val="2"/>
          </w:tcPr>
          <w:p>
            <w:pPr>
              <w:jc w:val="center"/>
              <w:ind w:right="300"/>
              <w:spacing w:after="0" w:line="134" w:lineRule="exact"/>
              <w:rPr>
                <w:sz w:val="20"/>
                <w:szCs w:val="20"/>
                <w:color w:val="auto"/>
              </w:rPr>
            </w:pPr>
            <w:r>
              <w:rPr>
                <w:rFonts w:ascii="Arial" w:cs="Arial" w:eastAsia="Arial" w:hAnsi="Arial"/>
                <w:sz w:val="12"/>
                <w:szCs w:val="12"/>
                <w:color w:val="auto"/>
                <w:w w:val="91"/>
              </w:rPr>
              <w:t>Media</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15.00%</w:t>
            </w:r>
          </w:p>
        </w:tc>
        <w:tc>
          <w:tcPr>
            <w:tcW w:w="700" w:type="dxa"/>
            <w:vAlign w:val="bottom"/>
            <w:gridSpan w:val="2"/>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516,204</w:t>
            </w: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19,331,027</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Preferred Equity</w:t>
            </w:r>
          </w:p>
        </w:tc>
        <w:tc>
          <w:tcPr>
            <w:tcW w:w="9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33,649,352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16,117,208</w:t>
            </w:r>
          </w:p>
        </w:tc>
        <w:tc>
          <w:tcPr>
            <w:tcW w:w="0" w:type="dxa"/>
            <w:vAlign w:val="bottom"/>
          </w:tcPr>
          <w:p>
            <w:pPr>
              <w:spacing w:after="0"/>
              <w:rPr>
                <w:sz w:val="1"/>
                <w:szCs w:val="1"/>
                <w:color w:val="auto"/>
              </w:rPr>
            </w:pPr>
          </w:p>
        </w:tc>
      </w:tr>
      <w:tr>
        <w:trPr>
          <w:trHeight w:val="141"/>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Equity—5.8% </w:t>
            </w:r>
            <w:r>
              <w:rPr>
                <w:rFonts w:ascii="Arial" w:cs="Arial" w:eastAsia="Arial" w:hAnsi="Arial"/>
                <w:sz w:val="9"/>
                <w:szCs w:val="9"/>
                <w:b w:val="1"/>
                <w:bCs w:val="1"/>
                <w:color w:val="auto"/>
              </w:rPr>
              <w:t>(6)</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MidOcean JF Holdings Corp.</w:t>
            </w:r>
          </w:p>
        </w:tc>
        <w:tc>
          <w:tcPr>
            <w:tcW w:w="920" w:type="dxa"/>
            <w:vAlign w:val="bottom"/>
            <w:shd w:val="clear" w:color="auto" w:fill="CCEEFF"/>
          </w:tcPr>
          <w:p>
            <w:pPr>
              <w:jc w:val="center"/>
              <w:ind w:right="302"/>
              <w:spacing w:after="0" w:line="134" w:lineRule="exact"/>
              <w:rPr>
                <w:sz w:val="20"/>
                <w:szCs w:val="20"/>
                <w:color w:val="auto"/>
              </w:rPr>
            </w:pPr>
            <w:r>
              <w:rPr>
                <w:rFonts w:ascii="Arial" w:cs="Arial" w:eastAsia="Arial" w:hAnsi="Arial"/>
                <w:sz w:val="12"/>
                <w:szCs w:val="12"/>
                <w:color w:val="auto"/>
                <w:w w:val="99"/>
              </w:rPr>
              <w:t>—</w:t>
            </w:r>
          </w:p>
        </w:tc>
        <w:tc>
          <w:tcPr>
            <w:tcW w:w="2400" w:type="dxa"/>
            <w:vAlign w:val="bottom"/>
            <w:gridSpan w:val="2"/>
            <w:shd w:val="clear" w:color="auto" w:fill="CCEEFF"/>
          </w:tcPr>
          <w:p>
            <w:pPr>
              <w:jc w:val="center"/>
              <w:ind w:right="320"/>
              <w:spacing w:after="0" w:line="134" w:lineRule="exact"/>
              <w:rPr>
                <w:sz w:val="20"/>
                <w:szCs w:val="20"/>
                <w:color w:val="auto"/>
              </w:rPr>
            </w:pPr>
            <w:r>
              <w:rPr>
                <w:rFonts w:ascii="Arial" w:cs="Arial" w:eastAsia="Arial" w:hAnsi="Arial"/>
                <w:sz w:val="12"/>
                <w:szCs w:val="12"/>
                <w:color w:val="auto"/>
                <w:w w:val="93"/>
              </w:rPr>
              <w:t>Distribution</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65,933</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24,761,831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828,349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RAM Energy Holdings LLC</w:t>
            </w:r>
          </w:p>
        </w:tc>
        <w:tc>
          <w:tcPr>
            <w:tcW w:w="920" w:type="dxa"/>
            <w:vAlign w:val="bottom"/>
          </w:tcPr>
          <w:p>
            <w:pPr>
              <w:jc w:val="center"/>
              <w:ind w:right="302"/>
              <w:spacing w:after="0" w:line="134" w:lineRule="exact"/>
              <w:rPr>
                <w:sz w:val="20"/>
                <w:szCs w:val="20"/>
                <w:color w:val="auto"/>
              </w:rPr>
            </w:pPr>
            <w:r>
              <w:rPr>
                <w:rFonts w:ascii="Arial" w:cs="Arial" w:eastAsia="Arial" w:hAnsi="Arial"/>
                <w:sz w:val="12"/>
                <w:szCs w:val="12"/>
                <w:color w:val="auto"/>
                <w:w w:val="99"/>
              </w:rPr>
              <w:t>—</w:t>
            </w:r>
          </w:p>
        </w:tc>
        <w:tc>
          <w:tcPr>
            <w:tcW w:w="2400" w:type="dxa"/>
            <w:vAlign w:val="bottom"/>
            <w:gridSpan w:val="2"/>
          </w:tcPr>
          <w:p>
            <w:pPr>
              <w:jc w:val="center"/>
              <w:ind w:right="300"/>
              <w:spacing w:after="0" w:line="134" w:lineRule="exact"/>
              <w:rPr>
                <w:sz w:val="20"/>
                <w:szCs w:val="20"/>
                <w:color w:val="auto"/>
              </w:rPr>
            </w:pPr>
            <w:r>
              <w:rPr>
                <w:rFonts w:ascii="Arial" w:cs="Arial" w:eastAsia="Arial" w:hAnsi="Arial"/>
                <w:sz w:val="12"/>
                <w:szCs w:val="12"/>
                <w:color w:val="auto"/>
                <w:w w:val="90"/>
              </w:rPr>
              <w:t>Energy and Utilities</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84,747</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76,264,739</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36,406,572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Superior Digital Displays Holdings, Inc.</w:t>
            </w:r>
          </w:p>
        </w:tc>
        <w:tc>
          <w:tcPr>
            <w:tcW w:w="920" w:type="dxa"/>
            <w:vAlign w:val="bottom"/>
            <w:shd w:val="clear" w:color="auto" w:fill="CCEEFF"/>
          </w:tcPr>
          <w:p>
            <w:pPr>
              <w:jc w:val="center"/>
              <w:ind w:right="302"/>
              <w:spacing w:after="0" w:line="134" w:lineRule="exact"/>
              <w:rPr>
                <w:sz w:val="20"/>
                <w:szCs w:val="20"/>
                <w:color w:val="auto"/>
              </w:rPr>
            </w:pPr>
            <w:r>
              <w:rPr>
                <w:rFonts w:ascii="Arial" w:cs="Arial" w:eastAsia="Arial" w:hAnsi="Arial"/>
                <w:sz w:val="12"/>
                <w:szCs w:val="12"/>
                <w:color w:val="auto"/>
                <w:w w:val="99"/>
              </w:rPr>
              <w:t>—</w:t>
            </w:r>
          </w:p>
        </w:tc>
        <w:tc>
          <w:tcPr>
            <w:tcW w:w="2400" w:type="dxa"/>
            <w:vAlign w:val="bottom"/>
            <w:gridSpan w:val="2"/>
            <w:shd w:val="clear" w:color="auto" w:fill="CCEEFF"/>
          </w:tcPr>
          <w:p>
            <w:pPr>
              <w:jc w:val="center"/>
              <w:ind w:right="300"/>
              <w:spacing w:after="0" w:line="134" w:lineRule="exact"/>
              <w:rPr>
                <w:sz w:val="20"/>
                <w:szCs w:val="20"/>
                <w:color w:val="auto"/>
              </w:rPr>
            </w:pPr>
            <w:r>
              <w:rPr>
                <w:rFonts w:ascii="Arial" w:cs="Arial" w:eastAsia="Arial" w:hAnsi="Arial"/>
                <w:sz w:val="12"/>
                <w:szCs w:val="12"/>
                <w:color w:val="auto"/>
                <w:w w:val="91"/>
              </w:rPr>
              <w:t>Media</w:t>
            </w:r>
          </w:p>
        </w:tc>
        <w:tc>
          <w:tcPr>
            <w:tcW w:w="8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380"/>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11,100</w:t>
            </w: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2,211,000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2"/>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103,237,570</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37,234,921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Investments in Controlled, Affiliated Portfolio Companies</w:t>
            </w:r>
          </w:p>
        </w:tc>
        <w:tc>
          <w:tcPr>
            <w:tcW w:w="9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8"/>
              </w:rPr>
              <w:t>200,120,407</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8"/>
              </w:rPr>
              <w:t>114,550,983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Investments—178.4%</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w w:val="85"/>
              </w:rPr>
              <w:t>1,210,026,672</w:t>
            </w: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w w:val="85"/>
              </w:rPr>
              <w:t>1,153,577,508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Cash and Cash Equivalents—5.9%</w:t>
            </w:r>
          </w:p>
        </w:tc>
        <w:tc>
          <w:tcPr>
            <w:tcW w:w="9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line="134" w:lineRule="exact"/>
              <w:rPr>
                <w:sz w:val="20"/>
                <w:szCs w:val="20"/>
                <w:color w:val="auto"/>
              </w:rPr>
            </w:pPr>
            <w:r>
              <w:rPr>
                <w:rFonts w:ascii="Arial" w:cs="Arial" w:eastAsia="Arial" w:hAnsi="Arial"/>
                <w:sz w:val="12"/>
                <w:szCs w:val="12"/>
                <w:color w:val="auto"/>
              </w:rPr>
              <w:t>BlackRock Federal FD Institutional 30</w:t>
            </w: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20,490,740</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20,490,740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BNY Mellon Cash Reserve and Cash</w:t>
            </w:r>
          </w:p>
        </w:tc>
        <w:tc>
          <w:tcPr>
            <w:tcW w:w="9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17,691,633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17,711,328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38,182,373</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38,202,068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Investments and Cash Equivalents—184.3%</w:t>
            </w:r>
          </w:p>
        </w:tc>
        <w:tc>
          <w:tcPr>
            <w:tcW w:w="9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85"/>
              </w:rPr>
              <w:t>1,248,209,045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85"/>
              </w:rPr>
              <w:t>1,191,779,576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Assets—(84.3%)</w:t>
            </w: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64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w w:val="93"/>
              </w:rPr>
              <w:t>(544,971,105)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Net Assets—100.0%</w:t>
            </w:r>
          </w:p>
        </w:tc>
        <w:tc>
          <w:tcPr>
            <w:tcW w:w="9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8"/>
              </w:rPr>
              <w:t>646,808,471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75" w:lineRule="exact"/>
        <w:rPr>
          <w:sz w:val="20"/>
          <w:szCs w:val="20"/>
          <w:color w:val="auto"/>
        </w:rPr>
      </w:pPr>
    </w:p>
    <w:p>
      <w:pPr>
        <w:ind w:left="460" w:right="60" w:hanging="326"/>
        <w:spacing w:after="0" w:line="241" w:lineRule="auto"/>
        <w:tabs>
          <w:tab w:leader="none" w:pos="4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280" w:hanging="326"/>
        <w:spacing w:after="0" w:line="232" w:lineRule="auto"/>
        <w:tabs>
          <w:tab w:leader="none" w:pos="4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460" w:hanging="326"/>
        <w:spacing w:after="0" w:line="232" w:lineRule="auto"/>
        <w:tabs>
          <w:tab w:leader="none" w:pos="4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460" w:right="40" w:hanging="326"/>
        <w:spacing w:after="0" w:line="232" w:lineRule="auto"/>
        <w:tabs>
          <w:tab w:leader="none" w:pos="4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460" w:hanging="326"/>
        <w:spacing w:after="0"/>
        <w:tabs>
          <w:tab w:leader="none" w:pos="460" w:val="left"/>
        </w:tabs>
        <w:numPr>
          <w:ilvl w:val="0"/>
          <w:numId w:val="97"/>
        </w:numPr>
        <w:rPr>
          <w:rFonts w:ascii="Arial" w:cs="Arial" w:eastAsia="Arial" w:hAnsi="Arial"/>
          <w:sz w:val="10"/>
          <w:szCs w:val="10"/>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18" w:lineRule="exact"/>
        <w:rPr>
          <w:rFonts w:ascii="Arial" w:cs="Arial" w:eastAsia="Arial" w:hAnsi="Arial"/>
          <w:sz w:val="10"/>
          <w:szCs w:val="10"/>
          <w:color w:val="auto"/>
        </w:rPr>
      </w:pPr>
    </w:p>
    <w:p>
      <w:pPr>
        <w:ind w:left="460" w:hanging="326"/>
        <w:spacing w:after="0" w:line="232" w:lineRule="auto"/>
        <w:tabs>
          <w:tab w:leader="none" w:pos="4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460" w:hanging="326"/>
        <w:spacing w:after="0" w:line="232" w:lineRule="auto"/>
        <w:tabs>
          <w:tab w:leader="none" w:pos="4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460" w:hanging="326"/>
        <w:spacing w:after="0"/>
        <w:tabs>
          <w:tab w:leader="none" w:pos="460" w:val="left"/>
        </w:tabs>
        <w:numPr>
          <w:ilvl w:val="0"/>
          <w:numId w:val="97"/>
        </w:numPr>
        <w:rPr>
          <w:rFonts w:ascii="Arial" w:cs="Arial" w:eastAsia="Arial" w:hAnsi="Arial"/>
          <w:sz w:val="10"/>
          <w:szCs w:val="10"/>
          <w:color w:val="auto"/>
        </w:rPr>
      </w:pP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 w:lineRule="exact"/>
        <w:rPr>
          <w:rFonts w:ascii="Arial" w:cs="Arial" w:eastAsia="Arial" w:hAnsi="Arial"/>
          <w:sz w:val="10"/>
          <w:szCs w:val="10"/>
          <w:color w:val="auto"/>
        </w:rPr>
      </w:pPr>
    </w:p>
    <w:p>
      <w:pPr>
        <w:ind w:left="460" w:hanging="326"/>
        <w:spacing w:after="0" w:line="232" w:lineRule="auto"/>
        <w:tabs>
          <w:tab w:leader="none" w:pos="4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460" w:hanging="326"/>
        <w:spacing w:after="0"/>
        <w:tabs>
          <w:tab w:leader="none" w:pos="4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2240" w:h="15840" w:orient="portrait"/>
          <w:cols w:equalWidth="0" w:num="1">
            <w:col w:w="11060"/>
          </w:cols>
          <w:pgMar w:left="520" w:top="316" w:right="660"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760" w:right="25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2017</w:t>
      </w:r>
    </w:p>
    <w:p>
      <w:pPr>
        <w:spacing w:after="0" w:line="218" w:lineRule="exact"/>
        <w:rPr>
          <w:sz w:val="20"/>
          <w:szCs w:val="20"/>
          <w:color w:val="auto"/>
        </w:rPr>
      </w:pPr>
    </w:p>
    <w:p>
      <w:pPr>
        <w:ind w:left="460" w:hanging="326"/>
        <w:spacing w:after="0"/>
        <w:tabs>
          <w:tab w:leader="none" w:pos="4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Par denominated in British Pounds (£) or in Euros (€) as denoted.</w:t>
      </w:r>
    </w:p>
    <w:p>
      <w:pPr>
        <w:spacing w:after="0" w:line="5" w:lineRule="exact"/>
        <w:rPr>
          <w:rFonts w:ascii="Arial" w:cs="Arial" w:eastAsia="Arial" w:hAnsi="Arial"/>
          <w:sz w:val="12"/>
          <w:szCs w:val="12"/>
          <w:color w:val="auto"/>
        </w:rPr>
      </w:pPr>
    </w:p>
    <w:p>
      <w:pPr>
        <w:ind w:left="460" w:hanging="326"/>
        <w:spacing w:after="0" w:line="279" w:lineRule="auto"/>
        <w:tabs>
          <w:tab w:leader="none" w:pos="460" w:val="left"/>
        </w:tabs>
        <w:numPr>
          <w:ilvl w:val="0"/>
          <w:numId w:val="98"/>
        </w:numPr>
        <w:rPr>
          <w:rFonts w:ascii="Arial" w:cs="Arial" w:eastAsia="Arial" w:hAnsi="Arial"/>
          <w:sz w:val="10"/>
          <w:szCs w:val="10"/>
          <w:color w:val="auto"/>
        </w:rPr>
      </w:pPr>
      <w:r>
        <w:rPr>
          <w:rFonts w:ascii="Arial" w:cs="Arial" w:eastAsia="Arial" w:hAnsi="Arial"/>
          <w:sz w:val="10"/>
          <w:szCs w:val="10"/>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83% of the Company’s total assets and non-qualifying assets represent 17% of the Company’s total assets.</w:t>
      </w:r>
    </w:p>
    <w:p>
      <w:pPr>
        <w:ind w:left="460" w:hanging="326"/>
        <w:spacing w:after="0" w:line="232" w:lineRule="auto"/>
        <w:tabs>
          <w:tab w:leader="none" w:pos="4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460" w:hanging="326"/>
        <w:spacing w:after="0"/>
        <w:tabs>
          <w:tab w:leader="none" w:pos="4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F-49</w:t>
      </w:r>
    </w:p>
    <w:p>
      <w:pPr>
        <w:sectPr>
          <w:pgSz w:w="12240" w:h="15840" w:orient="portrait"/>
          <w:cols w:equalWidth="0" w:num="1">
            <w:col w:w="10960"/>
          </w:cols>
          <w:pgMar w:left="520" w:top="317" w:right="760"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6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2018</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 ORGANIZATION</w:t>
      </w:r>
    </w:p>
    <w:p>
      <w:pPr>
        <w:spacing w:after="0" w:line="118" w:lineRule="exact"/>
        <w:rPr>
          <w:sz w:val="20"/>
          <w:szCs w:val="20"/>
          <w:color w:val="auto"/>
        </w:rPr>
      </w:pPr>
    </w:p>
    <w:p>
      <w:pPr>
        <w:ind w:left="140" w:right="100" w:firstLine="437"/>
        <w:spacing w:after="0" w:line="293" w:lineRule="auto"/>
        <w:rPr>
          <w:sz w:val="20"/>
          <w:szCs w:val="20"/>
          <w:color w:val="auto"/>
        </w:rPr>
      </w:pPr>
      <w:r>
        <w:rPr>
          <w:rFonts w:ascii="Arial" w:cs="Arial" w:eastAsia="Arial" w:hAnsi="Arial"/>
          <w:sz w:val="16"/>
          <w:szCs w:val="16"/>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62" w:lineRule="exact"/>
        <w:rPr>
          <w:sz w:val="20"/>
          <w:szCs w:val="20"/>
          <w:color w:val="auto"/>
        </w:rPr>
      </w:pPr>
    </w:p>
    <w:p>
      <w:pPr>
        <w:ind w:left="140" w:right="40" w:firstLine="437"/>
        <w:spacing w:after="0" w:line="272" w:lineRule="auto"/>
        <w:rPr>
          <w:sz w:val="20"/>
          <w:szCs w:val="20"/>
          <w:color w:val="auto"/>
        </w:rPr>
      </w:pPr>
      <w:r>
        <w:rPr>
          <w:rFonts w:ascii="Arial" w:cs="Arial" w:eastAsia="Arial" w:hAnsi="Arial"/>
          <w:sz w:val="17"/>
          <w:szCs w:val="17"/>
          <w:color w:val="auto"/>
        </w:rPr>
        <w:t>We have entered into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77" w:lineRule="exact"/>
        <w:rPr>
          <w:sz w:val="20"/>
          <w:szCs w:val="20"/>
          <w:color w:val="auto"/>
        </w:rPr>
      </w:pPr>
    </w:p>
    <w:p>
      <w:pPr>
        <w:ind w:left="140" w:right="80" w:firstLine="437"/>
        <w:spacing w:after="0" w:line="255" w:lineRule="auto"/>
        <w:rPr>
          <w:sz w:val="20"/>
          <w:szCs w:val="20"/>
          <w:color w:val="auto"/>
        </w:rPr>
      </w:pPr>
      <w:r>
        <w:rPr>
          <w:rFonts w:ascii="Arial" w:cs="Arial" w:eastAsia="Arial" w:hAnsi="Arial"/>
          <w:sz w:val="18"/>
          <w:szCs w:val="18"/>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91" w:lineRule="exact"/>
        <w:rPr>
          <w:sz w:val="20"/>
          <w:szCs w:val="20"/>
          <w:color w:val="auto"/>
        </w:rPr>
      </w:pPr>
    </w:p>
    <w:p>
      <w:pPr>
        <w:ind w:left="140" w:right="80" w:firstLine="437"/>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2. SIGNIFICANT ACCOUNTING POLICIES</w:t>
      </w:r>
    </w:p>
    <w:p>
      <w:pPr>
        <w:spacing w:after="0" w:line="118" w:lineRule="exact"/>
        <w:rPr>
          <w:sz w:val="20"/>
          <w:szCs w:val="20"/>
          <w:color w:val="auto"/>
        </w:rPr>
      </w:pPr>
    </w:p>
    <w:p>
      <w:pPr>
        <w:ind w:left="140" w:firstLine="437"/>
        <w:spacing w:after="0" w:line="268"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81" w:lineRule="exact"/>
        <w:rPr>
          <w:sz w:val="20"/>
          <w:szCs w:val="20"/>
          <w:color w:val="auto"/>
        </w:rPr>
      </w:pPr>
    </w:p>
    <w:p>
      <w:pPr>
        <w:ind w:left="140" w:right="140" w:firstLine="437"/>
        <w:spacing w:after="0" w:line="255" w:lineRule="auto"/>
        <w:rPr>
          <w:sz w:val="20"/>
          <w:szCs w:val="20"/>
          <w:color w:val="auto"/>
        </w:rPr>
      </w:pPr>
      <w:r>
        <w:rPr>
          <w:rFonts w:ascii="Arial" w:cs="Arial" w:eastAsia="Arial" w:hAnsi="Arial"/>
          <w:sz w:val="18"/>
          <w:szCs w:val="18"/>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F-50</w:t>
      </w:r>
    </w:p>
    <w:p>
      <w:pPr>
        <w:sectPr>
          <w:pgSz w:w="12240" w:h="15840" w:orient="portrait"/>
          <w:cols w:equalWidth="0" w:num="1">
            <w:col w:w="11060"/>
          </w:cols>
          <w:pgMar w:left="520" w:top="316" w:right="660"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56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4" w:lineRule="exact"/>
        <w:rPr>
          <w:sz w:val="20"/>
          <w:szCs w:val="20"/>
          <w:color w:val="auto"/>
        </w:rPr>
      </w:pPr>
    </w:p>
    <w:p>
      <w:pPr>
        <w:ind w:left="140" w:firstLine="437"/>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68" w:lineRule="exact"/>
        <w:rPr>
          <w:sz w:val="20"/>
          <w:szCs w:val="20"/>
          <w:color w:val="auto"/>
        </w:rPr>
      </w:pPr>
    </w:p>
    <w:p>
      <w:pPr>
        <w:ind w:left="140" w:right="20" w:firstLine="437"/>
        <w:spacing w:after="0" w:line="259"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3" w:lineRule="exact"/>
        <w:rPr>
          <w:sz w:val="20"/>
          <w:szCs w:val="20"/>
          <w:color w:val="auto"/>
        </w:rPr>
      </w:pPr>
    </w:p>
    <w:p>
      <w:pPr>
        <w:ind w:left="1000" w:right="120" w:hanging="438"/>
        <w:spacing w:after="0" w:line="271"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81" w:lineRule="exact"/>
        <w:rPr>
          <w:rFonts w:ascii="Arial" w:cs="Arial" w:eastAsia="Arial" w:hAnsi="Arial"/>
          <w:sz w:val="18"/>
          <w:szCs w:val="18"/>
          <w:color w:val="auto"/>
        </w:rPr>
      </w:pPr>
    </w:p>
    <w:p>
      <w:pPr>
        <w:ind w:left="1000" w:hanging="43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the Investment Adviser;</w:t>
      </w:r>
    </w:p>
    <w:p>
      <w:pPr>
        <w:spacing w:after="0" w:line="127" w:lineRule="exact"/>
        <w:rPr>
          <w:rFonts w:ascii="Arial" w:cs="Arial" w:eastAsia="Arial" w:hAnsi="Arial"/>
          <w:sz w:val="18"/>
          <w:szCs w:val="18"/>
          <w:color w:val="auto"/>
        </w:rPr>
      </w:pPr>
    </w:p>
    <w:p>
      <w:pPr>
        <w:ind w:left="1000" w:right="260" w:hanging="438"/>
        <w:spacing w:after="0" w:line="275" w:lineRule="auto"/>
        <w:tabs>
          <w:tab w:leader="none" w:pos="10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0" w:lineRule="exact"/>
        <w:rPr>
          <w:rFonts w:ascii="Arial" w:cs="Arial" w:eastAsia="Arial" w:hAnsi="Arial"/>
          <w:sz w:val="17"/>
          <w:szCs w:val="17"/>
          <w:color w:val="auto"/>
        </w:rPr>
      </w:pPr>
    </w:p>
    <w:p>
      <w:pPr>
        <w:ind w:left="1000" w:right="180" w:hanging="438"/>
        <w:spacing w:after="0" w:line="307" w:lineRule="auto"/>
        <w:tabs>
          <w:tab w:leader="none" w:pos="10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6" w:lineRule="exact"/>
        <w:rPr>
          <w:rFonts w:ascii="Arial" w:cs="Arial" w:eastAsia="Arial" w:hAnsi="Arial"/>
          <w:sz w:val="16"/>
          <w:szCs w:val="16"/>
          <w:color w:val="auto"/>
        </w:rPr>
      </w:pPr>
    </w:p>
    <w:p>
      <w:pPr>
        <w:ind w:left="1000" w:right="240" w:hanging="438"/>
        <w:spacing w:after="0" w:line="271"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5" w:lineRule="exact"/>
        <w:rPr>
          <w:sz w:val="20"/>
          <w:szCs w:val="20"/>
          <w:color w:val="auto"/>
        </w:rPr>
      </w:pPr>
    </w:p>
    <w:p>
      <w:pPr>
        <w:ind w:left="140" w:right="100" w:firstLine="437"/>
        <w:spacing w:after="0" w:line="252"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F-51</w:t>
      </w:r>
    </w:p>
    <w:p>
      <w:pPr>
        <w:sectPr>
          <w:pgSz w:w="12240" w:h="15840" w:orient="portrait"/>
          <w:cols w:equalWidth="0" w:num="1">
            <w:col w:w="11040"/>
          </w:cols>
          <w:pgMar w:left="520" w:top="317" w:right="680"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56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4" w:lineRule="exact"/>
        <w:rPr>
          <w:sz w:val="20"/>
          <w:szCs w:val="20"/>
          <w:color w:val="auto"/>
        </w:rPr>
      </w:pPr>
    </w:p>
    <w:p>
      <w:pPr>
        <w:ind w:left="140" w:right="100" w:firstLine="437"/>
        <w:spacing w:after="0" w:line="293"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our Credit Facility, the 2019 Notes and, prior to their redemption, the 2025 Notes during the reporting period, including any reversal of previously recorded unrealized appreciation or depreciation, when gains or losses are realized.</w:t>
      </w:r>
    </w:p>
    <w:p>
      <w:pPr>
        <w:spacing w:after="0" w:line="162" w:lineRule="exact"/>
        <w:rPr>
          <w:sz w:val="20"/>
          <w:szCs w:val="20"/>
          <w:color w:val="auto"/>
        </w:rPr>
      </w:pPr>
    </w:p>
    <w:p>
      <w:pPr>
        <w:ind w:left="140" w:right="40" w:firstLine="437"/>
        <w:spacing w:after="0" w:line="267"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4" w:lineRule="exact"/>
        <w:rPr>
          <w:sz w:val="20"/>
          <w:szCs w:val="20"/>
          <w:color w:val="auto"/>
        </w:rPr>
      </w:pPr>
    </w:p>
    <w:p>
      <w:pPr>
        <w:ind w:left="140" w:right="140" w:firstLine="437"/>
        <w:spacing w:after="0" w:line="297"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4" w:lineRule="exact"/>
        <w:rPr>
          <w:sz w:val="20"/>
          <w:szCs w:val="20"/>
          <w:color w:val="auto"/>
        </w:rPr>
      </w:pPr>
    </w:p>
    <w:p>
      <w:pPr>
        <w:ind w:left="140" w:right="40" w:firstLine="437"/>
        <w:spacing w:after="0" w:line="286" w:lineRule="auto"/>
        <w:rPr>
          <w:sz w:val="20"/>
          <w:szCs w:val="20"/>
          <w:color w:val="auto"/>
        </w:rPr>
      </w:pPr>
      <w:r>
        <w:rPr>
          <w:rFonts w:ascii="Arial" w:cs="Arial" w:eastAsia="Arial" w:hAnsi="Arial"/>
          <w:sz w:val="16"/>
          <w:szCs w:val="16"/>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years ended September 30, 2018, 2017 and 2016, we recorded a provision for taxes of zero, $1.7 million ($0.5 million of excise tax and $1.2 million of U.S. federal and state income taxes related to Taxable Subsidiaries) and $2.4 million ($0.9 million of excise tax and $1.5 million of U.S. federal and state income taxes related to Taxable Subsidiaries), respectively.</w:t>
      </w:r>
    </w:p>
    <w:p>
      <w:pPr>
        <w:spacing w:after="0" w:line="168" w:lineRule="exact"/>
        <w:rPr>
          <w:sz w:val="20"/>
          <w:szCs w:val="20"/>
          <w:color w:val="auto"/>
        </w:rPr>
      </w:pPr>
    </w:p>
    <w:p>
      <w:pPr>
        <w:ind w:left="140" w:firstLine="437"/>
        <w:spacing w:after="0" w:line="307" w:lineRule="auto"/>
        <w:rPr>
          <w:sz w:val="20"/>
          <w:szCs w:val="20"/>
          <w:color w:val="auto"/>
        </w:rPr>
      </w:pPr>
      <w:r>
        <w:rPr>
          <w:rFonts w:ascii="Arial" w:cs="Arial" w:eastAsia="Arial" w:hAnsi="Arial"/>
          <w:sz w:val="16"/>
          <w:szCs w:val="16"/>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2240" w:h="15840" w:orient="portrait"/>
          <w:cols w:equalWidth="0" w:num="1">
            <w:col w:w="11040"/>
          </w:cols>
          <w:pgMar w:left="520" w:top="316" w:right="680"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140" w:right="100"/>
        <w:spacing w:after="0" w:line="254" w:lineRule="auto"/>
        <w:rPr>
          <w:sz w:val="20"/>
          <w:szCs w:val="20"/>
          <w:color w:val="auto"/>
        </w:rPr>
      </w:pPr>
      <w:r>
        <w:rPr>
          <w:rFonts w:ascii="Arial" w:cs="Arial" w:eastAsia="Arial" w:hAnsi="Arial"/>
          <w:sz w:val="18"/>
          <w:szCs w:val="18"/>
          <w:color w:val="auto"/>
        </w:rPr>
        <w:t>relating to income taxes would be classified as other operating expenses in the financial statements. As of September 30,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89" w:lineRule="exact"/>
        <w:rPr>
          <w:sz w:val="20"/>
          <w:szCs w:val="20"/>
          <w:color w:val="auto"/>
        </w:rPr>
      </w:pPr>
    </w:p>
    <w:p>
      <w:pPr>
        <w:ind w:left="140" w:right="40" w:firstLine="437"/>
        <w:spacing w:after="0" w:line="275"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4" w:lineRule="exact"/>
        <w:rPr>
          <w:sz w:val="20"/>
          <w:szCs w:val="20"/>
          <w:color w:val="auto"/>
        </w:rPr>
      </w:pPr>
    </w:p>
    <w:p>
      <w:pPr>
        <w:ind w:left="140" w:right="200" w:firstLine="437"/>
        <w:spacing w:after="0" w:line="255"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return of capital.</w:t>
      </w:r>
    </w:p>
    <w:p>
      <w:pPr>
        <w:spacing w:after="0" w:line="191" w:lineRule="exact"/>
        <w:rPr>
          <w:sz w:val="20"/>
          <w:szCs w:val="20"/>
          <w:color w:val="auto"/>
        </w:rPr>
      </w:pPr>
    </w:p>
    <w:p>
      <w:pPr>
        <w:ind w:left="140" w:right="160" w:firstLine="437"/>
        <w:spacing w:after="0" w:line="271"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39" w:lineRule="exact"/>
        <w:rPr>
          <w:sz w:val="20"/>
          <w:szCs w:val="20"/>
          <w:color w:val="auto"/>
        </w:rPr>
      </w:pPr>
    </w:p>
    <w:p>
      <w:pPr>
        <w:ind w:left="560" w:hanging="426"/>
        <w:spacing w:after="0"/>
        <w:tabs>
          <w:tab w:leader="none" w:pos="5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39" w:lineRule="exact"/>
        <w:rPr>
          <w:rFonts w:ascii="Arial" w:cs="Arial" w:eastAsia="Arial" w:hAnsi="Arial"/>
          <w:sz w:val="17"/>
          <w:szCs w:val="17"/>
          <w:color w:val="auto"/>
        </w:rPr>
      </w:pPr>
    </w:p>
    <w:p>
      <w:pPr>
        <w:ind w:left="560" w:hanging="426"/>
        <w:spacing w:after="0"/>
        <w:tabs>
          <w:tab w:leader="none" w:pos="5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67" w:lineRule="exact"/>
        <w:rPr>
          <w:sz w:val="20"/>
          <w:szCs w:val="20"/>
          <w:color w:val="auto"/>
        </w:rPr>
      </w:pPr>
    </w:p>
    <w:p>
      <w:pPr>
        <w:jc w:val="both"/>
        <w:ind w:left="140" w:right="20" w:firstLine="437"/>
        <w:spacing w:after="0" w:line="307"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50"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F-53</w:t>
      </w:r>
    </w:p>
    <w:p>
      <w:pPr>
        <w:sectPr>
          <w:pgSz w:w="12240" w:h="15840" w:orient="portrait"/>
          <w:cols w:equalWidth="0" w:num="1">
            <w:col w:w="11060"/>
          </w:cols>
          <w:pgMar w:left="520" w:top="316" w:right="660"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4" w:lineRule="exact"/>
        <w:rPr>
          <w:sz w:val="20"/>
          <w:szCs w:val="20"/>
          <w:color w:val="auto"/>
        </w:rPr>
      </w:pPr>
    </w:p>
    <w:p>
      <w:pPr>
        <w:jc w:val="both"/>
        <w:ind w:left="140" w:right="40" w:firstLine="437"/>
        <w:spacing w:after="0" w:line="307" w:lineRule="auto"/>
        <w:rPr>
          <w:sz w:val="20"/>
          <w:szCs w:val="20"/>
          <w:color w:val="auto"/>
        </w:rPr>
      </w:pPr>
      <w:r>
        <w:rPr>
          <w:rFonts w:ascii="Arial" w:cs="Arial" w:eastAsia="Arial" w:hAnsi="Arial"/>
          <w:sz w:val="16"/>
          <w:szCs w:val="16"/>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5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 Recent Accounting Pronouncements</w:t>
      </w:r>
    </w:p>
    <w:p>
      <w:pPr>
        <w:spacing w:after="0" w:line="114" w:lineRule="exact"/>
        <w:rPr>
          <w:sz w:val="20"/>
          <w:szCs w:val="20"/>
          <w:color w:val="auto"/>
        </w:rPr>
      </w:pPr>
    </w:p>
    <w:p>
      <w:pPr>
        <w:ind w:left="140" w:right="80" w:firstLine="437"/>
        <w:spacing w:after="0" w:line="252" w:lineRule="auto"/>
        <w:rPr>
          <w:sz w:val="20"/>
          <w:szCs w:val="20"/>
          <w:color w:val="auto"/>
        </w:rPr>
      </w:pPr>
      <w:r>
        <w:rPr>
          <w:rFonts w:ascii="Arial" w:cs="Arial" w:eastAsia="Arial" w:hAnsi="Arial"/>
          <w:sz w:val="18"/>
          <w:szCs w:val="18"/>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18" w:lineRule="exact"/>
        <w:rPr>
          <w:sz w:val="20"/>
          <w:szCs w:val="20"/>
          <w:color w:val="auto"/>
        </w:rPr>
      </w:pPr>
    </w:p>
    <w:p>
      <w:pPr>
        <w:ind w:left="140" w:right="140" w:firstLine="437"/>
        <w:spacing w:after="0" w:line="288" w:lineRule="auto"/>
        <w:rPr>
          <w:sz w:val="20"/>
          <w:szCs w:val="20"/>
          <w:color w:val="auto"/>
        </w:rPr>
      </w:pPr>
      <w:r>
        <w:rPr>
          <w:rFonts w:ascii="Arial" w:cs="Arial" w:eastAsia="Arial" w:hAnsi="Arial"/>
          <w:sz w:val="16"/>
          <w:szCs w:val="16"/>
          <w:color w:val="auto"/>
        </w:rPr>
        <w:t>Under the Investment Management Agreement, as amended and restated on February 6, 2018,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Management Fees.</w:t>
      </w:r>
    </w:p>
    <w:p>
      <w:pPr>
        <w:spacing w:after="0" w:line="167" w:lineRule="exact"/>
        <w:rPr>
          <w:sz w:val="20"/>
          <w:szCs w:val="20"/>
          <w:color w:val="auto"/>
        </w:rPr>
      </w:pPr>
    </w:p>
    <w:p>
      <w:pPr>
        <w:ind w:left="140" w:firstLine="437"/>
        <w:spacing w:after="0" w:line="284" w:lineRule="auto"/>
        <w:rPr>
          <w:sz w:val="20"/>
          <w:szCs w:val="20"/>
          <w:color w:val="auto"/>
        </w:rPr>
      </w:pPr>
      <w:r>
        <w:rPr>
          <w:rFonts w:ascii="Arial" w:cs="Arial" w:eastAsia="Arial" w:hAnsi="Arial"/>
          <w:sz w:val="16"/>
          <w:szCs w:val="16"/>
          <w:color w:val="auto"/>
        </w:rPr>
        <w:t>Effective January 1, 2018, the base management fee is calculated at an annual rate of 1.50%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years ended September 30, 2018, 2017 and 2016, the Investment Adviser earned base management fees of $16.5 million (after a waiver of $0.9 million), $20.3 million (after a waiver of $3.9 million) and $20.9 million (after a waiver of $4.0 million), respectively, from us.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F-54</w:t>
      </w:r>
    </w:p>
    <w:p>
      <w:pPr>
        <w:sectPr>
          <w:pgSz w:w="12240" w:h="15840" w:orient="portrait"/>
          <w:cols w:equalWidth="0" w:num="1">
            <w:col w:w="11060"/>
          </w:cols>
          <w:pgMar w:left="520" w:top="316" w:right="660"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56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114" w:lineRule="exact"/>
        <w:rPr>
          <w:sz w:val="20"/>
          <w:szCs w:val="20"/>
          <w:color w:val="auto"/>
        </w:rPr>
      </w:pPr>
    </w:p>
    <w:p>
      <w:pPr>
        <w:ind w:left="140" w:right="40" w:firstLine="437"/>
        <w:spacing w:after="0" w:line="280"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w:t>
      </w:r>
    </w:p>
    <w:p>
      <w:pPr>
        <w:spacing w:after="0" w:line="8" w:lineRule="exact"/>
        <w:rPr>
          <w:sz w:val="20"/>
          <w:szCs w:val="20"/>
          <w:color w:val="auto"/>
        </w:rPr>
      </w:pPr>
    </w:p>
    <w:p>
      <w:pPr>
        <w:ind w:left="140" w:right="60"/>
        <w:spacing w:after="0" w:line="279" w:lineRule="auto"/>
        <w:rPr>
          <w:sz w:val="20"/>
          <w:szCs w:val="20"/>
          <w:color w:val="auto"/>
        </w:rPr>
      </w:pPr>
      <w:r>
        <w:rPr>
          <w:rFonts w:ascii="Arial" w:cs="Arial" w:eastAsia="Arial" w:hAnsi="Arial"/>
          <w:sz w:val="16"/>
          <w:szCs w:val="16"/>
          <w:color w:val="auto"/>
        </w:rPr>
        <w:t>(7.00% annualized). Effective January 1, 2018,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w:t>
      </w:r>
    </w:p>
    <w:p>
      <w:pPr>
        <w:spacing w:after="0" w:line="2" w:lineRule="exact"/>
        <w:rPr>
          <w:sz w:val="20"/>
          <w:szCs w:val="20"/>
          <w:color w:val="auto"/>
        </w:rPr>
      </w:pPr>
    </w:p>
    <w:p>
      <w:pPr>
        <w:ind w:left="140"/>
        <w:spacing w:after="0" w:line="250" w:lineRule="auto"/>
        <w:rPr>
          <w:sz w:val="20"/>
          <w:szCs w:val="20"/>
          <w:color w:val="auto"/>
        </w:rPr>
      </w:pPr>
      <w:r>
        <w:rPr>
          <w:rFonts w:ascii="Arial" w:cs="Arial" w:eastAsia="Arial" w:hAnsi="Arial"/>
          <w:sz w:val="18"/>
          <w:szCs w:val="18"/>
          <w:color w:val="auto"/>
        </w:rPr>
        <w:t>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years ended September 30, 2018, 2017 and 2016, the Investment Adviser earned $11.0 million (after a waiver of $0.5 million), $9.3 million (after a waiver of $1.8 million) and $13.5 million (after a waiver of $2.5 million), respectively, in incentive fees on net investment income from us.</w:t>
      </w:r>
    </w:p>
    <w:p>
      <w:pPr>
        <w:spacing w:after="0" w:line="194" w:lineRule="exact"/>
        <w:rPr>
          <w:sz w:val="20"/>
          <w:szCs w:val="20"/>
          <w:color w:val="auto"/>
        </w:rPr>
      </w:pPr>
    </w:p>
    <w:p>
      <w:pPr>
        <w:ind w:left="140" w:right="20" w:firstLine="437"/>
        <w:spacing w:after="0" w:line="252"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2018, 2017 and 2016, the Investment Adviser did not accrue an incentive fee on capital gains as calculated under the Investment Management Agreement (as described above).</w:t>
      </w:r>
    </w:p>
    <w:p>
      <w:pPr>
        <w:spacing w:after="0" w:line="195" w:lineRule="exact"/>
        <w:rPr>
          <w:sz w:val="20"/>
          <w:szCs w:val="20"/>
          <w:color w:val="auto"/>
        </w:rPr>
      </w:pPr>
    </w:p>
    <w:p>
      <w:pPr>
        <w:ind w:left="140" w:right="140" w:firstLine="437"/>
        <w:spacing w:after="0" w:line="307"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F-55</w:t>
      </w:r>
    </w:p>
    <w:p>
      <w:pPr>
        <w:sectPr>
          <w:pgSz w:w="12240" w:h="15840" w:orient="portrait"/>
          <w:cols w:equalWidth="0" w:num="1">
            <w:col w:w="11040"/>
          </w:cols>
          <w:pgMar w:left="520" w:top="316" w:right="680"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56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140" w:right="100"/>
        <w:spacing w:after="0" w:line="269" w:lineRule="auto"/>
        <w:rPr>
          <w:sz w:val="20"/>
          <w:szCs w:val="20"/>
          <w:color w:val="auto"/>
        </w:rPr>
      </w:pPr>
      <w:r>
        <w:rPr>
          <w:rFonts w:ascii="Arial" w:cs="Arial" w:eastAsia="Arial" w:hAnsi="Arial"/>
          <w:sz w:val="17"/>
          <w:szCs w:val="17"/>
          <w:color w:val="auto"/>
        </w:rPr>
        <w:t>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2018, 2017 and 2016, the Investment Adviser did not accrue an incentive fee on capital gains as calculated under GAAP.</w:t>
      </w:r>
    </w:p>
    <w:p>
      <w:pPr>
        <w:spacing w:after="0" w:line="179" w:lineRule="exact"/>
        <w:rPr>
          <w:sz w:val="20"/>
          <w:szCs w:val="20"/>
          <w:color w:val="auto"/>
        </w:rPr>
      </w:pPr>
    </w:p>
    <w:p>
      <w:pPr>
        <w:ind w:left="140" w:firstLine="437"/>
        <w:spacing w:after="0" w:line="285"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our directors who are not interested persons of us, in February 2018.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2018, 2017 and 2016, we reimbursed the Investment Adviser approximately $2.0 million, $2.5 million and $3.7 million, respectively, including expenses the Investment Adviser incurred on behalf of the Administrator, for services described above.</w:t>
      </w:r>
    </w:p>
    <w:p>
      <w:pPr>
        <w:spacing w:after="0" w:line="170" w:lineRule="exact"/>
        <w:rPr>
          <w:sz w:val="20"/>
          <w:szCs w:val="20"/>
          <w:color w:val="auto"/>
        </w:rPr>
      </w:pPr>
    </w:p>
    <w:p>
      <w:pPr>
        <w:ind w:left="140" w:right="100" w:firstLine="437"/>
        <w:spacing w:after="0" w:line="255" w:lineRule="auto"/>
        <w:rPr>
          <w:sz w:val="20"/>
          <w:szCs w:val="20"/>
          <w:color w:val="auto"/>
        </w:rPr>
      </w:pPr>
      <w:r>
        <w:rPr>
          <w:rFonts w:ascii="Arial" w:cs="Arial" w:eastAsia="Arial" w:hAnsi="Arial"/>
          <w:sz w:val="18"/>
          <w:szCs w:val="18"/>
          <w:color w:val="auto"/>
        </w:rPr>
        <w:t>There were no transactions in accordance with Rule 17a-7 of the 1940 Act during the years ended September 30, 2018 and 2016. For the year ended September 30, 2017, the Company purchased $5.0 million from and sold $45.6 million in total investments to affiliated funds managed by our Investment Adviser in accordance with, and pursuant to procedures adopted under, Rule 17a-7 of the 1940 Act. Realized gains on those sales amounted to $1.1 million.</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4. INVESTMENTS</w:t>
      </w:r>
    </w:p>
    <w:p>
      <w:pPr>
        <w:spacing w:after="0" w:line="118" w:lineRule="exact"/>
        <w:rPr>
          <w:sz w:val="20"/>
          <w:szCs w:val="20"/>
          <w:color w:val="auto"/>
        </w:rPr>
      </w:pPr>
    </w:p>
    <w:p>
      <w:pPr>
        <w:jc w:val="both"/>
        <w:ind w:left="140" w:right="160" w:firstLine="437"/>
        <w:spacing w:after="0" w:line="259" w:lineRule="auto"/>
        <w:rPr>
          <w:sz w:val="20"/>
          <w:szCs w:val="20"/>
          <w:color w:val="auto"/>
        </w:rPr>
      </w:pPr>
      <w:r>
        <w:rPr>
          <w:rFonts w:ascii="Arial" w:cs="Arial" w:eastAsia="Arial" w:hAnsi="Arial"/>
          <w:sz w:val="18"/>
          <w:szCs w:val="18"/>
          <w:color w:val="auto"/>
        </w:rPr>
        <w:t>Purchases of investments, including PIK interest, for the years ended September 30, 2018, 2017 and 2016 totaled $616.1 million, $529.5 million and $345.7 million, respectively. Sales and repayments of investments for the same periods totaled $630.5 million, $544.0 million and $439.7 million, respectively.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F-56</w:t>
      </w:r>
    </w:p>
    <w:p>
      <w:pPr>
        <w:sectPr>
          <w:pgSz w:w="12240" w:h="15840" w:orient="portrait"/>
          <w:cols w:equalWidth="0" w:num="1">
            <w:col w:w="11040"/>
          </w:cols>
          <w:pgMar w:left="520" w:top="316" w:right="680"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080" w:right="214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40" w:type="dxa"/>
            <w:vAlign w:val="bottom"/>
          </w:tcPr>
          <w:p>
            <w:pPr>
              <w:spacing w:after="0"/>
              <w:rPr>
                <w:sz w:val="14"/>
                <w:szCs w:val="14"/>
                <w:color w:val="auto"/>
              </w:rPr>
            </w:pPr>
          </w:p>
        </w:tc>
        <w:tc>
          <w:tcPr>
            <w:tcW w:w="27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47"/>
        </w:trPr>
        <w:tc>
          <w:tcPr>
            <w:tcW w:w="422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740"/>
              <w:spacing w:after="0" w:line="127"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93"/>
              <w:spacing w:after="0" w:line="127"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620"/>
              <w:spacing w:after="0" w:line="127"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13"/>
              <w:spacing w:after="0" w:line="127"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First lien</w:t>
            </w:r>
          </w:p>
        </w:tc>
        <w:tc>
          <w:tcPr>
            <w:tcW w:w="2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536,875,632</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531,422,088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465,235,137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466,076,352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385,201,277</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391,038,029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389,336,314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399,544,383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48,617,113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48,127,586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116,596,887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120,707,763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273,122,153</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161,497,771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238,858,334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167,249,010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1,243,816,175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1,132,085,474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1,210,026,672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1,153,577,508</w:t>
            </w:r>
          </w:p>
        </w:tc>
        <w:tc>
          <w:tcPr>
            <w:tcW w:w="0" w:type="dxa"/>
            <w:vAlign w:val="bottom"/>
          </w:tcPr>
          <w:p>
            <w:pPr>
              <w:spacing w:after="0"/>
              <w:rPr>
                <w:sz w:val="1"/>
                <w:szCs w:val="1"/>
                <w:color w:val="auto"/>
              </w:rPr>
            </w:pPr>
          </w:p>
        </w:tc>
      </w:tr>
      <w:tr>
        <w:trPr>
          <w:trHeight w:val="228"/>
        </w:trPr>
        <w:tc>
          <w:tcPr>
            <w:tcW w:w="42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19,543,625</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38,182,373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1,263,359,800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1,151,591,628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1,248,209,045</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1,191,779,576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40" w:right="240" w:firstLine="437"/>
        <w:spacing w:after="0" w:line="271"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240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9"/>
              </w:rPr>
              <w:t>September 30,</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1400" w:type="dxa"/>
            <w:vAlign w:val="bottom"/>
            <w:tcBorders>
              <w:bottom w:val="single" w:sz="8" w:color="auto"/>
            </w:tcBorders>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2260" w:type="dxa"/>
            <w:vAlign w:val="bottom"/>
            <w:gridSpan w:val="2"/>
          </w:tcPr>
          <w:p>
            <w:pPr>
              <w:jc w:val="right"/>
              <w:ind w:right="214"/>
              <w:spacing w:after="0" w:line="157" w:lineRule="exact"/>
              <w:rPr>
                <w:sz w:val="20"/>
                <w:szCs w:val="20"/>
                <w:color w:val="auto"/>
              </w:rPr>
            </w:pPr>
            <w:r>
              <w:rPr>
                <w:rFonts w:ascii="Arial" w:cs="Arial" w:eastAsia="Arial" w:hAnsi="Arial"/>
                <w:sz w:val="14"/>
                <w:szCs w:val="14"/>
                <w:b w:val="1"/>
                <w:bCs w:val="1"/>
                <w:color w:val="auto"/>
              </w:rPr>
              <w:t>2018</w:t>
            </w:r>
          </w:p>
        </w:tc>
        <w:tc>
          <w:tcPr>
            <w:tcW w:w="1180" w:type="dxa"/>
            <w:vAlign w:val="bottom"/>
          </w:tcPr>
          <w:p>
            <w:pPr>
              <w:spacing w:after="0"/>
              <w:rPr>
                <w:sz w:val="13"/>
                <w:szCs w:val="13"/>
                <w:color w:val="auto"/>
              </w:rPr>
            </w:pPr>
          </w:p>
        </w:tc>
        <w:tc>
          <w:tcPr>
            <w:tcW w:w="860" w:type="dxa"/>
            <w:vAlign w:val="bottom"/>
          </w:tcPr>
          <w:p>
            <w:pPr>
              <w:jc w:val="right"/>
              <w:ind w:right="212"/>
              <w:spacing w:after="0" w:line="157"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3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00" w:type="dxa"/>
            <w:vAlign w:val="bottom"/>
            <w:gridSpan w:val="2"/>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2060" w:type="dxa"/>
            <w:vAlign w:val="bottom"/>
            <w:gridSpan w:val="2"/>
            <w:shd w:val="clear" w:color="auto" w:fill="CCEEFF"/>
          </w:tcPr>
          <w:p>
            <w:pPr>
              <w:jc w:val="right"/>
              <w:ind w:right="1040"/>
              <w:spacing w:after="0" w:line="201" w:lineRule="exact"/>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440" w:type="dxa"/>
            <w:vAlign w:val="bottom"/>
            <w:gridSpan w:val="3"/>
          </w:tcPr>
          <w:p>
            <w:pPr>
              <w:jc w:val="right"/>
              <w:ind w:right="118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34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3440" w:type="dxa"/>
            <w:vAlign w:val="bottom"/>
            <w:gridSpan w:val="3"/>
          </w:tcPr>
          <w:p>
            <w:pPr>
              <w:jc w:val="right"/>
              <w:ind w:right="1180"/>
              <w:spacing w:after="0"/>
              <w:rPr>
                <w:sz w:val="20"/>
                <w:szCs w:val="20"/>
                <w:color w:val="auto"/>
              </w:rPr>
            </w:pPr>
            <w:r>
              <w:rPr>
                <w:rFonts w:ascii="Arial" w:cs="Arial" w:eastAsia="Arial" w:hAnsi="Arial"/>
                <w:sz w:val="18"/>
                <w:szCs w:val="18"/>
                <w:color w:val="auto"/>
              </w:rPr>
              <w:t>7</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34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3440" w:type="dxa"/>
            <w:vAlign w:val="bottom"/>
            <w:gridSpan w:val="3"/>
          </w:tcPr>
          <w:p>
            <w:pPr>
              <w:jc w:val="right"/>
              <w:ind w:right="1180"/>
              <w:spacing w:after="0"/>
              <w:rPr>
                <w:sz w:val="20"/>
                <w:szCs w:val="20"/>
                <w:color w:val="auto"/>
              </w:rPr>
            </w:pPr>
            <w:r>
              <w:rPr>
                <w:rFonts w:ascii="Arial" w:cs="Arial" w:eastAsia="Arial" w:hAnsi="Arial"/>
                <w:sz w:val="18"/>
                <w:szCs w:val="18"/>
                <w:color w:val="auto"/>
              </w:rPr>
              <w:t>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4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3440" w:type="dxa"/>
            <w:vAlign w:val="bottom"/>
            <w:gridSpan w:val="3"/>
          </w:tcPr>
          <w:p>
            <w:pPr>
              <w:jc w:val="right"/>
              <w:ind w:right="118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4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3440" w:type="dxa"/>
            <w:vAlign w:val="bottom"/>
            <w:gridSpan w:val="3"/>
          </w:tcPr>
          <w:p>
            <w:pPr>
              <w:jc w:val="right"/>
              <w:ind w:right="118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34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3440" w:type="dxa"/>
            <w:vAlign w:val="bottom"/>
            <w:gridSpan w:val="3"/>
          </w:tcPr>
          <w:p>
            <w:pPr>
              <w:jc w:val="right"/>
              <w:ind w:right="118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Industries</w:t>
            </w:r>
          </w:p>
        </w:tc>
        <w:tc>
          <w:tcPr>
            <w:tcW w:w="34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3440" w:type="dxa"/>
            <w:vAlign w:val="bottom"/>
            <w:gridSpan w:val="3"/>
          </w:tcPr>
          <w:p>
            <w:pPr>
              <w:jc w:val="right"/>
              <w:ind w:right="118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4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3440" w:type="dxa"/>
            <w:vAlign w:val="bottom"/>
            <w:gridSpan w:val="3"/>
          </w:tcPr>
          <w:p>
            <w:pPr>
              <w:jc w:val="right"/>
              <w:ind w:right="118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34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440" w:type="dxa"/>
            <w:vAlign w:val="bottom"/>
            <w:gridSpan w:val="3"/>
          </w:tcPr>
          <w:p>
            <w:pPr>
              <w:jc w:val="right"/>
              <w:ind w:right="118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34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3440" w:type="dxa"/>
            <w:vAlign w:val="bottom"/>
            <w:gridSpan w:val="3"/>
          </w:tcPr>
          <w:p>
            <w:pPr>
              <w:jc w:val="right"/>
              <w:ind w:right="118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4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440" w:type="dxa"/>
            <w:vAlign w:val="bottom"/>
            <w:gridSpan w:val="3"/>
          </w:tcPr>
          <w:p>
            <w:pPr>
              <w:jc w:val="right"/>
              <w:ind w:right="118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0"/>
        </w:trPr>
        <w:tc>
          <w:tcPr>
            <w:tcW w:w="38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3"/>
              </w:rPr>
              <w:t>Diversified Natural Resources, Precious Metal and</w:t>
            </w:r>
          </w:p>
        </w:tc>
        <w:tc>
          <w:tcPr>
            <w:tcW w:w="1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Minerals</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40" w:type="dxa"/>
            <w:vAlign w:val="bottom"/>
            <w:gridSpan w:val="3"/>
          </w:tcPr>
          <w:p>
            <w:pPr>
              <w:jc w:val="right"/>
              <w:ind w:right="2920"/>
              <w:spacing w:after="0"/>
              <w:rPr>
                <w:sz w:val="20"/>
                <w:szCs w:val="20"/>
                <w:color w:val="auto"/>
              </w:rPr>
            </w:pPr>
            <w:r>
              <w:rPr>
                <w:rFonts w:ascii="Arial" w:cs="Arial" w:eastAsia="Arial" w:hAnsi="Arial"/>
                <w:sz w:val="18"/>
                <w:szCs w:val="18"/>
                <w:color w:val="auto"/>
              </w:rPr>
              <w:t>F-57</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620"/>
          </w:cols>
          <w:pgMar w:left="520" w:top="316" w:right="1100"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80" w:right="254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18" w:lineRule="exact"/>
        <w:rPr>
          <w:sz w:val="20"/>
          <w:szCs w:val="20"/>
          <w:color w:val="auto"/>
        </w:rPr>
      </w:pPr>
    </w:p>
    <w:p>
      <w:pPr>
        <w:ind w:left="140" w:right="140" w:firstLine="437"/>
        <w:spacing w:after="0" w:line="252"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48" w:lineRule="exact"/>
        <w:rPr>
          <w:sz w:val="20"/>
          <w:szCs w:val="20"/>
          <w:color w:val="auto"/>
        </w:rPr>
      </w:pPr>
    </w:p>
    <w:p>
      <w:pPr>
        <w:ind w:left="1580" w:right="1280" w:hanging="896"/>
        <w:spacing w:after="0" w:line="271" w:lineRule="auto"/>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8" w:lineRule="exact"/>
        <w:rPr>
          <w:sz w:val="20"/>
          <w:szCs w:val="20"/>
          <w:color w:val="auto"/>
        </w:rPr>
      </w:pPr>
    </w:p>
    <w:p>
      <w:pPr>
        <w:ind w:left="1580" w:right="540" w:hanging="896"/>
        <w:spacing w:after="0" w:line="259" w:lineRule="auto"/>
        <w:tabs>
          <w:tab w:leader="none" w:pos="15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9" w:lineRule="exact"/>
        <w:rPr>
          <w:sz w:val="20"/>
          <w:szCs w:val="20"/>
          <w:color w:val="auto"/>
        </w:rPr>
      </w:pPr>
    </w:p>
    <w:p>
      <w:pPr>
        <w:ind w:left="1580" w:right="980" w:hanging="896"/>
        <w:spacing w:after="0" w:line="271" w:lineRule="auto"/>
        <w:tabs>
          <w:tab w:leader="none" w:pos="15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5" w:lineRule="exact"/>
        <w:rPr>
          <w:sz w:val="20"/>
          <w:szCs w:val="20"/>
          <w:color w:val="auto"/>
        </w:rPr>
      </w:pPr>
    </w:p>
    <w:p>
      <w:pPr>
        <w:ind w:left="140" w:firstLine="437"/>
        <w:spacing w:after="0" w:line="255"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1" w:lineRule="exact"/>
        <w:rPr>
          <w:sz w:val="20"/>
          <w:szCs w:val="20"/>
          <w:color w:val="auto"/>
        </w:rPr>
      </w:pPr>
    </w:p>
    <w:p>
      <w:pPr>
        <w:ind w:left="140" w:right="80" w:firstLine="437"/>
        <w:spacing w:after="0" w:line="290"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65" w:lineRule="exact"/>
        <w:rPr>
          <w:sz w:val="20"/>
          <w:szCs w:val="20"/>
          <w:color w:val="auto"/>
        </w:rPr>
      </w:pPr>
    </w:p>
    <w:p>
      <w:pPr>
        <w:ind w:left="140" w:firstLine="437"/>
        <w:spacing w:after="0" w:line="252" w:lineRule="auto"/>
        <w:rPr>
          <w:sz w:val="20"/>
          <w:szCs w:val="20"/>
          <w:color w:val="auto"/>
        </w:rPr>
      </w:pPr>
      <w:r>
        <w:rPr>
          <w:rFonts w:ascii="Arial" w:cs="Arial" w:eastAsia="Arial" w:hAnsi="Arial"/>
          <w:sz w:val="18"/>
          <w:szCs w:val="18"/>
          <w:color w:val="auto"/>
        </w:rPr>
        <w:t>Our investments are generally structured as debt and equity investments in the form of first lien secured debt, second lien secured debt, subordinated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F-58</w:t>
      </w:r>
    </w:p>
    <w:p>
      <w:pPr>
        <w:sectPr>
          <w:pgSz w:w="12240" w:h="15840" w:orient="portrait"/>
          <w:cols w:equalWidth="0" w:num="1">
            <w:col w:w="11020"/>
          </w:cols>
          <w:pgMar w:left="520" w:top="317" w:right="700"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56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140" w:firstLine="437"/>
        <w:spacing w:after="0" w:line="272" w:lineRule="auto"/>
        <w:rPr>
          <w:sz w:val="20"/>
          <w:szCs w:val="20"/>
          <w:color w:val="auto"/>
        </w:rPr>
      </w:pPr>
      <w:r>
        <w:rPr>
          <w:rFonts w:ascii="Arial" w:cs="Arial" w:eastAsia="Arial" w:hAnsi="Arial"/>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years ended September 30, 2018 and 2017. During the year ended September 30, 2016, there was one reclassification from Level 2 to 1, one reclassification from Level 3 to 1 and one reclassification from Level 3 to 2.</w:t>
      </w:r>
    </w:p>
    <w:p>
      <w:pPr>
        <w:spacing w:after="0" w:line="177" w:lineRule="exact"/>
        <w:rPr>
          <w:sz w:val="20"/>
          <w:szCs w:val="20"/>
          <w:color w:val="auto"/>
        </w:rPr>
      </w:pPr>
    </w:p>
    <w:p>
      <w:pPr>
        <w:ind w:left="140" w:right="60" w:firstLine="437"/>
        <w:spacing w:after="0" w:line="259" w:lineRule="auto"/>
        <w:rPr>
          <w:sz w:val="20"/>
          <w:szCs w:val="20"/>
          <w:color w:val="auto"/>
        </w:rPr>
      </w:pPr>
      <w:r>
        <w:rPr>
          <w:rFonts w:ascii="Arial" w:cs="Arial" w:eastAsia="Arial" w:hAnsi="Arial"/>
          <w:sz w:val="18"/>
          <w:szCs w:val="18"/>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6" w:lineRule="exact"/>
        <w:rPr>
          <w:sz w:val="20"/>
          <w:szCs w:val="20"/>
          <w:color w:val="auto"/>
        </w:rPr>
      </w:pPr>
    </w:p>
    <w:p>
      <w:pPr>
        <w:ind w:left="140" w:right="20" w:firstLine="437"/>
        <w:spacing w:after="0" w:line="272"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77" w:lineRule="exact"/>
        <w:rPr>
          <w:sz w:val="20"/>
          <w:szCs w:val="20"/>
          <w:color w:val="auto"/>
        </w:rPr>
      </w:pPr>
    </w:p>
    <w:p>
      <w:pPr>
        <w:ind w:left="140" w:firstLine="437"/>
        <w:spacing w:after="0" w:line="284" w:lineRule="auto"/>
        <w:rPr>
          <w:sz w:val="20"/>
          <w:szCs w:val="20"/>
          <w:color w:val="auto"/>
        </w:rPr>
      </w:pPr>
      <w:r>
        <w:rPr>
          <w:rFonts w:ascii="Arial" w:cs="Arial" w:eastAsia="Arial" w:hAnsi="Arial"/>
          <w:sz w:val="16"/>
          <w:szCs w:val="16"/>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F-59</w:t>
      </w:r>
    </w:p>
    <w:p>
      <w:pPr>
        <w:sectPr>
          <w:pgSz w:w="12240" w:h="15840" w:orient="portrait"/>
          <w:cols w:equalWidth="0" w:num="1">
            <w:col w:w="11040"/>
          </w:cols>
          <w:pgMar w:left="520" w:top="316" w:right="680"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2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 at</w:t>
            </w:r>
          </w:p>
        </w:tc>
        <w:tc>
          <w:tcPr>
            <w:tcW w:w="220" w:type="dxa"/>
            <w:vAlign w:val="bottom"/>
          </w:tcPr>
          <w:p>
            <w:pPr>
              <w:spacing w:after="0"/>
              <w:rPr>
                <w:sz w:val="14"/>
                <w:szCs w:val="14"/>
                <w:color w:val="auto"/>
              </w:rPr>
            </w:pPr>
          </w:p>
        </w:tc>
        <w:tc>
          <w:tcPr>
            <w:tcW w:w="206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0"/>
              </w:rPr>
              <w:t>Valuation Technique</w:t>
            </w:r>
          </w:p>
        </w:tc>
        <w:tc>
          <w:tcPr>
            <w:tcW w:w="24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0"/>
        </w:trPr>
        <w:tc>
          <w:tcPr>
            <w:tcW w:w="2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 2018</w:t>
            </w:r>
          </w:p>
        </w:tc>
        <w:tc>
          <w:tcPr>
            <w:tcW w:w="22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2400" w:type="dxa"/>
            <w:vAlign w:val="bottom"/>
            <w:gridSpan w:val="4"/>
            <w:vMerge w:val="continue"/>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4"/>
        </w:trPr>
        <w:tc>
          <w:tcPr>
            <w:tcW w:w="2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164,734,450</w:t>
            </w: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1"/>
              </w:rPr>
              <w:t>Market Comparable</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1"/>
              </w:rPr>
              <w:t>Broker/Dealer bids or quotes</w:t>
            </w: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29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6"/>
                <w:szCs w:val="16"/>
                <w:color w:val="auto"/>
              </w:rPr>
              <w:t>531,422,088</w:t>
            </w:r>
          </w:p>
        </w:tc>
        <w:tc>
          <w:tcPr>
            <w:tcW w:w="220" w:type="dxa"/>
            <w:vAlign w:val="bottom"/>
          </w:tcPr>
          <w:p>
            <w:pPr>
              <w:spacing w:after="0"/>
              <w:rPr>
                <w:sz w:val="16"/>
                <w:szCs w:val="16"/>
                <w:color w:val="auto"/>
              </w:rPr>
            </w:pPr>
          </w:p>
        </w:tc>
        <w:tc>
          <w:tcPr>
            <w:tcW w:w="2060" w:type="dxa"/>
            <w:vAlign w:val="bottom"/>
            <w:gridSpan w:val="4"/>
          </w:tcPr>
          <w:p>
            <w:pPr>
              <w:jc w:val="center"/>
              <w:ind w:right="220"/>
              <w:spacing w:after="0"/>
              <w:rPr>
                <w:sz w:val="20"/>
                <w:szCs w:val="20"/>
                <w:color w:val="auto"/>
              </w:rPr>
            </w:pPr>
            <w:r>
              <w:rPr>
                <w:rFonts w:ascii="Arial" w:cs="Arial" w:eastAsia="Arial" w:hAnsi="Arial"/>
                <w:sz w:val="16"/>
                <w:szCs w:val="16"/>
                <w:color w:val="auto"/>
                <w:w w:val="91"/>
              </w:rPr>
              <w:t>Market Comparable</w:t>
            </w:r>
          </w:p>
        </w:tc>
        <w:tc>
          <w:tcPr>
            <w:tcW w:w="2400" w:type="dxa"/>
            <w:vAlign w:val="bottom"/>
            <w:gridSpan w:val="4"/>
          </w:tcPr>
          <w:p>
            <w:pPr>
              <w:jc w:val="center"/>
              <w:ind w:right="200"/>
              <w:spacing w:after="0"/>
              <w:rPr>
                <w:sz w:val="20"/>
                <w:szCs w:val="20"/>
                <w:color w:val="auto"/>
              </w:rPr>
            </w:pPr>
            <w:r>
              <w:rPr>
                <w:rFonts w:ascii="Arial" w:cs="Arial" w:eastAsia="Arial" w:hAnsi="Arial"/>
                <w:sz w:val="16"/>
                <w:szCs w:val="16"/>
                <w:color w:val="auto"/>
                <w:w w:val="94"/>
              </w:rPr>
              <w:t>Market Yield</w:t>
            </w: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7.4% – 17.5%</w:t>
            </w:r>
          </w:p>
        </w:tc>
        <w:tc>
          <w:tcPr>
            <w:tcW w:w="0" w:type="dxa"/>
            <w:vAlign w:val="bottom"/>
          </w:tcPr>
          <w:p>
            <w:pPr>
              <w:spacing w:after="0"/>
              <w:rPr>
                <w:sz w:val="1"/>
                <w:szCs w:val="1"/>
                <w:color w:val="auto"/>
              </w:rPr>
            </w:pPr>
          </w:p>
        </w:tc>
      </w:tr>
      <w:tr>
        <w:trPr>
          <w:trHeight w:val="205"/>
        </w:trPr>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(10.1%)</w:t>
            </w:r>
          </w:p>
        </w:tc>
        <w:tc>
          <w:tcPr>
            <w:tcW w:w="0" w:type="dxa"/>
            <w:vAlign w:val="bottom"/>
          </w:tcPr>
          <w:p>
            <w:pPr>
              <w:spacing w:after="0"/>
              <w:rPr>
                <w:sz w:val="1"/>
                <w:szCs w:val="1"/>
                <w:color w:val="auto"/>
              </w:rPr>
            </w:pPr>
          </w:p>
        </w:tc>
      </w:tr>
      <w:tr>
        <w:trPr>
          <w:trHeight w:val="196"/>
        </w:trPr>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226,303,579</w:t>
            </w:r>
          </w:p>
        </w:tc>
        <w:tc>
          <w:tcPr>
            <w:tcW w:w="22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jc w:val="center"/>
              <w:ind w:right="220"/>
              <w:spacing w:after="0"/>
              <w:rPr>
                <w:sz w:val="20"/>
                <w:szCs w:val="20"/>
                <w:color w:val="auto"/>
              </w:rPr>
            </w:pPr>
            <w:r>
              <w:rPr>
                <w:rFonts w:ascii="Arial" w:cs="Arial" w:eastAsia="Arial" w:hAnsi="Arial"/>
                <w:sz w:val="16"/>
                <w:szCs w:val="16"/>
                <w:color w:val="auto"/>
                <w:w w:val="91"/>
              </w:rPr>
              <w:t>Market Comparable</w:t>
            </w:r>
          </w:p>
        </w:tc>
        <w:tc>
          <w:tcPr>
            <w:tcW w:w="2400" w:type="dxa"/>
            <w:vAlign w:val="bottom"/>
            <w:gridSpan w:val="4"/>
            <w:shd w:val="clear" w:color="auto" w:fill="CCEEFF"/>
          </w:tcPr>
          <w:p>
            <w:pPr>
              <w:jc w:val="center"/>
              <w:ind w:right="200"/>
              <w:spacing w:after="0"/>
              <w:rPr>
                <w:sz w:val="20"/>
                <w:szCs w:val="20"/>
                <w:color w:val="auto"/>
              </w:rPr>
            </w:pPr>
            <w:r>
              <w:rPr>
                <w:rFonts w:ascii="Arial" w:cs="Arial" w:eastAsia="Arial" w:hAnsi="Arial"/>
                <w:sz w:val="16"/>
                <w:szCs w:val="16"/>
                <w:color w:val="auto"/>
                <w:w w:val="94"/>
              </w:rPr>
              <w:t>Market Yield</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10.7% – 14.1%</w:t>
            </w:r>
          </w:p>
        </w:tc>
        <w:tc>
          <w:tcPr>
            <w:tcW w:w="0" w:type="dxa"/>
            <w:vAlign w:val="bottom"/>
          </w:tcPr>
          <w:p>
            <w:pPr>
              <w:spacing w:after="0"/>
              <w:rPr>
                <w:sz w:val="1"/>
                <w:szCs w:val="1"/>
                <w:color w:val="auto"/>
              </w:rPr>
            </w:pPr>
          </w:p>
        </w:tc>
      </w:tr>
      <w:tr>
        <w:trPr>
          <w:trHeight w:val="211"/>
        </w:trPr>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(13.3%)</w:t>
            </w:r>
          </w:p>
        </w:tc>
        <w:tc>
          <w:tcPr>
            <w:tcW w:w="0" w:type="dxa"/>
            <w:vAlign w:val="bottom"/>
          </w:tcPr>
          <w:p>
            <w:pPr>
              <w:spacing w:after="0"/>
              <w:rPr>
                <w:sz w:val="1"/>
                <w:szCs w:val="1"/>
                <w:color w:val="auto"/>
              </w:rPr>
            </w:pPr>
          </w:p>
        </w:tc>
      </w:tr>
      <w:tr>
        <w:trPr>
          <w:trHeight w:val="191"/>
        </w:trPr>
        <w:tc>
          <w:tcPr>
            <w:tcW w:w="2940" w:type="dxa"/>
            <w:vAlign w:val="bottom"/>
            <w:gridSpan w:val="2"/>
          </w:tcPr>
          <w:p>
            <w:pPr>
              <w:spacing w:after="0"/>
              <w:rPr>
                <w:sz w:val="20"/>
                <w:szCs w:val="20"/>
                <w:color w:val="auto"/>
              </w:rPr>
            </w:pPr>
            <w:r>
              <w:rPr>
                <w:rFonts w:ascii="Arial" w:cs="Arial" w:eastAsia="Arial" w:hAnsi="Arial"/>
                <w:sz w:val="16"/>
                <w:szCs w:val="16"/>
                <w:color w:val="auto"/>
              </w:rPr>
              <w:t>Subordinated debt / corporate notes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6"/>
                <w:szCs w:val="16"/>
                <w:color w:val="auto"/>
              </w:rPr>
              <w:t>48,127,586</w:t>
            </w:r>
          </w:p>
        </w:tc>
        <w:tc>
          <w:tcPr>
            <w:tcW w:w="220" w:type="dxa"/>
            <w:vAlign w:val="bottom"/>
          </w:tcPr>
          <w:p>
            <w:pPr>
              <w:spacing w:after="0"/>
              <w:rPr>
                <w:sz w:val="16"/>
                <w:szCs w:val="16"/>
                <w:color w:val="auto"/>
              </w:rPr>
            </w:pPr>
          </w:p>
        </w:tc>
        <w:tc>
          <w:tcPr>
            <w:tcW w:w="2060" w:type="dxa"/>
            <w:vAlign w:val="bottom"/>
            <w:gridSpan w:val="4"/>
          </w:tcPr>
          <w:p>
            <w:pPr>
              <w:jc w:val="center"/>
              <w:ind w:right="220"/>
              <w:spacing w:after="0"/>
              <w:rPr>
                <w:sz w:val="20"/>
                <w:szCs w:val="20"/>
                <w:color w:val="auto"/>
              </w:rPr>
            </w:pPr>
            <w:r>
              <w:rPr>
                <w:rFonts w:ascii="Arial" w:cs="Arial" w:eastAsia="Arial" w:hAnsi="Arial"/>
                <w:sz w:val="16"/>
                <w:szCs w:val="16"/>
                <w:color w:val="auto"/>
                <w:w w:val="91"/>
              </w:rPr>
              <w:t>Market Comparable</w:t>
            </w:r>
          </w:p>
        </w:tc>
        <w:tc>
          <w:tcPr>
            <w:tcW w:w="2400" w:type="dxa"/>
            <w:vAlign w:val="bottom"/>
            <w:gridSpan w:val="4"/>
          </w:tcPr>
          <w:p>
            <w:pPr>
              <w:jc w:val="center"/>
              <w:ind w:right="200"/>
              <w:spacing w:after="0"/>
              <w:rPr>
                <w:sz w:val="20"/>
                <w:szCs w:val="20"/>
                <w:color w:val="auto"/>
              </w:rPr>
            </w:pPr>
            <w:r>
              <w:rPr>
                <w:rFonts w:ascii="Arial" w:cs="Arial" w:eastAsia="Arial" w:hAnsi="Arial"/>
                <w:sz w:val="16"/>
                <w:szCs w:val="16"/>
                <w:color w:val="auto"/>
                <w:w w:val="94"/>
              </w:rPr>
              <w:t>Market Yield</w:t>
            </w: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12.5% – 15.3%</w:t>
            </w:r>
          </w:p>
        </w:tc>
        <w:tc>
          <w:tcPr>
            <w:tcW w:w="0" w:type="dxa"/>
            <w:vAlign w:val="bottom"/>
          </w:tcPr>
          <w:p>
            <w:pPr>
              <w:spacing w:after="0"/>
              <w:rPr>
                <w:sz w:val="1"/>
                <w:szCs w:val="1"/>
                <w:color w:val="auto"/>
              </w:rPr>
            </w:pPr>
          </w:p>
        </w:tc>
      </w:tr>
      <w:tr>
        <w:trPr>
          <w:trHeight w:val="205"/>
        </w:trPr>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(14.5%)</w:t>
            </w:r>
          </w:p>
        </w:tc>
        <w:tc>
          <w:tcPr>
            <w:tcW w:w="0" w:type="dxa"/>
            <w:vAlign w:val="bottom"/>
          </w:tcPr>
          <w:p>
            <w:pPr>
              <w:spacing w:after="0"/>
              <w:rPr>
                <w:sz w:val="1"/>
                <w:szCs w:val="1"/>
                <w:color w:val="auto"/>
              </w:rPr>
            </w:pPr>
          </w:p>
        </w:tc>
      </w:tr>
      <w:tr>
        <w:trPr>
          <w:trHeight w:val="196"/>
        </w:trPr>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160,656,044</w:t>
            </w:r>
          </w:p>
        </w:tc>
        <w:tc>
          <w:tcPr>
            <w:tcW w:w="22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jc w:val="center"/>
              <w:ind w:right="220"/>
              <w:spacing w:after="0"/>
              <w:rPr>
                <w:sz w:val="20"/>
                <w:szCs w:val="20"/>
                <w:color w:val="auto"/>
              </w:rPr>
            </w:pPr>
            <w:r>
              <w:rPr>
                <w:rFonts w:ascii="Arial" w:cs="Arial" w:eastAsia="Arial" w:hAnsi="Arial"/>
                <w:sz w:val="16"/>
                <w:szCs w:val="16"/>
                <w:color w:val="auto"/>
                <w:w w:val="90"/>
              </w:rPr>
              <w:t>Enterprise Market Value</w:t>
            </w:r>
          </w:p>
        </w:tc>
        <w:tc>
          <w:tcPr>
            <w:tcW w:w="2400" w:type="dxa"/>
            <w:vAlign w:val="bottom"/>
            <w:gridSpan w:val="4"/>
            <w:shd w:val="clear" w:color="auto" w:fill="CCEEFF"/>
          </w:tcPr>
          <w:p>
            <w:pPr>
              <w:jc w:val="center"/>
              <w:ind w:right="200"/>
              <w:spacing w:after="0"/>
              <w:rPr>
                <w:sz w:val="20"/>
                <w:szCs w:val="20"/>
                <w:color w:val="auto"/>
              </w:rPr>
            </w:pPr>
            <w:r>
              <w:rPr>
                <w:rFonts w:ascii="Arial" w:cs="Arial" w:eastAsia="Arial" w:hAnsi="Arial"/>
                <w:sz w:val="16"/>
                <w:szCs w:val="16"/>
                <w:color w:val="auto"/>
                <w:w w:val="98"/>
              </w:rPr>
              <w:t>EBITDA multiple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3.9x – 13.8x</w:t>
            </w:r>
          </w:p>
        </w:tc>
        <w:tc>
          <w:tcPr>
            <w:tcW w:w="0" w:type="dxa"/>
            <w:vAlign w:val="bottom"/>
          </w:tcPr>
          <w:p>
            <w:pPr>
              <w:spacing w:after="0"/>
              <w:rPr>
                <w:sz w:val="1"/>
                <w:szCs w:val="1"/>
                <w:color w:val="auto"/>
              </w:rPr>
            </w:pPr>
          </w:p>
        </w:tc>
      </w:tr>
      <w:tr>
        <w:trPr>
          <w:trHeight w:val="211"/>
        </w:trPr>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(8.2x)</w:t>
            </w:r>
          </w:p>
        </w:tc>
        <w:tc>
          <w:tcPr>
            <w:tcW w:w="0" w:type="dxa"/>
            <w:vAlign w:val="bottom"/>
          </w:tcPr>
          <w:p>
            <w:pPr>
              <w:spacing w:after="0"/>
              <w:rPr>
                <w:sz w:val="1"/>
                <w:szCs w:val="1"/>
                <w:color w:val="auto"/>
              </w:rPr>
            </w:pPr>
          </w:p>
        </w:tc>
      </w:tr>
      <w:tr>
        <w:trPr>
          <w:trHeight w:val="205"/>
        </w:trPr>
        <w:tc>
          <w:tcPr>
            <w:tcW w:w="2940" w:type="dxa"/>
            <w:vAlign w:val="bottom"/>
            <w:gridSpan w:val="2"/>
          </w:tcPr>
          <w:p>
            <w:pPr>
              <w:ind w:left="160"/>
              <w:spacing w:after="0"/>
              <w:rPr>
                <w:sz w:val="20"/>
                <w:szCs w:val="20"/>
                <w:color w:val="auto"/>
              </w:rPr>
            </w:pPr>
            <w:r>
              <w:rPr>
                <w:rFonts w:ascii="Arial" w:cs="Arial" w:eastAsia="Arial" w:hAnsi="Arial"/>
                <w:sz w:val="16"/>
                <w:szCs w:val="16"/>
                <w:color w:val="auto"/>
              </w:rPr>
              <w:t>Total Level 3 investments</w:t>
            </w:r>
          </w:p>
        </w:tc>
        <w:tc>
          <w:tcPr>
            <w:tcW w:w="520" w:type="dxa"/>
            <w:vAlign w:val="bottom"/>
            <w:gridSpan w:val="3"/>
          </w:tcPr>
          <w:p>
            <w:pPr>
              <w:ind w:left="420"/>
              <w:spacing w:after="0"/>
              <w:rPr>
                <w:sz w:val="20"/>
                <w:szCs w:val="20"/>
                <w:color w:val="auto"/>
              </w:rPr>
            </w:pPr>
            <w:r>
              <w:rPr>
                <w:rFonts w:ascii="Arial" w:cs="Arial" w:eastAsia="Arial" w:hAnsi="Arial"/>
                <w:sz w:val="16"/>
                <w:szCs w:val="16"/>
                <w:color w:val="auto"/>
                <w:w w:val="89"/>
              </w:rPr>
              <w:t>$</w:t>
            </w:r>
          </w:p>
        </w:tc>
        <w:tc>
          <w:tcPr>
            <w:tcW w:w="1340" w:type="dxa"/>
            <w:vAlign w:val="bottom"/>
            <w:gridSpan w:val="3"/>
          </w:tcPr>
          <w:p>
            <w:pPr>
              <w:jc w:val="right"/>
              <w:ind w:right="40"/>
              <w:spacing w:after="0"/>
              <w:rPr>
                <w:sz w:val="20"/>
                <w:szCs w:val="20"/>
                <w:color w:val="auto"/>
              </w:rPr>
            </w:pPr>
            <w:r>
              <w:rPr>
                <w:rFonts w:ascii="Arial" w:cs="Arial" w:eastAsia="Arial" w:hAnsi="Arial"/>
                <w:sz w:val="16"/>
                <w:szCs w:val="16"/>
                <w:color w:val="auto"/>
              </w:rPr>
              <w:t>1,131,243,747</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420" w:type="dxa"/>
            <w:vAlign w:val="bottom"/>
            <w:gridSpan w:val="2"/>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77,645,830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jc w:val="center"/>
              <w:ind w:right="220"/>
              <w:spacing w:after="0"/>
              <w:rPr>
                <w:sz w:val="20"/>
                <w:szCs w:val="20"/>
                <w:color w:val="auto"/>
              </w:rPr>
            </w:pPr>
            <w:r>
              <w:rPr>
                <w:rFonts w:ascii="Arial" w:cs="Arial" w:eastAsia="Arial" w:hAnsi="Arial"/>
                <w:sz w:val="16"/>
                <w:szCs w:val="16"/>
                <w:color w:val="auto"/>
                <w:w w:val="91"/>
              </w:rPr>
              <w:t>Market Comparable</w:t>
            </w:r>
          </w:p>
        </w:tc>
        <w:tc>
          <w:tcPr>
            <w:tcW w:w="2400" w:type="dxa"/>
            <w:vAlign w:val="bottom"/>
            <w:gridSpan w:val="4"/>
            <w:shd w:val="clear" w:color="auto" w:fill="CCEEFF"/>
          </w:tcPr>
          <w:p>
            <w:pPr>
              <w:jc w:val="center"/>
              <w:ind w:right="200"/>
              <w:spacing w:after="0"/>
              <w:rPr>
                <w:sz w:val="20"/>
                <w:szCs w:val="20"/>
                <w:color w:val="auto"/>
              </w:rPr>
            </w:pPr>
            <w:r>
              <w:rPr>
                <w:rFonts w:ascii="Arial" w:cs="Arial" w:eastAsia="Arial" w:hAnsi="Arial"/>
                <w:sz w:val="16"/>
                <w:szCs w:val="16"/>
                <w:color w:val="auto"/>
                <w:w w:val="94"/>
              </w:rPr>
              <w:t>Market Yield</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5.5%</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24"/>
                <w:szCs w:val="24"/>
                <w:color w:val="auto"/>
              </w:rPr>
            </w:pPr>
          </w:p>
        </w:tc>
        <w:tc>
          <w:tcPr>
            <w:tcW w:w="1640" w:type="dxa"/>
            <w:vAlign w:val="bottom"/>
            <w:gridSpan w:val="5"/>
          </w:tcPr>
          <w:p>
            <w:pPr>
              <w:ind w:left="200"/>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24"/>
                <w:szCs w:val="24"/>
                <w:color w:val="auto"/>
              </w:rPr>
            </w:pPr>
          </w:p>
        </w:tc>
        <w:tc>
          <w:tcPr>
            <w:tcW w:w="2060" w:type="dxa"/>
            <w:vAlign w:val="bottom"/>
            <w:gridSpan w:val="4"/>
            <w:vMerge w:val="restart"/>
          </w:tcPr>
          <w:p>
            <w:pPr>
              <w:jc w:val="center"/>
              <w:ind w:right="580"/>
              <w:spacing w:after="0"/>
              <w:rPr>
                <w:sz w:val="20"/>
                <w:szCs w:val="20"/>
                <w:color w:val="auto"/>
              </w:rPr>
            </w:pPr>
            <w:r>
              <w:rPr>
                <w:rFonts w:ascii="Arial" w:cs="Arial" w:eastAsia="Arial" w:hAnsi="Arial"/>
                <w:sz w:val="14"/>
                <w:szCs w:val="14"/>
                <w:b w:val="1"/>
                <w:bCs w:val="1"/>
                <w:color w:val="auto"/>
                <w:w w:val="90"/>
              </w:rPr>
              <w:t>Valuation Technique</w:t>
            </w:r>
          </w:p>
        </w:tc>
        <w:tc>
          <w:tcPr>
            <w:tcW w:w="240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3"/>
              </w:rPr>
              <w:t>Unobservable Input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0"/>
        </w:trPr>
        <w:tc>
          <w:tcPr>
            <w:tcW w:w="2940" w:type="dxa"/>
            <w:vAlign w:val="bottom"/>
            <w:gridSpan w:val="2"/>
            <w:vMerge w:val="continue"/>
          </w:tcPr>
          <w:p>
            <w:pPr>
              <w:spacing w:after="0"/>
              <w:rPr>
                <w:sz w:val="14"/>
                <w:szCs w:val="14"/>
                <w:color w:val="auto"/>
              </w:rPr>
            </w:pPr>
          </w:p>
        </w:tc>
        <w:tc>
          <w:tcPr>
            <w:tcW w:w="1860" w:type="dxa"/>
            <w:vAlign w:val="bottom"/>
            <w:gridSpan w:val="6"/>
          </w:tcPr>
          <w:p>
            <w:pPr>
              <w:ind w:left="200"/>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2400" w:type="dxa"/>
            <w:vAlign w:val="bottom"/>
            <w:gridSpan w:val="4"/>
            <w:vMerge w:val="continue"/>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(Weighted Average)</w:t>
            </w:r>
          </w:p>
        </w:tc>
        <w:tc>
          <w:tcPr>
            <w:tcW w:w="0" w:type="dxa"/>
            <w:vAlign w:val="bottom"/>
          </w:tcPr>
          <w:p>
            <w:pPr>
              <w:spacing w:after="0"/>
              <w:rPr>
                <w:sz w:val="1"/>
                <w:szCs w:val="1"/>
                <w:color w:val="auto"/>
              </w:rPr>
            </w:pPr>
          </w:p>
        </w:tc>
      </w:tr>
      <w:tr>
        <w:trPr>
          <w:trHeight w:val="194"/>
        </w:trPr>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14,820,000</w:t>
            </w: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ind w:right="141"/>
              <w:spacing w:after="0"/>
              <w:rPr>
                <w:sz w:val="20"/>
                <w:szCs w:val="20"/>
                <w:color w:val="auto"/>
              </w:rPr>
            </w:pPr>
            <w:r>
              <w:rPr>
                <w:rFonts w:ascii="Arial" w:cs="Arial" w:eastAsia="Arial" w:hAnsi="Arial"/>
                <w:sz w:val="16"/>
                <w:szCs w:val="16"/>
                <w:color w:val="auto"/>
                <w:w w:val="91"/>
              </w:rPr>
              <w:t>Market Comparable</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91"/>
              </w:rPr>
              <w:t>Broker/Dealer bids or quotes</w:t>
            </w:r>
          </w:p>
        </w:tc>
        <w:tc>
          <w:tcPr>
            <w:tcW w:w="20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1"/>
        </w:trPr>
        <w:tc>
          <w:tcPr>
            <w:tcW w:w="294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96,885,313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4"/>
          </w:tcPr>
          <w:p>
            <w:pPr>
              <w:jc w:val="center"/>
              <w:ind w:right="580"/>
              <w:spacing w:after="0"/>
              <w:rPr>
                <w:sz w:val="20"/>
                <w:szCs w:val="20"/>
                <w:color w:val="auto"/>
              </w:rPr>
            </w:pPr>
            <w:r>
              <w:rPr>
                <w:rFonts w:ascii="Arial" w:cs="Arial" w:eastAsia="Arial" w:hAnsi="Arial"/>
                <w:sz w:val="16"/>
                <w:szCs w:val="16"/>
                <w:color w:val="auto"/>
                <w:w w:val="91"/>
              </w:rPr>
              <w:t>Market Comparable</w:t>
            </w:r>
          </w:p>
        </w:tc>
        <w:tc>
          <w:tcPr>
            <w:tcW w:w="2400" w:type="dxa"/>
            <w:vAlign w:val="bottom"/>
            <w:gridSpan w:val="4"/>
          </w:tcPr>
          <w:p>
            <w:pPr>
              <w:jc w:val="center"/>
              <w:ind w:right="420"/>
              <w:spacing w:after="0"/>
              <w:rPr>
                <w:sz w:val="20"/>
                <w:szCs w:val="20"/>
                <w:color w:val="auto"/>
              </w:rPr>
            </w:pPr>
            <w:r>
              <w:rPr>
                <w:rFonts w:ascii="Arial" w:cs="Arial" w:eastAsia="Arial" w:hAnsi="Arial"/>
                <w:sz w:val="16"/>
                <w:szCs w:val="16"/>
                <w:color w:val="auto"/>
                <w:w w:val="91"/>
              </w:rPr>
              <w:t>Broker/Dealer bids or quotes</w:t>
            </w:r>
          </w:p>
        </w:tc>
        <w:tc>
          <w:tcPr>
            <w:tcW w:w="14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91"/>
        </w:trPr>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451,256,352</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60" w:type="dxa"/>
            <w:vAlign w:val="bottom"/>
            <w:gridSpan w:val="4"/>
            <w:shd w:val="clear" w:color="auto" w:fill="CCEEFF"/>
          </w:tcPr>
          <w:p>
            <w:pPr>
              <w:jc w:val="center"/>
              <w:ind w:right="580"/>
              <w:spacing w:after="0"/>
              <w:rPr>
                <w:sz w:val="20"/>
                <w:szCs w:val="20"/>
                <w:color w:val="auto"/>
              </w:rPr>
            </w:pPr>
            <w:r>
              <w:rPr>
                <w:rFonts w:ascii="Arial" w:cs="Arial" w:eastAsia="Arial" w:hAnsi="Arial"/>
                <w:sz w:val="16"/>
                <w:szCs w:val="16"/>
                <w:color w:val="auto"/>
                <w:w w:val="91"/>
              </w:rPr>
              <w:t>Market Comparable</w:t>
            </w:r>
          </w:p>
        </w:tc>
        <w:tc>
          <w:tcPr>
            <w:tcW w:w="2400" w:type="dxa"/>
            <w:vAlign w:val="bottom"/>
            <w:gridSpan w:val="4"/>
            <w:shd w:val="clear" w:color="auto" w:fill="CCEEFF"/>
          </w:tcPr>
          <w:p>
            <w:pPr>
              <w:jc w:val="center"/>
              <w:ind w:right="400"/>
              <w:spacing w:after="0"/>
              <w:rPr>
                <w:sz w:val="20"/>
                <w:szCs w:val="20"/>
                <w:color w:val="auto"/>
              </w:rPr>
            </w:pPr>
            <w:r>
              <w:rPr>
                <w:rFonts w:ascii="Arial" w:cs="Arial" w:eastAsia="Arial" w:hAnsi="Arial"/>
                <w:sz w:val="16"/>
                <w:szCs w:val="16"/>
                <w:color w:val="auto"/>
                <w:w w:val="94"/>
              </w:rPr>
              <w:t>Market Yield</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8.1% – 14.0%</w:t>
            </w:r>
          </w:p>
        </w:tc>
        <w:tc>
          <w:tcPr>
            <w:tcW w:w="0" w:type="dxa"/>
            <w:vAlign w:val="bottom"/>
          </w:tcPr>
          <w:p>
            <w:pPr>
              <w:spacing w:after="0"/>
              <w:rPr>
                <w:sz w:val="1"/>
                <w:szCs w:val="1"/>
                <w:color w:val="auto"/>
              </w:rPr>
            </w:pPr>
          </w:p>
        </w:tc>
      </w:tr>
      <w:tr>
        <w:trPr>
          <w:trHeight w:val="211"/>
        </w:trPr>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(11.0%)</w:t>
            </w:r>
          </w:p>
        </w:tc>
        <w:tc>
          <w:tcPr>
            <w:tcW w:w="0" w:type="dxa"/>
            <w:vAlign w:val="bottom"/>
          </w:tcPr>
          <w:p>
            <w:pPr>
              <w:spacing w:after="0"/>
              <w:rPr>
                <w:sz w:val="1"/>
                <w:szCs w:val="1"/>
                <w:color w:val="auto"/>
              </w:rPr>
            </w:pPr>
          </w:p>
        </w:tc>
      </w:tr>
      <w:tr>
        <w:trPr>
          <w:trHeight w:val="191"/>
        </w:trPr>
        <w:tc>
          <w:tcPr>
            <w:tcW w:w="294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302,659,070</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center"/>
              <w:ind w:right="580"/>
              <w:spacing w:after="0"/>
              <w:rPr>
                <w:sz w:val="20"/>
                <w:szCs w:val="20"/>
                <w:color w:val="auto"/>
              </w:rPr>
            </w:pPr>
            <w:r>
              <w:rPr>
                <w:rFonts w:ascii="Arial" w:cs="Arial" w:eastAsia="Arial" w:hAnsi="Arial"/>
                <w:sz w:val="16"/>
                <w:szCs w:val="16"/>
                <w:color w:val="auto"/>
                <w:w w:val="91"/>
              </w:rPr>
              <w:t>Market Comparable</w:t>
            </w:r>
          </w:p>
        </w:tc>
        <w:tc>
          <w:tcPr>
            <w:tcW w:w="2400" w:type="dxa"/>
            <w:vAlign w:val="bottom"/>
            <w:gridSpan w:val="4"/>
          </w:tcPr>
          <w:p>
            <w:pPr>
              <w:jc w:val="center"/>
              <w:ind w:right="400"/>
              <w:spacing w:after="0"/>
              <w:rPr>
                <w:sz w:val="20"/>
                <w:szCs w:val="20"/>
                <w:color w:val="auto"/>
              </w:rPr>
            </w:pPr>
            <w:r>
              <w:rPr>
                <w:rFonts w:ascii="Arial" w:cs="Arial" w:eastAsia="Arial" w:hAnsi="Arial"/>
                <w:sz w:val="16"/>
                <w:szCs w:val="16"/>
                <w:color w:val="auto"/>
                <w:w w:val="94"/>
              </w:rPr>
              <w:t>Market Yield</w:t>
            </w:r>
          </w:p>
        </w:tc>
        <w:tc>
          <w:tcPr>
            <w:tcW w:w="1440" w:type="dxa"/>
            <w:vAlign w:val="bottom"/>
          </w:tcPr>
          <w:p>
            <w:pPr>
              <w:jc w:val="center"/>
              <w:spacing w:after="0"/>
              <w:rPr>
                <w:sz w:val="20"/>
                <w:szCs w:val="20"/>
                <w:color w:val="auto"/>
              </w:rPr>
            </w:pPr>
            <w:r>
              <w:rPr>
                <w:rFonts w:ascii="Arial" w:cs="Arial" w:eastAsia="Arial" w:hAnsi="Arial"/>
                <w:sz w:val="16"/>
                <w:szCs w:val="16"/>
                <w:color w:val="auto"/>
                <w:w w:val="90"/>
              </w:rPr>
              <w:t>9.6% – 14.6%</w:t>
            </w:r>
          </w:p>
        </w:tc>
        <w:tc>
          <w:tcPr>
            <w:tcW w:w="0" w:type="dxa"/>
            <w:vAlign w:val="bottom"/>
          </w:tcPr>
          <w:p>
            <w:pPr>
              <w:spacing w:after="0"/>
              <w:rPr>
                <w:sz w:val="1"/>
                <w:szCs w:val="1"/>
                <w:color w:val="auto"/>
              </w:rPr>
            </w:pPr>
          </w:p>
        </w:tc>
      </w:tr>
      <w:tr>
        <w:trPr>
          <w:trHeight w:val="205"/>
        </w:trPr>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(12.2%)</w:t>
            </w:r>
          </w:p>
        </w:tc>
        <w:tc>
          <w:tcPr>
            <w:tcW w:w="0" w:type="dxa"/>
            <w:vAlign w:val="bottom"/>
          </w:tcPr>
          <w:p>
            <w:pPr>
              <w:spacing w:after="0"/>
              <w:rPr>
                <w:sz w:val="1"/>
                <w:szCs w:val="1"/>
                <w:color w:val="auto"/>
              </w:rPr>
            </w:pPr>
          </w:p>
        </w:tc>
      </w:tr>
      <w:tr>
        <w:trPr>
          <w:trHeight w:val="196"/>
        </w:trPr>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120,707,763</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jc w:val="center"/>
              <w:ind w:right="580"/>
              <w:spacing w:after="0"/>
              <w:rPr>
                <w:sz w:val="20"/>
                <w:szCs w:val="20"/>
                <w:color w:val="auto"/>
              </w:rPr>
            </w:pPr>
            <w:r>
              <w:rPr>
                <w:rFonts w:ascii="Arial" w:cs="Arial" w:eastAsia="Arial" w:hAnsi="Arial"/>
                <w:sz w:val="16"/>
                <w:szCs w:val="16"/>
                <w:color w:val="auto"/>
                <w:w w:val="91"/>
              </w:rPr>
              <w:t>Market Comparable</w:t>
            </w:r>
          </w:p>
        </w:tc>
        <w:tc>
          <w:tcPr>
            <w:tcW w:w="2400" w:type="dxa"/>
            <w:vAlign w:val="bottom"/>
            <w:gridSpan w:val="4"/>
            <w:shd w:val="clear" w:color="auto" w:fill="CCEEFF"/>
          </w:tcPr>
          <w:p>
            <w:pPr>
              <w:jc w:val="center"/>
              <w:ind w:right="400"/>
              <w:spacing w:after="0"/>
              <w:rPr>
                <w:sz w:val="20"/>
                <w:szCs w:val="20"/>
                <w:color w:val="auto"/>
              </w:rPr>
            </w:pPr>
            <w:r>
              <w:rPr>
                <w:rFonts w:ascii="Arial" w:cs="Arial" w:eastAsia="Arial" w:hAnsi="Arial"/>
                <w:sz w:val="16"/>
                <w:szCs w:val="16"/>
                <w:color w:val="auto"/>
                <w:w w:val="94"/>
              </w:rPr>
              <w:t>Market Yield</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11.6% – 20.5%</w:t>
            </w:r>
          </w:p>
        </w:tc>
        <w:tc>
          <w:tcPr>
            <w:tcW w:w="0" w:type="dxa"/>
            <w:vAlign w:val="bottom"/>
          </w:tcPr>
          <w:p>
            <w:pPr>
              <w:spacing w:after="0"/>
              <w:rPr>
                <w:sz w:val="1"/>
                <w:szCs w:val="1"/>
                <w:color w:val="auto"/>
              </w:rPr>
            </w:pPr>
          </w:p>
        </w:tc>
      </w:tr>
      <w:tr>
        <w:trPr>
          <w:trHeight w:val="211"/>
        </w:trPr>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(14.3%)</w:t>
            </w:r>
          </w:p>
        </w:tc>
        <w:tc>
          <w:tcPr>
            <w:tcW w:w="0" w:type="dxa"/>
            <w:vAlign w:val="bottom"/>
          </w:tcPr>
          <w:p>
            <w:pPr>
              <w:spacing w:after="0"/>
              <w:rPr>
                <w:sz w:val="1"/>
                <w:szCs w:val="1"/>
                <w:color w:val="auto"/>
              </w:rPr>
            </w:pPr>
          </w:p>
        </w:tc>
      </w:tr>
      <w:tr>
        <w:trPr>
          <w:trHeight w:val="191"/>
        </w:trPr>
        <w:tc>
          <w:tcPr>
            <w:tcW w:w="294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166,268,568</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6"/>
                <w:szCs w:val="16"/>
                <w:color w:val="auto"/>
                <w:w w:val="90"/>
              </w:rPr>
              <w:t>Enterprise Market Value</w:t>
            </w:r>
          </w:p>
        </w:tc>
        <w:tc>
          <w:tcPr>
            <w:tcW w:w="2400" w:type="dxa"/>
            <w:vAlign w:val="bottom"/>
            <w:gridSpan w:val="4"/>
          </w:tcPr>
          <w:p>
            <w:pPr>
              <w:jc w:val="center"/>
              <w:ind w:right="400"/>
              <w:spacing w:after="0"/>
              <w:rPr>
                <w:sz w:val="20"/>
                <w:szCs w:val="20"/>
                <w:color w:val="auto"/>
              </w:rPr>
            </w:pPr>
            <w:r>
              <w:rPr>
                <w:rFonts w:ascii="Arial" w:cs="Arial" w:eastAsia="Arial" w:hAnsi="Arial"/>
                <w:sz w:val="16"/>
                <w:szCs w:val="16"/>
                <w:color w:val="auto"/>
                <w:w w:val="98"/>
              </w:rPr>
              <w:t>EBITDA multiple</w:t>
            </w:r>
          </w:p>
        </w:tc>
        <w:tc>
          <w:tcPr>
            <w:tcW w:w="1440" w:type="dxa"/>
            <w:vAlign w:val="bottom"/>
          </w:tcPr>
          <w:p>
            <w:pPr>
              <w:jc w:val="center"/>
              <w:spacing w:after="0"/>
              <w:rPr>
                <w:sz w:val="20"/>
                <w:szCs w:val="20"/>
                <w:color w:val="auto"/>
              </w:rPr>
            </w:pPr>
            <w:r>
              <w:rPr>
                <w:rFonts w:ascii="Arial" w:cs="Arial" w:eastAsia="Arial" w:hAnsi="Arial"/>
                <w:sz w:val="16"/>
                <w:szCs w:val="16"/>
                <w:color w:val="auto"/>
                <w:w w:val="94"/>
              </w:rPr>
              <w:t>4.8x – 15.8x</w:t>
            </w:r>
          </w:p>
        </w:tc>
        <w:tc>
          <w:tcPr>
            <w:tcW w:w="0" w:type="dxa"/>
            <w:vAlign w:val="bottom"/>
          </w:tcPr>
          <w:p>
            <w:pPr>
              <w:spacing w:after="0"/>
              <w:rPr>
                <w:sz w:val="1"/>
                <w:szCs w:val="1"/>
                <w:color w:val="auto"/>
              </w:rPr>
            </w:pPr>
          </w:p>
        </w:tc>
      </w:tr>
      <w:tr>
        <w:trPr>
          <w:trHeight w:val="217"/>
        </w:trPr>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(8.2x)</w:t>
            </w:r>
          </w:p>
        </w:tc>
        <w:tc>
          <w:tcPr>
            <w:tcW w:w="0" w:type="dxa"/>
            <w:vAlign w:val="bottom"/>
          </w:tcPr>
          <w:p>
            <w:pPr>
              <w:spacing w:after="0"/>
              <w:rPr>
                <w:sz w:val="1"/>
                <w:szCs w:val="1"/>
                <w:color w:val="auto"/>
              </w:rPr>
            </w:pPr>
          </w:p>
        </w:tc>
      </w:tr>
      <w:tr>
        <w:trPr>
          <w:trHeight w:val="201"/>
        </w:trPr>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 Level 3 investments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1,152,597,066</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4"/>
            <w:vMerge w:val="restart"/>
          </w:tcPr>
          <w:p>
            <w:pPr>
              <w:jc w:val="center"/>
              <w:ind w:right="580"/>
              <w:spacing w:after="0"/>
              <w:rPr>
                <w:sz w:val="20"/>
                <w:szCs w:val="20"/>
                <w:color w:val="auto"/>
              </w:rPr>
            </w:pPr>
            <w:r>
              <w:rPr>
                <w:rFonts w:ascii="Arial" w:cs="Arial" w:eastAsia="Arial" w:hAnsi="Arial"/>
                <w:sz w:val="16"/>
                <w:szCs w:val="16"/>
                <w:color w:val="auto"/>
                <w:w w:val="91"/>
              </w:rPr>
              <w:t>Market Comparable</w:t>
            </w:r>
          </w:p>
        </w:tc>
        <w:tc>
          <w:tcPr>
            <w:tcW w:w="2400" w:type="dxa"/>
            <w:vAlign w:val="bottom"/>
            <w:gridSpan w:val="4"/>
            <w:vMerge w:val="restart"/>
          </w:tcPr>
          <w:p>
            <w:pPr>
              <w:jc w:val="center"/>
              <w:ind w:right="400"/>
              <w:spacing w:after="0"/>
              <w:rPr>
                <w:sz w:val="20"/>
                <w:szCs w:val="20"/>
                <w:color w:val="auto"/>
              </w:rPr>
            </w:pPr>
            <w:r>
              <w:rPr>
                <w:rFonts w:ascii="Arial" w:cs="Arial" w:eastAsia="Arial" w:hAnsi="Arial"/>
                <w:sz w:val="16"/>
                <w:szCs w:val="16"/>
                <w:color w:val="auto"/>
                <w:w w:val="94"/>
              </w:rPr>
              <w:t>Market Yield</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3"/>
              </w:rPr>
              <w:t>4.3%</w:t>
            </w:r>
          </w:p>
        </w:tc>
        <w:tc>
          <w:tcPr>
            <w:tcW w:w="0" w:type="dxa"/>
            <w:vAlign w:val="bottom"/>
          </w:tcPr>
          <w:p>
            <w:pPr>
              <w:spacing w:after="0" w:line="20" w:lineRule="exact"/>
              <w:rPr>
                <w:sz w:val="1"/>
                <w:szCs w:val="1"/>
                <w:color w:val="auto"/>
              </w:rPr>
            </w:pPr>
          </w:p>
        </w:tc>
      </w:tr>
      <w:tr>
        <w:trPr>
          <w:trHeight w:val="192"/>
        </w:trPr>
        <w:tc>
          <w:tcPr>
            <w:tcW w:w="294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76,037,341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2240" w:h="15840" w:orient="portrait"/>
          <w:cols w:equalWidth="0" w:num="1">
            <w:col w:w="11060"/>
          </w:cols>
          <w:pgMar w:left="520" w:top="317" w:right="660"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140" w:right="280" w:firstLine="437"/>
        <w:spacing w:after="0" w:line="271" w:lineRule="auto"/>
        <w:rPr>
          <w:sz w:val="20"/>
          <w:szCs w:val="20"/>
          <w:color w:val="auto"/>
        </w:rPr>
      </w:pPr>
      <w:r>
        <w:rPr>
          <w:rFonts w:ascii="Arial" w:cs="Arial" w:eastAsia="Arial" w:hAnsi="Arial"/>
          <w:sz w:val="18"/>
          <w:szCs w:val="18"/>
          <w:color w:val="auto"/>
        </w:rPr>
        <w:t>Our investments, cash and cash equivalents, Credit Facility and the 2019 Notes were categorized as follows in the fair value hierarchy for ASC 820 purposes:</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88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Fair Value at September 30, 2018</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00" w:type="dxa"/>
            <w:vAlign w:val="bottom"/>
            <w:tcBorders>
              <w:bottom w:val="single" w:sz="8" w:color="auto"/>
            </w:tcBorders>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ind w:left="220"/>
              <w:spacing w:after="0" w:line="127"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1280" w:type="dxa"/>
            <w:vAlign w:val="bottom"/>
            <w:gridSpan w:val="2"/>
          </w:tcPr>
          <w:p>
            <w:pPr>
              <w:jc w:val="right"/>
              <w:ind w:right="640"/>
              <w:spacing w:after="0" w:line="127"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ind w:left="240"/>
              <w:spacing w:after="0" w:line="127"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jc w:val="right"/>
              <w:ind w:right="553"/>
              <w:spacing w:after="0" w:line="127"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5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Debt investments</w:t>
            </w: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970,587,703</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1"/>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ind w:left="980"/>
              <w:spacing w:after="0" w:line="201"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970,587,703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161,497,771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841,727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160,656,044</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1,132,085,474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1,131,243,747</w:t>
            </w:r>
          </w:p>
        </w:tc>
        <w:tc>
          <w:tcPr>
            <w:tcW w:w="0" w:type="dxa"/>
            <w:vAlign w:val="bottom"/>
          </w:tcPr>
          <w:p>
            <w:pPr>
              <w:spacing w:after="0"/>
              <w:rPr>
                <w:sz w:val="1"/>
                <w:szCs w:val="1"/>
                <w:color w:val="auto"/>
              </w:rPr>
            </w:pPr>
          </w:p>
        </w:tc>
      </w:tr>
      <w:tr>
        <w:trPr>
          <w:trHeight w:val="228"/>
        </w:trPr>
        <w:tc>
          <w:tcPr>
            <w:tcW w:w="3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CEEFF"/>
          </w:tcPr>
          <w:p>
            <w:pPr>
              <w:ind w:left="360"/>
              <w:spacing w:after="0" w:line="200" w:lineRule="exact"/>
              <w:rPr>
                <w:sz w:val="20"/>
                <w:szCs w:val="20"/>
                <w:color w:val="auto"/>
              </w:rPr>
            </w:pPr>
            <w:r>
              <w:rPr>
                <w:rFonts w:ascii="Arial" w:cs="Arial" w:eastAsia="Arial" w:hAnsi="Arial"/>
                <w:sz w:val="18"/>
                <w:szCs w:val="18"/>
                <w:color w:val="auto"/>
              </w:rPr>
              <w:t>Total investments and cash and cash</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1,151,591,628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20,347,881</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1,131,243,747</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gridSpan w:val="2"/>
            <w:vMerge w:val="continue"/>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77,645,830</w:t>
            </w:r>
          </w:p>
        </w:tc>
        <w:tc>
          <w:tcPr>
            <w:tcW w:w="26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7"/>
              </w:rPr>
              <w:t>251,322,500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580" w:type="dxa"/>
            <w:vAlign w:val="bottom"/>
            <w:gridSpan w:val="2"/>
          </w:tcPr>
          <w:p>
            <w:pPr>
              <w:ind w:left="36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328,968,330</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7"/>
              </w:rPr>
              <w:t>251,322,500</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880" w:type="dxa"/>
            <w:vAlign w:val="bottom"/>
            <w:vMerge w:val="restart"/>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Fair Value at September 30, 2017</w:t>
            </w: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00" w:type="dxa"/>
            <w:vAlign w:val="bottom"/>
            <w:tcBorders>
              <w:bottom w:val="single" w:sz="8" w:color="auto"/>
            </w:tcBorders>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ind w:left="220"/>
              <w:spacing w:after="0" w:line="127"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1280" w:type="dxa"/>
            <w:vAlign w:val="bottom"/>
            <w:gridSpan w:val="2"/>
          </w:tcPr>
          <w:p>
            <w:pPr>
              <w:jc w:val="right"/>
              <w:ind w:right="640"/>
              <w:spacing w:after="0" w:line="127"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ind w:left="240"/>
              <w:spacing w:after="0" w:line="127"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jc w:val="right"/>
              <w:ind w:right="553"/>
              <w:spacing w:after="0" w:line="127"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5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Debt investments</w:t>
            </w: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986,328,498</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1"/>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ind w:left="980"/>
              <w:spacing w:after="0" w:line="201"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986,328,498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167,249,010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980,442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166,268,568</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1,153,577,508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1,152,597,066</w:t>
            </w:r>
          </w:p>
        </w:tc>
        <w:tc>
          <w:tcPr>
            <w:tcW w:w="0" w:type="dxa"/>
            <w:vAlign w:val="bottom"/>
          </w:tcPr>
          <w:p>
            <w:pPr>
              <w:spacing w:after="0"/>
              <w:rPr>
                <w:sz w:val="1"/>
                <w:szCs w:val="1"/>
                <w:color w:val="auto"/>
              </w:rPr>
            </w:pPr>
          </w:p>
        </w:tc>
      </w:tr>
      <w:tr>
        <w:trPr>
          <w:trHeight w:val="228"/>
        </w:trPr>
        <w:tc>
          <w:tcPr>
            <w:tcW w:w="3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CEEFF"/>
          </w:tcPr>
          <w:p>
            <w:pPr>
              <w:ind w:left="360"/>
              <w:spacing w:after="0" w:line="200" w:lineRule="exact"/>
              <w:rPr>
                <w:sz w:val="20"/>
                <w:szCs w:val="20"/>
                <w:color w:val="auto"/>
              </w:rPr>
            </w:pPr>
            <w:r>
              <w:rPr>
                <w:rFonts w:ascii="Arial" w:cs="Arial" w:eastAsia="Arial" w:hAnsi="Arial"/>
                <w:sz w:val="18"/>
                <w:szCs w:val="18"/>
                <w:color w:val="auto"/>
              </w:rPr>
              <w:t>Total investments and cash and cash</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1,191,779,576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39,182,510</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1,152,597,066</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gridSpan w:val="2"/>
            <w:vMerge w:val="continue"/>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76,037,341</w:t>
            </w:r>
          </w:p>
        </w:tc>
        <w:tc>
          <w:tcPr>
            <w:tcW w:w="26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76,037,341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255,665,000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7"/>
              </w:rPr>
              <w:t>255,665,000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580" w:type="dxa"/>
            <w:vAlign w:val="bottom"/>
            <w:gridSpan w:val="2"/>
          </w:tcPr>
          <w:p>
            <w:pPr>
              <w:ind w:left="36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331,702,341</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7"/>
              </w:rPr>
              <w:t>255,665,000</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76,037,341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3"/>
          </w:tcPr>
          <w:p>
            <w:pPr>
              <w:jc w:val="right"/>
              <w:ind w:right="151"/>
              <w:spacing w:after="0"/>
              <w:rPr>
                <w:sz w:val="20"/>
                <w:szCs w:val="20"/>
                <w:color w:val="auto"/>
              </w:rPr>
            </w:pPr>
            <w:r>
              <w:rPr>
                <w:rFonts w:ascii="Arial" w:cs="Arial" w:eastAsia="Arial" w:hAnsi="Arial"/>
                <w:sz w:val="18"/>
                <w:szCs w:val="18"/>
                <w:color w:val="auto"/>
              </w:rPr>
              <w:t>F-61</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060"/>
          </w:cols>
          <w:pgMar w:left="520" w:top="316" w:right="660"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720" w:right="250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140" w:firstLine="437"/>
        <w:spacing w:after="0" w:line="271"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93" w:lineRule="exact"/>
        <w:rPr>
          <w:sz w:val="20"/>
          <w:szCs w:val="20"/>
          <w:color w:val="auto"/>
        </w:rPr>
      </w:pPr>
    </w:p>
    <w:tbl>
      <w:tblPr>
        <w:tblLayout w:type="fixed"/>
        <w:tblInd w:w="10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9"/>
          </w:tcPr>
          <w:p>
            <w:pPr>
              <w:jc w:val="right"/>
              <w:ind w:right="48"/>
              <w:spacing w:after="0"/>
              <w:rPr>
                <w:sz w:val="20"/>
                <w:szCs w:val="20"/>
                <w:color w:val="auto"/>
              </w:rPr>
            </w:pPr>
            <w:r>
              <w:rPr>
                <w:rFonts w:ascii="Arial" w:cs="Arial" w:eastAsia="Arial" w:hAnsi="Arial"/>
                <w:sz w:val="14"/>
                <w:szCs w:val="14"/>
                <w:b w:val="1"/>
                <w:bCs w:val="1"/>
                <w:color w:val="auto"/>
                <w:w w:val="91"/>
              </w:rPr>
              <w:t>Year Ended September 30, 2018</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4"/>
          </w:tcPr>
          <w:p>
            <w:pPr>
              <w:jc w:val="right"/>
              <w:ind w:right="500"/>
              <w:spacing w:after="0" w:line="118" w:lineRule="exact"/>
              <w:rPr>
                <w:sz w:val="20"/>
                <w:szCs w:val="20"/>
                <w:color w:val="auto"/>
              </w:rPr>
            </w:pPr>
            <w:r>
              <w:rPr>
                <w:rFonts w:ascii="Arial" w:cs="Arial" w:eastAsia="Arial" w:hAnsi="Arial"/>
                <w:sz w:val="13"/>
                <w:szCs w:val="13"/>
                <w:b w:val="1"/>
                <w:bCs w:val="1"/>
                <w:color w:val="auto"/>
              </w:rPr>
              <w:t>Debt</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tcPr>
          <w:p>
            <w:pPr>
              <w:jc w:val="right"/>
              <w:ind w:right="740"/>
              <w:spacing w:after="0" w:line="118"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6"/>
        </w:trPr>
        <w:tc>
          <w:tcPr>
            <w:tcW w:w="42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jc w:val="right"/>
              <w:ind w:right="280"/>
              <w:spacing w:after="0" w:line="157" w:lineRule="exact"/>
              <w:rPr>
                <w:sz w:val="20"/>
                <w:szCs w:val="20"/>
                <w:color w:val="auto"/>
              </w:rPr>
            </w:pPr>
            <w:r>
              <w:rPr>
                <w:rFonts w:ascii="Arial" w:cs="Arial" w:eastAsia="Arial" w:hAnsi="Arial"/>
                <w:sz w:val="14"/>
                <w:szCs w:val="14"/>
                <w:b w:val="1"/>
                <w:bCs w:val="1"/>
                <w:color w:val="auto"/>
                <w:w w:val="97"/>
              </w:rPr>
              <w:t>investments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right"/>
              <w:ind w:right="600"/>
              <w:spacing w:after="0" w:line="157" w:lineRule="exact"/>
              <w:rPr>
                <w:sz w:val="20"/>
                <w:szCs w:val="20"/>
                <w:color w:val="auto"/>
              </w:rPr>
            </w:pPr>
            <w:r>
              <w:rPr>
                <w:rFonts w:ascii="Arial" w:cs="Arial" w:eastAsia="Arial" w:hAnsi="Arial"/>
                <w:sz w:val="14"/>
                <w:szCs w:val="14"/>
                <w:b w:val="1"/>
                <w:bCs w:val="1"/>
                <w:color w:val="auto"/>
                <w:w w:val="92"/>
              </w:rPr>
              <w:t>investments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w w:val="99"/>
              </w:rPr>
              <w:t>986,328,498</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w w:val="93"/>
              </w:rPr>
              <w:t>166,268,568</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1,152,597,066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ind w:left="320"/>
              <w:spacing w:after="0"/>
              <w:rPr>
                <w:sz w:val="20"/>
                <w:szCs w:val="20"/>
                <w:color w:val="auto"/>
              </w:rPr>
            </w:pPr>
            <w:r>
              <w:rPr>
                <w:rFonts w:ascii="Arial" w:cs="Arial" w:eastAsia="Arial" w:hAnsi="Arial"/>
                <w:sz w:val="18"/>
                <w:szCs w:val="18"/>
                <w:color w:val="auto"/>
              </w:rPr>
              <w:t>Net realized gains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2,847,904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43,250,660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46,098,564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unrealized depreciation</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(15,266,479)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7"/>
              </w:rPr>
              <w:t>(40,114,380)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(55,380,859)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60" w:type="dxa"/>
            <w:vAlign w:val="bottom"/>
            <w:gridSpan w:val="2"/>
          </w:tcPr>
          <w:p>
            <w:pPr>
              <w:ind w:left="320"/>
              <w:spacing w:after="0" w:line="200" w:lineRule="exact"/>
              <w:rPr>
                <w:sz w:val="20"/>
                <w:szCs w:val="20"/>
                <w:color w:val="auto"/>
              </w:rPr>
            </w:pPr>
            <w:r>
              <w:rPr>
                <w:rFonts w:ascii="Arial" w:cs="Arial" w:eastAsia="Arial" w:hAnsi="Arial"/>
                <w:sz w:val="18"/>
                <w:szCs w:val="18"/>
                <w:color w:val="auto"/>
                <w:w w:val="96"/>
              </w:rPr>
              <w:t>Purchases, PIK interest, net discount accretion and</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gridSpan w:val="2"/>
          </w:tcPr>
          <w:p>
            <w:pPr>
              <w:ind w:left="500"/>
              <w:spacing w:after="0"/>
              <w:rPr>
                <w:sz w:val="20"/>
                <w:szCs w:val="20"/>
                <w:color w:val="auto"/>
              </w:rPr>
            </w:pPr>
            <w:r>
              <w:rPr>
                <w:rFonts w:ascii="Arial" w:cs="Arial" w:eastAsia="Arial" w:hAnsi="Arial"/>
                <w:sz w:val="18"/>
                <w:szCs w:val="18"/>
                <w:color w:val="auto"/>
              </w:rPr>
              <w:t>non-cash exchanges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556,756,457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61,674,905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618,431,362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Sales, repayments and non-cash exchanges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4"/>
              </w:rPr>
              <w:t>(560,078,677)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7"/>
              </w:rPr>
              <w:t>(70,423,709)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(630,502,386)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60" w:type="dxa"/>
            <w:vAlign w:val="bottom"/>
            <w:gridSpan w:val="2"/>
          </w:tcPr>
          <w:p>
            <w:pPr>
              <w:ind w:left="320"/>
              <w:spacing w:after="0"/>
              <w:rPr>
                <w:sz w:val="20"/>
                <w:szCs w:val="20"/>
                <w:color w:val="auto"/>
              </w:rPr>
            </w:pPr>
            <w:r>
              <w:rPr>
                <w:rFonts w:ascii="Arial" w:cs="Arial" w:eastAsia="Arial" w:hAnsi="Arial"/>
                <w:sz w:val="18"/>
                <w:szCs w:val="18"/>
                <w:color w:val="auto"/>
              </w:rPr>
              <w:t>Transfers in/out of Level 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970,587,703</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160,656,044</w:t>
            </w:r>
          </w:p>
        </w:tc>
        <w:tc>
          <w:tcPr>
            <w:tcW w:w="4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1,131,243,747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Arial" w:cs="Arial" w:eastAsia="Arial" w:hAnsi="Arial"/>
                <w:sz w:val="18"/>
                <w:szCs w:val="18"/>
                <w:color w:val="auto"/>
                <w:w w:val="93"/>
              </w:rPr>
              <w:t>Net change in unrealized depreciation reported within the</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ind w:left="140"/>
              <w:spacing w:after="0"/>
              <w:rPr>
                <w:sz w:val="20"/>
                <w:szCs w:val="20"/>
                <w:color w:val="auto"/>
              </w:rPr>
            </w:pPr>
            <w:r>
              <w:rPr>
                <w:rFonts w:ascii="Arial" w:cs="Arial" w:eastAsia="Arial" w:hAnsi="Arial"/>
                <w:sz w:val="18"/>
                <w:szCs w:val="18"/>
                <w:color w:val="auto"/>
                <w:w w:val="93"/>
              </w:rPr>
              <w:t>net change in unrealized (depreciation) appreciation 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ind w:left="140"/>
              <w:spacing w:after="0"/>
              <w:rPr>
                <w:sz w:val="20"/>
                <w:szCs w:val="20"/>
                <w:color w:val="auto"/>
              </w:rPr>
            </w:pPr>
            <w:r>
              <w:rPr>
                <w:rFonts w:ascii="Arial" w:cs="Arial" w:eastAsia="Arial" w:hAnsi="Arial"/>
                <w:sz w:val="18"/>
                <w:szCs w:val="18"/>
                <w:color w:val="auto"/>
              </w:rPr>
              <w:t>investments in our Consolidated Statements of</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ind w:left="140"/>
              <w:spacing w:after="0"/>
              <w:rPr>
                <w:sz w:val="20"/>
                <w:szCs w:val="20"/>
                <w:color w:val="auto"/>
              </w:rPr>
            </w:pPr>
            <w:r>
              <w:rPr>
                <w:rFonts w:ascii="Arial" w:cs="Arial" w:eastAsia="Arial" w:hAnsi="Arial"/>
                <w:sz w:val="18"/>
                <w:szCs w:val="18"/>
                <w:color w:val="auto"/>
                <w:w w:val="92"/>
              </w:rPr>
              <w:t>Operations attributable to our Level 3 assets still held at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gridSpan w:val="2"/>
          </w:tcPr>
          <w:p>
            <w:pPr>
              <w:ind w:left="140"/>
              <w:spacing w:after="0"/>
              <w:rPr>
                <w:sz w:val="20"/>
                <w:szCs w:val="20"/>
                <w:color w:val="auto"/>
              </w:rPr>
            </w:pPr>
            <w:r>
              <w:rPr>
                <w:rFonts w:ascii="Arial" w:cs="Arial" w:eastAsia="Arial" w:hAnsi="Arial"/>
                <w:sz w:val="18"/>
                <w:szCs w:val="18"/>
                <w:color w:val="auto"/>
              </w:rPr>
              <w:t>the reporting date.</w:t>
            </w:r>
          </w:p>
        </w:tc>
        <w:tc>
          <w:tcPr>
            <w:tcW w:w="380" w:type="dxa"/>
            <w:vAlign w:val="bottom"/>
            <w:gridSpan w:val="3"/>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(5,468,175)</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w w:val="97"/>
              </w:rPr>
              <w:t>(10,447,877)</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(15,916,052)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w w:val="93"/>
              </w:rPr>
              <w:t>Year Ended September 30, 2017</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4"/>
          </w:tcPr>
          <w:p>
            <w:pPr>
              <w:jc w:val="right"/>
              <w:ind w:right="620"/>
              <w:spacing w:after="0" w:line="118" w:lineRule="exact"/>
              <w:rPr>
                <w:sz w:val="20"/>
                <w:szCs w:val="20"/>
                <w:color w:val="auto"/>
              </w:rPr>
            </w:pPr>
            <w:r>
              <w:rPr>
                <w:rFonts w:ascii="Arial" w:cs="Arial" w:eastAsia="Arial" w:hAnsi="Arial"/>
                <w:sz w:val="13"/>
                <w:szCs w:val="13"/>
                <w:b w:val="1"/>
                <w:bCs w:val="1"/>
                <w:color w:val="auto"/>
              </w:rPr>
              <w:t>Debt</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tcPr>
          <w:p>
            <w:pPr>
              <w:jc w:val="right"/>
              <w:ind w:right="820"/>
              <w:spacing w:after="0" w:line="118"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6"/>
        </w:trPr>
        <w:tc>
          <w:tcPr>
            <w:tcW w:w="42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5"/>
          </w:tcPr>
          <w:p>
            <w:pPr>
              <w:jc w:val="right"/>
              <w:ind w:right="420"/>
              <w:spacing w:after="0" w:line="157" w:lineRule="exact"/>
              <w:rPr>
                <w:sz w:val="20"/>
                <w:szCs w:val="20"/>
                <w:color w:val="auto"/>
              </w:rPr>
            </w:pPr>
            <w:r>
              <w:rPr>
                <w:rFonts w:ascii="Arial" w:cs="Arial" w:eastAsia="Arial" w:hAnsi="Arial"/>
                <w:sz w:val="14"/>
                <w:szCs w:val="14"/>
                <w:b w:val="1"/>
                <w:bCs w:val="1"/>
                <w:color w:val="auto"/>
                <w:w w:val="92"/>
              </w:rPr>
              <w:t>investments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right"/>
              <w:ind w:right="660"/>
              <w:spacing w:after="0" w:line="157" w:lineRule="exact"/>
              <w:rPr>
                <w:sz w:val="20"/>
                <w:szCs w:val="20"/>
                <w:color w:val="auto"/>
              </w:rPr>
            </w:pPr>
            <w:r>
              <w:rPr>
                <w:rFonts w:ascii="Arial" w:cs="Arial" w:eastAsia="Arial" w:hAnsi="Arial"/>
                <w:sz w:val="14"/>
                <w:szCs w:val="14"/>
                <w:b w:val="1"/>
                <w:bCs w:val="1"/>
                <w:color w:val="auto"/>
                <w:w w:val="85"/>
              </w:rPr>
              <w:t>investments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  1,000,146,681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125,633,017</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1,125,779,698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ind w:left="320"/>
              <w:spacing w:after="0"/>
              <w:rPr>
                <w:sz w:val="20"/>
                <w:szCs w:val="20"/>
                <w:color w:val="auto"/>
              </w:rPr>
            </w:pPr>
            <w:r>
              <w:rPr>
                <w:rFonts w:ascii="Arial" w:cs="Arial" w:eastAsia="Arial" w:hAnsi="Arial"/>
                <w:sz w:val="18"/>
                <w:szCs w:val="18"/>
                <w:color w:val="auto"/>
              </w:rPr>
              <w:t>Net realized losses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5"/>
              </w:rPr>
              <w:t>(43,066,781)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(10,910,451)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(53,977,232)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unrealized appreciation (depreciation)</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75,097,153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(6,862,504)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68,234,649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60" w:type="dxa"/>
            <w:vAlign w:val="bottom"/>
            <w:gridSpan w:val="2"/>
          </w:tcPr>
          <w:p>
            <w:pPr>
              <w:ind w:left="320"/>
              <w:spacing w:after="0" w:line="200" w:lineRule="exact"/>
              <w:rPr>
                <w:sz w:val="20"/>
                <w:szCs w:val="20"/>
                <w:color w:val="auto"/>
              </w:rPr>
            </w:pPr>
            <w:r>
              <w:rPr>
                <w:rFonts w:ascii="Arial" w:cs="Arial" w:eastAsia="Arial" w:hAnsi="Arial"/>
                <w:sz w:val="18"/>
                <w:szCs w:val="18"/>
                <w:color w:val="auto"/>
                <w:w w:val="96"/>
              </w:rPr>
              <w:t>Purchases, PIK interest, net discount accretion and</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gridSpan w:val="2"/>
          </w:tcPr>
          <w:p>
            <w:pPr>
              <w:ind w:left="500"/>
              <w:spacing w:after="0"/>
              <w:rPr>
                <w:sz w:val="20"/>
                <w:szCs w:val="20"/>
                <w:color w:val="auto"/>
              </w:rPr>
            </w:pPr>
            <w:r>
              <w:rPr>
                <w:rFonts w:ascii="Arial" w:cs="Arial" w:eastAsia="Arial" w:hAnsi="Arial"/>
                <w:sz w:val="18"/>
                <w:szCs w:val="18"/>
                <w:color w:val="auto"/>
              </w:rPr>
              <w:t>non-cash exchanges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509,394,726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93,811,871</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603,206,597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Sales, repayments and non-cash exchanges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(555,243,281)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(35,403,365)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(590,646,646)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60" w:type="dxa"/>
            <w:vAlign w:val="bottom"/>
            <w:gridSpan w:val="2"/>
          </w:tcPr>
          <w:p>
            <w:pPr>
              <w:ind w:left="320"/>
              <w:spacing w:after="0"/>
              <w:rPr>
                <w:sz w:val="20"/>
                <w:szCs w:val="20"/>
                <w:color w:val="auto"/>
              </w:rPr>
            </w:pPr>
            <w:r>
              <w:rPr>
                <w:rFonts w:ascii="Arial" w:cs="Arial" w:eastAsia="Arial" w:hAnsi="Arial"/>
                <w:sz w:val="18"/>
                <w:szCs w:val="18"/>
                <w:color w:val="auto"/>
              </w:rPr>
              <w:t>Transfers in/out of Level 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gridSpan w:val="3"/>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8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986,328,498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166,268,568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1,152,597,066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ind w:left="140"/>
              <w:spacing w:after="0"/>
              <w:rPr>
                <w:sz w:val="20"/>
                <w:szCs w:val="20"/>
                <w:color w:val="auto"/>
              </w:rPr>
            </w:pPr>
            <w:r>
              <w:rPr>
                <w:rFonts w:ascii="Arial" w:cs="Arial" w:eastAsia="Arial" w:hAnsi="Arial"/>
                <w:sz w:val="18"/>
                <w:szCs w:val="18"/>
                <w:color w:val="auto"/>
              </w:rPr>
              <w:t>reported within the net change in unrealized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ind w:left="140"/>
              <w:spacing w:after="0"/>
              <w:rPr>
                <w:sz w:val="20"/>
                <w:szCs w:val="20"/>
                <w:color w:val="auto"/>
              </w:rPr>
            </w:pPr>
            <w:r>
              <w:rPr>
                <w:rFonts w:ascii="Arial" w:cs="Arial" w:eastAsia="Arial" w:hAnsi="Arial"/>
                <w:sz w:val="18"/>
                <w:szCs w:val="18"/>
                <w:color w:val="auto"/>
              </w:rPr>
              <w:t>(depreciation) appreciation on investments in our</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ind w:left="140"/>
              <w:spacing w:after="0"/>
              <w:rPr>
                <w:sz w:val="20"/>
                <w:szCs w:val="20"/>
                <w:color w:val="auto"/>
              </w:rPr>
            </w:pPr>
            <w:r>
              <w:rPr>
                <w:rFonts w:ascii="Arial" w:cs="Arial" w:eastAsia="Arial" w:hAnsi="Arial"/>
                <w:sz w:val="18"/>
                <w:szCs w:val="18"/>
                <w:color w:val="auto"/>
                <w:w w:val="95"/>
              </w:rPr>
              <w:t>Consolidated Statements of Operations attributable to</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gridSpan w:val="2"/>
          </w:tcPr>
          <w:p>
            <w:pPr>
              <w:ind w:left="140"/>
              <w:spacing w:after="0"/>
              <w:rPr>
                <w:sz w:val="20"/>
                <w:szCs w:val="20"/>
                <w:color w:val="auto"/>
              </w:rPr>
            </w:pPr>
            <w:r>
              <w:rPr>
                <w:rFonts w:ascii="Arial" w:cs="Arial" w:eastAsia="Arial" w:hAnsi="Arial"/>
                <w:sz w:val="18"/>
                <w:szCs w:val="18"/>
                <w:color w:val="auto"/>
              </w:rPr>
              <w:t>our Level 3 assets still held at the reporting date.</w:t>
            </w:r>
          </w:p>
        </w:tc>
        <w:tc>
          <w:tcPr>
            <w:tcW w:w="380" w:type="dxa"/>
            <w:vAlign w:val="bottom"/>
            <w:gridSpan w:val="3"/>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40,461,680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(29,825,294)</w:t>
            </w:r>
          </w:p>
        </w:tc>
        <w:tc>
          <w:tcPr>
            <w:tcW w:w="400" w:type="dxa"/>
            <w:vAlign w:val="bottom"/>
          </w:tcPr>
          <w:p>
            <w:pPr>
              <w:spacing w:after="0"/>
              <w:rPr>
                <w:sz w:val="19"/>
                <w:szCs w:val="19"/>
                <w:color w:val="auto"/>
              </w:rPr>
            </w:pPr>
          </w:p>
        </w:tc>
        <w:tc>
          <w:tcPr>
            <w:tcW w:w="200" w:type="dxa"/>
            <w:vAlign w:val="bottom"/>
            <w:gridSpan w:val="3"/>
          </w:tcPr>
          <w:p>
            <w:pPr>
              <w:jc w:val="right"/>
              <w:ind w:right="28"/>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10,636,386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F-62</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980"/>
          </w:cols>
          <w:pgMar w:left="520" w:top="317" w:right="740"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140" w:right="280" w:firstLine="437"/>
        <w:spacing w:after="0" w:line="271"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4"/>
              </w:rPr>
              <w:t>Long-Term Credit Facility</w:t>
            </w:r>
          </w:p>
        </w:tc>
        <w:tc>
          <w:tcPr>
            <w:tcW w:w="55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7"/>
        </w:trPr>
        <w:tc>
          <w:tcPr>
            <w:tcW w:w="1620" w:type="dxa"/>
            <w:vAlign w:val="bottom"/>
            <w:tcBorders>
              <w:bottom w:val="single" w:sz="8" w:color="auto"/>
            </w:tcBorders>
            <w:vMerge w:val="continue"/>
          </w:tcPr>
          <w:p>
            <w:pPr>
              <w:spacing w:after="0"/>
              <w:rPr>
                <w:sz w:val="12"/>
                <w:szCs w:val="12"/>
                <w:color w:val="auto"/>
              </w:rPr>
            </w:pPr>
          </w:p>
        </w:tc>
        <w:tc>
          <w:tcPr>
            <w:tcW w:w="5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14"/>
              <w:spacing w:after="0" w:line="127"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93"/>
              <w:spacing w:after="0" w:line="127"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12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Beginning Balance (cost – $79,392,900 and $50,339,700, respectively)</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76,037,341</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39,551,187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Net change in unrealized appreciation included in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481,389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7,432,954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161,520,000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237,760,000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620"/>
              <w:spacing w:after="0"/>
              <w:rPr>
                <w:sz w:val="20"/>
                <w:szCs w:val="20"/>
                <w:color w:val="auto"/>
              </w:rPr>
            </w:pPr>
            <w:r>
              <w:rPr>
                <w:rFonts w:ascii="Arial" w:cs="Arial" w:eastAsia="Arial" w:hAnsi="Arial"/>
                <w:sz w:val="18"/>
                <w:szCs w:val="18"/>
                <w:color w:val="auto"/>
                <w:w w:val="89"/>
              </w:rPr>
              <w:t>(162,392,900)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(208,706,800)</w:t>
            </w:r>
          </w:p>
        </w:tc>
        <w:tc>
          <w:tcPr>
            <w:tcW w:w="0" w:type="dxa"/>
            <w:vAlign w:val="bottom"/>
          </w:tcPr>
          <w:p>
            <w:pPr>
              <w:spacing w:after="0"/>
              <w:rPr>
                <w:sz w:val="1"/>
                <w:szCs w:val="1"/>
                <w:color w:val="auto"/>
              </w:rPr>
            </w:pPr>
          </w:p>
        </w:tc>
      </w:tr>
      <w:tr>
        <w:trPr>
          <w:trHeight w:val="214"/>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120" w:type="dxa"/>
            <w:vAlign w:val="bottom"/>
            <w:gridSpan w:val="2"/>
          </w:tcPr>
          <w:p>
            <w:pPr>
              <w:spacing w:after="0"/>
              <w:rPr>
                <w:sz w:val="20"/>
                <w:szCs w:val="20"/>
                <w:color w:val="auto"/>
              </w:rPr>
            </w:pPr>
            <w:r>
              <w:rPr>
                <w:rFonts w:ascii="Arial" w:cs="Arial" w:eastAsia="Arial" w:hAnsi="Arial"/>
                <w:sz w:val="18"/>
                <w:szCs w:val="18"/>
                <w:color w:val="auto"/>
              </w:rPr>
              <w:t>Ending Balance (cost – $80,520,000 and $79,392,900, respectively)</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75,645,830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76,037,341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Temporary draws outstanding,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120" w:type="dxa"/>
            <w:vAlign w:val="bottom"/>
            <w:gridSpan w:val="2"/>
          </w:tcPr>
          <w:p>
            <w:pPr>
              <w:spacing w:after="0"/>
              <w:rPr>
                <w:sz w:val="20"/>
                <w:szCs w:val="20"/>
                <w:color w:val="auto"/>
              </w:rPr>
            </w:pPr>
            <w:r>
              <w:rPr>
                <w:rFonts w:ascii="Arial" w:cs="Arial" w:eastAsia="Arial" w:hAnsi="Arial"/>
                <w:sz w:val="18"/>
                <w:szCs w:val="18"/>
                <w:color w:val="auto"/>
              </w:rPr>
              <w:t>Ending Balance (cost – $80,520,000 and $79,392,900, respectively)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77,645,830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76,037,341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62" w:lineRule="exact"/>
        <w:rPr>
          <w:sz w:val="20"/>
          <w:szCs w:val="20"/>
          <w:color w:val="auto"/>
        </w:rPr>
      </w:pPr>
    </w:p>
    <w:p>
      <w:pPr>
        <w:ind w:left="460" w:hanging="326"/>
        <w:spacing w:after="0"/>
        <w:tabs>
          <w:tab w:leader="none" w:pos="460" w:val="left"/>
        </w:tabs>
        <w:numPr>
          <w:ilvl w:val="0"/>
          <w:numId w:val="101"/>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205" w:lineRule="exact"/>
        <w:rPr>
          <w:sz w:val="20"/>
          <w:szCs w:val="20"/>
          <w:color w:val="auto"/>
        </w:rPr>
      </w:pPr>
    </w:p>
    <w:p>
      <w:pPr>
        <w:ind w:left="140" w:right="320" w:firstLine="437"/>
        <w:spacing w:after="0" w:line="271" w:lineRule="auto"/>
        <w:rPr>
          <w:sz w:val="20"/>
          <w:szCs w:val="20"/>
          <w:color w:val="auto"/>
        </w:rPr>
      </w:pPr>
      <w:r>
        <w:rPr>
          <w:rFonts w:ascii="Arial" w:cs="Arial" w:eastAsia="Arial" w:hAnsi="Arial"/>
          <w:sz w:val="18"/>
          <w:szCs w:val="18"/>
          <w:color w:val="auto"/>
        </w:rPr>
        <w:t>As of September 30, 2018, we had outstanding non-U.S. dollar borrowings on our Credit Facility. Net change in fair value on foreign currency translation on outstanding borrowings is listed below:</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Foreign Currency</w:t>
            </w:r>
          </w:p>
        </w:tc>
        <w:tc>
          <w:tcPr>
            <w:tcW w:w="1820" w:type="dxa"/>
            <w:vAlign w:val="bottom"/>
          </w:tcPr>
          <w:p>
            <w:pPr>
              <w:spacing w:after="0"/>
              <w:rPr>
                <w:sz w:val="14"/>
                <w:szCs w:val="14"/>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Amount Borrowed</w:t>
            </w:r>
          </w:p>
        </w:tc>
        <w:tc>
          <w:tcPr>
            <w:tcW w:w="100" w:type="dxa"/>
            <w:vAlign w:val="bottom"/>
          </w:tcPr>
          <w:p>
            <w:pPr>
              <w:spacing w:after="0"/>
              <w:rPr>
                <w:sz w:val="14"/>
                <w:szCs w:val="14"/>
                <w:color w:val="auto"/>
              </w:rPr>
            </w:pPr>
          </w:p>
        </w:tc>
        <w:tc>
          <w:tcPr>
            <w:tcW w:w="14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Borrowing Cost</w:t>
            </w:r>
          </w:p>
        </w:tc>
        <w:tc>
          <w:tcPr>
            <w:tcW w:w="120" w:type="dxa"/>
            <w:vAlign w:val="bottom"/>
          </w:tcPr>
          <w:p>
            <w:pPr>
              <w:spacing w:after="0"/>
              <w:rPr>
                <w:sz w:val="14"/>
                <w:szCs w:val="14"/>
                <w:color w:val="auto"/>
              </w:rPr>
            </w:pPr>
          </w:p>
        </w:tc>
        <w:tc>
          <w:tcPr>
            <w:tcW w:w="14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Current Value</w:t>
            </w:r>
          </w:p>
        </w:tc>
        <w:tc>
          <w:tcPr>
            <w:tcW w:w="300" w:type="dxa"/>
            <w:vAlign w:val="bottom"/>
          </w:tcPr>
          <w:p>
            <w:pPr>
              <w:spacing w:after="0"/>
              <w:rPr>
                <w:sz w:val="14"/>
                <w:szCs w:val="14"/>
                <w:color w:val="auto"/>
              </w:rPr>
            </w:pPr>
          </w:p>
        </w:tc>
        <w:tc>
          <w:tcPr>
            <w:tcW w:w="16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Reset Date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6"/>
        </w:trPr>
        <w:tc>
          <w:tcPr>
            <w:tcW w:w="1100" w:type="dxa"/>
            <w:vAlign w:val="bottom"/>
            <w:tcBorders>
              <w:bottom w:val="single" w:sz="8" w:color="auto"/>
            </w:tcBorders>
            <w:vMerge w:val="continue"/>
          </w:tcPr>
          <w:p>
            <w:pPr>
              <w:spacing w:after="0"/>
              <w:rPr>
                <w:sz w:val="15"/>
                <w:szCs w:val="15"/>
                <w:color w:val="auto"/>
              </w:rPr>
            </w:pPr>
          </w:p>
        </w:tc>
        <w:tc>
          <w:tcPr>
            <w:tcW w:w="1820" w:type="dxa"/>
            <w:vAlign w:val="bottom"/>
          </w:tcPr>
          <w:p>
            <w:pPr>
              <w:spacing w:after="0"/>
              <w:rPr>
                <w:sz w:val="15"/>
                <w:szCs w:val="15"/>
                <w:color w:val="auto"/>
              </w:rPr>
            </w:pPr>
          </w:p>
        </w:tc>
        <w:tc>
          <w:tcPr>
            <w:tcW w:w="16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5"/>
            <w:vMerge w:val="continue"/>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line="157"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1"/>
        </w:trPr>
        <w:tc>
          <w:tcPr>
            <w:tcW w:w="110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British Pound</w:t>
            </w:r>
          </w:p>
        </w:tc>
        <w:tc>
          <w:tcPr>
            <w:tcW w:w="18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6"/>
              </w:rPr>
              <w:t>30,000,000</w:t>
            </w: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41,520,000</w:t>
            </w: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39,121,590</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87"/>
              </w:rPr>
              <w:t>December 14, 2018</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(2,398,410)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10920" w:type="dxa"/>
            <w:vAlign w:val="bottom"/>
            <w:gridSpan w:val="27"/>
          </w:tcPr>
          <w:p>
            <w:pPr>
              <w:spacing w:after="0"/>
              <w:rPr>
                <w:sz w:val="20"/>
                <w:szCs w:val="20"/>
                <w:color w:val="auto"/>
              </w:rPr>
            </w:pPr>
            <w:r>
              <w:rPr>
                <w:rFonts w:ascii="Arial" w:cs="Arial" w:eastAsia="Arial" w:hAnsi="Arial"/>
                <w:sz w:val="18"/>
                <w:szCs w:val="18"/>
                <w:color w:val="auto"/>
                <w:w w:val="97"/>
              </w:rPr>
              <w:t>As of September 30, 2017, we had outstanding non-U.S. dollar borrowings on our Credit Facility. Net change in fair value on foreign currency</w:t>
            </w:r>
          </w:p>
        </w:tc>
        <w:tc>
          <w:tcPr>
            <w:tcW w:w="0" w:type="dxa"/>
            <w:vAlign w:val="bottom"/>
          </w:tcPr>
          <w:p>
            <w:pPr>
              <w:spacing w:after="0"/>
              <w:rPr>
                <w:sz w:val="1"/>
                <w:szCs w:val="1"/>
                <w:color w:val="auto"/>
              </w:rPr>
            </w:pPr>
          </w:p>
        </w:tc>
      </w:tr>
      <w:tr>
        <w:trPr>
          <w:trHeight w:val="227"/>
        </w:trPr>
        <w:tc>
          <w:tcPr>
            <w:tcW w:w="4540" w:type="dxa"/>
            <w:vAlign w:val="bottom"/>
            <w:gridSpan w:val="7"/>
          </w:tcPr>
          <w:p>
            <w:pPr>
              <w:spacing w:after="0"/>
              <w:rPr>
                <w:sz w:val="20"/>
                <w:szCs w:val="20"/>
                <w:color w:val="auto"/>
              </w:rPr>
            </w:pPr>
            <w:r>
              <w:rPr>
                <w:rFonts w:ascii="Arial" w:cs="Arial" w:eastAsia="Arial" w:hAnsi="Arial"/>
                <w:sz w:val="18"/>
                <w:szCs w:val="18"/>
                <w:color w:val="auto"/>
              </w:rPr>
              <w:t>translation on outstanding borrowings is listed below:</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Foreign Currency</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9"/>
              </w:rPr>
              <w:t>Amount Borrowed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Borrowing Cost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Current Value</w:t>
            </w:r>
          </w:p>
        </w:tc>
        <w:tc>
          <w:tcPr>
            <w:tcW w:w="300" w:type="dxa"/>
            <w:vAlign w:val="bottom"/>
          </w:tcPr>
          <w:p>
            <w:pPr>
              <w:spacing w:after="0"/>
              <w:rPr>
                <w:sz w:val="24"/>
                <w:szCs w:val="24"/>
                <w:color w:val="auto"/>
              </w:rPr>
            </w:pPr>
          </w:p>
        </w:tc>
        <w:tc>
          <w:tcPr>
            <w:tcW w:w="16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Reset Date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6"/>
        </w:trPr>
        <w:tc>
          <w:tcPr>
            <w:tcW w:w="1100" w:type="dxa"/>
            <w:vAlign w:val="bottom"/>
            <w:tcBorders>
              <w:bottom w:val="single" w:sz="8" w:color="auto"/>
            </w:tcBorders>
            <w:vMerge w:val="continue"/>
          </w:tcPr>
          <w:p>
            <w:pPr>
              <w:spacing w:after="0"/>
              <w:rPr>
                <w:sz w:val="15"/>
                <w:szCs w:val="15"/>
                <w:color w:val="auto"/>
              </w:rPr>
            </w:pPr>
          </w:p>
        </w:tc>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1"/>
        </w:trPr>
        <w:tc>
          <w:tcPr>
            <w:tcW w:w="110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British Pound</w:t>
            </w:r>
          </w:p>
        </w:tc>
        <w:tc>
          <w:tcPr>
            <w:tcW w:w="216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27,000,000</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86"/>
              </w:rPr>
              <w:t>44,032,900</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86"/>
              </w:rPr>
              <w:t>36,224,604</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88"/>
              </w:rPr>
              <w:t>October 4, 2017</w:t>
            </w: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(7,808,296)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00" w:type="dxa"/>
            <w:vAlign w:val="bottom"/>
          </w:tcPr>
          <w:p>
            <w:pPr>
              <w:spacing w:after="0"/>
              <w:rPr>
                <w:sz w:val="20"/>
                <w:szCs w:val="20"/>
                <w:color w:val="auto"/>
              </w:rPr>
            </w:pPr>
            <w:r>
              <w:rPr>
                <w:rFonts w:ascii="Arial" w:cs="Arial" w:eastAsia="Arial" w:hAnsi="Arial"/>
                <w:sz w:val="18"/>
                <w:szCs w:val="18"/>
                <w:color w:val="auto"/>
              </w:rPr>
              <w:t>Euro</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34,000,000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35,360,000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240"/>
              <w:spacing w:after="0"/>
              <w:rPr>
                <w:sz w:val="20"/>
                <w:szCs w:val="20"/>
                <w:color w:val="auto"/>
              </w:rPr>
            </w:pPr>
            <w:r>
              <w:rPr>
                <w:rFonts w:ascii="Arial" w:cs="Arial" w:eastAsia="Arial" w:hAnsi="Arial"/>
                <w:sz w:val="18"/>
                <w:szCs w:val="18"/>
                <w:color w:val="auto"/>
                <w:w w:val="95"/>
              </w:rPr>
              <w:t>40,194,834</w:t>
            </w:r>
          </w:p>
        </w:tc>
        <w:tc>
          <w:tcPr>
            <w:tcW w:w="300" w:type="dxa"/>
            <w:vAlign w:val="bottom"/>
          </w:tcPr>
          <w:p>
            <w:pPr>
              <w:spacing w:after="0"/>
              <w:rPr>
                <w:sz w:val="18"/>
                <w:szCs w:val="18"/>
                <w:color w:val="auto"/>
              </w:rPr>
            </w:pPr>
          </w:p>
        </w:tc>
        <w:tc>
          <w:tcPr>
            <w:tcW w:w="1680" w:type="dxa"/>
            <w:vAlign w:val="bottom"/>
            <w:gridSpan w:val="3"/>
          </w:tcPr>
          <w:p>
            <w:pPr>
              <w:ind w:left="160"/>
              <w:spacing w:after="0"/>
              <w:rPr>
                <w:sz w:val="20"/>
                <w:szCs w:val="20"/>
                <w:color w:val="auto"/>
              </w:rPr>
            </w:pPr>
            <w:r>
              <w:rPr>
                <w:rFonts w:ascii="Arial" w:cs="Arial" w:eastAsia="Arial" w:hAnsi="Arial"/>
                <w:sz w:val="18"/>
                <w:szCs w:val="18"/>
                <w:color w:val="auto"/>
              </w:rPr>
              <w:t>October 4, 2017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4,834,834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3"/>
              </w:rPr>
              <w:t>79,392,900</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5"/>
              </w:rPr>
              <w:t>76,419,438</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(2,973,462)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40" w:right="40" w:firstLine="437"/>
        <w:spacing w:after="0" w:line="280" w:lineRule="auto"/>
        <w:rPr>
          <w:sz w:val="20"/>
          <w:szCs w:val="20"/>
          <w:color w:val="auto"/>
        </w:rPr>
      </w:pPr>
      <w:r>
        <w:rPr>
          <w:rFonts w:ascii="Arial" w:cs="Arial" w:eastAsia="Arial" w:hAnsi="Arial"/>
          <w:sz w:val="16"/>
          <w:szCs w:val="16"/>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prior to their redemption, the 2025 Notes to align the measurement attributes of both our assets and liabilities while mitigating volatility in earnings from using different measurement attributes. Due to that election and in accordance with GAAP, we incurred expenses of zero, $3.9 million and zero relating to amendment costs on the Credit Facility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prior to their redemption, the</w:t>
      </w:r>
    </w:p>
    <w:p>
      <w:pPr>
        <w:spacing w:after="0" w:line="8" w:lineRule="exact"/>
        <w:rPr>
          <w:sz w:val="20"/>
          <w:szCs w:val="20"/>
          <w:color w:val="auto"/>
        </w:rPr>
      </w:pPr>
    </w:p>
    <w:p>
      <w:pPr>
        <w:jc w:val="center"/>
        <w:ind w:right="80"/>
        <w:spacing w:after="0" w:line="427" w:lineRule="auto"/>
        <w:rPr>
          <w:sz w:val="20"/>
          <w:szCs w:val="20"/>
          <w:color w:val="auto"/>
        </w:rPr>
      </w:pPr>
      <w:r>
        <w:rPr>
          <w:rFonts w:ascii="Arial" w:cs="Arial" w:eastAsia="Arial" w:hAnsi="Arial"/>
          <w:sz w:val="18"/>
          <w:szCs w:val="18"/>
          <w:color w:val="auto"/>
        </w:rPr>
        <w:t>2025 Notes are reported in our Consolidated Statements of Operations. We elected not to apply ASC 825-10 to any other financial assets or liabilities, F-63</w:t>
      </w:r>
    </w:p>
    <w:p>
      <w:pPr>
        <w:sectPr>
          <w:pgSz w:w="12240" w:h="15840" w:orient="portrait"/>
          <w:cols w:equalWidth="0" w:num="1">
            <w:col w:w="11060"/>
          </w:cols>
          <w:pgMar w:left="520" w:top="317" w:right="660"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140" w:right="40"/>
        <w:spacing w:after="0" w:line="252" w:lineRule="auto"/>
        <w:rPr>
          <w:sz w:val="20"/>
          <w:szCs w:val="20"/>
          <w:color w:val="auto"/>
        </w:rPr>
      </w:pPr>
      <w:r>
        <w:rPr>
          <w:rFonts w:ascii="Arial" w:cs="Arial" w:eastAsia="Arial" w:hAnsi="Arial"/>
          <w:sz w:val="18"/>
          <w:szCs w:val="18"/>
          <w:color w:val="auto"/>
        </w:rPr>
        <w:t>including the SBA debentures. For the year ended September 30, 2018, the Credit Facility and the 2019 Notes had a net change in unrealized depreciation of $3.9 million. For the years ended September 30, 2017 and 2016, our Credit Facility, the 2019 Notes and the 2025 Notes had a net change in unrealized (appreciation) depreciation of $(7.6) million and $3.7 million, respectively. As of September 30, 2018 and 2017, net unrealized depreciation (appreciation) on our Credit Facility and the 2019 Notes totaled $1.6 million and $(2.3)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18" w:lineRule="exact"/>
        <w:rPr>
          <w:sz w:val="20"/>
          <w:szCs w:val="20"/>
          <w:color w:val="auto"/>
        </w:rPr>
      </w:pPr>
    </w:p>
    <w:p>
      <w:pPr>
        <w:ind w:left="140" w:right="20" w:firstLine="437"/>
        <w:spacing w:after="0" w:line="255"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2018 were as follows:</w:t>
      </w:r>
    </w:p>
    <w:p>
      <w:pPr>
        <w:spacing w:after="0" w:line="19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Fair Value at</w:t>
            </w:r>
          </w:p>
        </w:tc>
        <w:tc>
          <w:tcPr>
            <w:tcW w:w="10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7"/>
              </w:rPr>
              <w:t>Purchases of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Sale of /</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Net 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 Value at</w:t>
            </w: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Net Realized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79"/>
              </w:rPr>
              <w:t>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112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8"/>
              </w:rPr>
              <w:t>Advances 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Distributions</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Appreciation /</w:t>
            </w:r>
          </w:p>
        </w:tc>
        <w:tc>
          <w:tcPr>
            <w:tcW w:w="80" w:type="dxa"/>
            <w:vAlign w:val="bottom"/>
          </w:tcPr>
          <w:p>
            <w:pPr>
              <w:spacing w:after="0"/>
              <w:rPr>
                <w:sz w:val="12"/>
                <w:szCs w:val="12"/>
                <w:color w:val="auto"/>
              </w:rPr>
            </w:pPr>
          </w:p>
        </w:tc>
        <w:tc>
          <w:tcPr>
            <w:tcW w:w="114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56"/>
        </w:trPr>
        <w:tc>
          <w:tcPr>
            <w:tcW w:w="29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 xml:space="preserve">2017 </w:t>
            </w:r>
            <w:r>
              <w:rPr>
                <w:rFonts w:ascii="Arial" w:cs="Arial" w:eastAsia="Arial" w:hAnsi="Arial"/>
                <w:sz w:val="12"/>
                <w:szCs w:val="12"/>
                <w:b w:val="1"/>
                <w:bCs w:val="1"/>
                <w:color w:val="auto"/>
                <w:w w:val="92"/>
              </w:rPr>
              <w:t>(1)</w:t>
            </w:r>
          </w:p>
        </w:tc>
        <w:tc>
          <w:tcPr>
            <w:tcW w:w="160" w:type="dxa"/>
            <w:vAlign w:val="bottom"/>
          </w:tcPr>
          <w:p>
            <w:pPr>
              <w:spacing w:after="0"/>
              <w:rPr>
                <w:sz w:val="13"/>
                <w:szCs w:val="13"/>
                <w:color w:val="auto"/>
              </w:rPr>
            </w:pPr>
          </w:p>
        </w:tc>
        <w:tc>
          <w:tcPr>
            <w:tcW w:w="104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 xml:space="preserve">Affiliates </w:t>
            </w:r>
            <w:r>
              <w:rPr>
                <w:rFonts w:ascii="Arial" w:cs="Arial" w:eastAsia="Arial" w:hAnsi="Arial"/>
                <w:sz w:val="12"/>
                <w:szCs w:val="12"/>
                <w:b w:val="1"/>
                <w:bCs w:val="1"/>
                <w:color w:val="auto"/>
              </w:rPr>
              <w:t>(1), (2)</w:t>
            </w:r>
          </w:p>
        </w:tc>
        <w:tc>
          <w:tcPr>
            <w:tcW w:w="60" w:type="dxa"/>
            <w:vAlign w:val="bottom"/>
          </w:tcPr>
          <w:p>
            <w:pPr>
              <w:spacing w:after="0"/>
              <w:rPr>
                <w:sz w:val="13"/>
                <w:szCs w:val="13"/>
                <w:color w:val="auto"/>
              </w:rPr>
            </w:pPr>
          </w:p>
        </w:tc>
        <w:tc>
          <w:tcPr>
            <w:tcW w:w="130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94"/>
              </w:rPr>
              <w:t xml:space="preserve">from Affiliates </w:t>
            </w:r>
            <w:r>
              <w:rPr>
                <w:rFonts w:ascii="Arial" w:cs="Arial" w:eastAsia="Arial" w:hAnsi="Arial"/>
                <w:sz w:val="12"/>
                <w:szCs w:val="12"/>
                <w:b w:val="1"/>
                <w:bCs w:val="1"/>
                <w:color w:val="auto"/>
                <w:w w:val="94"/>
              </w:rPr>
              <w:t>(1)</w:t>
            </w:r>
          </w:p>
        </w:tc>
        <w:tc>
          <w:tcPr>
            <w:tcW w:w="140" w:type="dxa"/>
            <w:vAlign w:val="bottom"/>
          </w:tcPr>
          <w:p>
            <w:pPr>
              <w:spacing w:after="0"/>
              <w:rPr>
                <w:sz w:val="13"/>
                <w:szCs w:val="13"/>
                <w:color w:val="auto"/>
              </w:rPr>
            </w:pPr>
          </w:p>
        </w:tc>
        <w:tc>
          <w:tcPr>
            <w:tcW w:w="840" w:type="dxa"/>
            <w:vAlign w:val="bottom"/>
            <w:gridSpan w:val="2"/>
          </w:tcPr>
          <w:p>
            <w:pPr>
              <w:jc w:val="right"/>
              <w:ind w:right="260"/>
              <w:spacing w:after="0" w:line="157" w:lineRule="exact"/>
              <w:rPr>
                <w:sz w:val="20"/>
                <w:szCs w:val="20"/>
                <w:color w:val="auto"/>
              </w:rPr>
            </w:pPr>
            <w:r>
              <w:rPr>
                <w:rFonts w:ascii="Arial" w:cs="Arial" w:eastAsia="Arial" w:hAnsi="Arial"/>
                <w:sz w:val="14"/>
                <w:szCs w:val="14"/>
                <w:b w:val="1"/>
                <w:bCs w:val="1"/>
                <w:color w:val="auto"/>
                <w:w w:val="99"/>
              </w:rPr>
              <w:t>Accrued</w:t>
            </w:r>
          </w:p>
        </w:tc>
        <w:tc>
          <w:tcPr>
            <w:tcW w:w="60" w:type="dxa"/>
            <w:vAlign w:val="bottom"/>
          </w:tcPr>
          <w:p>
            <w:pPr>
              <w:spacing w:after="0"/>
              <w:rPr>
                <w:sz w:val="13"/>
                <w:szCs w:val="13"/>
                <w:color w:val="auto"/>
              </w:rPr>
            </w:pPr>
          </w:p>
        </w:tc>
        <w:tc>
          <w:tcPr>
            <w:tcW w:w="110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1"/>
              </w:rPr>
              <w:t>(Depreciation)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9"/>
              <w:spacing w:after="0" w:line="157" w:lineRule="exact"/>
              <w:rPr>
                <w:sz w:val="20"/>
                <w:szCs w:val="20"/>
                <w:color w:val="auto"/>
              </w:rPr>
            </w:pPr>
            <w:r>
              <w:rPr>
                <w:rFonts w:ascii="Arial" w:cs="Arial" w:eastAsia="Arial" w:hAnsi="Arial"/>
                <w:sz w:val="14"/>
                <w:szCs w:val="14"/>
                <w:b w:val="1"/>
                <w:bCs w:val="1"/>
                <w:color w:val="auto"/>
                <w:w w:val="92"/>
              </w:rPr>
              <w:t xml:space="preserve">2018 </w:t>
            </w:r>
            <w:r>
              <w:rPr>
                <w:rFonts w:ascii="Arial" w:cs="Arial" w:eastAsia="Arial" w:hAnsi="Arial"/>
                <w:sz w:val="12"/>
                <w:szCs w:val="12"/>
                <w:b w:val="1"/>
                <w:bCs w:val="1"/>
                <w:color w:val="auto"/>
                <w:w w:val="92"/>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29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Controlled Affiliates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gridSpan w:val="2"/>
          </w:tcPr>
          <w:p>
            <w:pPr>
              <w:spacing w:after="0" w:line="147" w:lineRule="exact"/>
              <w:rPr>
                <w:sz w:val="20"/>
                <w:szCs w:val="20"/>
                <w:color w:val="auto"/>
              </w:rPr>
            </w:pPr>
            <w:r>
              <w:rPr>
                <w:rFonts w:ascii="Arial" w:cs="Arial" w:eastAsia="Arial" w:hAnsi="Arial"/>
                <w:sz w:val="14"/>
                <w:szCs w:val="14"/>
                <w:color w:val="auto"/>
              </w:rPr>
              <w:t xml:space="preserve">AKW Holdings Limited </w:t>
            </w:r>
            <w:r>
              <w:rPr>
                <w:rFonts w:ascii="Arial" w:cs="Arial" w:eastAsia="Arial" w:hAnsi="Arial"/>
                <w:sz w:val="12"/>
                <w:szCs w:val="12"/>
                <w:color w:val="auto"/>
              </w:rPr>
              <w:t>(3)</w:t>
            </w:r>
          </w:p>
        </w:tc>
        <w:tc>
          <w:tcPr>
            <w:tcW w:w="1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7"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39,184,097</w:t>
            </w:r>
          </w:p>
        </w:tc>
        <w:tc>
          <w:tcPr>
            <w:tcW w:w="1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1,299,807</w:t>
            </w:r>
          </w:p>
        </w:tc>
        <w:tc>
          <w:tcPr>
            <w:tcW w:w="80" w:type="dxa"/>
            <w:vAlign w:val="bottom"/>
          </w:tcPr>
          <w:p>
            <w:pPr>
              <w:spacing w:after="0"/>
              <w:rPr>
                <w:sz w:val="12"/>
                <w:szCs w:val="12"/>
                <w:color w:val="auto"/>
              </w:rPr>
            </w:pPr>
          </w:p>
        </w:tc>
        <w:tc>
          <w:tcPr>
            <w:tcW w:w="1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1,317,181</w:t>
            </w:r>
          </w:p>
        </w:tc>
        <w:tc>
          <w:tcPr>
            <w:tcW w:w="1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40,501,278</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MidOcean JF Holdings Corp. (JF Acquisition,</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LLC)</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16,945,557</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1,073,864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(5,919,774)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12,099,647</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gridSpan w:val="2"/>
          </w:tcPr>
          <w:p>
            <w:pPr>
              <w:spacing w:after="0" w:line="147" w:lineRule="exact"/>
              <w:rPr>
                <w:sz w:val="20"/>
                <w:szCs w:val="20"/>
                <w:color w:val="auto"/>
              </w:rPr>
            </w:pPr>
            <w:r>
              <w:rPr>
                <w:rFonts w:ascii="Arial" w:cs="Arial" w:eastAsia="Arial" w:hAnsi="Arial"/>
                <w:sz w:val="14"/>
                <w:szCs w:val="14"/>
                <w:color w:val="auto"/>
              </w:rPr>
              <w:t>RAM Energy LLC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71,406,572</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10,350,000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(350,000)</w:t>
            </w:r>
          </w:p>
        </w:tc>
        <w:tc>
          <w:tcPr>
            <w:tcW w:w="14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3,043,300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(2,491,612)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78,914,960</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Superior Digital Displays Holdings, Inc.</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26,198,854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13,502,471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(9,000,000)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3,006,741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(14,174,803)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17,220,000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187,236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Non-Controlled Affiliates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Affinion Group Holdings, Inc.</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19,704,139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6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(1,537,218)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18,166,922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gridSpan w:val="2"/>
          </w:tcPr>
          <w:p>
            <w:pPr>
              <w:spacing w:after="0" w:line="147" w:lineRule="exact"/>
              <w:rPr>
                <w:sz w:val="20"/>
                <w:szCs w:val="20"/>
                <w:color w:val="auto"/>
              </w:rPr>
            </w:pPr>
            <w:r>
              <w:rPr>
                <w:rFonts w:ascii="Arial" w:cs="Arial" w:eastAsia="Arial" w:hAnsi="Arial"/>
                <w:sz w:val="14"/>
                <w:szCs w:val="14"/>
                <w:color w:val="auto"/>
              </w:rPr>
              <w:t>American Gilsonite Company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22,807,532</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504,246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(26,983,525)</w:t>
            </w:r>
          </w:p>
        </w:tc>
        <w:tc>
          <w:tcPr>
            <w:tcW w:w="14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1,070,685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(4,445,455)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8,106,827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 xml:space="preserve">Big Run, Inc. </w:t>
            </w: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674,943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(277,918)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397,025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gridSpan w:val="2"/>
          </w:tcPr>
          <w:p>
            <w:pPr>
              <w:spacing w:after="0" w:line="147" w:lineRule="exact"/>
              <w:rPr>
                <w:sz w:val="20"/>
                <w:szCs w:val="20"/>
                <w:color w:val="auto"/>
              </w:rPr>
            </w:pPr>
            <w:r>
              <w:rPr>
                <w:rFonts w:ascii="Arial" w:cs="Arial" w:eastAsia="Arial" w:hAnsi="Arial"/>
                <w:sz w:val="14"/>
                <w:szCs w:val="14"/>
                <w:color w:val="auto"/>
              </w:rPr>
              <w:t>Corfin Industries LLC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24,089,476</w:t>
            </w:r>
          </w:p>
        </w:tc>
        <w:tc>
          <w:tcPr>
            <w:tcW w:w="80" w:type="dxa"/>
            <w:vAlign w:val="bottom"/>
          </w:tcPr>
          <w:p>
            <w:pPr>
              <w:spacing w:after="0"/>
              <w:rPr>
                <w:sz w:val="12"/>
                <w:szCs w:val="12"/>
                <w:color w:val="auto"/>
              </w:rPr>
            </w:pPr>
          </w:p>
        </w:tc>
        <w:tc>
          <w:tcPr>
            <w:tcW w:w="960" w:type="dxa"/>
            <w:vAlign w:val="bottom"/>
            <w:gridSpan w:val="2"/>
          </w:tcPr>
          <w:p>
            <w:pPr>
              <w:ind w:left="66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(26,739,059)</w:t>
            </w: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993,423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(683,831)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3,296,101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EnviroSolutions Holdings, Inc.</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25,236,136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103,947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(19,310,228)</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454,098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(3,801,810)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(2,238,725)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gridSpan w:val="2"/>
          </w:tcPr>
          <w:p>
            <w:pPr>
              <w:spacing w:after="0" w:line="147" w:lineRule="exact"/>
              <w:rPr>
                <w:sz w:val="20"/>
                <w:szCs w:val="20"/>
                <w:color w:val="auto"/>
              </w:rPr>
            </w:pPr>
            <w:r>
              <w:rPr>
                <w:rFonts w:ascii="Arial" w:cs="Arial" w:eastAsia="Arial" w:hAnsi="Arial"/>
                <w:sz w:val="14"/>
                <w:szCs w:val="14"/>
                <w:color w:val="auto"/>
              </w:rPr>
              <w:t>ETX Energy, LLC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44,430,932</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894,101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291,534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(3,468,771)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34,801,373</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(6,452,914)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TRAK Acquisition Corp.</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32,175,378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(48,318,847)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895,459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(5,849,743)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6,955,332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gridSpan w:val="2"/>
          </w:tcPr>
          <w:p>
            <w:pPr>
              <w:spacing w:after="0" w:line="147" w:lineRule="exact"/>
              <w:rPr>
                <w:sz w:val="20"/>
                <w:szCs w:val="20"/>
                <w:color w:val="auto"/>
              </w:rPr>
            </w:pPr>
            <w:r>
              <w:rPr>
                <w:rFonts w:ascii="Arial" w:cs="Arial" w:eastAsia="Arial" w:hAnsi="Arial"/>
                <w:sz w:val="14"/>
                <w:szCs w:val="14"/>
                <w:color w:val="auto"/>
              </w:rPr>
              <w:t>U.S. Well Services, LLC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21,231,384</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923,753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(205,123)</w:t>
            </w:r>
          </w:p>
        </w:tc>
        <w:tc>
          <w:tcPr>
            <w:tcW w:w="14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1,340,366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2,747,135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24,713,011</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b w:val="1"/>
                <w:bCs w:val="1"/>
                <w:color w:val="auto"/>
                <w:w w:val="95"/>
              </w:rPr>
              <w:t>Total Controlled and Non-Controlled Affiliates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304,225,960</w:t>
            </w:r>
          </w:p>
        </w:tc>
        <w:tc>
          <w:tcPr>
            <w:tcW w:w="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82,211,422</w:t>
            </w:r>
          </w:p>
        </w:tc>
        <w:tc>
          <w:tcPr>
            <w:tcW w:w="1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(130,906,782)</w:t>
            </w:r>
          </w:p>
        </w:tc>
        <w:tc>
          <w:tcPr>
            <w:tcW w:w="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12,395,413</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(38,586,619)</w:t>
            </w:r>
          </w:p>
        </w:tc>
        <w:tc>
          <w:tcPr>
            <w:tcW w:w="1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226,814,216</w:t>
            </w: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9,853,857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60" w:lineRule="exact"/>
        <w:rPr>
          <w:sz w:val="20"/>
          <w:szCs w:val="20"/>
          <w:color w:val="auto"/>
        </w:rPr>
      </w:pPr>
    </w:p>
    <w:p>
      <w:pPr>
        <w:ind w:left="460" w:hanging="326"/>
        <w:spacing w:after="0"/>
        <w:tabs>
          <w:tab w:leader="none" w:pos="460" w:val="left"/>
        </w:tabs>
        <w:numPr>
          <w:ilvl w:val="0"/>
          <w:numId w:val="102"/>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460" w:hanging="326"/>
        <w:spacing w:after="0" w:line="219"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4"/>
          <w:szCs w:val="14"/>
          <w:color w:val="auto"/>
        </w:rPr>
        <w:t>Includes PIK.</w:t>
      </w:r>
    </w:p>
    <w:p>
      <w:pPr>
        <w:ind w:left="460" w:hanging="326"/>
        <w:spacing w:after="0" w:line="219"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4"/>
          <w:szCs w:val="14"/>
          <w:color w:val="auto"/>
        </w:rPr>
        <w:t>Became a controlled affiliate during the three months ended March 31, 2018.</w:t>
      </w:r>
    </w:p>
    <w:p>
      <w:pPr>
        <w:ind w:left="460" w:hanging="326"/>
        <w:spacing w:after="0"/>
        <w:tabs>
          <w:tab w:leader="none" w:pos="460" w:val="left"/>
        </w:tabs>
        <w:numPr>
          <w:ilvl w:val="0"/>
          <w:numId w:val="102"/>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2018.</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ectPr>
          <w:pgSz w:w="12240" w:h="15840" w:orient="portrait"/>
          <w:cols w:equalWidth="0" w:num="1">
            <w:col w:w="11060"/>
          </w:cols>
          <w:pgMar w:left="520" w:top="316" w:right="660"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information sets forth the computation of basic and diluted per share net increase in net assets resulting from operations:</w:t>
      </w: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Years Ended September 30,</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1"/>
        </w:trPr>
        <w:tc>
          <w:tcPr>
            <w:tcW w:w="57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5"/>
              <w:spacing w:after="0" w:line="141"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5"/>
              <w:spacing w:after="0" w:line="141"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5"/>
              <w:spacing w:after="0" w:line="141"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r>
      <w:tr>
        <w:trPr>
          <w:trHeight w:val="208"/>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47,713,462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61,711,501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18,736,706</w:t>
            </w:r>
          </w:p>
        </w:tc>
        <w:tc>
          <w:tcPr>
            <w:tcW w:w="80" w:type="dxa"/>
            <w:vAlign w:val="bottom"/>
            <w:shd w:val="clear" w:color="auto" w:fill="CCEEFF"/>
          </w:tcPr>
          <w:p>
            <w:pPr>
              <w:spacing w:after="0"/>
              <w:rPr>
                <w:sz w:val="18"/>
                <w:szCs w:val="18"/>
                <w:color w:val="auto"/>
              </w:rPr>
            </w:pPr>
          </w:p>
        </w:tc>
      </w:tr>
      <w:tr>
        <w:trPr>
          <w:trHeight w:val="214"/>
        </w:trPr>
        <w:tc>
          <w:tcPr>
            <w:tcW w:w="572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70,686,354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71,060,836</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71,621,530</w:t>
            </w: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0"/>
              </w:rPr>
              <w:t>Basic and diluted net increase in net assets per share resulting from operations</w:t>
            </w:r>
          </w:p>
        </w:tc>
        <w:tc>
          <w:tcPr>
            <w:tcW w:w="50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50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0.87</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r>
    </w:tbl>
    <w:p>
      <w:pPr>
        <w:spacing w:after="0" w:line="30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8. TAXES AND DISTRIBUTIONS</w:t>
      </w:r>
    </w:p>
    <w:p>
      <w:pPr>
        <w:spacing w:after="0" w:line="118" w:lineRule="exact"/>
        <w:rPr>
          <w:sz w:val="20"/>
          <w:szCs w:val="20"/>
          <w:color w:val="auto"/>
        </w:rPr>
      </w:pPr>
    </w:p>
    <w:p>
      <w:pPr>
        <w:ind w:left="140" w:right="20" w:firstLine="437"/>
        <w:spacing w:after="0" w:line="272" w:lineRule="auto"/>
        <w:rPr>
          <w:sz w:val="20"/>
          <w:szCs w:val="20"/>
          <w:color w:val="auto"/>
        </w:rPr>
      </w:pPr>
      <w:r>
        <w:rPr>
          <w:rFonts w:ascii="Arial" w:cs="Arial" w:eastAsia="Arial" w:hAnsi="Arial"/>
          <w:sz w:val="17"/>
          <w:szCs w:val="17"/>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77" w:lineRule="exact"/>
        <w:rPr>
          <w:sz w:val="20"/>
          <w:szCs w:val="20"/>
          <w:color w:val="auto"/>
        </w:rPr>
      </w:pPr>
    </w:p>
    <w:p>
      <w:pPr>
        <w:ind w:left="140" w:right="620" w:firstLine="437"/>
        <w:spacing w:after="0" w:line="259" w:lineRule="auto"/>
        <w:rPr>
          <w:sz w:val="20"/>
          <w:szCs w:val="20"/>
          <w:color w:val="auto"/>
        </w:rPr>
      </w:pPr>
      <w:r>
        <w:rPr>
          <w:rFonts w:ascii="Arial" w:cs="Arial" w:eastAsia="Arial" w:hAnsi="Arial"/>
          <w:sz w:val="18"/>
          <w:szCs w:val="18"/>
          <w:color w:val="auto"/>
        </w:rPr>
        <w:t>As of September 30, 2018 and 2017, the cost of investments for federal income tax purposes was $1,240.6 million and $1,206.4 million, respectively, resulting in a gross unrealized appreciation of $37.7 million and $67.0 million, respectively, and depreciation of $146.1 million and $119.9 million, respectively.</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0"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4"/>
              </w:rPr>
              <w:t>Years Ended September 30,</w:t>
            </w: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5"/>
              <w:spacing w:after="0" w:line="141"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51"/>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91"/>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6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$(1,245,892)</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$(2,548,967)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Increase (decrease) in accumulated net realized gain</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9"/>
              <w:spacing w:after="0"/>
              <w:rPr>
                <w:sz w:val="20"/>
                <w:szCs w:val="20"/>
                <w:color w:val="auto"/>
              </w:rPr>
            </w:pPr>
            <w:r>
              <w:rPr>
                <w:rFonts w:ascii="Arial" w:cs="Arial" w:eastAsia="Arial" w:hAnsi="Arial"/>
                <w:sz w:val="18"/>
                <w:szCs w:val="18"/>
                <w:color w:val="auto"/>
                <w:w w:val="98"/>
              </w:rPr>
              <w:t>54,520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8"/>
                <w:szCs w:val="18"/>
                <w:color w:val="auto"/>
              </w:rPr>
              <w:t>(799,498)</w:t>
            </w:r>
          </w:p>
        </w:tc>
        <w:tc>
          <w:tcPr>
            <w:tcW w:w="140" w:type="dxa"/>
            <w:vAlign w:val="bottom"/>
          </w:tcPr>
          <w:p>
            <w:pPr>
              <w:spacing w:after="0"/>
              <w:rPr>
                <w:sz w:val="18"/>
                <w:szCs w:val="18"/>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(1,449,411)</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undistributed net investment income</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w w:val="89"/>
              </w:rPr>
              <w:t>(54,520)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2,045,390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3,998,378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8160" w:type="dxa"/>
            <w:vAlign w:val="bottom"/>
            <w:gridSpan w:val="7"/>
          </w:tcPr>
          <w:p>
            <w:pPr>
              <w:ind w:left="440"/>
              <w:spacing w:after="0"/>
              <w:rPr>
                <w:sz w:val="20"/>
                <w:szCs w:val="20"/>
                <w:color w:val="auto"/>
              </w:rPr>
            </w:pPr>
            <w:r>
              <w:rPr>
                <w:rFonts w:ascii="Arial" w:cs="Arial" w:eastAsia="Arial" w:hAnsi="Arial"/>
                <w:sz w:val="18"/>
                <w:szCs w:val="18"/>
                <w:color w:val="auto"/>
                <w:w w:val="90"/>
              </w:rPr>
              <w:t>The following reconciles net increase (decrease) in net assets resulting from operations to taxable income: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3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3"/>
          </w:tcPr>
          <w:p>
            <w:pPr>
              <w:jc w:val="right"/>
              <w:ind w:right="255"/>
              <w:spacing w:after="0" w:line="141"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71"/>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71"/>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$ 47,713,462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61,711,501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18,736,706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(45,856,206)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31,027,037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80,530,707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 investments and debt</w:t>
            </w:r>
          </w:p>
        </w:tc>
        <w:tc>
          <w:tcPr>
            <w:tcW w:w="17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51,476,896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90"/>
              </w:rPr>
              <w:t>(36,300,227)</w:t>
            </w: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0"/>
              </w:rPr>
              <w:t>(28,652,631)</w:t>
            </w:r>
          </w:p>
        </w:tc>
        <w:tc>
          <w:tcPr>
            <w:tcW w:w="0" w:type="dxa"/>
            <w:vAlign w:val="bottom"/>
          </w:tcPr>
          <w:p>
            <w:pPr>
              <w:spacing w:after="0"/>
              <w:rPr>
                <w:sz w:val="1"/>
                <w:szCs w:val="1"/>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Other book-to-tax differences</w:t>
            </w: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(722,661)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360"/>
              <w:spacing w:after="0"/>
              <w:rPr>
                <w:sz w:val="20"/>
                <w:szCs w:val="20"/>
                <w:color w:val="auto"/>
              </w:rPr>
            </w:pPr>
            <w:r>
              <w:rPr>
                <w:rFonts w:ascii="Arial" w:cs="Arial" w:eastAsia="Arial" w:hAnsi="Arial"/>
                <w:sz w:val="18"/>
                <w:szCs w:val="18"/>
                <w:color w:val="auto"/>
                <w:w w:val="99"/>
              </w:rPr>
              <w:t>(6,838,039)</w:t>
            </w:r>
          </w:p>
        </w:tc>
        <w:tc>
          <w:tcPr>
            <w:tcW w:w="140" w:type="dxa"/>
            <w:vAlign w:val="bottom"/>
          </w:tcPr>
          <w:p>
            <w:pPr>
              <w:spacing w:after="0"/>
              <w:rPr>
                <w:sz w:val="18"/>
                <w:szCs w:val="18"/>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(1,438,839)</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7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343,083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3,026,409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3,648,098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00" w:type="dxa"/>
            <w:vAlign w:val="bottom"/>
          </w:tcPr>
          <w:p>
            <w:pPr>
              <w:spacing w:after="0"/>
              <w:rPr>
                <w:sz w:val="20"/>
                <w:szCs w:val="20"/>
                <w:color w:val="auto"/>
              </w:rPr>
            </w:pPr>
            <w:r>
              <w:rPr>
                <w:rFonts w:ascii="Arial" w:cs="Arial" w:eastAsia="Arial" w:hAnsi="Arial"/>
                <w:sz w:val="18"/>
                <w:szCs w:val="18"/>
                <w:color w:val="auto"/>
              </w:rPr>
              <w:t>Taxable income before dividends paid deduction</w:t>
            </w:r>
          </w:p>
        </w:tc>
        <w:tc>
          <w:tcPr>
            <w:tcW w:w="660" w:type="dxa"/>
            <w:vAlign w:val="bottom"/>
          </w:tcPr>
          <w:p>
            <w:pPr>
              <w:spacing w:after="0"/>
              <w:rPr>
                <w:sz w:val="19"/>
                <w:szCs w:val="19"/>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$ 52,954,574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52,626,681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72,824,041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5280"/>
              <w:spacing w:after="0"/>
              <w:rPr>
                <w:sz w:val="20"/>
                <w:szCs w:val="20"/>
                <w:color w:val="auto"/>
              </w:rPr>
            </w:pPr>
            <w:r>
              <w:rPr>
                <w:rFonts w:ascii="Arial" w:cs="Arial" w:eastAsia="Arial" w:hAnsi="Arial"/>
                <w:sz w:val="18"/>
                <w:szCs w:val="18"/>
                <w:color w:val="auto"/>
              </w:rPr>
              <w:t>F-65</w:t>
            </w:r>
          </w:p>
        </w:tc>
        <w:tc>
          <w:tcPr>
            <w:tcW w:w="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060"/>
          </w:cols>
          <w:pgMar w:left="520" w:top="317" w:right="660"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components of undistributed taxable income on a tax basis and reconciliation to accumulated deficit on a book basis are as follows:</w:t>
      </w: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As of September 30,</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3"/>
          </w:tcPr>
          <w:p>
            <w:pPr>
              <w:jc w:val="right"/>
              <w:ind w:right="330"/>
              <w:spacing w:after="0" w:line="141"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335"/>
              <w:spacing w:after="0" w:line="141"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0"/>
              <w:spacing w:after="0" w:line="141"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 tax basis</w:t>
            </w:r>
          </w:p>
        </w:tc>
        <w:tc>
          <w:tcPr>
            <w:tcW w:w="8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20,714,977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18,388,023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31,137,312</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Realized loss carried forward</w:t>
            </w:r>
          </w:p>
        </w:tc>
        <w:tc>
          <w:tcPr>
            <w:tcW w:w="2120" w:type="dxa"/>
            <w:vAlign w:val="bottom"/>
            <w:gridSpan w:val="5"/>
          </w:tcPr>
          <w:p>
            <w:pPr>
              <w:jc w:val="right"/>
              <w:ind w:right="120"/>
              <w:spacing w:after="0"/>
              <w:rPr>
                <w:sz w:val="20"/>
                <w:szCs w:val="20"/>
                <w:color w:val="auto"/>
              </w:rPr>
            </w:pPr>
            <w:r>
              <w:rPr>
                <w:rFonts w:ascii="Arial" w:cs="Arial" w:eastAsia="Arial" w:hAnsi="Arial"/>
                <w:sz w:val="18"/>
                <w:szCs w:val="18"/>
                <w:color w:val="auto"/>
              </w:rPr>
              <w:t>(68,819,477)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4"/>
          </w:tcPr>
          <w:p>
            <w:pPr>
              <w:jc w:val="right"/>
              <w:ind w:right="131"/>
              <w:spacing w:after="0"/>
              <w:rPr>
                <w:sz w:val="20"/>
                <w:szCs w:val="20"/>
                <w:color w:val="auto"/>
              </w:rPr>
            </w:pPr>
            <w:r>
              <w:rPr>
                <w:rFonts w:ascii="Arial" w:cs="Arial" w:eastAsia="Arial" w:hAnsi="Arial"/>
                <w:sz w:val="18"/>
                <w:szCs w:val="18"/>
                <w:color w:val="auto"/>
                <w:w w:val="90"/>
              </w:rPr>
              <w:t>(113,198,158)</w:t>
            </w:r>
          </w:p>
        </w:tc>
        <w:tc>
          <w:tcPr>
            <w:tcW w:w="60" w:type="dxa"/>
            <w:vAlign w:val="bottom"/>
          </w:tcPr>
          <w:p>
            <w:pPr>
              <w:spacing w:after="0"/>
              <w:rPr>
                <w:sz w:val="18"/>
                <w:szCs w:val="18"/>
                <w:color w:val="auto"/>
              </w:rPr>
            </w:pP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(81,242,318)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and other book to tax differences</w:t>
            </w:r>
          </w:p>
        </w:tc>
        <w:tc>
          <w:tcPr>
            <w:tcW w:w="21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(16,579,769)</w:t>
            </w:r>
          </w:p>
        </w:tc>
        <w:tc>
          <w:tcPr>
            <w:tcW w:w="2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31"/>
              <w:spacing w:after="0"/>
              <w:rPr>
                <w:sz w:val="20"/>
                <w:szCs w:val="20"/>
                <w:color w:val="auto"/>
              </w:rPr>
            </w:pPr>
            <w:r>
              <w:rPr>
                <w:rFonts w:ascii="Arial" w:cs="Arial" w:eastAsia="Arial" w:hAnsi="Arial"/>
                <w:sz w:val="18"/>
                <w:szCs w:val="18"/>
                <w:color w:val="auto"/>
                <w:w w:val="99"/>
              </w:rPr>
              <w:t>(18,455,025)</w:t>
            </w:r>
          </w:p>
        </w:tc>
        <w:tc>
          <w:tcPr>
            <w:tcW w:w="6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(31,547,434)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unrealized depreciation of investments and debt</w:t>
            </w:r>
          </w:p>
        </w:tc>
        <w:tc>
          <w:tcPr>
            <w:tcW w:w="860" w:type="dxa"/>
            <w:vAlign w:val="bottom"/>
          </w:tcPr>
          <w:p>
            <w:pPr>
              <w:spacing w:after="0"/>
              <w:rPr>
                <w:sz w:val="18"/>
                <w:szCs w:val="18"/>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w w:val="99"/>
              </w:rPr>
              <w:t>(110,212,110)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4"/>
          </w:tcPr>
          <w:p>
            <w:pPr>
              <w:jc w:val="right"/>
              <w:ind w:right="131"/>
              <w:spacing w:after="0"/>
              <w:rPr>
                <w:sz w:val="20"/>
                <w:szCs w:val="20"/>
                <w:color w:val="auto"/>
              </w:rPr>
            </w:pPr>
            <w:r>
              <w:rPr>
                <w:rFonts w:ascii="Arial" w:cs="Arial" w:eastAsia="Arial" w:hAnsi="Arial"/>
                <w:sz w:val="18"/>
                <w:szCs w:val="18"/>
                <w:color w:val="auto"/>
                <w:w w:val="99"/>
              </w:rPr>
              <w:t>(58,735,214)</w:t>
            </w:r>
          </w:p>
        </w:tc>
        <w:tc>
          <w:tcPr>
            <w:tcW w:w="60" w:type="dxa"/>
            <w:vAlign w:val="bottom"/>
          </w:tcPr>
          <w:p>
            <w:pPr>
              <w:spacing w:after="0"/>
              <w:rPr>
                <w:sz w:val="18"/>
                <w:szCs w:val="18"/>
                <w:color w:val="auto"/>
              </w:rPr>
            </w:pP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(95,035,441)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deficit – book basis</w:t>
            </w:r>
          </w:p>
        </w:tc>
        <w:tc>
          <w:tcPr>
            <w:tcW w:w="8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8"/>
              </w:rPr>
              <w:t>$ (174,896,379)</w:t>
            </w:r>
          </w:p>
        </w:tc>
        <w:tc>
          <w:tcPr>
            <w:tcW w:w="1640" w:type="dxa"/>
            <w:vAlign w:val="bottom"/>
            <w:gridSpan w:val="7"/>
            <w:shd w:val="clear" w:color="auto" w:fill="CCEEFF"/>
          </w:tcPr>
          <w:p>
            <w:pPr>
              <w:jc w:val="right"/>
              <w:ind w:right="131"/>
              <w:spacing w:after="0"/>
              <w:rPr>
                <w:sz w:val="20"/>
                <w:szCs w:val="20"/>
                <w:color w:val="auto"/>
              </w:rPr>
            </w:pPr>
            <w:r>
              <w:rPr>
                <w:rFonts w:ascii="Arial" w:cs="Arial" w:eastAsia="Arial" w:hAnsi="Arial"/>
                <w:sz w:val="18"/>
                <w:szCs w:val="18"/>
                <w:color w:val="auto"/>
              </w:rPr>
              <w:t>$ (172,000,374)</w:t>
            </w:r>
          </w:p>
        </w:tc>
        <w:tc>
          <w:tcPr>
            <w:tcW w:w="6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7"/>
              </w:rPr>
              <w:t>$ (176,687,881)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The tax characteristics of distributions declared are as follows:</w:t>
            </w:r>
          </w:p>
        </w:tc>
        <w:tc>
          <w:tcPr>
            <w:tcW w:w="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9"/>
          </w:tcPr>
          <w:p>
            <w:pPr>
              <w:jc w:val="right"/>
              <w:ind w:right="19"/>
              <w:spacing w:after="0"/>
              <w:rPr>
                <w:sz w:val="20"/>
                <w:szCs w:val="20"/>
                <w:color w:val="auto"/>
              </w:rPr>
            </w:pPr>
            <w:r>
              <w:rPr>
                <w:rFonts w:ascii="Arial" w:cs="Arial" w:eastAsia="Arial" w:hAnsi="Arial"/>
                <w:sz w:val="14"/>
                <w:szCs w:val="14"/>
                <w:b w:val="1"/>
                <w:bCs w:val="1"/>
                <w:color w:val="auto"/>
                <w:w w:val="89"/>
              </w:rPr>
              <w:t>Years Ended September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gridSpan w:val="3"/>
          </w:tcPr>
          <w:p>
            <w:pPr>
              <w:spacing w:after="0"/>
              <w:rPr>
                <w:sz w:val="12"/>
                <w:szCs w:val="12"/>
                <w:color w:val="auto"/>
              </w:rPr>
            </w:pPr>
          </w:p>
        </w:tc>
        <w:tc>
          <w:tcPr>
            <w:tcW w:w="5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00"/>
              <w:spacing w:after="0" w:line="141"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 (including short-term gains, if any)</w:t>
            </w:r>
          </w:p>
        </w:tc>
        <w:tc>
          <w:tcPr>
            <w:tcW w:w="1540" w:type="dxa"/>
            <w:vAlign w:val="bottom"/>
            <w:gridSpan w:val="3"/>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$ 50,609,467</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58,269,886</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$ 58,068,894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Long-term capital gain</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21,711,007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24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$ 50,609,467</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58,269,886</w:t>
            </w:r>
          </w:p>
        </w:tc>
        <w:tc>
          <w:tcPr>
            <w:tcW w:w="13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$ 79,779,901</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Total distributions per share based on weighted average shares</w:t>
            </w: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80" w:type="dxa"/>
            <w:vAlign w:val="bottom"/>
            <w:gridSpan w:val="2"/>
            <w:vMerge w:val="continue"/>
          </w:tcPr>
          <w:p>
            <w:pPr>
              <w:spacing w:after="0"/>
              <w:rPr>
                <w:sz w:val="18"/>
                <w:szCs w:val="18"/>
                <w:color w:val="auto"/>
              </w:rPr>
            </w:pPr>
          </w:p>
        </w:tc>
        <w:tc>
          <w:tcPr>
            <w:tcW w:w="152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0.72</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0.82</w:t>
            </w:r>
          </w:p>
        </w:tc>
        <w:tc>
          <w:tcPr>
            <w:tcW w:w="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9. CASH AND CASH EQUIVALENTS</w:t>
      </w:r>
    </w:p>
    <w:p>
      <w:pPr>
        <w:spacing w:after="0" w:line="118" w:lineRule="exact"/>
        <w:rPr>
          <w:sz w:val="20"/>
          <w:szCs w:val="20"/>
          <w:color w:val="auto"/>
        </w:rPr>
      </w:pPr>
    </w:p>
    <w:p>
      <w:pPr>
        <w:ind w:left="140" w:right="20" w:firstLine="437"/>
        <w:spacing w:after="0" w:line="285" w:lineRule="auto"/>
        <w:rPr>
          <w:sz w:val="20"/>
          <w:szCs w:val="20"/>
          <w:color w:val="auto"/>
        </w:rPr>
      </w:pPr>
      <w:r>
        <w:rPr>
          <w:rFonts w:ascii="Arial" w:cs="Arial" w:eastAsia="Arial" w:hAnsi="Arial"/>
          <w:sz w:val="16"/>
          <w:szCs w:val="16"/>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2018 and 2017, cash and cash equivalents consisted of money market funds in the amounts of $19.5 million and $38.2 million at fair value, respectively.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2240" w:h="15840" w:orient="portrait"/>
          <w:cols w:equalWidth="0" w:num="1">
            <w:col w:w="11060"/>
          </w:cols>
          <w:pgMar w:left="520" w:top="316" w:right="660"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10. FINANCIAL HIGHLIGHTS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54" w:lineRule="exact"/>
        <w:rPr>
          <w:sz w:val="20"/>
          <w:szCs w:val="20"/>
          <w:color w:val="auto"/>
        </w:rPr>
      </w:pPr>
    </w:p>
    <w:tbl>
      <w:tblPr>
        <w:tblLayout w:type="fixed"/>
        <w:tblInd w:w="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b w:val="1"/>
                <w:bCs w:val="1"/>
                <w:color w:val="auto"/>
              </w:rPr>
              <w:t>2016</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b w:val="1"/>
                <w:bCs w:val="1"/>
                <w:color w:val="auto"/>
              </w:rPr>
              <w:t>2015</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b w:val="1"/>
                <w:bCs w:val="1"/>
                <w:color w:val="auto"/>
              </w:rPr>
              <w:t>2014</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6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Per Share Data:</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Net asset value,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9.10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9.05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9.82</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11.03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0.75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23"/>
                <w:szCs w:val="23"/>
                <w:color w:val="auto"/>
                <w:vertAlign w:val="superscript"/>
              </w:rPr>
              <w:t>(1)</w:t>
            </w: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(0.73)</w:t>
            </w: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23"/>
                <w:szCs w:val="23"/>
                <w:color w:val="auto"/>
                <w:vertAlign w:val="superscript"/>
              </w:rPr>
              <w:t>(1), (2)</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 of net investment income</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(0.81)</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Distribution of realized gains</w:t>
            </w:r>
          </w:p>
        </w:tc>
        <w:tc>
          <w:tcPr>
            <w:tcW w:w="8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(0.30)</w:t>
            </w:r>
          </w:p>
        </w:tc>
        <w:tc>
          <w:tcPr>
            <w:tcW w:w="8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Total distributions to stockholders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23"/>
                <w:szCs w:val="23"/>
                <w:color w:val="auto"/>
                <w:vertAlign w:val="superscript"/>
              </w:rPr>
              <w:t>(1)</w:t>
            </w:r>
          </w:p>
        </w:tc>
        <w:tc>
          <w:tcPr>
            <w:tcW w:w="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4"/>
                <w:szCs w:val="14"/>
                <w:color w:val="auto"/>
              </w:rPr>
              <w:t xml:space="preserve">Accretive (dilutive) effect of common stock issuance </w:t>
            </w:r>
            <w:r>
              <w:rPr>
                <w:rFonts w:ascii="Arial" w:cs="Arial" w:eastAsia="Arial" w:hAnsi="Arial"/>
                <w:sz w:val="23"/>
                <w:szCs w:val="23"/>
                <w:color w:val="auto"/>
                <w:vertAlign w:val="superscript"/>
              </w:rPr>
              <w:t>(1)</w:t>
            </w: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rPr>
                <w:sz w:val="20"/>
                <w:szCs w:val="20"/>
                <w:color w:val="auto"/>
              </w:rPr>
            </w:pPr>
            <w:r>
              <w:rPr>
                <w:rFonts w:ascii="Arial" w:cs="Arial" w:eastAsia="Arial" w:hAnsi="Arial"/>
                <w:sz w:val="16"/>
                <w:szCs w:val="16"/>
                <w:color w:val="auto"/>
              </w:rPr>
              <w:t>Net asset value,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9.11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9.10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9.05</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9.82</w:t>
            </w:r>
          </w:p>
        </w:tc>
        <w:tc>
          <w:tcPr>
            <w:tcW w:w="3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Per share market value,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3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line="235" w:lineRule="exact"/>
              <w:rPr>
                <w:sz w:val="20"/>
                <w:szCs w:val="20"/>
                <w:color w:val="auto"/>
              </w:rPr>
            </w:pPr>
            <w:r>
              <w:rPr>
                <w:rFonts w:ascii="Arial" w:cs="Arial" w:eastAsia="Arial" w:hAnsi="Arial"/>
                <w:sz w:val="16"/>
                <w:szCs w:val="16"/>
                <w:color w:val="auto"/>
              </w:rPr>
              <w:t xml:space="preserve">Total return </w:t>
            </w:r>
            <w:r>
              <w:rPr>
                <w:rFonts w:ascii="Arial" w:cs="Arial" w:eastAsia="Arial" w:hAnsi="Arial"/>
                <w:sz w:val="27"/>
                <w:szCs w:val="27"/>
                <w:color w:val="auto"/>
                <w:vertAlign w:val="superscript"/>
              </w:rPr>
              <w:t>(3)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36.64%</w:t>
            </w:r>
          </w:p>
        </w:tc>
        <w:tc>
          <w:tcPr>
            <w:tcW w:w="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(32.51)%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Shares outstanding at end of year</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7"/>
              </w:rPr>
              <w:t>69,053,958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71,060,836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71,060,836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72,966,043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75,092,911</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Ratios / Supplemental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60" w:type="dxa"/>
            <w:vAlign w:val="bottom"/>
            <w:shd w:val="clear" w:color="auto" w:fill="CCEEFF"/>
          </w:tcPr>
          <w:p>
            <w:pPr>
              <w:spacing w:after="0" w:line="207"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23"/>
                <w:szCs w:val="23"/>
                <w:color w:val="auto"/>
                <w:vertAlign w:val="superscript"/>
              </w:rPr>
              <w:t>(4), (5)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6.65%</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Ratio of interest and expenses on debt to average net assets</w:t>
            </w: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4.18%</w:t>
            </w: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23"/>
                <w:szCs w:val="23"/>
                <w:color w:val="auto"/>
                <w:vertAlign w:val="superscript"/>
              </w:rPr>
              <w:t>(5)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10.83%</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Ratio of net investment income to average net assets</w:t>
            </w: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10.70%</w:t>
            </w: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Net assets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628,901,895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646,808,471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643,366,856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716,590,542</w:t>
            </w:r>
          </w:p>
        </w:tc>
        <w:tc>
          <w:tcPr>
            <w:tcW w:w="3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7"/>
              </w:rPr>
              <w:t>828,009,949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line="227" w:lineRule="exact"/>
              <w:rPr>
                <w:sz w:val="20"/>
                <w:szCs w:val="20"/>
                <w:color w:val="auto"/>
              </w:rPr>
            </w:pPr>
            <w:r>
              <w:rPr>
                <w:rFonts w:ascii="Arial" w:cs="Arial" w:eastAsia="Arial" w:hAnsi="Arial"/>
                <w:sz w:val="16"/>
                <w:szCs w:val="16"/>
                <w:color w:val="auto"/>
              </w:rPr>
              <w:t xml:space="preserve">Weighted average debt outstanding </w:t>
            </w:r>
            <w:r>
              <w:rPr>
                <w:rFonts w:ascii="Arial" w:cs="Arial" w:eastAsia="Arial" w:hAnsi="Arial"/>
                <w:sz w:val="26"/>
                <w:szCs w:val="26"/>
                <w:color w:val="auto"/>
                <w:vertAlign w:val="superscript"/>
              </w:rPr>
              <w:t>(6)</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504,963,762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605,661,674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634,769,508</w:t>
            </w: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580,367,750</w:t>
            </w:r>
          </w:p>
        </w:tc>
        <w:tc>
          <w:tcPr>
            <w:tcW w:w="3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526,252,068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23"/>
                <w:szCs w:val="23"/>
                <w:color w:val="auto"/>
                <w:vertAlign w:val="superscript"/>
              </w:rPr>
              <w:t>(1), (6)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3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23"/>
                <w:szCs w:val="23"/>
                <w:color w:val="auto"/>
                <w:vertAlign w:val="superscript"/>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2,912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2,950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2,756</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2,569</w:t>
            </w:r>
          </w:p>
        </w:tc>
        <w:tc>
          <w:tcPr>
            <w:tcW w:w="3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3,198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23"/>
                <w:szCs w:val="23"/>
                <w:color w:val="auto"/>
                <w:vertAlign w:val="superscript"/>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3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Portfolio turnover ratio</w:t>
            </w: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56.51%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43.60%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26.50%</w:t>
            </w: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81915</wp:posOffset>
            </wp:positionV>
            <wp:extent cx="6965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43" w:lineRule="exact"/>
        <w:rPr>
          <w:sz w:val="20"/>
          <w:szCs w:val="20"/>
          <w:color w:val="auto"/>
        </w:rPr>
      </w:pPr>
    </w:p>
    <w:p>
      <w:pPr>
        <w:ind w:left="460" w:hanging="326"/>
        <w:spacing w:after="0"/>
        <w:tabs>
          <w:tab w:leader="none" w:pos="46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460" w:right="160" w:hanging="326"/>
        <w:spacing w:after="0" w:line="219"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460" w:hanging="326"/>
        <w:spacing w:after="0" w:line="219"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460" w:hanging="326"/>
        <w:spacing w:after="0" w:line="219"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460" w:right="120" w:hanging="326"/>
        <w:spacing w:after="0" w:line="219"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For the years ended September 30, 2018, 2017 and 2016, the ratio of operating expenses to average net assets before the waiver of certain Management Fees to average net assets was 5.21%, 6.65% and 7.64%, respectively, and the ratio of total expenses to average net assets before the waiver of certain Management Fees to average net assets was 8.75%, 11.33% and 11.82%, respectively.</w:t>
      </w:r>
    </w:p>
    <w:p>
      <w:pPr>
        <w:ind w:left="460" w:hanging="326"/>
        <w:spacing w:after="0" w:line="219"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460" w:right="280" w:hanging="326"/>
        <w:spacing w:after="0" w:line="235"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2240" w:h="15840" w:orient="portrait"/>
          <w:cols w:equalWidth="0" w:num="1">
            <w:col w:w="11060"/>
          </w:cols>
          <w:pgMar w:left="520" w:top="316" w:right="660"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700" w:right="252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5" w:lineRule="exact"/>
        <w:rPr>
          <w:sz w:val="20"/>
          <w:szCs w:val="20"/>
          <w:color w:val="auto"/>
        </w:rPr>
      </w:pPr>
    </w:p>
    <w:p>
      <w:pPr>
        <w:ind w:left="460" w:right="400"/>
        <w:spacing w:after="0" w:line="228" w:lineRule="auto"/>
        <w:rPr>
          <w:sz w:val="20"/>
          <w:szCs w:val="20"/>
          <w:color w:val="auto"/>
        </w:rPr>
      </w:pPr>
      <w:r>
        <w:rPr>
          <w:rFonts w:ascii="Arial" w:cs="Arial" w:eastAsia="Arial" w:hAnsi="Arial"/>
          <w:sz w:val="14"/>
          <w:szCs w:val="14"/>
          <w:color w:val="auto"/>
        </w:rPr>
        <w:t>coverage ratio is multiplied by $1,000 to determine the asset coverage per unit. These amounts exclude SBA debentures from our asset coverage per unit computation pursuant to exemptive relief received from the SEC in June 2011.</w:t>
      </w:r>
    </w:p>
    <w:p>
      <w:pPr>
        <w:spacing w:after="0" w:line="1" w:lineRule="exact"/>
        <w:rPr>
          <w:sz w:val="20"/>
          <w:szCs w:val="20"/>
          <w:color w:val="auto"/>
        </w:rPr>
      </w:pPr>
    </w:p>
    <w:p>
      <w:pPr>
        <w:ind w:left="460" w:right="600" w:hanging="326"/>
        <w:spacing w:after="0" w:line="267" w:lineRule="auto"/>
        <w:tabs>
          <w:tab w:leader="none" w:pos="460" w:val="left"/>
        </w:tabs>
        <w:numPr>
          <w:ilvl w:val="0"/>
          <w:numId w:val="104"/>
        </w:numPr>
        <w:rPr>
          <w:rFonts w:ascii="Arial" w:cs="Arial" w:eastAsia="Arial" w:hAnsi="Arial"/>
          <w:sz w:val="11"/>
          <w:szCs w:val="11"/>
          <w:color w:val="auto"/>
        </w:rPr>
      </w:pPr>
      <w:r>
        <w:rPr>
          <w:rFonts w:ascii="Arial" w:cs="Arial" w:eastAsia="Arial" w:hAnsi="Arial"/>
          <w:sz w:val="13"/>
          <w:szCs w:val="13"/>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September 30, 2018.</w:t>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11. DEBT</w:t>
      </w:r>
    </w:p>
    <w:p>
      <w:pPr>
        <w:spacing w:after="0" w:line="118" w:lineRule="exact"/>
        <w:rPr>
          <w:sz w:val="20"/>
          <w:szCs w:val="20"/>
          <w:color w:val="auto"/>
        </w:rPr>
      </w:pPr>
    </w:p>
    <w:p>
      <w:pPr>
        <w:ind w:left="140" w:right="260" w:firstLine="437"/>
        <w:spacing w:after="0" w:line="254" w:lineRule="auto"/>
        <w:rPr>
          <w:sz w:val="20"/>
          <w:szCs w:val="20"/>
          <w:color w:val="auto"/>
        </w:rPr>
      </w:pPr>
      <w:r>
        <w:rPr>
          <w:rFonts w:ascii="Arial" w:cs="Arial" w:eastAsia="Arial" w:hAnsi="Arial"/>
          <w:sz w:val="18"/>
          <w:szCs w:val="18"/>
          <w:color w:val="auto"/>
        </w:rPr>
        <w:t>The annualized weighted average cost of debt for the years ended September 30, 2018, 2017 and 2016, inclusive of the fee on the undrawn commitment and amendment costs on the Credit Facility, amortized upfront fees on SBA debentures and debt issuance costs, was 4.52%, 5.04% and 4.35%, respectively. As of September 30,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89" w:lineRule="exact"/>
        <w:rPr>
          <w:sz w:val="20"/>
          <w:szCs w:val="20"/>
          <w:color w:val="auto"/>
        </w:rPr>
      </w:pPr>
    </w:p>
    <w:p>
      <w:pPr>
        <w:ind w:left="140" w:right="80" w:firstLine="437"/>
        <w:spacing w:after="0" w:line="269" w:lineRule="auto"/>
        <w:rPr>
          <w:sz w:val="20"/>
          <w:szCs w:val="20"/>
          <w:color w:val="auto"/>
        </w:rPr>
      </w:pPr>
      <w:r>
        <w:rPr>
          <w:rFonts w:ascii="Arial" w:cs="Arial" w:eastAsia="Arial" w:hAnsi="Arial"/>
          <w:sz w:val="17"/>
          <w:szCs w:val="17"/>
          <w:color w:val="auto"/>
        </w:rPr>
        <w:t>On November 13, 2018, our board of directors approved the application of the modified asset coverage requirements set forth in Section 61(a)(2) of the 1940 Act, as amended by the Consolidated Appropriations Act of 2018 (which includes the SBCAA).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4" w:lineRule="exact"/>
        <w:rPr>
          <w:sz w:val="20"/>
          <w:szCs w:val="20"/>
          <w:color w:val="auto"/>
        </w:rPr>
      </w:pPr>
    </w:p>
    <w:p>
      <w:pPr>
        <w:ind w:left="140" w:firstLine="437"/>
        <w:spacing w:after="0" w:line="252" w:lineRule="auto"/>
        <w:rPr>
          <w:sz w:val="20"/>
          <w:szCs w:val="20"/>
          <w:color w:val="auto"/>
        </w:rPr>
      </w:pPr>
      <w:r>
        <w:rPr>
          <w:rFonts w:ascii="Arial" w:cs="Arial" w:eastAsia="Arial" w:hAnsi="Arial"/>
          <w:sz w:val="18"/>
          <w:szCs w:val="18"/>
          <w:color w:val="auto"/>
        </w:rPr>
        <w:t>As of September 30, 2018, we had a $445 million multi-currency Credit Facility with certain lenders and SunTrust Bank, acting as administrative agent, and JPMorgan Chase Bank, N.A., acting as syndication agent for the lenders. As of September 30, 2018 and 2017, we had $80.5 million (including a $2.0 million temporary draw) and $79.4 million, respectively, in outstanding borrowings under the Credit Facility. The Credit Facility had a weighted average interest rate of 3.79% and 2.42%, respectively, exclusive of the fee on undrawn commitments of 0.375%, as of September 30, 2018 and 2017. The Credit Facility is a five-year revolving facility with a stated maturity date of May 25, 2022, a one-year term-out period following its fourth year and pricing set at 225 basis points over LIBOR. The Credit Facility is secured by substantially all of our assets excluding assets held by our SBIC Funds.</w:t>
      </w:r>
    </w:p>
    <w:p>
      <w:pPr>
        <w:spacing w:after="0" w:line="29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4" w:lineRule="exact"/>
        <w:rPr>
          <w:sz w:val="20"/>
          <w:szCs w:val="20"/>
          <w:color w:val="auto"/>
        </w:rPr>
      </w:pPr>
    </w:p>
    <w:p>
      <w:pPr>
        <w:ind w:left="140" w:right="20" w:firstLine="437"/>
        <w:spacing w:after="0" w:line="288" w:lineRule="auto"/>
        <w:rPr>
          <w:sz w:val="20"/>
          <w:szCs w:val="20"/>
          <w:color w:val="auto"/>
        </w:rPr>
      </w:pPr>
      <w:r>
        <w:rPr>
          <w:rFonts w:ascii="Arial" w:cs="Arial" w:eastAsia="Arial" w:hAnsi="Arial"/>
          <w:sz w:val="16"/>
          <w:szCs w:val="16"/>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$30.0 million as of September 30, 2018. We have funded SBIC II with $75.0 million of equity capital and it had SBA debentures outstanding of $150.0 million as of September 30,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F-68</w:t>
      </w:r>
    </w:p>
    <w:p>
      <w:pPr>
        <w:sectPr>
          <w:pgSz w:w="12240" w:h="15840" w:orient="portrait"/>
          <w:cols w:equalWidth="0" w:num="1">
            <w:col w:w="11000"/>
          </w:cols>
          <w:pgMar w:left="520" w:top="316" w:right="720"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right="258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 of September 30, 2018 and 2017, our SBIC Funds had $300.0 million in debt commitments, respectively, of which $180.0 million and</w:t>
      </w:r>
    </w:p>
    <w:p>
      <w:pPr>
        <w:spacing w:after="0" w:line="20" w:lineRule="exact"/>
        <w:rPr>
          <w:sz w:val="20"/>
          <w:szCs w:val="20"/>
          <w:color w:val="auto"/>
        </w:rPr>
      </w:pPr>
    </w:p>
    <w:p>
      <w:pPr>
        <w:ind w:left="140" w:right="220"/>
        <w:spacing w:after="0" w:line="318" w:lineRule="auto"/>
        <w:rPr>
          <w:sz w:val="20"/>
          <w:szCs w:val="20"/>
          <w:color w:val="auto"/>
        </w:rPr>
      </w:pPr>
      <w:r>
        <w:rPr>
          <w:rFonts w:ascii="Arial" w:cs="Arial" w:eastAsia="Arial" w:hAnsi="Arial"/>
          <w:sz w:val="16"/>
          <w:szCs w:val="16"/>
          <w:color w:val="auto"/>
        </w:rPr>
        <w:t>$199.0 million was drawn, respectively. As of both September 30, 2018 and 2017, the unamortized fees on the SBA debentures was $4.6 million. The SBA debentures’ upfront fees of 3.43% consist of a commitment fee of 1.00% and an issuance discount of 2.43%, which are being amortized.</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fixed-rate SBA debentures were as follows:</w:t>
      </w:r>
    </w:p>
    <w:p>
      <w:pPr>
        <w:spacing w:after="0" w:line="22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86"/>
              </w:rPr>
              <w:t>Issuance Dates</w:t>
            </w:r>
          </w:p>
        </w:tc>
        <w:tc>
          <w:tcPr>
            <w:tcW w:w="3420" w:type="dxa"/>
            <w:vAlign w:val="bottom"/>
            <w:vMerge w:val="restart"/>
          </w:tcPr>
          <w:p>
            <w:pPr>
              <w:spacing w:after="0"/>
              <w:rPr>
                <w:sz w:val="14"/>
                <w:szCs w:val="14"/>
                <w:color w:val="auto"/>
              </w:rPr>
            </w:pPr>
          </w:p>
        </w:tc>
        <w:tc>
          <w:tcPr>
            <w:tcW w:w="22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Maturity</w:t>
            </w:r>
          </w:p>
        </w:tc>
        <w:tc>
          <w:tcPr>
            <w:tcW w:w="2720" w:type="dxa"/>
            <w:vAlign w:val="bottom"/>
            <w:gridSpan w:val="2"/>
            <w:vMerge w:val="restart"/>
          </w:tcPr>
          <w:p>
            <w:pPr>
              <w:jc w:val="center"/>
              <w:ind w:right="1000"/>
              <w:spacing w:after="0"/>
              <w:rPr>
                <w:sz w:val="20"/>
                <w:szCs w:val="20"/>
                <w:color w:val="auto"/>
              </w:rPr>
            </w:pPr>
            <w:r>
              <w:rPr>
                <w:rFonts w:ascii="Arial" w:cs="Arial" w:eastAsia="Arial" w:hAnsi="Arial"/>
                <w:sz w:val="14"/>
                <w:szCs w:val="14"/>
                <w:b w:val="1"/>
                <w:bCs w:val="1"/>
                <w:color w:val="auto"/>
                <w:w w:val="92"/>
              </w:rPr>
              <w:t xml:space="preserve">Fixed All-in Coupon Rate </w:t>
            </w:r>
            <w:r>
              <w:rPr>
                <w:rFonts w:ascii="Arial" w:cs="Arial" w:eastAsia="Arial" w:hAnsi="Arial"/>
                <w:sz w:val="12"/>
                <w:szCs w:val="12"/>
                <w:b w:val="1"/>
                <w:bCs w:val="1"/>
                <w:color w:val="auto"/>
                <w:w w:val="92"/>
              </w:rPr>
              <w:t>(1)</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3"/>
              </w:rPr>
              <w:t>As of September 30, 2018</w:t>
            </w:r>
          </w:p>
        </w:tc>
        <w:tc>
          <w:tcPr>
            <w:tcW w:w="0" w:type="dxa"/>
            <w:vAlign w:val="bottom"/>
          </w:tcPr>
          <w:p>
            <w:pPr>
              <w:spacing w:after="0"/>
              <w:rPr>
                <w:sz w:val="1"/>
                <w:szCs w:val="1"/>
                <w:color w:val="auto"/>
              </w:rPr>
            </w:pPr>
          </w:p>
        </w:tc>
      </w:tr>
      <w:tr>
        <w:trPr>
          <w:trHeight w:val="161"/>
        </w:trPr>
        <w:tc>
          <w:tcPr>
            <w:tcW w:w="900" w:type="dxa"/>
            <w:vAlign w:val="bottom"/>
            <w:tcBorders>
              <w:bottom w:val="single" w:sz="8" w:color="auto"/>
            </w:tcBorders>
            <w:vMerge w:val="continue"/>
          </w:tcPr>
          <w:p>
            <w:pPr>
              <w:spacing w:after="0"/>
              <w:rPr>
                <w:sz w:val="13"/>
                <w:szCs w:val="13"/>
                <w:color w:val="auto"/>
              </w:rPr>
            </w:pPr>
          </w:p>
        </w:tc>
        <w:tc>
          <w:tcPr>
            <w:tcW w:w="3420" w:type="dxa"/>
            <w:vAlign w:val="bottom"/>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280"/>
              <w:spacing w:after="0" w:line="157" w:lineRule="exact"/>
              <w:rPr>
                <w:sz w:val="20"/>
                <w:szCs w:val="20"/>
                <w:color w:val="auto"/>
              </w:rPr>
            </w:pPr>
            <w:r>
              <w:rPr>
                <w:rFonts w:ascii="Arial" w:cs="Arial" w:eastAsia="Arial" w:hAnsi="Arial"/>
                <w:sz w:val="14"/>
                <w:szCs w:val="14"/>
                <w:b w:val="1"/>
                <w:bCs w:val="1"/>
                <w:color w:val="auto"/>
                <w:w w:val="97"/>
              </w:rPr>
              <w:t>Principal Balance</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142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20" w:type="dxa"/>
            <w:vAlign w:val="bottom"/>
            <w:gridSpan w:val="2"/>
            <w:vMerge w:val="continue"/>
            <w:shd w:val="clear" w:color="auto" w:fill="CCEEFF"/>
          </w:tcPr>
          <w:p>
            <w:pPr>
              <w:spacing w:after="0"/>
              <w:rPr>
                <w:sz w:val="17"/>
                <w:szCs w:val="17"/>
                <w:color w:val="auto"/>
              </w:rPr>
            </w:pPr>
          </w:p>
        </w:tc>
        <w:tc>
          <w:tcPr>
            <w:tcW w:w="1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87"/>
              </w:rPr>
              <w:t>September 1, 2021</w:t>
            </w:r>
          </w:p>
        </w:tc>
        <w:tc>
          <w:tcPr>
            <w:tcW w:w="860" w:type="dxa"/>
            <w:vAlign w:val="bottom"/>
            <w:vMerge w:val="continue"/>
            <w:shd w:val="clear" w:color="auto" w:fill="CCEEFF"/>
          </w:tcPr>
          <w:p>
            <w:pPr>
              <w:spacing w:after="0"/>
              <w:rPr>
                <w:sz w:val="17"/>
                <w:szCs w:val="17"/>
                <w:color w:val="auto"/>
              </w:rPr>
            </w:pPr>
          </w:p>
        </w:tc>
        <w:tc>
          <w:tcPr>
            <w:tcW w:w="2720" w:type="dxa"/>
            <w:vAlign w:val="bottom"/>
            <w:gridSpan w:val="2"/>
            <w:shd w:val="clear" w:color="auto" w:fill="CCEEFF"/>
          </w:tcPr>
          <w:p>
            <w:pPr>
              <w:ind w:left="1420"/>
              <w:spacing w:after="0" w:line="201" w:lineRule="exact"/>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30,000,000</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2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2280" w:type="dxa"/>
            <w:vAlign w:val="bottom"/>
            <w:gridSpan w:val="2"/>
          </w:tcPr>
          <w:p>
            <w:pPr>
              <w:ind w:left="60"/>
              <w:spacing w:after="0"/>
              <w:rPr>
                <w:sz w:val="20"/>
                <w:szCs w:val="20"/>
                <w:color w:val="auto"/>
              </w:rPr>
            </w:pPr>
            <w:r>
              <w:rPr>
                <w:rFonts w:ascii="Arial" w:cs="Arial" w:eastAsia="Arial" w:hAnsi="Arial"/>
                <w:sz w:val="18"/>
                <w:szCs w:val="18"/>
                <w:color w:val="auto"/>
              </w:rPr>
              <w:t>March 1, 2026</w:t>
            </w:r>
          </w:p>
        </w:tc>
        <w:tc>
          <w:tcPr>
            <w:tcW w:w="2720" w:type="dxa"/>
            <w:vAlign w:val="bottom"/>
            <w:gridSpan w:val="2"/>
          </w:tcPr>
          <w:p>
            <w:pPr>
              <w:ind w:left="1420"/>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4"/>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2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September 1, 2026</w:t>
            </w:r>
          </w:p>
        </w:tc>
        <w:tc>
          <w:tcPr>
            <w:tcW w:w="27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4"/>
        </w:trPr>
        <w:tc>
          <w:tcPr>
            <w:tcW w:w="4320" w:type="dxa"/>
            <w:vAlign w:val="bottom"/>
            <w:gridSpan w:val="2"/>
          </w:tcPr>
          <w:p>
            <w:pPr>
              <w:spacing w:after="0"/>
              <w:rPr>
                <w:sz w:val="20"/>
                <w:szCs w:val="20"/>
                <w:color w:val="auto"/>
              </w:rPr>
            </w:pPr>
            <w:r>
              <w:rPr>
                <w:rFonts w:ascii="Arial" w:cs="Arial" w:eastAsia="Arial" w:hAnsi="Arial"/>
                <w:sz w:val="18"/>
                <w:szCs w:val="18"/>
                <w:color w:val="auto"/>
              </w:rPr>
              <w:t>September 20, 2017</w:t>
            </w:r>
          </w:p>
        </w:tc>
        <w:tc>
          <w:tcPr>
            <w:tcW w:w="2280" w:type="dxa"/>
            <w:vAlign w:val="bottom"/>
            <w:gridSpan w:val="2"/>
          </w:tcPr>
          <w:p>
            <w:pPr>
              <w:ind w:left="60"/>
              <w:spacing w:after="0"/>
              <w:rPr>
                <w:sz w:val="20"/>
                <w:szCs w:val="20"/>
                <w:color w:val="auto"/>
              </w:rPr>
            </w:pPr>
            <w:r>
              <w:rPr>
                <w:rFonts w:ascii="Arial" w:cs="Arial" w:eastAsia="Arial" w:hAnsi="Arial"/>
                <w:sz w:val="18"/>
                <w:szCs w:val="18"/>
                <w:color w:val="auto"/>
              </w:rPr>
              <w:t>September 1, 2027</w:t>
            </w:r>
          </w:p>
        </w:tc>
        <w:tc>
          <w:tcPr>
            <w:tcW w:w="2720" w:type="dxa"/>
            <w:vAlign w:val="bottom"/>
            <w:gridSpan w:val="2"/>
          </w:tcPr>
          <w:p>
            <w:pPr>
              <w:ind w:left="1420"/>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31,500,000</w:t>
            </w:r>
          </w:p>
        </w:tc>
        <w:tc>
          <w:tcPr>
            <w:tcW w:w="0" w:type="dxa"/>
            <w:vAlign w:val="bottom"/>
          </w:tcPr>
          <w:p>
            <w:pPr>
              <w:spacing w:after="0"/>
              <w:rPr>
                <w:sz w:val="1"/>
                <w:szCs w:val="1"/>
                <w:color w:val="auto"/>
              </w:rPr>
            </w:pPr>
          </w:p>
        </w:tc>
      </w:tr>
      <w:tr>
        <w:trPr>
          <w:trHeight w:val="214"/>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2018</w:t>
            </w:r>
          </w:p>
        </w:tc>
        <w:tc>
          <w:tcPr>
            <w:tcW w:w="2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March 1, 2028</w:t>
            </w:r>
          </w:p>
        </w:tc>
        <w:tc>
          <w:tcPr>
            <w:tcW w:w="174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85"/>
              </w:rPr>
              <w:t>3.53</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71,000,000</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20" w:type="dxa"/>
            <w:vAlign w:val="bottom"/>
            <w:gridSpan w:val="2"/>
          </w:tcPr>
          <w:p>
            <w:pPr>
              <w:ind w:left="142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86"/>
              </w:rPr>
              <w:t>Issuance Dates</w:t>
            </w:r>
          </w:p>
        </w:tc>
        <w:tc>
          <w:tcPr>
            <w:tcW w:w="3420" w:type="dxa"/>
            <w:vAlign w:val="bottom"/>
            <w:vMerge w:val="restart"/>
          </w:tcPr>
          <w:p>
            <w:pPr>
              <w:spacing w:after="0"/>
              <w:rPr>
                <w:sz w:val="24"/>
                <w:szCs w:val="24"/>
                <w:color w:val="auto"/>
              </w:rPr>
            </w:pPr>
          </w:p>
        </w:tc>
        <w:tc>
          <w:tcPr>
            <w:tcW w:w="22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Maturity</w:t>
            </w:r>
          </w:p>
        </w:tc>
        <w:tc>
          <w:tcPr>
            <w:tcW w:w="27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3"/>
              </w:rPr>
              <w:t>Fixed All-in Coupon Rate</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3"/>
              </w:rPr>
              <w:t>As of September 30, 2017</w:t>
            </w:r>
          </w:p>
        </w:tc>
        <w:tc>
          <w:tcPr>
            <w:tcW w:w="0" w:type="dxa"/>
            <w:vAlign w:val="bottom"/>
          </w:tcPr>
          <w:p>
            <w:pPr>
              <w:spacing w:after="0"/>
              <w:rPr>
                <w:sz w:val="1"/>
                <w:szCs w:val="1"/>
                <w:color w:val="auto"/>
              </w:rPr>
            </w:pPr>
          </w:p>
        </w:tc>
      </w:tr>
      <w:tr>
        <w:trPr>
          <w:trHeight w:val="152"/>
        </w:trPr>
        <w:tc>
          <w:tcPr>
            <w:tcW w:w="9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w w:val="97"/>
              </w:rPr>
              <w:t>Principal Balance</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March 29, 2011</w:t>
            </w:r>
          </w:p>
        </w:tc>
        <w:tc>
          <w:tcPr>
            <w:tcW w:w="142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20" w:type="dxa"/>
            <w:vAlign w:val="bottom"/>
            <w:gridSpan w:val="2"/>
            <w:vMerge w:val="continue"/>
            <w:shd w:val="clear" w:color="auto" w:fill="CCEEFF"/>
          </w:tcPr>
          <w:p>
            <w:pPr>
              <w:spacing w:after="0"/>
              <w:rPr>
                <w:sz w:val="17"/>
                <w:szCs w:val="17"/>
                <w:color w:val="auto"/>
              </w:rPr>
            </w:pPr>
          </w:p>
        </w:tc>
        <w:tc>
          <w:tcPr>
            <w:tcW w:w="1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March 1, 2021</w:t>
            </w:r>
          </w:p>
        </w:tc>
        <w:tc>
          <w:tcPr>
            <w:tcW w:w="860" w:type="dxa"/>
            <w:vAlign w:val="bottom"/>
            <w:vMerge w:val="continue"/>
            <w:shd w:val="clear" w:color="auto" w:fill="CCEEFF"/>
          </w:tcPr>
          <w:p>
            <w:pPr>
              <w:spacing w:after="0"/>
              <w:rPr>
                <w:sz w:val="17"/>
                <w:szCs w:val="17"/>
                <w:color w:val="auto"/>
              </w:rPr>
            </w:pPr>
          </w:p>
        </w:tc>
        <w:tc>
          <w:tcPr>
            <w:tcW w:w="2720" w:type="dxa"/>
            <w:vAlign w:val="bottom"/>
            <w:gridSpan w:val="2"/>
            <w:shd w:val="clear" w:color="auto" w:fill="CCEEFF"/>
          </w:tcPr>
          <w:p>
            <w:pPr>
              <w:ind w:left="1420"/>
              <w:spacing w:after="0" w:line="201" w:lineRule="exact"/>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15,000,000</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20" w:type="dxa"/>
            <w:vAlign w:val="bottom"/>
            <w:gridSpan w:val="2"/>
          </w:tcPr>
          <w:p>
            <w:pPr>
              <w:spacing w:after="0"/>
              <w:rPr>
                <w:sz w:val="20"/>
                <w:szCs w:val="20"/>
                <w:color w:val="auto"/>
              </w:rPr>
            </w:pPr>
            <w:r>
              <w:rPr>
                <w:rFonts w:ascii="Arial" w:cs="Arial" w:eastAsia="Arial" w:hAnsi="Arial"/>
                <w:sz w:val="18"/>
                <w:szCs w:val="18"/>
                <w:color w:val="auto"/>
              </w:rPr>
              <w:t>September 21, 2011</w:t>
            </w:r>
          </w:p>
        </w:tc>
        <w:tc>
          <w:tcPr>
            <w:tcW w:w="2280" w:type="dxa"/>
            <w:vAlign w:val="bottom"/>
            <w:gridSpan w:val="2"/>
          </w:tcPr>
          <w:p>
            <w:pPr>
              <w:ind w:left="60"/>
              <w:spacing w:after="0"/>
              <w:rPr>
                <w:sz w:val="20"/>
                <w:szCs w:val="20"/>
                <w:color w:val="auto"/>
              </w:rPr>
            </w:pPr>
            <w:r>
              <w:rPr>
                <w:rFonts w:ascii="Arial" w:cs="Arial" w:eastAsia="Arial" w:hAnsi="Arial"/>
                <w:sz w:val="18"/>
                <w:szCs w:val="18"/>
                <w:color w:val="auto"/>
              </w:rPr>
              <w:t>September 1, 2021</w:t>
            </w:r>
          </w:p>
        </w:tc>
        <w:tc>
          <w:tcPr>
            <w:tcW w:w="2720" w:type="dxa"/>
            <w:vAlign w:val="bottom"/>
            <w:gridSpan w:val="2"/>
          </w:tcPr>
          <w:p>
            <w:pPr>
              <w:ind w:left="1420"/>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105,000,000</w:t>
            </w:r>
          </w:p>
        </w:tc>
        <w:tc>
          <w:tcPr>
            <w:tcW w:w="0" w:type="dxa"/>
            <w:vAlign w:val="bottom"/>
          </w:tcPr>
          <w:p>
            <w:pPr>
              <w:spacing w:after="0"/>
              <w:rPr>
                <w:sz w:val="1"/>
                <w:szCs w:val="1"/>
                <w:color w:val="auto"/>
              </w:rPr>
            </w:pPr>
          </w:p>
        </w:tc>
      </w:tr>
      <w:tr>
        <w:trPr>
          <w:trHeight w:val="214"/>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23, 2016</w:t>
            </w:r>
          </w:p>
        </w:tc>
        <w:tc>
          <w:tcPr>
            <w:tcW w:w="2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March 1, 2026</w:t>
            </w:r>
          </w:p>
        </w:tc>
        <w:tc>
          <w:tcPr>
            <w:tcW w:w="27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4"/>
        </w:trPr>
        <w:tc>
          <w:tcPr>
            <w:tcW w:w="4320" w:type="dxa"/>
            <w:vAlign w:val="bottom"/>
            <w:gridSpan w:val="2"/>
          </w:tcPr>
          <w:p>
            <w:pPr>
              <w:spacing w:after="0"/>
              <w:rPr>
                <w:sz w:val="20"/>
                <w:szCs w:val="20"/>
                <w:color w:val="auto"/>
              </w:rPr>
            </w:pPr>
            <w:r>
              <w:rPr>
                <w:rFonts w:ascii="Arial" w:cs="Arial" w:eastAsia="Arial" w:hAnsi="Arial"/>
                <w:sz w:val="18"/>
                <w:szCs w:val="18"/>
                <w:color w:val="auto"/>
              </w:rPr>
              <w:t>September 21, 2016</w:t>
            </w:r>
          </w:p>
        </w:tc>
        <w:tc>
          <w:tcPr>
            <w:tcW w:w="2280" w:type="dxa"/>
            <w:vAlign w:val="bottom"/>
            <w:gridSpan w:val="2"/>
          </w:tcPr>
          <w:p>
            <w:pPr>
              <w:ind w:left="60"/>
              <w:spacing w:after="0"/>
              <w:rPr>
                <w:sz w:val="20"/>
                <w:szCs w:val="20"/>
                <w:color w:val="auto"/>
              </w:rPr>
            </w:pPr>
            <w:r>
              <w:rPr>
                <w:rFonts w:ascii="Arial" w:cs="Arial" w:eastAsia="Arial" w:hAnsi="Arial"/>
                <w:sz w:val="18"/>
                <w:szCs w:val="18"/>
                <w:color w:val="auto"/>
              </w:rPr>
              <w:t>September 1, 2026</w:t>
            </w:r>
          </w:p>
        </w:tc>
        <w:tc>
          <w:tcPr>
            <w:tcW w:w="2720" w:type="dxa"/>
            <w:vAlign w:val="bottom"/>
            <w:gridSpan w:val="2"/>
          </w:tcPr>
          <w:p>
            <w:pPr>
              <w:ind w:left="142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4"/>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2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September 1, 2027</w:t>
            </w:r>
          </w:p>
        </w:tc>
        <w:tc>
          <w:tcPr>
            <w:tcW w:w="174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85"/>
              </w:rPr>
              <w:t>2.87</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31,500,000</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20" w:type="dxa"/>
            <w:vAlign w:val="bottom"/>
            <w:gridSpan w:val="2"/>
          </w:tcPr>
          <w:p>
            <w:pPr>
              <w:ind w:left="1420"/>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199,000,000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62" w:lineRule="exact"/>
        <w:rPr>
          <w:sz w:val="20"/>
          <w:szCs w:val="20"/>
          <w:color w:val="auto"/>
        </w:rPr>
      </w:pPr>
    </w:p>
    <w:p>
      <w:pPr>
        <w:ind w:left="460" w:hanging="326"/>
        <w:spacing w:after="0"/>
        <w:tabs>
          <w:tab w:leader="none" w:pos="460" w:val="left"/>
        </w:tabs>
        <w:numPr>
          <w:ilvl w:val="0"/>
          <w:numId w:val="105"/>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5" w:lineRule="exact"/>
        <w:rPr>
          <w:sz w:val="20"/>
          <w:szCs w:val="20"/>
          <w:color w:val="auto"/>
        </w:rPr>
      </w:pPr>
    </w:p>
    <w:p>
      <w:pPr>
        <w:ind w:left="140" w:right="80" w:firstLine="437"/>
        <w:spacing w:after="0" w:line="252"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w:t>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2019 Notes</w:t>
      </w:r>
    </w:p>
    <w:p>
      <w:pPr>
        <w:spacing w:after="0" w:line="114" w:lineRule="exact"/>
        <w:rPr>
          <w:sz w:val="20"/>
          <w:szCs w:val="20"/>
          <w:color w:val="auto"/>
        </w:rPr>
      </w:pPr>
    </w:p>
    <w:p>
      <w:pPr>
        <w:ind w:left="140" w:right="140" w:firstLine="437"/>
        <w:spacing w:after="0" w:line="272" w:lineRule="auto"/>
        <w:rPr>
          <w:sz w:val="20"/>
          <w:szCs w:val="20"/>
          <w:color w:val="auto"/>
        </w:rPr>
      </w:pPr>
      <w:r>
        <w:rPr>
          <w:rFonts w:ascii="Arial" w:cs="Arial" w:eastAsia="Arial" w:hAnsi="Arial"/>
          <w:sz w:val="17"/>
          <w:szCs w:val="17"/>
          <w:color w:val="auto"/>
        </w:rPr>
        <w:t>As of September 30, 2018 and 2017,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2240" w:h="15840" w:orient="portrait"/>
          <w:cols w:equalWidth="0" w:num="1">
            <w:col w:w="11060"/>
          </w:cols>
          <w:pgMar w:left="520" w:top="316" w:right="660"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80" w:right="254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2025 Notes</w:t>
      </w:r>
    </w:p>
    <w:p>
      <w:pPr>
        <w:spacing w:after="0" w:line="114" w:lineRule="exact"/>
        <w:rPr>
          <w:sz w:val="20"/>
          <w:szCs w:val="20"/>
          <w:color w:val="auto"/>
        </w:rPr>
      </w:pPr>
    </w:p>
    <w:p>
      <w:pPr>
        <w:ind w:left="140" w:firstLine="437"/>
        <w:spacing w:after="0" w:line="254" w:lineRule="auto"/>
        <w:rPr>
          <w:sz w:val="20"/>
          <w:szCs w:val="20"/>
          <w:color w:val="auto"/>
        </w:rPr>
      </w:pPr>
      <w:r>
        <w:rPr>
          <w:rFonts w:ascii="Arial" w:cs="Arial" w:eastAsia="Arial" w:hAnsi="Arial"/>
          <w:sz w:val="18"/>
          <w:szCs w:val="18"/>
          <w:color w:val="auto"/>
        </w:rPr>
        <w:t>On June 29, 2017, the 6.25% notes due 2025, or 2025 Notes, were redeemed in full and no amounts were outstanding as of September 30, 2018 or 2017. Interest on the 2025 Notes was paid quarterly on February 1, May 1, August 1 and November 1, at a rate of 6.25% per year.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12. COMMITMENTS AND CONTINGENCIES</w:t>
      </w:r>
    </w:p>
    <w:p>
      <w:pPr>
        <w:spacing w:after="0" w:line="118" w:lineRule="exact"/>
        <w:rPr>
          <w:sz w:val="20"/>
          <w:szCs w:val="20"/>
          <w:color w:val="auto"/>
        </w:rPr>
      </w:pPr>
    </w:p>
    <w:p>
      <w:pPr>
        <w:ind w:left="140" w:right="60" w:firstLine="437"/>
        <w:spacing w:after="0" w:line="290"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September 30, 2018 and 2017, we had $60.6 million and $21.6 million, respectively, in commitments to fund investments. For the same periods, there were no letters of credit issued.</w:t>
      </w: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13. UNCONSOLIDATED SIGNIFICANT SUBSIDIARIES</w:t>
      </w:r>
    </w:p>
    <w:p>
      <w:pPr>
        <w:spacing w:after="0" w:line="118" w:lineRule="exact"/>
        <w:rPr>
          <w:sz w:val="20"/>
          <w:szCs w:val="20"/>
          <w:color w:val="auto"/>
        </w:rPr>
      </w:pPr>
    </w:p>
    <w:p>
      <w:pPr>
        <w:ind w:left="140" w:right="320" w:firstLine="437"/>
        <w:spacing w:after="0" w:line="270" w:lineRule="auto"/>
        <w:rPr>
          <w:sz w:val="20"/>
          <w:szCs w:val="20"/>
          <w:color w:val="auto"/>
        </w:rPr>
      </w:pPr>
      <w:r>
        <w:rPr>
          <w:rFonts w:ascii="Arial" w:cs="Arial" w:eastAsia="Arial" w:hAnsi="Arial"/>
          <w:sz w:val="17"/>
          <w:szCs w:val="17"/>
          <w:color w:val="auto"/>
        </w:rPr>
        <w:t>We must determine which, if any, of our unconsolidated controlled portfolio companies is a “significant subsidiary” within the meaning of Regulation S-X. Superior Digital Displays, LLC became a controlled affiliated investment as of December 31, 2013. We have determined that, as of September 30, 2018, Superior Digital Displays, LLC triggered at least one of the significance tests by 20%. As a result and in accordance with Rule 4-08(g) of Regulation S-K, presented below is summarized unaudited financial information for Superior Digital Displays, LLC as of September 30, 2018 and 2017 as well as for the year ended September 30, 2018, 2017 and 2016. In accordance with rule 3-09(b)(1), the separate audited financial statements of Superior Digital Displays, LLC are being filed herewith, as Exhibit 99.2.</w:t>
      </w:r>
    </w:p>
    <w:p>
      <w:pPr>
        <w:spacing w:after="0" w:line="198"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346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1960" w:type="dxa"/>
            <w:vAlign w:val="bottom"/>
          </w:tcPr>
          <w:p>
            <w:pPr>
              <w:spacing w:after="0"/>
              <w:rPr>
                <w:sz w:val="16"/>
                <w:szCs w:val="16"/>
                <w:color w:val="auto"/>
              </w:rPr>
            </w:pPr>
          </w:p>
        </w:tc>
        <w:tc>
          <w:tcPr>
            <w:tcW w:w="2360" w:type="dxa"/>
            <w:vAlign w:val="bottom"/>
            <w:gridSpan w:val="7"/>
          </w:tcPr>
          <w:p>
            <w:pPr>
              <w:ind w:left="140"/>
              <w:spacing w:after="0"/>
              <w:rPr>
                <w:sz w:val="20"/>
                <w:szCs w:val="20"/>
                <w:color w:val="auto"/>
              </w:rPr>
            </w:pPr>
            <w:r>
              <w:rPr>
                <w:rFonts w:ascii="Arial" w:cs="Arial" w:eastAsia="Arial" w:hAnsi="Arial"/>
                <w:sz w:val="14"/>
                <w:szCs w:val="14"/>
                <w:b w:val="1"/>
                <w:bCs w:val="1"/>
                <w:color w:val="auto"/>
              </w:rPr>
              <w:t>September 30, 2018</w:t>
            </w:r>
          </w:p>
        </w:tc>
        <w:tc>
          <w:tcPr>
            <w:tcW w:w="1380" w:type="dxa"/>
            <w:vAlign w:val="bottom"/>
            <w:gridSpan w:val="6"/>
          </w:tcPr>
          <w:p>
            <w:pPr>
              <w:ind w:left="140"/>
              <w:spacing w:after="0"/>
              <w:rPr>
                <w:sz w:val="20"/>
                <w:szCs w:val="20"/>
                <w:color w:val="auto"/>
              </w:rPr>
            </w:pPr>
            <w:r>
              <w:rPr>
                <w:rFonts w:ascii="Arial" w:cs="Arial" w:eastAsia="Arial" w:hAnsi="Arial"/>
                <w:sz w:val="14"/>
                <w:szCs w:val="14"/>
                <w:b w:val="1"/>
                <w:bCs w:val="1"/>
                <w:color w:val="auto"/>
                <w:w w:val="93"/>
              </w:rPr>
              <w:t>September 30, 2017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3"/>
              </w:rPr>
              <w:t>Current assets</w:t>
            </w:r>
          </w:p>
        </w:tc>
        <w:tc>
          <w:tcPr>
            <w:tcW w:w="2440" w:type="dxa"/>
            <w:vAlign w:val="bottom"/>
            <w:tcBorders>
              <w:top w:val="single" w:sz="8" w:color="CCEEFF"/>
            </w:tcBorders>
            <w:gridSpan w:val="2"/>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6"/>
              </w:rPr>
              <w:t>1,033.7</w:t>
            </w:r>
          </w:p>
        </w:tc>
        <w:tc>
          <w:tcPr>
            <w:tcW w:w="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712.0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6,663.1</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11,744.4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1,206.7</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3300" w:type="dxa"/>
            <w:vAlign w:val="bottom"/>
            <w:gridSpan w:val="5"/>
          </w:tcPr>
          <w:p>
            <w:pPr>
              <w:jc w:val="right"/>
              <w:spacing w:after="0"/>
              <w:rPr>
                <w:sz w:val="20"/>
                <w:szCs w:val="20"/>
                <w:color w:val="auto"/>
              </w:rPr>
            </w:pPr>
            <w:r>
              <w:rPr>
                <w:rFonts w:ascii="Arial" w:cs="Arial" w:eastAsia="Arial" w:hAnsi="Arial"/>
                <w:sz w:val="18"/>
                <w:szCs w:val="18"/>
                <w:color w:val="auto"/>
              </w:rPr>
              <w:t>23,065.9</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28,755.0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3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right"/>
              <w:ind w:right="211"/>
              <w:spacing w:after="0"/>
              <w:rPr>
                <w:sz w:val="20"/>
                <w:szCs w:val="20"/>
                <w:color w:val="auto"/>
              </w:rPr>
            </w:pPr>
            <w:r>
              <w:rPr>
                <w:rFonts w:ascii="Arial" w:cs="Arial" w:eastAsia="Arial" w:hAnsi="Arial"/>
                <w:sz w:val="14"/>
                <w:szCs w:val="14"/>
                <w:b w:val="1"/>
                <w:bCs w:val="1"/>
                <w:color w:val="auto"/>
                <w:w w:val="99"/>
              </w:rPr>
              <w:t>Years Ended September 30,</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460" w:type="dxa"/>
            <w:vAlign w:val="bottom"/>
            <w:gridSpan w:val="4"/>
            <w:vMerge w:val="continue"/>
          </w:tcPr>
          <w:p>
            <w:pPr>
              <w:spacing w:after="0"/>
              <w:rPr>
                <w:sz w:val="12"/>
                <w:szCs w:val="12"/>
                <w:color w:val="auto"/>
              </w:rPr>
            </w:pPr>
          </w:p>
        </w:tc>
        <w:tc>
          <w:tcPr>
            <w:tcW w:w="1960" w:type="dxa"/>
            <w:vAlign w:val="bottom"/>
          </w:tcPr>
          <w:p>
            <w:pPr>
              <w:spacing w:after="0"/>
              <w:rPr>
                <w:sz w:val="12"/>
                <w:szCs w:val="12"/>
                <w:color w:val="auto"/>
              </w:rPr>
            </w:pPr>
          </w:p>
        </w:tc>
        <w:tc>
          <w:tcPr>
            <w:tcW w:w="720" w:type="dxa"/>
            <w:vAlign w:val="bottom"/>
            <w:gridSpan w:val="2"/>
          </w:tcPr>
          <w:p>
            <w:pPr>
              <w:jc w:val="right"/>
              <w:ind w:right="131"/>
              <w:spacing w:after="0" w:line="127"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400" w:type="dxa"/>
            <w:vAlign w:val="bottom"/>
            <w:gridSpan w:val="3"/>
          </w:tcPr>
          <w:p>
            <w:pPr>
              <w:jc w:val="right"/>
              <w:ind w:right="171"/>
              <w:spacing w:after="0" w:line="127"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3"/>
              <w:spacing w:after="0" w:line="127"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6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revenue</w:t>
            </w:r>
          </w:p>
        </w:tc>
        <w:tc>
          <w:tcPr>
            <w:tcW w:w="218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$ 1,985.7</w:t>
            </w: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gridSpan w:val="2"/>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  1,180.7</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507.8</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196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11,240.4</w:t>
            </w:r>
          </w:p>
        </w:tc>
        <w:tc>
          <w:tcPr>
            <w:tcW w:w="6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13,265.2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(9,254.7)</w:t>
            </w:r>
          </w:p>
        </w:tc>
        <w:tc>
          <w:tcPr>
            <w:tcW w:w="1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(12,485.9)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(12,757.4)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93345</wp:posOffset>
            </wp:positionV>
            <wp:extent cx="6965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62" w:lineRule="exact"/>
        <w:rPr>
          <w:sz w:val="20"/>
          <w:szCs w:val="20"/>
          <w:color w:val="auto"/>
        </w:rPr>
      </w:pPr>
    </w:p>
    <w:p>
      <w:pPr>
        <w:ind w:left="460" w:hanging="326"/>
        <w:spacing w:after="0"/>
        <w:tabs>
          <w:tab w:leader="none" w:pos="460" w:val="left"/>
        </w:tabs>
        <w:numPr>
          <w:ilvl w:val="0"/>
          <w:numId w:val="106"/>
        </w:numPr>
        <w:rPr>
          <w:rFonts w:ascii="Arial" w:cs="Arial" w:eastAsia="Arial" w:hAnsi="Arial"/>
          <w:sz w:val="12"/>
          <w:szCs w:val="12"/>
          <w:color w:val="auto"/>
        </w:rPr>
      </w:pPr>
      <w:r>
        <w:rPr>
          <w:rFonts w:ascii="Arial" w:cs="Arial" w:eastAsia="Arial" w:hAnsi="Arial"/>
          <w:sz w:val="14"/>
          <w:szCs w:val="14"/>
          <w:color w:val="auto"/>
        </w:rPr>
        <w:t>All amounts are in thousands and unaudited.</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F-70</w:t>
      </w:r>
    </w:p>
    <w:p>
      <w:pPr>
        <w:sectPr>
          <w:pgSz w:w="12240" w:h="15840" w:orient="portrait"/>
          <w:cols w:equalWidth="0" w:num="1">
            <w:col w:w="11020"/>
          </w:cols>
          <w:pgMar w:left="520" w:top="316" w:right="700"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 w:right="256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14. STOCK REPURCHASE PROGRAM</w:t>
      </w:r>
    </w:p>
    <w:p>
      <w:pPr>
        <w:spacing w:after="0" w:line="118" w:lineRule="exact"/>
        <w:rPr>
          <w:sz w:val="20"/>
          <w:szCs w:val="20"/>
          <w:color w:val="auto"/>
        </w:rPr>
      </w:pPr>
    </w:p>
    <w:p>
      <w:pPr>
        <w:ind w:left="140" w:right="40" w:firstLine="437"/>
        <w:spacing w:after="0" w:line="290" w:lineRule="auto"/>
        <w:rPr>
          <w:sz w:val="20"/>
          <w:szCs w:val="20"/>
          <w:color w:val="auto"/>
        </w:rPr>
      </w:pPr>
      <w:r>
        <w:rPr>
          <w:rFonts w:ascii="Arial" w:cs="Arial" w:eastAsia="Arial" w:hAnsi="Arial"/>
          <w:sz w:val="16"/>
          <w:szCs w:val="16"/>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years ended September 30, 2018, 2017 and 2016, we repurchased 2.0 million, zero and 1.9 million shares of common stock in open market transactions for an aggregate cost (including transaction costs) of $15.0 million, zero and $12.2 million, respectively.</w:t>
      </w: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15. SUBSEQUENT EVENTS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November 13, 2018, our board of directors authorized the Company to redeem $250.0 million outstanding aggregate principal amount of its</w:t>
      </w:r>
    </w:p>
    <w:p>
      <w:pPr>
        <w:spacing w:after="0" w:line="43" w:lineRule="exact"/>
        <w:rPr>
          <w:sz w:val="20"/>
          <w:szCs w:val="20"/>
          <w:color w:val="auto"/>
        </w:rPr>
      </w:pPr>
    </w:p>
    <w:p>
      <w:pPr>
        <w:ind w:left="140" w:right="480"/>
        <w:spacing w:after="0" w:line="256" w:lineRule="auto"/>
        <w:rPr>
          <w:sz w:val="20"/>
          <w:szCs w:val="20"/>
          <w:color w:val="auto"/>
        </w:rPr>
      </w:pPr>
      <w:r>
        <w:rPr>
          <w:rFonts w:ascii="Arial" w:cs="Arial" w:eastAsia="Arial" w:hAnsi="Arial"/>
          <w:sz w:val="18"/>
          <w:szCs w:val="18"/>
          <w:color w:val="auto"/>
        </w:rPr>
        <w:t>2019 Notes with a rate of 4.50% per year due October 1, 2019. The 2019 Notes will be prepaid at 100% of the principal amount, plus accrued and unpaid interest through the prepayment date, as well as a make-whole premium.</w:t>
      </w:r>
    </w:p>
    <w:p>
      <w:pPr>
        <w:spacing w:after="0" w:line="188" w:lineRule="exact"/>
        <w:rPr>
          <w:sz w:val="20"/>
          <w:szCs w:val="20"/>
          <w:color w:val="auto"/>
        </w:rPr>
      </w:pPr>
    </w:p>
    <w:p>
      <w:pPr>
        <w:ind w:left="140" w:right="120" w:firstLine="437"/>
        <w:spacing w:after="0" w:line="269" w:lineRule="auto"/>
        <w:rPr>
          <w:sz w:val="20"/>
          <w:szCs w:val="20"/>
          <w:color w:val="auto"/>
        </w:rPr>
      </w:pPr>
      <w:r>
        <w:rPr>
          <w:rFonts w:ascii="Arial" w:cs="Arial" w:eastAsia="Arial" w:hAnsi="Arial"/>
          <w:sz w:val="17"/>
          <w:szCs w:val="17"/>
          <w:color w:val="auto"/>
        </w:rPr>
        <w:t>On November 13, 2018, our board of directors approved the application of the modified asset coverage requirements set forth in Section 61(a)(2) of the 1940 Act, as amended by the Consolidated Appropriations Act of 2018 (which includes the SBCAA).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179" w:lineRule="exact"/>
        <w:rPr>
          <w:sz w:val="20"/>
          <w:szCs w:val="20"/>
          <w:color w:val="auto"/>
        </w:rPr>
      </w:pPr>
    </w:p>
    <w:p>
      <w:pPr>
        <w:ind w:left="140" w:firstLine="437"/>
        <w:spacing w:after="0" w:line="254" w:lineRule="auto"/>
        <w:rPr>
          <w:sz w:val="20"/>
          <w:szCs w:val="20"/>
          <w:color w:val="auto"/>
        </w:rPr>
      </w:pPr>
      <w:r>
        <w:rPr>
          <w:rFonts w:ascii="Arial" w:cs="Arial" w:eastAsia="Arial" w:hAnsi="Arial"/>
          <w:sz w:val="18"/>
          <w:szCs w:val="18"/>
          <w:color w:val="auto"/>
        </w:rPr>
        <w:t>On November 13, 2018, our board of directors approved the reduction of the asset coverage requirement following the Company’s analysis of how the increased leverage flexibility could affect the Company’s strategic priorities and positive long-term value creation for shareholders, as well as an assessment of the associated risks and how they can be managed or mitigated. Our board of directors also approved an amendment to the Investment Advisory Agreement reducing the Investment Advisor’s annual base management fee from 1.50% to 1.00% on gross assets that exceed 200% of the Company’s total net assets as of the immediately preceding quarter-end.</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F-71</w:t>
      </w:r>
    </w:p>
    <w:p>
      <w:pPr>
        <w:sectPr>
          <w:pgSz w:w="12240" w:h="15840" w:orient="portrait"/>
          <w:cols w:equalWidth="0" w:num="1">
            <w:col w:w="11040"/>
          </w:cols>
          <w:pgMar w:left="520" w:top="317" w:right="680"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PART C</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OTHER INFORMATION</w:t>
      </w:r>
    </w:p>
    <w:p>
      <w:pPr>
        <w:spacing w:after="0" w:line="206"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7"/>
          <w:szCs w:val="17"/>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25" w:lineRule="exact"/>
        <w:rPr>
          <w:sz w:val="20"/>
          <w:szCs w:val="20"/>
          <w:color w:val="auto"/>
        </w:rPr>
      </w:pPr>
    </w:p>
    <w:p>
      <w:pPr>
        <w:ind w:left="1160" w:hanging="862"/>
        <w:spacing w:after="0"/>
        <w:tabs>
          <w:tab w:leader="none" w:pos="116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Financial Statements</w:t>
      </w:r>
    </w:p>
    <w:p>
      <w:pPr>
        <w:spacing w:after="0" w:line="125"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The Index to Consolidated Financial Statements on page F-1 of this Registration Statement is hereby incorporated by reference.</w:t>
      </w:r>
    </w:p>
    <w:p>
      <w:pPr>
        <w:spacing w:after="0" w:line="193" w:lineRule="exact"/>
        <w:rPr>
          <w:sz w:val="20"/>
          <w:szCs w:val="20"/>
          <w:color w:val="auto"/>
        </w:rPr>
      </w:pPr>
    </w:p>
    <w:p>
      <w:pPr>
        <w:ind w:left="1160" w:hanging="862"/>
        <w:spacing w:after="0"/>
        <w:tabs>
          <w:tab w:leader="none" w:pos="11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Exhibits</w:t>
      </w:r>
    </w:p>
    <w:p>
      <w:pPr>
        <w:spacing w:after="0" w:line="193" w:lineRule="exact"/>
        <w:rPr>
          <w:sz w:val="20"/>
          <w:szCs w:val="20"/>
          <w:color w:val="auto"/>
        </w:rPr>
      </w:pPr>
    </w:p>
    <w:p>
      <w:pPr>
        <w:ind w:left="1160" w:right="520" w:hanging="872"/>
        <w:spacing w:after="0" w:line="294" w:lineRule="auto"/>
        <w:tabs>
          <w:tab w:leader="none" w:pos="11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Articles of Amendment and Restatement of the Registrant (Incorporated by reference to Exhibit 99(a) to the Registrant’s Pre-Effective Amendment No. 3 to the Registration Statement on Form N-2/A (File No. 333-140092), filed on April 5, 2007).</w:t>
      </w:r>
    </w:p>
    <w:p>
      <w:pPr>
        <w:spacing w:after="0" w:line="123" w:lineRule="exact"/>
        <w:rPr>
          <w:rFonts w:ascii="Arial" w:cs="Arial" w:eastAsia="Arial" w:hAnsi="Arial"/>
          <w:sz w:val="17"/>
          <w:szCs w:val="17"/>
          <w:color w:val="auto"/>
        </w:rPr>
      </w:pPr>
    </w:p>
    <w:p>
      <w:pPr>
        <w:ind w:left="1160" w:right="240" w:hanging="877"/>
        <w:spacing w:after="0" w:line="294" w:lineRule="auto"/>
        <w:tabs>
          <w:tab w:leader="none" w:pos="11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Amended and Restated Bylaws of the Registrant (Incorporated by reference to Exhibit 3.1 to the Registrant’s Current Report on Form 8-K (File No. 814-00736), filed on December 2, 2015).</w:t>
      </w:r>
    </w:p>
    <w:p>
      <w:pPr>
        <w:spacing w:after="0" w:line="123"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720" w:type="dxa"/>
            <w:vAlign w:val="bottom"/>
          </w:tcPr>
          <w:p>
            <w:pPr>
              <w:spacing w:after="0"/>
              <w:rPr>
                <w:sz w:val="20"/>
                <w:szCs w:val="20"/>
                <w:color w:val="auto"/>
              </w:rPr>
            </w:pPr>
            <w:r>
              <w:rPr>
                <w:rFonts w:ascii="Arial" w:cs="Arial" w:eastAsia="Arial" w:hAnsi="Arial"/>
                <w:sz w:val="17"/>
                <w:szCs w:val="17"/>
                <w:color w:val="auto"/>
              </w:rPr>
              <w:t>(d)(1)</w:t>
            </w:r>
          </w:p>
        </w:tc>
        <w:tc>
          <w:tcPr>
            <w:tcW w:w="10180" w:type="dxa"/>
            <w:vAlign w:val="bottom"/>
          </w:tcPr>
          <w:p>
            <w:pPr>
              <w:ind w:left="300"/>
              <w:spacing w:after="0"/>
              <w:rPr>
                <w:sz w:val="20"/>
                <w:szCs w:val="20"/>
                <w:color w:val="auto"/>
              </w:rPr>
            </w:pPr>
            <w:r>
              <w:rPr>
                <w:rFonts w:ascii="Arial" w:cs="Arial" w:eastAsia="Arial" w:hAnsi="Arial"/>
                <w:sz w:val="17"/>
                <w:szCs w:val="17"/>
                <w:color w:val="auto"/>
                <w:w w:val="95"/>
              </w:rPr>
              <w:t>Form of Share Certificate (Incorporated by reference to Exhibit 99.(d)(1) to the Registrant’s Registration Statement on Form N-2 (File No.</w:t>
            </w:r>
          </w:p>
        </w:tc>
      </w:tr>
      <w:tr>
        <w:trPr>
          <w:trHeight w:val="221"/>
        </w:trPr>
        <w:tc>
          <w:tcPr>
            <w:tcW w:w="7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7"/>
                <w:szCs w:val="17"/>
                <w:color w:val="auto"/>
              </w:rPr>
              <w:t>333-150033), filed on April 2, 2008).</w:t>
            </w:r>
          </w:p>
        </w:tc>
      </w:tr>
      <w:tr>
        <w:trPr>
          <w:trHeight w:val="381"/>
        </w:trPr>
        <w:tc>
          <w:tcPr>
            <w:tcW w:w="720" w:type="dxa"/>
            <w:vAlign w:val="bottom"/>
          </w:tcPr>
          <w:p>
            <w:pPr>
              <w:spacing w:after="0"/>
              <w:rPr>
                <w:sz w:val="20"/>
                <w:szCs w:val="20"/>
                <w:color w:val="auto"/>
              </w:rPr>
            </w:pPr>
            <w:r>
              <w:rPr>
                <w:rFonts w:ascii="Arial" w:cs="Arial" w:eastAsia="Arial" w:hAnsi="Arial"/>
                <w:sz w:val="17"/>
                <w:szCs w:val="17"/>
                <w:color w:val="auto"/>
              </w:rPr>
              <w:t>(d)(2)</w:t>
            </w:r>
          </w:p>
        </w:tc>
        <w:tc>
          <w:tcPr>
            <w:tcW w:w="10180" w:type="dxa"/>
            <w:vAlign w:val="bottom"/>
          </w:tcPr>
          <w:p>
            <w:pPr>
              <w:ind w:left="300"/>
              <w:spacing w:after="0"/>
              <w:rPr>
                <w:sz w:val="20"/>
                <w:szCs w:val="20"/>
                <w:color w:val="auto"/>
              </w:rPr>
            </w:pPr>
            <w:r>
              <w:rPr>
                <w:rFonts w:ascii="Arial" w:cs="Arial" w:eastAsia="Arial" w:hAnsi="Arial"/>
                <w:sz w:val="17"/>
                <w:szCs w:val="17"/>
                <w:color w:val="auto"/>
              </w:rPr>
              <w:t>Form of Subscription Certificate (Incorporated by reference to Exhibit 99.(d)(2) to the Registrant’s Pre-Effective Amendment to the</w:t>
            </w:r>
          </w:p>
        </w:tc>
      </w:tr>
      <w:tr>
        <w:trPr>
          <w:trHeight w:val="221"/>
        </w:trPr>
        <w:tc>
          <w:tcPr>
            <w:tcW w:w="7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7"/>
                <w:szCs w:val="17"/>
                <w:color w:val="auto"/>
              </w:rPr>
              <w:t>Registration Statement on Form N-2/A (File No. 333-150033), filed on May 30, 2008).</w:t>
            </w:r>
          </w:p>
        </w:tc>
      </w:tr>
      <w:tr>
        <w:trPr>
          <w:trHeight w:val="381"/>
        </w:trPr>
        <w:tc>
          <w:tcPr>
            <w:tcW w:w="720" w:type="dxa"/>
            <w:vAlign w:val="bottom"/>
          </w:tcPr>
          <w:p>
            <w:pPr>
              <w:spacing w:after="0"/>
              <w:rPr>
                <w:sz w:val="20"/>
                <w:szCs w:val="20"/>
                <w:color w:val="auto"/>
              </w:rPr>
            </w:pPr>
            <w:r>
              <w:rPr>
                <w:rFonts w:ascii="Arial" w:cs="Arial" w:eastAsia="Arial" w:hAnsi="Arial"/>
                <w:sz w:val="17"/>
                <w:szCs w:val="17"/>
                <w:color w:val="auto"/>
              </w:rPr>
              <w:t>(d)(3)</w:t>
            </w:r>
          </w:p>
        </w:tc>
        <w:tc>
          <w:tcPr>
            <w:tcW w:w="10180" w:type="dxa"/>
            <w:vAlign w:val="bottom"/>
          </w:tcPr>
          <w:p>
            <w:pPr>
              <w:ind w:left="300"/>
              <w:spacing w:after="0"/>
              <w:rPr>
                <w:sz w:val="20"/>
                <w:szCs w:val="20"/>
                <w:color w:val="auto"/>
              </w:rPr>
            </w:pPr>
            <w:r>
              <w:rPr>
                <w:rFonts w:ascii="Arial" w:cs="Arial" w:eastAsia="Arial" w:hAnsi="Arial"/>
                <w:sz w:val="17"/>
                <w:szCs w:val="17"/>
                <w:color w:val="auto"/>
                <w:w w:val="95"/>
              </w:rPr>
              <w:t>Form of Subscription Agent Agreement (Incorporated by reference to Exhibit 99.(d)(4) to the Registrant’s Pre-Effective Amendment to the</w:t>
            </w:r>
          </w:p>
        </w:tc>
      </w:tr>
      <w:tr>
        <w:trPr>
          <w:trHeight w:val="221"/>
        </w:trPr>
        <w:tc>
          <w:tcPr>
            <w:tcW w:w="7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7"/>
                <w:szCs w:val="17"/>
                <w:color w:val="auto"/>
              </w:rPr>
              <w:t>Registration Statement on Form N-2/A (File No. 333-150033), filed on May 30, 2008).</w:t>
            </w:r>
          </w:p>
        </w:tc>
      </w:tr>
      <w:tr>
        <w:trPr>
          <w:trHeight w:val="381"/>
        </w:trPr>
        <w:tc>
          <w:tcPr>
            <w:tcW w:w="720" w:type="dxa"/>
            <w:vAlign w:val="bottom"/>
          </w:tcPr>
          <w:p>
            <w:pPr>
              <w:spacing w:after="0"/>
              <w:rPr>
                <w:sz w:val="20"/>
                <w:szCs w:val="20"/>
                <w:color w:val="auto"/>
              </w:rPr>
            </w:pPr>
            <w:r>
              <w:rPr>
                <w:rFonts w:ascii="Arial" w:cs="Arial" w:eastAsia="Arial" w:hAnsi="Arial"/>
                <w:sz w:val="17"/>
                <w:szCs w:val="17"/>
                <w:color w:val="auto"/>
              </w:rPr>
              <w:t>(d)(4)</w:t>
            </w:r>
          </w:p>
        </w:tc>
        <w:tc>
          <w:tcPr>
            <w:tcW w:w="10180" w:type="dxa"/>
            <w:vAlign w:val="bottom"/>
          </w:tcPr>
          <w:p>
            <w:pPr>
              <w:ind w:left="300"/>
              <w:spacing w:after="0"/>
              <w:rPr>
                <w:sz w:val="20"/>
                <w:szCs w:val="20"/>
                <w:color w:val="auto"/>
              </w:rPr>
            </w:pPr>
            <w:r>
              <w:rPr>
                <w:rFonts w:ascii="Arial" w:cs="Arial" w:eastAsia="Arial" w:hAnsi="Arial"/>
                <w:sz w:val="17"/>
                <w:szCs w:val="17"/>
                <w:color w:val="auto"/>
                <w:w w:val="94"/>
              </w:rPr>
              <w:t>Form of Warrant Agreement (Incorporated by reference to Exhibit 99.(d)(5) to the Registrant’s Pre-Effective Amendment to the Registration</w:t>
            </w:r>
          </w:p>
        </w:tc>
      </w:tr>
      <w:tr>
        <w:trPr>
          <w:trHeight w:val="221"/>
        </w:trPr>
        <w:tc>
          <w:tcPr>
            <w:tcW w:w="7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7"/>
                <w:szCs w:val="17"/>
                <w:color w:val="auto"/>
              </w:rPr>
              <w:t>Statement on Form N-2/A (File No. 333-150033), filed on May 30, 2008).</w:t>
            </w:r>
          </w:p>
        </w:tc>
      </w:tr>
      <w:tr>
        <w:trPr>
          <w:trHeight w:val="381"/>
        </w:trPr>
        <w:tc>
          <w:tcPr>
            <w:tcW w:w="720" w:type="dxa"/>
            <w:vAlign w:val="bottom"/>
          </w:tcPr>
          <w:p>
            <w:pPr>
              <w:spacing w:after="0"/>
              <w:rPr>
                <w:sz w:val="20"/>
                <w:szCs w:val="20"/>
                <w:color w:val="auto"/>
              </w:rPr>
            </w:pPr>
            <w:r>
              <w:rPr>
                <w:rFonts w:ascii="Arial" w:cs="Arial" w:eastAsia="Arial" w:hAnsi="Arial"/>
                <w:sz w:val="17"/>
                <w:szCs w:val="17"/>
                <w:color w:val="auto"/>
              </w:rPr>
              <w:t>(d)(5)</w:t>
            </w:r>
          </w:p>
        </w:tc>
        <w:tc>
          <w:tcPr>
            <w:tcW w:w="10180" w:type="dxa"/>
            <w:vAlign w:val="bottom"/>
          </w:tcPr>
          <w:p>
            <w:pPr>
              <w:ind w:left="300"/>
              <w:spacing w:after="0"/>
              <w:rPr>
                <w:sz w:val="20"/>
                <w:szCs w:val="20"/>
                <w:color w:val="auto"/>
              </w:rPr>
            </w:pPr>
            <w:r>
              <w:rPr>
                <w:rFonts w:ascii="Arial" w:cs="Arial" w:eastAsia="Arial" w:hAnsi="Arial"/>
                <w:sz w:val="17"/>
                <w:szCs w:val="17"/>
                <w:color w:val="auto"/>
                <w:w w:val="94"/>
              </w:rPr>
              <w:t>Form T-1 Statement of Eligibility with respect to the Form of Indenture (Incorporated by reference to Exhibit 2(d)(6) to the Registrant’s Pre-</w:t>
            </w:r>
          </w:p>
        </w:tc>
      </w:tr>
      <w:tr>
        <w:trPr>
          <w:trHeight w:val="221"/>
        </w:trPr>
        <w:tc>
          <w:tcPr>
            <w:tcW w:w="7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7"/>
                <w:szCs w:val="17"/>
                <w:color w:val="auto"/>
              </w:rPr>
              <w:t>Effective Amendment to the Registration Statement on Form N-2/A (File No. 333-172524), filed August 22, 2011).</w:t>
            </w:r>
          </w:p>
        </w:tc>
      </w:tr>
      <w:tr>
        <w:trPr>
          <w:trHeight w:val="381"/>
        </w:trPr>
        <w:tc>
          <w:tcPr>
            <w:tcW w:w="720" w:type="dxa"/>
            <w:vAlign w:val="bottom"/>
          </w:tcPr>
          <w:p>
            <w:pPr>
              <w:spacing w:after="0"/>
              <w:rPr>
                <w:sz w:val="20"/>
                <w:szCs w:val="20"/>
                <w:color w:val="auto"/>
              </w:rPr>
            </w:pPr>
            <w:r>
              <w:rPr>
                <w:rFonts w:ascii="Arial" w:cs="Arial" w:eastAsia="Arial" w:hAnsi="Arial"/>
                <w:sz w:val="17"/>
                <w:szCs w:val="17"/>
                <w:color w:val="auto"/>
              </w:rPr>
              <w:t>(d)(6)</w:t>
            </w:r>
          </w:p>
        </w:tc>
        <w:tc>
          <w:tcPr>
            <w:tcW w:w="10180" w:type="dxa"/>
            <w:vAlign w:val="bottom"/>
          </w:tcPr>
          <w:p>
            <w:pPr>
              <w:ind w:left="300"/>
              <w:spacing w:after="0"/>
              <w:rPr>
                <w:sz w:val="20"/>
                <w:szCs w:val="20"/>
                <w:color w:val="auto"/>
              </w:rPr>
            </w:pPr>
            <w:r>
              <w:rPr>
                <w:rFonts w:ascii="Arial" w:cs="Arial" w:eastAsia="Arial" w:hAnsi="Arial"/>
                <w:sz w:val="17"/>
                <w:szCs w:val="17"/>
                <w:color w:val="auto"/>
              </w:rPr>
              <w:t>Form of Articles Supplementary (Incorporated by reference to Exhibit 2(d)(7) to the Registrant’s Pre-Effective Amendment to the</w:t>
            </w:r>
          </w:p>
        </w:tc>
      </w:tr>
      <w:tr>
        <w:trPr>
          <w:trHeight w:val="221"/>
        </w:trPr>
        <w:tc>
          <w:tcPr>
            <w:tcW w:w="7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7"/>
                <w:szCs w:val="17"/>
                <w:color w:val="auto"/>
              </w:rPr>
              <w:t>Registration Statement on Form N-2/A (File No. 333-172524), filed August 22, 2011).</w:t>
            </w:r>
          </w:p>
        </w:tc>
      </w:tr>
      <w:tr>
        <w:trPr>
          <w:trHeight w:val="381"/>
        </w:trPr>
        <w:tc>
          <w:tcPr>
            <w:tcW w:w="720" w:type="dxa"/>
            <w:vAlign w:val="bottom"/>
          </w:tcPr>
          <w:p>
            <w:pPr>
              <w:spacing w:after="0"/>
              <w:rPr>
                <w:sz w:val="20"/>
                <w:szCs w:val="20"/>
                <w:color w:val="auto"/>
              </w:rPr>
            </w:pPr>
            <w:r>
              <w:rPr>
                <w:rFonts w:ascii="Arial" w:cs="Arial" w:eastAsia="Arial" w:hAnsi="Arial"/>
                <w:sz w:val="17"/>
                <w:szCs w:val="17"/>
                <w:color w:val="auto"/>
              </w:rPr>
              <w:t>(d)(7)</w:t>
            </w:r>
          </w:p>
        </w:tc>
        <w:tc>
          <w:tcPr>
            <w:tcW w:w="10180" w:type="dxa"/>
            <w:vAlign w:val="bottom"/>
          </w:tcPr>
          <w:p>
            <w:pPr>
              <w:ind w:left="300"/>
              <w:spacing w:after="0"/>
              <w:rPr>
                <w:sz w:val="20"/>
                <w:szCs w:val="20"/>
                <w:color w:val="auto"/>
              </w:rPr>
            </w:pPr>
            <w:r>
              <w:rPr>
                <w:rFonts w:ascii="Arial" w:cs="Arial" w:eastAsia="Arial" w:hAnsi="Arial"/>
                <w:sz w:val="17"/>
                <w:szCs w:val="17"/>
                <w:color w:val="auto"/>
                <w:w w:val="95"/>
              </w:rPr>
              <w:t>Base Indenture, dated as of January 22, 2013, relating to the 6.25% Senior Notes due 2025, between the Registrant and American Stock</w:t>
            </w:r>
          </w:p>
        </w:tc>
      </w:tr>
      <w:tr>
        <w:trPr>
          <w:trHeight w:val="214"/>
        </w:trPr>
        <w:tc>
          <w:tcPr>
            <w:tcW w:w="72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Arial" w:cs="Arial" w:eastAsia="Arial" w:hAnsi="Arial"/>
                <w:sz w:val="17"/>
                <w:szCs w:val="17"/>
                <w:color w:val="auto"/>
                <w:w w:val="93"/>
              </w:rPr>
              <w:t>Transfer &amp; Trust Company, LLC, as trustee (Incorporated by reference to Exhibit 99.(d)(8) to the Registrant’s Post-Effective Amendment No.</w:t>
            </w:r>
          </w:p>
        </w:tc>
      </w:tr>
      <w:tr>
        <w:trPr>
          <w:trHeight w:val="221"/>
        </w:trPr>
        <w:tc>
          <w:tcPr>
            <w:tcW w:w="7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7"/>
                <w:szCs w:val="17"/>
                <w:color w:val="auto"/>
              </w:rPr>
              <w:t>4 to the Registration Statement on Form N-2/A (File No. 333-172524), filed on January 22, 2013).</w:t>
            </w:r>
          </w:p>
        </w:tc>
      </w:tr>
      <w:tr>
        <w:trPr>
          <w:trHeight w:val="381"/>
        </w:trPr>
        <w:tc>
          <w:tcPr>
            <w:tcW w:w="720" w:type="dxa"/>
            <w:vAlign w:val="bottom"/>
          </w:tcPr>
          <w:p>
            <w:pPr>
              <w:spacing w:after="0"/>
              <w:rPr>
                <w:sz w:val="20"/>
                <w:szCs w:val="20"/>
                <w:color w:val="auto"/>
              </w:rPr>
            </w:pPr>
            <w:r>
              <w:rPr>
                <w:rFonts w:ascii="Arial" w:cs="Arial" w:eastAsia="Arial" w:hAnsi="Arial"/>
                <w:sz w:val="17"/>
                <w:szCs w:val="17"/>
                <w:color w:val="auto"/>
              </w:rPr>
              <w:t>(d)(8)</w:t>
            </w:r>
          </w:p>
        </w:tc>
        <w:tc>
          <w:tcPr>
            <w:tcW w:w="10180" w:type="dxa"/>
            <w:vAlign w:val="bottom"/>
          </w:tcPr>
          <w:p>
            <w:pPr>
              <w:ind w:left="300"/>
              <w:spacing w:after="0"/>
              <w:rPr>
                <w:sz w:val="20"/>
                <w:szCs w:val="20"/>
                <w:color w:val="auto"/>
              </w:rPr>
            </w:pPr>
            <w:r>
              <w:rPr>
                <w:rFonts w:ascii="Arial" w:cs="Arial" w:eastAsia="Arial" w:hAnsi="Arial"/>
                <w:sz w:val="17"/>
                <w:szCs w:val="17"/>
                <w:color w:val="auto"/>
                <w:w w:val="97"/>
              </w:rPr>
              <w:t>First Supplemental Indenture, dated as of January 22, 2013, relating to the 6.25% Senior Notes due 2025, between the Registrant and</w:t>
            </w:r>
          </w:p>
        </w:tc>
      </w:tr>
      <w:tr>
        <w:trPr>
          <w:trHeight w:val="214"/>
        </w:trPr>
        <w:tc>
          <w:tcPr>
            <w:tcW w:w="72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Arial" w:cs="Arial" w:eastAsia="Arial" w:hAnsi="Arial"/>
                <w:sz w:val="17"/>
                <w:szCs w:val="17"/>
                <w:color w:val="auto"/>
                <w:w w:val="93"/>
              </w:rPr>
              <w:t>American Stock Transfer &amp; Trust Company, LLC, as trustee (Incorporated by reference to Exhibit 99.(d)(9) to the Registrant’s Post-Effective</w:t>
            </w:r>
          </w:p>
        </w:tc>
      </w:tr>
      <w:tr>
        <w:trPr>
          <w:trHeight w:val="221"/>
        </w:trPr>
        <w:tc>
          <w:tcPr>
            <w:tcW w:w="7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7"/>
                <w:szCs w:val="17"/>
                <w:color w:val="auto"/>
              </w:rPr>
              <w:t>Amendment No. 4 to the Registration Statement on Form N-2/A (File No. 333-172524), filed on January 22, 2013).</w:t>
            </w:r>
          </w:p>
        </w:tc>
      </w:tr>
      <w:tr>
        <w:trPr>
          <w:trHeight w:val="388"/>
        </w:trPr>
        <w:tc>
          <w:tcPr>
            <w:tcW w:w="720" w:type="dxa"/>
            <w:vAlign w:val="bottom"/>
          </w:tcPr>
          <w:p>
            <w:pPr>
              <w:spacing w:after="0"/>
              <w:rPr>
                <w:sz w:val="20"/>
                <w:szCs w:val="20"/>
                <w:color w:val="auto"/>
              </w:rPr>
            </w:pPr>
            <w:r>
              <w:rPr>
                <w:rFonts w:ascii="Arial" w:cs="Arial" w:eastAsia="Arial" w:hAnsi="Arial"/>
                <w:sz w:val="17"/>
                <w:szCs w:val="17"/>
                <w:color w:val="auto"/>
              </w:rPr>
              <w:t>(d)(9)</w:t>
            </w:r>
          </w:p>
        </w:tc>
        <w:tc>
          <w:tcPr>
            <w:tcW w:w="10180" w:type="dxa"/>
            <w:vAlign w:val="bottom"/>
          </w:tcPr>
          <w:p>
            <w:pPr>
              <w:ind w:left="300"/>
              <w:spacing w:after="0"/>
              <w:rPr>
                <w:sz w:val="20"/>
                <w:szCs w:val="20"/>
                <w:color w:val="auto"/>
              </w:rPr>
            </w:pPr>
            <w:r>
              <w:rPr>
                <w:rFonts w:ascii="Arial" w:cs="Arial" w:eastAsia="Arial" w:hAnsi="Arial"/>
                <w:sz w:val="17"/>
                <w:szCs w:val="17"/>
                <w:color w:val="auto"/>
              </w:rPr>
              <w:t>Form of 6.25% Senior Notes due 2025 (included as part of Exhibit (d)(8)).</w:t>
            </w:r>
          </w:p>
        </w:tc>
      </w:tr>
      <w:tr>
        <w:trPr>
          <w:trHeight w:val="361"/>
        </w:trPr>
        <w:tc>
          <w:tcPr>
            <w:tcW w:w="720" w:type="dxa"/>
            <w:vAlign w:val="bottom"/>
          </w:tcPr>
          <w:p>
            <w:pPr>
              <w:spacing w:after="0"/>
              <w:rPr>
                <w:sz w:val="24"/>
                <w:szCs w:val="24"/>
                <w:color w:val="auto"/>
              </w:rPr>
            </w:pPr>
          </w:p>
        </w:tc>
        <w:tc>
          <w:tcPr>
            <w:tcW w:w="10180" w:type="dxa"/>
            <w:vAlign w:val="bottom"/>
          </w:tcPr>
          <w:p>
            <w:pPr>
              <w:ind w:left="4600"/>
              <w:spacing w:after="0"/>
              <w:rPr>
                <w:sz w:val="20"/>
                <w:szCs w:val="20"/>
                <w:color w:val="auto"/>
              </w:rPr>
            </w:pPr>
            <w:r>
              <w:rPr>
                <w:rFonts w:ascii="Arial" w:cs="Arial" w:eastAsia="Arial" w:hAnsi="Arial"/>
                <w:sz w:val="17"/>
                <w:szCs w:val="17"/>
                <w:color w:val="auto"/>
              </w:rPr>
              <w:t>C-1</w:t>
            </w:r>
          </w:p>
        </w:tc>
      </w:tr>
    </w:tbl>
    <w:p>
      <w:pPr>
        <w:sectPr>
          <w:pgSz w:w="12240" w:h="15840" w:orient="portrait"/>
          <w:cols w:equalWidth="0" w:num="1">
            <w:col w:w="11040"/>
          </w:cols>
          <w:pgMar w:left="520" w:top="317" w:right="680"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1140" w:right="20" w:hanging="999"/>
        <w:spacing w:after="0" w:line="278" w:lineRule="auto"/>
        <w:tabs>
          <w:tab w:leader="none" w:pos="1120" w:val="left"/>
        </w:tabs>
        <w:rPr>
          <w:sz w:val="20"/>
          <w:szCs w:val="20"/>
          <w:color w:val="auto"/>
        </w:rPr>
      </w:pPr>
      <w:r>
        <w:rPr>
          <w:rFonts w:ascii="Arial" w:cs="Arial" w:eastAsia="Arial" w:hAnsi="Arial"/>
          <w:sz w:val="17"/>
          <w:szCs w:val="17"/>
          <w:color w:val="auto"/>
        </w:rPr>
        <w:t>(d)(10)</w:t>
      </w:r>
      <w:r>
        <w:rPr>
          <w:sz w:val="20"/>
          <w:szCs w:val="20"/>
          <w:color w:val="auto"/>
        </w:rPr>
        <w:tab/>
      </w:r>
      <w:r>
        <w:rPr>
          <w:rFonts w:ascii="Arial" w:cs="Arial" w:eastAsia="Arial" w:hAnsi="Arial"/>
          <w:sz w:val="17"/>
          <w:szCs w:val="17"/>
          <w:color w:val="auto"/>
        </w:rPr>
        <w:t>Second Supplemental Indenture, dated as of September 23, 2014, relating to the 4.50% Notes due 2019, between the Registrant and American Stock Transfer &amp; Trust Company, LLC, as trustee (Incorporated by reference to Exhibit 99 (d)(11) to the Registrant’s Post-Effective Amendment No. 2 to Form N-2 (File No. 333-192782), filed on September 23, 2014.</w:t>
      </w:r>
    </w:p>
    <w:p>
      <w:pPr>
        <w:spacing w:after="0" w:line="137" w:lineRule="exact"/>
        <w:rPr>
          <w:sz w:val="20"/>
          <w:szCs w:val="20"/>
          <w:color w:val="auto"/>
        </w:rPr>
      </w:pPr>
    </w:p>
    <w:p>
      <w:pPr>
        <w:ind w:left="140"/>
        <w:spacing w:after="0"/>
        <w:tabs>
          <w:tab w:leader="none" w:pos="1120" w:val="left"/>
        </w:tabs>
        <w:rPr>
          <w:sz w:val="20"/>
          <w:szCs w:val="20"/>
          <w:color w:val="auto"/>
        </w:rPr>
      </w:pPr>
      <w:r>
        <w:rPr>
          <w:rFonts w:ascii="Arial" w:cs="Arial" w:eastAsia="Arial" w:hAnsi="Arial"/>
          <w:sz w:val="17"/>
          <w:szCs w:val="17"/>
          <w:color w:val="auto"/>
        </w:rPr>
        <w:t>(d)(11)</w:t>
      </w:r>
      <w:r>
        <w:rPr>
          <w:sz w:val="20"/>
          <w:szCs w:val="20"/>
          <w:color w:val="auto"/>
        </w:rPr>
        <w:tab/>
      </w:r>
      <w:r>
        <w:rPr>
          <w:rFonts w:ascii="Arial" w:cs="Arial" w:eastAsia="Arial" w:hAnsi="Arial"/>
          <w:sz w:val="17"/>
          <w:szCs w:val="17"/>
          <w:color w:val="auto"/>
        </w:rPr>
        <w:t>Form of 4.50% Senior Notes due 2019 (included as part of Exhibit d(10)).</w:t>
      </w:r>
    </w:p>
    <w:p>
      <w:pPr>
        <w:spacing w:after="0" w:line="193" w:lineRule="exact"/>
        <w:rPr>
          <w:sz w:val="20"/>
          <w:szCs w:val="20"/>
          <w:color w:val="auto"/>
        </w:rPr>
      </w:pPr>
    </w:p>
    <w:p>
      <w:pPr>
        <w:ind w:left="1140" w:right="220" w:hanging="812"/>
        <w:spacing w:after="0" w:line="294" w:lineRule="auto"/>
        <w:tabs>
          <w:tab w:leader="none" w:pos="11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Dividend Reinvestment Plan (Incorporated by reference to Exhibit 99.(E) to the Registrant’s Registration Statement on Form N-2 (File No. 333-150033), filed on April 2, 2008).</w:t>
      </w:r>
    </w:p>
    <w:p>
      <w:pPr>
        <w:spacing w:after="0" w:line="123" w:lineRule="exact"/>
        <w:rPr>
          <w:sz w:val="20"/>
          <w:szCs w:val="20"/>
          <w:color w:val="auto"/>
        </w:rPr>
      </w:pPr>
    </w:p>
    <w:p>
      <w:pPr>
        <w:ind w:left="1140" w:right="280" w:hanging="959"/>
        <w:spacing w:after="0" w:line="365" w:lineRule="auto"/>
        <w:tabs>
          <w:tab w:leader="none" w:pos="1120" w:val="left"/>
        </w:tabs>
        <w:rPr>
          <w:sz w:val="20"/>
          <w:szCs w:val="20"/>
          <w:color w:val="auto"/>
        </w:rPr>
      </w:pPr>
      <w:r>
        <w:rPr>
          <w:rFonts w:ascii="Arial" w:cs="Arial" w:eastAsia="Arial" w:hAnsi="Arial"/>
          <w:sz w:val="15"/>
          <w:szCs w:val="15"/>
          <w:color w:val="auto"/>
        </w:rPr>
        <w:t>(g)(1)</w:t>
      </w:r>
      <w:r>
        <w:rPr>
          <w:sz w:val="20"/>
          <w:szCs w:val="20"/>
          <w:color w:val="auto"/>
        </w:rPr>
        <w:tab/>
      </w:r>
      <w:r>
        <w:rPr>
          <w:rFonts w:ascii="Arial" w:cs="Arial" w:eastAsia="Arial" w:hAnsi="Arial"/>
          <w:sz w:val="15"/>
          <w:szCs w:val="15"/>
          <w:color w:val="auto"/>
        </w:rPr>
        <w:t>First Amended and Restated Investment Advisory Management Agreement between the Registrant and PennantPark Investment Advisers, LLC (Incorporated by reference to the Registrant’s Quarterly Report on Form 10-Q (File No. 814-00736), filed on February 3, 2016).</w:t>
      </w:r>
    </w:p>
    <w:p>
      <w:pPr>
        <w:spacing w:after="0" w:line="91" w:lineRule="exact"/>
        <w:rPr>
          <w:sz w:val="20"/>
          <w:szCs w:val="20"/>
          <w:color w:val="auto"/>
        </w:rPr>
      </w:pPr>
    </w:p>
    <w:p>
      <w:pPr>
        <w:ind w:left="1140" w:right="200" w:hanging="999"/>
        <w:spacing w:after="0" w:line="278" w:lineRule="auto"/>
        <w:tabs>
          <w:tab w:leader="none" w:pos="1120" w:val="left"/>
        </w:tabs>
        <w:rPr>
          <w:sz w:val="20"/>
          <w:szCs w:val="20"/>
          <w:color w:val="auto"/>
        </w:rPr>
      </w:pPr>
      <w:r>
        <w:rPr>
          <w:rFonts w:ascii="Arial" w:cs="Arial" w:eastAsia="Arial" w:hAnsi="Arial"/>
          <w:sz w:val="17"/>
          <w:szCs w:val="17"/>
          <w:color w:val="auto"/>
        </w:rPr>
        <w:t>(g)(2)</w:t>
      </w:r>
      <w:r>
        <w:rPr>
          <w:sz w:val="20"/>
          <w:szCs w:val="20"/>
          <w:color w:val="auto"/>
        </w:rPr>
        <w:tab/>
      </w:r>
      <w:r>
        <w:rPr>
          <w:rFonts w:ascii="Arial" w:cs="Arial" w:eastAsia="Arial" w:hAnsi="Arial"/>
          <w:sz w:val="17"/>
          <w:szCs w:val="17"/>
          <w:color w:val="auto"/>
        </w:rPr>
        <w:t>Second Amended and Restated Investment Advisory Management Agreement, dated as of February 6, 2018, between the Registrant and PennantPark Investment Advisers, LLC (Incorporated by reference to Exhibit 10.1 to the Registrant’s Quarterly Report on Form 10-Q (File No. 814-00736), filed on February 7, 2018).</w:t>
      </w:r>
    </w:p>
    <w:p>
      <w:pPr>
        <w:spacing w:after="0" w:line="137" w:lineRule="exact"/>
        <w:rPr>
          <w:sz w:val="20"/>
          <w:szCs w:val="20"/>
          <w:color w:val="auto"/>
        </w:rPr>
      </w:pPr>
    </w:p>
    <w:p>
      <w:pPr>
        <w:ind w:left="1140" w:right="220" w:hanging="959"/>
        <w:spacing w:after="0" w:line="294" w:lineRule="auto"/>
        <w:tabs>
          <w:tab w:leader="none" w:pos="1120" w:val="left"/>
        </w:tabs>
        <w:rPr>
          <w:sz w:val="20"/>
          <w:szCs w:val="20"/>
          <w:color w:val="auto"/>
        </w:rPr>
      </w:pPr>
      <w:r>
        <w:rPr>
          <w:rFonts w:ascii="Arial" w:cs="Arial" w:eastAsia="Arial" w:hAnsi="Arial"/>
          <w:sz w:val="17"/>
          <w:szCs w:val="17"/>
          <w:color w:val="auto"/>
        </w:rPr>
        <w:t>(h)(1)</w:t>
      </w:r>
      <w:r>
        <w:rPr>
          <w:sz w:val="20"/>
          <w:szCs w:val="20"/>
          <w:color w:val="auto"/>
        </w:rPr>
        <w:tab/>
      </w:r>
      <w:r>
        <w:rPr>
          <w:rFonts w:ascii="Arial" w:cs="Arial" w:eastAsia="Arial" w:hAnsi="Arial"/>
          <w:sz w:val="17"/>
          <w:szCs w:val="17"/>
          <w:color w:val="auto"/>
        </w:rPr>
        <w:t>Form of Underwriting Agreement for equity (Incorporated by reference to Exhibit 99.(H)(1) to the Registrant’s Post-Effective Amendment No. 4 to the Registration Statement on Form N-2/A (File No. 333-150033), filed on February 22, 2010).</w:t>
      </w:r>
    </w:p>
    <w:p>
      <w:pPr>
        <w:spacing w:after="0" w:line="123" w:lineRule="exact"/>
        <w:rPr>
          <w:sz w:val="20"/>
          <w:szCs w:val="20"/>
          <w:color w:val="auto"/>
        </w:rPr>
      </w:pPr>
    </w:p>
    <w:p>
      <w:pPr>
        <w:ind w:left="1140" w:hanging="959"/>
        <w:spacing w:after="0" w:line="294" w:lineRule="auto"/>
        <w:tabs>
          <w:tab w:leader="none" w:pos="1120" w:val="left"/>
        </w:tabs>
        <w:rPr>
          <w:sz w:val="20"/>
          <w:szCs w:val="20"/>
          <w:color w:val="auto"/>
        </w:rPr>
      </w:pPr>
      <w:r>
        <w:rPr>
          <w:rFonts w:ascii="Arial" w:cs="Arial" w:eastAsia="Arial" w:hAnsi="Arial"/>
          <w:sz w:val="17"/>
          <w:szCs w:val="17"/>
          <w:color w:val="auto"/>
        </w:rPr>
        <w:t>(h)(2)</w:t>
      </w:r>
      <w:r>
        <w:rPr>
          <w:sz w:val="20"/>
          <w:szCs w:val="20"/>
          <w:color w:val="auto"/>
        </w:rPr>
        <w:tab/>
      </w:r>
      <w:r>
        <w:rPr>
          <w:rFonts w:ascii="Arial" w:cs="Arial" w:eastAsia="Arial" w:hAnsi="Arial"/>
          <w:sz w:val="17"/>
          <w:szCs w:val="17"/>
          <w:color w:val="auto"/>
        </w:rPr>
        <w:t>Form of Underwriting Agreement for debt (Incorporated by reference to Exhibit 99.(H)(2) to the Registrant’s Pre-Effective Amendment to the Registration Statement on Form N-2/A (File No. 333-150033), filed on May 30, 2008).</w:t>
      </w:r>
    </w:p>
    <w:p>
      <w:pPr>
        <w:spacing w:after="0" w:line="123" w:lineRule="exact"/>
        <w:rPr>
          <w:sz w:val="20"/>
          <w:szCs w:val="20"/>
          <w:color w:val="auto"/>
        </w:rPr>
      </w:pPr>
    </w:p>
    <w:p>
      <w:pPr>
        <w:ind w:left="1140" w:right="280" w:hanging="841"/>
        <w:spacing w:after="0" w:line="294" w:lineRule="auto"/>
        <w:tabs>
          <w:tab w:leader="none" w:pos="11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Custodian Agreement between the Registrant and PFPC Trust Company (Incorporated by reference to Exhibit 99.(J)(1) to the Registrant’s Registration Statement on Form N-2 (File No. 333-150033), filed on April 2, 2008).</w:t>
      </w:r>
    </w:p>
    <w:p>
      <w:pPr>
        <w:spacing w:after="0" w:line="123" w:lineRule="exact"/>
        <w:rPr>
          <w:sz w:val="20"/>
          <w:szCs w:val="20"/>
          <w:color w:val="auto"/>
        </w:rPr>
      </w:pPr>
    </w:p>
    <w:p>
      <w:pPr>
        <w:ind w:left="1140" w:right="220" w:hanging="959"/>
        <w:spacing w:after="0" w:line="294" w:lineRule="auto"/>
        <w:tabs>
          <w:tab w:leader="none" w:pos="1120" w:val="left"/>
        </w:tabs>
        <w:rPr>
          <w:sz w:val="20"/>
          <w:szCs w:val="20"/>
          <w:color w:val="auto"/>
        </w:rPr>
      </w:pPr>
      <w:r>
        <w:rPr>
          <w:rFonts w:ascii="Arial" w:cs="Arial" w:eastAsia="Arial" w:hAnsi="Arial"/>
          <w:sz w:val="17"/>
          <w:szCs w:val="17"/>
          <w:color w:val="auto"/>
        </w:rPr>
        <w:t>(k)(1)</w:t>
      </w:r>
      <w:r>
        <w:rPr>
          <w:sz w:val="20"/>
          <w:szCs w:val="20"/>
          <w:color w:val="auto"/>
        </w:rPr>
        <w:tab/>
      </w:r>
      <w:r>
        <w:rPr>
          <w:rFonts w:ascii="Arial" w:cs="Arial" w:eastAsia="Arial" w:hAnsi="Arial"/>
          <w:sz w:val="17"/>
          <w:szCs w:val="17"/>
          <w:color w:val="auto"/>
        </w:rPr>
        <w:t>Administration Agreement between the Registrant and PennantPark Investment Administration, LLC (Incorporated by reference to Exhibit 99.(K)(1) to the Registrant’s Registration Statement on Form N-2 (File No. 333-150033), filed on April 2, 2008).</w:t>
      </w:r>
    </w:p>
    <w:p>
      <w:pPr>
        <w:spacing w:after="0" w:line="123" w:lineRule="exact"/>
        <w:rPr>
          <w:sz w:val="20"/>
          <w:szCs w:val="20"/>
          <w:color w:val="auto"/>
        </w:rPr>
      </w:pPr>
    </w:p>
    <w:p>
      <w:pPr>
        <w:ind w:left="1140" w:right="260" w:hanging="959"/>
        <w:spacing w:after="0" w:line="327" w:lineRule="auto"/>
        <w:tabs>
          <w:tab w:leader="none" w:pos="1120" w:val="left"/>
        </w:tabs>
        <w:rPr>
          <w:sz w:val="20"/>
          <w:szCs w:val="20"/>
          <w:color w:val="auto"/>
        </w:rPr>
      </w:pPr>
      <w:r>
        <w:rPr>
          <w:rFonts w:ascii="Arial" w:cs="Arial" w:eastAsia="Arial" w:hAnsi="Arial"/>
          <w:sz w:val="16"/>
          <w:szCs w:val="16"/>
          <w:color w:val="auto"/>
        </w:rPr>
        <w:t>(k)(2)</w:t>
      </w:r>
      <w:r>
        <w:rPr>
          <w:sz w:val="20"/>
          <w:szCs w:val="20"/>
          <w:color w:val="auto"/>
        </w:rPr>
        <w:tab/>
      </w:r>
      <w:r>
        <w:rPr>
          <w:rFonts w:ascii="Arial" w:cs="Arial" w:eastAsia="Arial" w:hAnsi="Arial"/>
          <w:sz w:val="16"/>
          <w:szCs w:val="16"/>
          <w:color w:val="auto"/>
        </w:rPr>
        <w:t>Stock Transfer Agency Agreement between the Registrant and American Stock Transfer and Trust Company (Incorporated by reference to Exhibit 99.(K)(2) to the Registrant’s Registration Statement on Form N-2 (File No. 333-150033), filed on April 2, 2008).</w:t>
      </w:r>
    </w:p>
    <w:p>
      <w:pPr>
        <w:spacing w:after="0" w:line="101" w:lineRule="exact"/>
        <w:rPr>
          <w:sz w:val="20"/>
          <w:szCs w:val="20"/>
          <w:color w:val="auto"/>
        </w:rPr>
      </w:pPr>
    </w:p>
    <w:p>
      <w:pPr>
        <w:ind w:left="1140" w:right="140" w:hanging="959"/>
        <w:spacing w:after="0" w:line="294" w:lineRule="auto"/>
        <w:tabs>
          <w:tab w:leader="none" w:pos="1120" w:val="left"/>
        </w:tabs>
        <w:rPr>
          <w:sz w:val="20"/>
          <w:szCs w:val="20"/>
          <w:color w:val="auto"/>
        </w:rPr>
      </w:pPr>
      <w:r>
        <w:rPr>
          <w:rFonts w:ascii="Arial" w:cs="Arial" w:eastAsia="Arial" w:hAnsi="Arial"/>
          <w:sz w:val="17"/>
          <w:szCs w:val="17"/>
          <w:color w:val="auto"/>
        </w:rPr>
        <w:t>(k)(3)</w:t>
      </w:r>
      <w:r>
        <w:rPr>
          <w:sz w:val="20"/>
          <w:szCs w:val="20"/>
          <w:color w:val="auto"/>
        </w:rPr>
        <w:tab/>
      </w:r>
      <w:r>
        <w:rPr>
          <w:rFonts w:ascii="Arial" w:cs="Arial" w:eastAsia="Arial" w:hAnsi="Arial"/>
          <w:sz w:val="17"/>
          <w:szCs w:val="17"/>
          <w:color w:val="auto"/>
        </w:rPr>
        <w:t>Trademark License Agreement (Incorporated by reference to Exhibit 99.(K)(3) to the Registrant’s Registration Statement on Form N-2 (File No. 333-150033), filed on April 2, 2008).</w:t>
      </w:r>
    </w:p>
    <w:p>
      <w:pPr>
        <w:spacing w:after="0" w:line="123" w:lineRule="exact"/>
        <w:rPr>
          <w:sz w:val="20"/>
          <w:szCs w:val="20"/>
          <w:color w:val="auto"/>
        </w:rPr>
      </w:pPr>
    </w:p>
    <w:p>
      <w:pPr>
        <w:ind w:left="1140" w:right="60" w:hanging="959"/>
        <w:spacing w:after="0" w:line="278" w:lineRule="auto"/>
        <w:tabs>
          <w:tab w:leader="none" w:pos="1120" w:val="left"/>
        </w:tabs>
        <w:rPr>
          <w:sz w:val="20"/>
          <w:szCs w:val="20"/>
          <w:color w:val="auto"/>
        </w:rPr>
      </w:pPr>
      <w:r>
        <w:rPr>
          <w:rFonts w:ascii="Arial" w:cs="Arial" w:eastAsia="Arial" w:hAnsi="Arial"/>
          <w:sz w:val="17"/>
          <w:szCs w:val="17"/>
          <w:color w:val="auto"/>
        </w:rPr>
        <w:t>(k)(4)</w:t>
      </w:r>
      <w:r>
        <w:rPr>
          <w:sz w:val="20"/>
          <w:szCs w:val="20"/>
          <w:color w:val="auto"/>
        </w:rPr>
        <w:tab/>
      </w:r>
      <w:r>
        <w:rPr>
          <w:rFonts w:ascii="Arial" w:cs="Arial" w:eastAsia="Arial" w:hAnsi="Arial"/>
          <w:sz w:val="17"/>
          <w:szCs w:val="17"/>
          <w:color w:val="auto"/>
        </w:rPr>
        <w:t>Second Amended and Restated Senior Secured Revolving Credit Agreement, dated as of June 25, 2014, among PennantPark Investment Corporation, the lenders party hereto, SunTrust Bank, as administrative agent for the lenders (Incorporated by reference to Exhibit 99.2 to the Registrant’s Current Report on Form 8-K (File No. 814-00736), filed on June 30, 2014).</w:t>
      </w:r>
    </w:p>
    <w:p>
      <w:pPr>
        <w:spacing w:after="0" w:line="150" w:lineRule="exact"/>
        <w:rPr>
          <w:sz w:val="20"/>
          <w:szCs w:val="20"/>
          <w:color w:val="auto"/>
        </w:rPr>
      </w:pPr>
    </w:p>
    <w:p>
      <w:pPr>
        <w:jc w:val="both"/>
        <w:ind w:left="1140" w:right="300" w:hanging="959"/>
        <w:spacing w:after="0" w:line="278" w:lineRule="auto"/>
        <w:tabs>
          <w:tab w:leader="none" w:pos="1120" w:val="left"/>
        </w:tabs>
        <w:rPr>
          <w:sz w:val="20"/>
          <w:szCs w:val="20"/>
          <w:color w:val="auto"/>
        </w:rPr>
      </w:pPr>
      <w:r>
        <w:rPr>
          <w:rFonts w:ascii="Arial" w:cs="Arial" w:eastAsia="Arial" w:hAnsi="Arial"/>
          <w:sz w:val="17"/>
          <w:szCs w:val="17"/>
          <w:color w:val="auto"/>
        </w:rPr>
        <w:t>(k)(5)</w:t>
      </w:r>
      <w:r>
        <w:rPr>
          <w:sz w:val="20"/>
          <w:szCs w:val="20"/>
          <w:color w:val="auto"/>
        </w:rPr>
        <w:tab/>
      </w:r>
      <w:r>
        <w:rPr>
          <w:rFonts w:ascii="Arial" w:cs="Arial" w:eastAsia="Arial" w:hAnsi="Arial"/>
          <w:sz w:val="17"/>
          <w:szCs w:val="17"/>
          <w:color w:val="auto"/>
        </w:rPr>
        <w:t>Indemnification Agreement, dated as of November 15, 2016, between PennantPark Investment Corporation and each of the directors and officers listed on Schedule A attached thereto (Incorporated by reference to Exhibit 10.5 on the Registrant’s Annual Report on Form 10-K (File No. 814-00891), filed on November 21, 2016).</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C-2</w:t>
      </w:r>
    </w:p>
    <w:p>
      <w:pPr>
        <w:sectPr>
          <w:pgSz w:w="12240" w:h="15840" w:orient="portrait"/>
          <w:cols w:equalWidth="0" w:num="1">
            <w:col w:w="11040"/>
          </w:cols>
          <w:pgMar w:left="520" w:top="316" w:right="680"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7"/>
          <w:szCs w:val="17"/>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212" w:lineRule="exact"/>
        <w:rPr>
          <w:sz w:val="20"/>
          <w:szCs w:val="20"/>
          <w:color w:val="auto"/>
        </w:rPr>
      </w:pPr>
    </w:p>
    <w:p>
      <w:pPr>
        <w:ind w:left="1140" w:hanging="715"/>
        <w:spacing w:after="0"/>
        <w:tabs>
          <w:tab w:leader="none" w:pos="114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Exhibits (Continued)</w:t>
      </w:r>
    </w:p>
    <w:p>
      <w:pPr>
        <w:sectPr>
          <w:pgSz w:w="12240" w:h="15840" w:orient="portrait"/>
          <w:cols w:equalWidth="0" w:num="1">
            <w:col w:w="11040"/>
          </w:cols>
          <w:pgMar w:left="520" w:top="317" w:right="680" w:bottom="1440" w:gutter="0" w:footer="0" w:header="0"/>
        </w:sectPr>
      </w:pPr>
    </w:p>
    <w:p>
      <w:pPr>
        <w:spacing w:after="0" w:line="19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(k)(6)</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First Omnibus Amendment to Second Amended and Restated Senior Secured Revolving Credit Agreement and Second Amended and Restated Guarantee and Security Agreement, dated as of May 25, 2017, among the Registrant, the lenders party thereto and SunTrust Bank, as administrative agent for the lenders (Incorporated by reference to Exhibit 10.1 to the Registrant’s Quarterly Report on Form 10-Q (File No. 814-00736), filed on August 7, 2017).</w:t>
      </w:r>
    </w:p>
    <w:p>
      <w:pPr>
        <w:spacing w:after="0" w:line="141" w:lineRule="exact"/>
        <w:rPr>
          <w:sz w:val="20"/>
          <w:szCs w:val="20"/>
          <w:color w:val="auto"/>
        </w:rPr>
      </w:pPr>
    </w:p>
    <w:p>
      <w:pPr>
        <w:sectPr>
          <w:pgSz w:w="12240" w:h="15840" w:orient="portrait"/>
          <w:cols w:equalWidth="0" w:num="2">
            <w:col w:w="540" w:space="600"/>
            <w:col w:w="9900"/>
          </w:cols>
          <w:pgMar w:left="520" w:top="317" w:right="680" w:bottom="1440" w:gutter="0" w:footer="0" w:header="0"/>
          <w:type w:val="continuous"/>
        </w:sectPr>
      </w:pPr>
    </w:p>
    <w:p>
      <w:pPr>
        <w:ind w:left="140"/>
        <w:spacing w:after="0"/>
        <w:rPr>
          <w:sz w:val="20"/>
          <w:szCs w:val="20"/>
          <w:color w:val="auto"/>
        </w:rPr>
      </w:pPr>
      <w:r>
        <w:rPr>
          <w:rFonts w:ascii="Arial" w:cs="Arial" w:eastAsia="Arial" w:hAnsi="Arial"/>
          <w:sz w:val="16"/>
          <w:szCs w:val="16"/>
          <w:color w:val="auto"/>
        </w:rPr>
        <w:t>(k)(7)</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color w:val="auto"/>
        </w:rPr>
        <w:t>Revolving Credit and Security Agreement by and among PennantPark Investment Funding I, LLC, as borrower, the lenders from time to time parties thereto, BNP Paribas, as administrative agent, PennantPark Investment Corporation, as equityholder, PennantPark Investment Advisers, LLC, as servicer, and The Bank of New York Mellon Trust Company, National Association, as collateral agent, dated as of February 22, 2019 (Incorporated by reference to Exhibit 10.1 to the Registrant’s Current Report on Form 8-K (File No. 814-00736), filed on February 26, 2019).</w:t>
      </w:r>
    </w:p>
    <w:p>
      <w:pPr>
        <w:spacing w:after="0" w:line="145" w:lineRule="exact"/>
        <w:rPr>
          <w:sz w:val="20"/>
          <w:szCs w:val="20"/>
          <w:color w:val="auto"/>
        </w:rPr>
      </w:pPr>
    </w:p>
    <w:p>
      <w:pPr>
        <w:sectPr>
          <w:pgSz w:w="12240" w:h="15840" w:orient="portrait"/>
          <w:cols w:equalWidth="0" w:num="2">
            <w:col w:w="540" w:space="600"/>
            <w:col w:w="9900"/>
          </w:cols>
          <w:pgMar w:left="520" w:top="317" w:right="680" w:bottom="1440" w:gutter="0" w:footer="0" w:header="0"/>
          <w:type w:val="continuous"/>
        </w:sectPr>
      </w:pPr>
    </w:p>
    <w:p>
      <w:pPr>
        <w:ind w:left="140"/>
        <w:spacing w:after="0"/>
        <w:rPr>
          <w:sz w:val="20"/>
          <w:szCs w:val="20"/>
          <w:color w:val="auto"/>
        </w:rPr>
      </w:pPr>
      <w:r>
        <w:rPr>
          <w:rFonts w:ascii="Arial" w:cs="Arial" w:eastAsia="Arial" w:hAnsi="Arial"/>
          <w:sz w:val="16"/>
          <w:szCs w:val="16"/>
          <w:color w:val="auto"/>
        </w:rPr>
        <w:t>(k)(8)</w:t>
      </w:r>
    </w:p>
    <w:p>
      <w:pPr>
        <w:spacing w:after="0" w:line="20" w:lineRule="exact"/>
        <w:rPr>
          <w:sz w:val="20"/>
          <w:szCs w:val="20"/>
          <w:color w:val="auto"/>
        </w:rPr>
      </w:pPr>
      <w:r>
        <w:rPr>
          <w:sz w:val="20"/>
          <w:szCs w:val="20"/>
          <w:color w:val="auto"/>
        </w:rPr>
        <w:br w:type="column"/>
      </w:r>
    </w:p>
    <w:p>
      <w:pPr>
        <w:ind w:right="100"/>
        <w:spacing w:after="0" w:line="273" w:lineRule="auto"/>
        <w:rPr>
          <w:sz w:val="20"/>
          <w:szCs w:val="20"/>
          <w:color w:val="auto"/>
        </w:rPr>
      </w:pPr>
      <w:r>
        <w:rPr>
          <w:rFonts w:ascii="Arial" w:cs="Arial" w:eastAsia="Arial" w:hAnsi="Arial"/>
          <w:sz w:val="17"/>
          <w:szCs w:val="17"/>
          <w:color w:val="auto"/>
        </w:rPr>
        <w:t>Account Control Agreement by and among PennantPark Investment Funding I, LLC, as pledgor, The Bank of New York Mellon Trust Company, National Association, as secured party, PennantPark Investment Advisers, LLC, as servicer, and The Bank of New York Mellon Trust Company, National Association, as securities intermediary, dated as of February 22, 2019 (Incorporated by reference to Exhibit 10.2 to the Registrant’s Current Report on Form 8-K (File No. 814-00736), filed on February 26, 2019).</w:t>
      </w:r>
    </w:p>
    <w:p>
      <w:pPr>
        <w:spacing w:after="0" w:line="141" w:lineRule="exact"/>
        <w:rPr>
          <w:sz w:val="20"/>
          <w:szCs w:val="20"/>
          <w:color w:val="auto"/>
        </w:rPr>
      </w:pPr>
    </w:p>
    <w:p>
      <w:pPr>
        <w:sectPr>
          <w:pgSz w:w="12240" w:h="15840" w:orient="portrait"/>
          <w:cols w:equalWidth="0" w:num="2">
            <w:col w:w="540" w:space="600"/>
            <w:col w:w="9900"/>
          </w:cols>
          <w:pgMar w:left="520" w:top="317" w:right="680" w:bottom="1440" w:gutter="0" w:footer="0" w:header="0"/>
          <w:type w:val="continuous"/>
        </w:sectPr>
      </w:pPr>
    </w:p>
    <w:p>
      <w:pPr>
        <w:ind w:left="140"/>
        <w:spacing w:after="0"/>
        <w:rPr>
          <w:sz w:val="20"/>
          <w:szCs w:val="20"/>
          <w:color w:val="auto"/>
        </w:rPr>
      </w:pPr>
      <w:r>
        <w:rPr>
          <w:rFonts w:ascii="Arial" w:cs="Arial" w:eastAsia="Arial" w:hAnsi="Arial"/>
          <w:sz w:val="16"/>
          <w:szCs w:val="16"/>
          <w:color w:val="auto"/>
        </w:rPr>
        <w:t>(k)(9)</w:t>
      </w:r>
    </w:p>
    <w:p>
      <w:pPr>
        <w:spacing w:after="0" w:line="20" w:lineRule="exact"/>
        <w:rPr>
          <w:sz w:val="20"/>
          <w:szCs w:val="20"/>
          <w:color w:val="auto"/>
        </w:rPr>
      </w:pPr>
      <w:r>
        <w:rPr>
          <w:sz w:val="20"/>
          <w:szCs w:val="20"/>
          <w:color w:val="auto"/>
        </w:rPr>
        <w:br w:type="column"/>
      </w:r>
    </w:p>
    <w:p>
      <w:pPr>
        <w:ind w:right="60"/>
        <w:spacing w:after="0" w:line="273" w:lineRule="auto"/>
        <w:rPr>
          <w:sz w:val="20"/>
          <w:szCs w:val="20"/>
          <w:color w:val="auto"/>
        </w:rPr>
      </w:pPr>
      <w:r>
        <w:rPr>
          <w:rFonts w:ascii="Arial" w:cs="Arial" w:eastAsia="Arial" w:hAnsi="Arial"/>
          <w:sz w:val="17"/>
          <w:szCs w:val="17"/>
          <w:color w:val="auto"/>
        </w:rPr>
        <w:t>Custodian Agreement by and among PennantPark Investment Funding I, LLC, The Bank of New York Mellon Trust Company, National Association, as custodian, and The Bank of New York Mellon Trust Company, National Association, as collateral agent, dated as of February 22, 2019 (Incorporated by reference to Exhibit 10.3 to the Registrant’s Current Report on Form 8-K (File No. 814-00736), filed on February 26, 2019).</w:t>
      </w:r>
    </w:p>
    <w:p>
      <w:pPr>
        <w:spacing w:after="0" w:line="141" w:lineRule="exact"/>
        <w:rPr>
          <w:sz w:val="20"/>
          <w:szCs w:val="20"/>
          <w:color w:val="auto"/>
        </w:rPr>
      </w:pPr>
    </w:p>
    <w:p>
      <w:pPr>
        <w:sectPr>
          <w:pgSz w:w="12240" w:h="15840" w:orient="portrait"/>
          <w:cols w:equalWidth="0" w:num="2">
            <w:col w:w="540" w:space="600"/>
            <w:col w:w="9900"/>
          </w:cols>
          <w:pgMar w:left="520" w:top="317" w:right="680" w:bottom="1440" w:gutter="0" w:footer="0" w:header="0"/>
          <w:type w:val="continuous"/>
        </w:sectPr>
      </w:pPr>
    </w:p>
    <w:p>
      <w:pPr>
        <w:ind w:left="140"/>
        <w:spacing w:after="0"/>
        <w:rPr>
          <w:sz w:val="20"/>
          <w:szCs w:val="20"/>
          <w:color w:val="auto"/>
        </w:rPr>
      </w:pPr>
      <w:r>
        <w:rPr>
          <w:rFonts w:ascii="Arial" w:cs="Arial" w:eastAsia="Arial" w:hAnsi="Arial"/>
          <w:sz w:val="16"/>
          <w:szCs w:val="16"/>
          <w:color w:val="auto"/>
        </w:rPr>
        <w:t>(k)(10)</w:t>
      </w:r>
    </w:p>
    <w:p>
      <w:pPr>
        <w:spacing w:after="0" w:line="20" w:lineRule="exact"/>
        <w:rPr>
          <w:sz w:val="20"/>
          <w:szCs w:val="20"/>
          <w:color w:val="auto"/>
        </w:rPr>
      </w:pPr>
      <w:r>
        <w:rPr>
          <w:sz w:val="20"/>
          <w:szCs w:val="20"/>
          <w:color w:val="auto"/>
        </w:rPr>
        <w:br w:type="column"/>
      </w:r>
    </w:p>
    <w:p>
      <w:pPr>
        <w:ind w:right="400"/>
        <w:spacing w:after="0" w:line="278" w:lineRule="auto"/>
        <w:rPr>
          <w:sz w:val="20"/>
          <w:szCs w:val="20"/>
          <w:color w:val="auto"/>
        </w:rPr>
      </w:pPr>
      <w:r>
        <w:rPr>
          <w:rFonts w:ascii="Arial" w:cs="Arial" w:eastAsia="Arial" w:hAnsi="Arial"/>
          <w:sz w:val="17"/>
          <w:szCs w:val="17"/>
          <w:color w:val="auto"/>
        </w:rPr>
        <w:t>Purchase and Sale Agreement by and between PennantPark Investment Funding I, LLC, as the purchaser, and PennantPark Investment Corporation, as the seller, dated as of February 22, 2019 (Incorporated by reference to Exhibit 10.4 to the Registrant’s Current Report on Form 8-K (File No. 814-00736), filed on February 26, 2019).</w:t>
      </w:r>
    </w:p>
    <w:p>
      <w:pPr>
        <w:spacing w:after="0" w:line="137" w:lineRule="exact"/>
        <w:rPr>
          <w:sz w:val="20"/>
          <w:szCs w:val="20"/>
          <w:color w:val="auto"/>
        </w:rPr>
      </w:pPr>
    </w:p>
    <w:p>
      <w:pPr>
        <w:sectPr>
          <w:pgSz w:w="12240" w:h="15840" w:orient="portrait"/>
          <w:cols w:equalWidth="0" w:num="2">
            <w:col w:w="620" w:space="520"/>
            <w:col w:w="9900"/>
          </w:cols>
          <w:pgMar w:left="520" w:top="317" w:right="680"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(l)(1)*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Opinion and Consent of Venable LLP.</w:t>
      </w:r>
    </w:p>
    <w:p>
      <w:pPr>
        <w:spacing w:after="0" w:line="215" w:lineRule="exact"/>
        <w:rPr>
          <w:sz w:val="20"/>
          <w:szCs w:val="20"/>
          <w:color w:val="auto"/>
        </w:rPr>
      </w:pPr>
    </w:p>
    <w:p>
      <w:pPr>
        <w:sectPr>
          <w:pgSz w:w="12240" w:h="15840" w:orient="portrait"/>
          <w:cols w:equalWidth="0" w:num="2">
            <w:col w:w="600" w:space="540"/>
            <w:col w:w="9900"/>
          </w:cols>
          <w:pgMar w:left="520" w:top="317" w:right="680"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(l)(2)*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Opinion and Consent of Dechert LLP.</w:t>
      </w:r>
    </w:p>
    <w:p>
      <w:pPr>
        <w:spacing w:after="0" w:line="215" w:lineRule="exact"/>
        <w:rPr>
          <w:sz w:val="20"/>
          <w:szCs w:val="20"/>
          <w:color w:val="auto"/>
        </w:rPr>
      </w:pPr>
    </w:p>
    <w:p>
      <w:pPr>
        <w:sectPr>
          <w:pgSz w:w="12240" w:h="15840" w:orient="portrait"/>
          <w:cols w:equalWidth="0" w:num="2">
            <w:col w:w="600" w:space="540"/>
            <w:col w:w="9900"/>
          </w:cols>
          <w:pgMar w:left="520" w:top="317" w:right="680" w:bottom="1440" w:gutter="0" w:footer="0" w:header="0"/>
          <w:type w:val="continuous"/>
        </w:sectPr>
      </w:pPr>
    </w:p>
    <w:p>
      <w:pPr>
        <w:ind w:left="140"/>
        <w:spacing w:after="0"/>
        <w:rPr>
          <w:sz w:val="20"/>
          <w:szCs w:val="20"/>
          <w:color w:val="auto"/>
        </w:rPr>
      </w:pPr>
      <w:r>
        <w:rPr>
          <w:rFonts w:ascii="Arial" w:cs="Arial" w:eastAsia="Arial" w:hAnsi="Arial"/>
          <w:sz w:val="16"/>
          <w:szCs w:val="16"/>
          <w:color w:val="auto"/>
        </w:rPr>
        <w:t>(n)(1)*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Consent of RSM US LLP.</w:t>
      </w:r>
    </w:p>
    <w:p>
      <w:pPr>
        <w:spacing w:after="0" w:line="200" w:lineRule="exact"/>
        <w:rPr>
          <w:sz w:val="20"/>
          <w:szCs w:val="20"/>
          <w:color w:val="auto"/>
        </w:rPr>
      </w:pPr>
    </w:p>
    <w:p>
      <w:pPr>
        <w:sectPr>
          <w:pgSz w:w="12240" w:h="15840" w:orient="portrait"/>
          <w:cols w:equalWidth="0" w:num="2">
            <w:col w:w="620" w:space="520"/>
            <w:col w:w="9900"/>
          </w:cols>
          <w:pgMar w:left="520" w:top="317" w:right="680" w:bottom="1440" w:gutter="0" w:footer="0" w:header="0"/>
          <w:type w:val="continuous"/>
        </w:sectPr>
      </w:pP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Report of RSM US LLP regarding senior securities table contained herein.</w:t>
      </w:r>
    </w:p>
    <w:p>
      <w:pPr>
        <w:spacing w:after="0" w:line="211" w:lineRule="exact"/>
        <w:rPr>
          <w:sz w:val="20"/>
          <w:szCs w:val="20"/>
          <w:color w:val="auto"/>
        </w:rPr>
      </w:pPr>
    </w:p>
    <w:p>
      <w:pPr>
        <w:sectPr>
          <w:pgSz w:w="12240" w:h="15840" w:orient="portrait"/>
          <w:cols w:equalWidth="0" w:num="2">
            <w:col w:w="620" w:space="520"/>
            <w:col w:w="9900"/>
          </w:cols>
          <w:pgMar w:left="520" w:top="317" w:right="680" w:bottom="1440" w:gutter="0" w:footer="0" w:header="0"/>
          <w:type w:val="continuous"/>
        </w:sectPr>
      </w:pP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Awareness Letter of RSM US LLP.</w:t>
      </w:r>
    </w:p>
    <w:p>
      <w:pPr>
        <w:spacing w:after="0" w:line="211" w:lineRule="exact"/>
        <w:rPr>
          <w:sz w:val="20"/>
          <w:szCs w:val="20"/>
          <w:color w:val="auto"/>
        </w:rPr>
      </w:pPr>
    </w:p>
    <w:p>
      <w:pPr>
        <w:sectPr>
          <w:pgSz w:w="12240" w:h="15840" w:orient="portrait"/>
          <w:cols w:equalWidth="0" w:num="2">
            <w:col w:w="620" w:space="520"/>
            <w:col w:w="9900"/>
          </w:cols>
          <w:pgMar w:left="520" w:top="317" w:right="680" w:bottom="1440" w:gutter="0" w:footer="0" w:header="0"/>
          <w:type w:val="continuous"/>
        </w:sectPr>
      </w:pP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Consent of EisnerAmper LLP.</w:t>
      </w:r>
    </w:p>
    <w:p>
      <w:pPr>
        <w:spacing w:after="0" w:line="211" w:lineRule="exact"/>
        <w:rPr>
          <w:sz w:val="20"/>
          <w:szCs w:val="20"/>
          <w:color w:val="auto"/>
        </w:rPr>
      </w:pPr>
    </w:p>
    <w:p>
      <w:pPr>
        <w:sectPr>
          <w:pgSz w:w="12240" w:h="15840" w:orient="portrait"/>
          <w:cols w:equalWidth="0" w:num="2">
            <w:col w:w="620" w:space="520"/>
            <w:col w:w="9900"/>
          </w:cols>
          <w:pgMar w:left="520" w:top="317" w:right="680" w:bottom="1440" w:gutter="0" w:footer="0" w:header="0"/>
          <w:type w:val="continuous"/>
        </w:sectPr>
      </w:pPr>
    </w:p>
    <w:p>
      <w:pPr>
        <w:spacing w:after="0" w:line="4" w:lineRule="exact"/>
        <w:rPr>
          <w:sz w:val="20"/>
          <w:szCs w:val="20"/>
          <w:color w:val="auto"/>
        </w:rPr>
      </w:pPr>
    </w:p>
    <w:p>
      <w:pPr>
        <w:ind w:left="1140" w:right="140" w:hanging="759"/>
        <w:spacing w:after="0" w:line="327" w:lineRule="auto"/>
        <w:tabs>
          <w:tab w:leader="none" w:pos="11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Joint Code of Ethics of the Registrant, PennantPark Floating Rate Capital Ltd. and PennantPark Investment Advisers, LLC (Incorporated by reference to Exhibit 14.1 to the Registrant’s Report on Form 10-K (File No. 814-00736), filed on November 15, 2018).</w:t>
      </w:r>
    </w:p>
    <w:p>
      <w:pPr>
        <w:spacing w:after="0" w:line="101" w:lineRule="exact"/>
        <w:rPr>
          <w:sz w:val="20"/>
          <w:szCs w:val="20"/>
          <w:color w:val="auto"/>
        </w:rPr>
      </w:pPr>
    </w:p>
    <w:p>
      <w:pPr>
        <w:ind w:left="1140" w:right="200" w:hanging="959"/>
        <w:spacing w:after="0" w:line="294" w:lineRule="auto"/>
        <w:tabs>
          <w:tab w:leader="none" w:pos="1120" w:val="left"/>
        </w:tabs>
        <w:rPr>
          <w:sz w:val="20"/>
          <w:szCs w:val="20"/>
          <w:color w:val="auto"/>
        </w:rPr>
      </w:pPr>
      <w:r>
        <w:rPr>
          <w:rFonts w:ascii="Arial" w:cs="Arial" w:eastAsia="Arial" w:hAnsi="Arial"/>
          <w:sz w:val="17"/>
          <w:szCs w:val="17"/>
          <w:color w:val="auto"/>
        </w:rPr>
        <w:t>(s)(1)</w:t>
      </w:r>
      <w:r>
        <w:rPr>
          <w:sz w:val="20"/>
          <w:szCs w:val="20"/>
          <w:color w:val="auto"/>
        </w:rPr>
        <w:tab/>
      </w:r>
      <w:r>
        <w:rPr>
          <w:rFonts w:ascii="Arial" w:cs="Arial" w:eastAsia="Arial" w:hAnsi="Arial"/>
          <w:sz w:val="17"/>
          <w:szCs w:val="17"/>
          <w:color w:val="auto"/>
        </w:rPr>
        <w:t>Form of Prospectus Supplement For Common Stock Offerings (Incorporated by reference to Exhibit (s)(1) to the Registrant’s Pre-Effective Amendment to the Registration Statement on Form N-2/A (File No. 333-172524), filed on August 22, 2011).</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C-3</w:t>
      </w:r>
    </w:p>
    <w:p>
      <w:pPr>
        <w:sectPr>
          <w:pgSz w:w="12240" w:h="15840" w:orient="portrait"/>
          <w:cols w:equalWidth="0" w:num="1">
            <w:col w:w="11040"/>
          </w:cols>
          <w:pgMar w:left="520" w:top="317" w:right="680" w:bottom="1440" w:gutter="0" w:footer="0" w:header="0"/>
          <w:type w:val="continuous"/>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7"/>
          <w:szCs w:val="17"/>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212" w:lineRule="exact"/>
        <w:rPr>
          <w:sz w:val="20"/>
          <w:szCs w:val="20"/>
          <w:color w:val="auto"/>
        </w:rPr>
      </w:pPr>
    </w:p>
    <w:p>
      <w:pPr>
        <w:ind w:left="1120" w:hanging="702"/>
        <w:spacing w:after="0"/>
        <w:tabs>
          <w:tab w:leader="none" w:pos="112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Exhibits (Continued)</w:t>
      </w:r>
    </w:p>
    <w:p>
      <w:pPr>
        <w:spacing w:after="0" w:line="193" w:lineRule="exact"/>
        <w:rPr>
          <w:sz w:val="20"/>
          <w:szCs w:val="20"/>
          <w:color w:val="auto"/>
        </w:rPr>
      </w:pPr>
    </w:p>
    <w:p>
      <w:pPr>
        <w:ind w:left="1120" w:right="160" w:hanging="939"/>
        <w:spacing w:after="0" w:line="294" w:lineRule="auto"/>
        <w:tabs>
          <w:tab w:leader="none" w:pos="1100" w:val="left"/>
        </w:tabs>
        <w:rPr>
          <w:sz w:val="20"/>
          <w:szCs w:val="20"/>
          <w:color w:val="auto"/>
        </w:rPr>
      </w:pPr>
      <w:r>
        <w:rPr>
          <w:rFonts w:ascii="Arial" w:cs="Arial" w:eastAsia="Arial" w:hAnsi="Arial"/>
          <w:sz w:val="17"/>
          <w:szCs w:val="17"/>
          <w:color w:val="auto"/>
        </w:rPr>
        <w:t>(s)(2)</w:t>
      </w:r>
      <w:r>
        <w:rPr>
          <w:sz w:val="20"/>
          <w:szCs w:val="20"/>
          <w:color w:val="auto"/>
        </w:rPr>
        <w:tab/>
      </w:r>
      <w:r>
        <w:rPr>
          <w:rFonts w:ascii="Arial" w:cs="Arial" w:eastAsia="Arial" w:hAnsi="Arial"/>
          <w:sz w:val="17"/>
          <w:szCs w:val="17"/>
          <w:color w:val="auto"/>
        </w:rPr>
        <w:t>Form of Prospectus Supplement For Preferred Stock Offerings (Incorporated by reference to Exhibit (s)(2) to the Registrant’s Pre-Effective Amendment to the Registration Statement on Form N-2/A (File No. 333-172524), filed on August 22, 2011).</w:t>
      </w:r>
    </w:p>
    <w:p>
      <w:pPr>
        <w:spacing w:after="0" w:line="123" w:lineRule="exact"/>
        <w:rPr>
          <w:sz w:val="20"/>
          <w:szCs w:val="20"/>
          <w:color w:val="auto"/>
        </w:rPr>
      </w:pPr>
    </w:p>
    <w:p>
      <w:pPr>
        <w:ind w:left="1120" w:hanging="939"/>
        <w:spacing w:after="0" w:line="294" w:lineRule="auto"/>
        <w:tabs>
          <w:tab w:leader="none" w:pos="1100" w:val="left"/>
        </w:tabs>
        <w:rPr>
          <w:sz w:val="20"/>
          <w:szCs w:val="20"/>
          <w:color w:val="auto"/>
        </w:rPr>
      </w:pPr>
      <w:r>
        <w:rPr>
          <w:rFonts w:ascii="Arial" w:cs="Arial" w:eastAsia="Arial" w:hAnsi="Arial"/>
          <w:sz w:val="17"/>
          <w:szCs w:val="17"/>
          <w:color w:val="auto"/>
        </w:rPr>
        <w:t>(s)(3)</w:t>
      </w:r>
      <w:r>
        <w:rPr>
          <w:sz w:val="20"/>
          <w:szCs w:val="20"/>
          <w:color w:val="auto"/>
        </w:rPr>
        <w:tab/>
      </w:r>
      <w:r>
        <w:rPr>
          <w:rFonts w:ascii="Arial" w:cs="Arial" w:eastAsia="Arial" w:hAnsi="Arial"/>
          <w:sz w:val="17"/>
          <w:szCs w:val="17"/>
          <w:color w:val="auto"/>
        </w:rPr>
        <w:t>Form of Prospectus Supplement For Debt Offerings (Incorporated by reference to Exhibit (s)(3) to the Registrant’s Pre-Effective Amendment to the Registration Statement on Form N-2/A (File No. 333-172524), filed on August 22, 2011).</w:t>
      </w:r>
    </w:p>
    <w:p>
      <w:pPr>
        <w:spacing w:after="0" w:line="123" w:lineRule="exact"/>
        <w:rPr>
          <w:sz w:val="20"/>
          <w:szCs w:val="20"/>
          <w:color w:val="auto"/>
        </w:rPr>
      </w:pPr>
    </w:p>
    <w:p>
      <w:pPr>
        <w:ind w:left="1120" w:right="780" w:hanging="939"/>
        <w:spacing w:after="0" w:line="294" w:lineRule="auto"/>
        <w:tabs>
          <w:tab w:leader="none" w:pos="1100" w:val="left"/>
        </w:tabs>
        <w:rPr>
          <w:sz w:val="20"/>
          <w:szCs w:val="20"/>
          <w:color w:val="auto"/>
        </w:rPr>
      </w:pPr>
      <w:r>
        <w:rPr>
          <w:rFonts w:ascii="Arial" w:cs="Arial" w:eastAsia="Arial" w:hAnsi="Arial"/>
          <w:sz w:val="17"/>
          <w:szCs w:val="17"/>
          <w:color w:val="auto"/>
        </w:rPr>
        <w:t>(s)(4)</w:t>
      </w:r>
      <w:r>
        <w:rPr>
          <w:sz w:val="20"/>
          <w:szCs w:val="20"/>
          <w:color w:val="auto"/>
        </w:rPr>
        <w:tab/>
      </w:r>
      <w:r>
        <w:rPr>
          <w:rFonts w:ascii="Arial" w:cs="Arial" w:eastAsia="Arial" w:hAnsi="Arial"/>
          <w:sz w:val="17"/>
          <w:szCs w:val="17"/>
          <w:color w:val="auto"/>
        </w:rPr>
        <w:t>Form of Prospectus Supplement For Rights Offerings (Incorporated by reference to Exhibit (s)(4) to the Registrant’s Pre-Effective Amendment to the Registration Statement on Form N-2/A (File No. 333-172524), filed on August 22, 2011).</w:t>
      </w:r>
    </w:p>
    <w:p>
      <w:pPr>
        <w:spacing w:after="0" w:line="123" w:lineRule="exact"/>
        <w:rPr>
          <w:sz w:val="20"/>
          <w:szCs w:val="20"/>
          <w:color w:val="auto"/>
        </w:rPr>
      </w:pPr>
    </w:p>
    <w:p>
      <w:pPr>
        <w:ind w:left="1120" w:right="680" w:hanging="939"/>
        <w:spacing w:after="0" w:line="294" w:lineRule="auto"/>
        <w:tabs>
          <w:tab w:leader="none" w:pos="1100" w:val="left"/>
        </w:tabs>
        <w:rPr>
          <w:sz w:val="20"/>
          <w:szCs w:val="20"/>
          <w:color w:val="auto"/>
        </w:rPr>
      </w:pPr>
      <w:r>
        <w:rPr>
          <w:rFonts w:ascii="Arial" w:cs="Arial" w:eastAsia="Arial" w:hAnsi="Arial"/>
          <w:sz w:val="17"/>
          <w:szCs w:val="17"/>
          <w:color w:val="auto"/>
        </w:rPr>
        <w:t>(s)(5)</w:t>
      </w:r>
      <w:r>
        <w:rPr>
          <w:sz w:val="20"/>
          <w:szCs w:val="20"/>
          <w:color w:val="auto"/>
        </w:rPr>
        <w:tab/>
      </w:r>
      <w:r>
        <w:rPr>
          <w:rFonts w:ascii="Arial" w:cs="Arial" w:eastAsia="Arial" w:hAnsi="Arial"/>
          <w:sz w:val="17"/>
          <w:szCs w:val="17"/>
          <w:color w:val="auto"/>
        </w:rPr>
        <w:t>Form of Prospectus Supplement For Warrant Offerings (Incorporated by reference to Exhibit (s)(5) to the Registrant’s Pre-Effective Amendment to the Registration Statement on Form N-2/A (File No. 333-172524), filed on August 22, 2011).</w:t>
      </w:r>
    </w:p>
    <w:p>
      <w:pPr>
        <w:spacing w:after="0" w:line="123" w:lineRule="exact"/>
        <w:rPr>
          <w:sz w:val="20"/>
          <w:szCs w:val="20"/>
          <w:color w:val="auto"/>
        </w:rPr>
      </w:pPr>
    </w:p>
    <w:p>
      <w:pPr>
        <w:ind w:left="140"/>
        <w:spacing w:after="0"/>
        <w:tabs>
          <w:tab w:leader="none" w:pos="1100" w:val="left"/>
        </w:tabs>
        <w:rPr>
          <w:sz w:val="20"/>
          <w:szCs w:val="20"/>
          <w:color w:val="auto"/>
        </w:rPr>
      </w:pPr>
      <w:r>
        <w:rPr>
          <w:rFonts w:ascii="Arial" w:cs="Arial" w:eastAsia="Arial" w:hAnsi="Arial"/>
          <w:sz w:val="15"/>
          <w:szCs w:val="15"/>
          <w:color w:val="auto"/>
        </w:rPr>
        <w:t>(s)(6)*</w:t>
      </w:r>
      <w:r>
        <w:rPr>
          <w:sz w:val="20"/>
          <w:szCs w:val="20"/>
          <w:color w:val="auto"/>
        </w:rPr>
        <w:tab/>
      </w:r>
      <w:r>
        <w:rPr>
          <w:rFonts w:ascii="Arial" w:cs="Arial" w:eastAsia="Arial" w:hAnsi="Arial"/>
          <w:sz w:val="15"/>
          <w:szCs w:val="15"/>
          <w:color w:val="auto"/>
        </w:rPr>
        <w:t>Audited Financial Statements of Superior Digital Displays Holdings, Inc. and Subsidiaries as of and for the year ended September 30, 2018.</w:t>
      </w:r>
    </w:p>
    <w:p>
      <w:pPr>
        <w:spacing w:after="0" w:line="3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Filed herewith.</w:t>
      </w:r>
    </w:p>
    <w:p>
      <w:pPr>
        <w:spacing w:after="0" w:line="213"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7"/>
          <w:szCs w:val="17"/>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information contained under the heading “Plan of Distribution” in this Registration Statement is hereby incorporated by reference.</w:t>
      </w:r>
    </w:p>
    <w:p>
      <w:pPr>
        <w:spacing w:after="0" w:line="213"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7"/>
          <w:szCs w:val="17"/>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05" w:lineRule="exact"/>
        <w:rPr>
          <w:sz w:val="20"/>
          <w:szCs w:val="20"/>
          <w:color w:val="auto"/>
        </w:rPr>
      </w:pPr>
    </w:p>
    <w:p>
      <w:pPr>
        <w:ind w:left="140" w:right="260" w:firstLine="437"/>
        <w:spacing w:after="0" w:line="294" w:lineRule="auto"/>
        <w:rPr>
          <w:sz w:val="20"/>
          <w:szCs w:val="20"/>
          <w:color w:val="auto"/>
        </w:rPr>
      </w:pPr>
      <w:r>
        <w:rPr>
          <w:rFonts w:ascii="Arial" w:cs="Arial" w:eastAsia="Arial" w:hAnsi="Arial"/>
          <w:sz w:val="17"/>
          <w:szCs w:val="17"/>
          <w:color w:val="auto"/>
        </w:rPr>
        <w:t>The following table sets forth the estimated expenses to be incurred by the Registrant in connection with the offering described in this registration statement:</w:t>
      </w:r>
    </w:p>
    <w:p>
      <w:pPr>
        <w:sectPr>
          <w:pgSz w:w="12240" w:h="15840" w:orient="portrait"/>
          <w:cols w:equalWidth="0" w:num="1">
            <w:col w:w="10980"/>
          </w:cols>
          <w:pgMar w:left="520" w:top="316" w:right="740" w:bottom="1440" w:gutter="0" w:footer="0" w:header="0"/>
        </w:sectPr>
      </w:pPr>
    </w:p>
    <w:p>
      <w:pPr>
        <w:spacing w:after="0" w:line="150"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-118110</wp:posOffset>
            </wp:positionV>
            <wp:extent cx="3467100" cy="135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67100" cy="135890"/>
                    </a:xfrm>
                    <a:prstGeom prst="rect">
                      <a:avLst/>
                    </a:prstGeom>
                    <a:noFill/>
                  </pic:spPr>
                </pic:pic>
              </a:graphicData>
            </a:graphic>
          </wp:anchor>
        </w:drawing>
      </w:r>
    </w:p>
    <w:p>
      <w:pPr>
        <w:spacing w:after="0" w:line="6"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NASDAQ listing fee</w:t>
      </w:r>
    </w:p>
    <w:p>
      <w:pPr>
        <w:spacing w:after="0" w:line="1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-122555</wp:posOffset>
            </wp:positionV>
            <wp:extent cx="3467100" cy="135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67100" cy="135890"/>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6"/>
          <w:szCs w:val="16"/>
          <w:color w:val="auto"/>
        </w:rPr>
        <w:t>Printing (other than certificates)</w:t>
      </w:r>
    </w:p>
    <w:p>
      <w:pPr>
        <w:spacing w:after="0" w:line="30"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-122555</wp:posOffset>
            </wp:positionV>
            <wp:extent cx="3467100" cy="135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67100" cy="135890"/>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6"/>
          <w:szCs w:val="16"/>
          <w:color w:val="auto"/>
        </w:rPr>
        <w:t>Accounting fees and expenses</w:t>
      </w:r>
    </w:p>
    <w:p>
      <w:pPr>
        <w:spacing w:after="0" w:line="30"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-107950</wp:posOffset>
            </wp:positionV>
            <wp:extent cx="3467100" cy="135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67100" cy="135890"/>
                    </a:xfrm>
                    <a:prstGeom prst="rect">
                      <a:avLst/>
                    </a:prstGeom>
                    <a:noFill/>
                  </pic:spPr>
                </pic:pic>
              </a:graphicData>
            </a:graphic>
          </wp:anchor>
        </w:drawing>
      </w:r>
    </w:p>
    <w:p>
      <w:pPr>
        <w:spacing w:after="0" w:line="14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310" w:hanging="310"/>
        <w:spacing w:after="0"/>
        <w:tabs>
          <w:tab w:leader="none" w:pos="31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86,925*</w:t>
      </w:r>
    </w:p>
    <w:p>
      <w:pPr>
        <w:spacing w:after="0" w:line="37" w:lineRule="exact"/>
        <w:rPr>
          <w:rFonts w:ascii="Arial" w:cs="Arial" w:eastAsia="Arial" w:hAnsi="Arial"/>
          <w:sz w:val="16"/>
          <w:szCs w:val="16"/>
          <w:color w:val="auto"/>
        </w:rPr>
      </w:pPr>
    </w:p>
    <w:p>
      <w:pPr>
        <w:ind w:left="230"/>
        <w:spacing w:after="0"/>
        <w:rPr>
          <w:rFonts w:ascii="Arial" w:cs="Arial" w:eastAsia="Arial" w:hAnsi="Arial"/>
          <w:sz w:val="16"/>
          <w:szCs w:val="16"/>
          <w:color w:val="auto"/>
        </w:rPr>
      </w:pPr>
      <w:r>
        <w:rPr>
          <w:rFonts w:ascii="Arial" w:cs="Arial" w:eastAsia="Arial" w:hAnsi="Arial"/>
          <w:sz w:val="16"/>
          <w:szCs w:val="16"/>
          <w:color w:val="auto"/>
        </w:rPr>
        <w:t>65,000**</w:t>
      </w:r>
    </w:p>
    <w:p>
      <w:pPr>
        <w:spacing w:after="0" w:line="30" w:lineRule="exact"/>
        <w:rPr>
          <w:rFonts w:ascii="Arial" w:cs="Arial" w:eastAsia="Arial" w:hAnsi="Arial"/>
          <w:sz w:val="16"/>
          <w:szCs w:val="16"/>
          <w:color w:val="auto"/>
        </w:rPr>
      </w:pPr>
    </w:p>
    <w:p>
      <w:pPr>
        <w:ind w:left="230"/>
        <w:spacing w:after="0"/>
        <w:rPr>
          <w:rFonts w:ascii="Arial" w:cs="Arial" w:eastAsia="Arial" w:hAnsi="Arial"/>
          <w:sz w:val="16"/>
          <w:szCs w:val="16"/>
          <w:color w:val="auto"/>
        </w:rPr>
      </w:pPr>
      <w:r>
        <w:rPr>
          <w:rFonts w:ascii="Arial" w:cs="Arial" w:eastAsia="Arial" w:hAnsi="Arial"/>
          <w:sz w:val="15"/>
          <w:szCs w:val="15"/>
          <w:color w:val="auto"/>
        </w:rPr>
        <w:t>113,000*</w:t>
      </w:r>
    </w:p>
    <w:p>
      <w:pPr>
        <w:spacing w:after="0" w:line="41" w:lineRule="exact"/>
        <w:rPr>
          <w:rFonts w:ascii="Arial" w:cs="Arial" w:eastAsia="Arial" w:hAnsi="Arial"/>
          <w:sz w:val="16"/>
          <w:szCs w:val="16"/>
          <w:color w:val="auto"/>
        </w:rPr>
      </w:pPr>
    </w:p>
    <w:p>
      <w:pPr>
        <w:ind w:left="610"/>
        <w:spacing w:after="0"/>
        <w:rPr>
          <w:rFonts w:ascii="Arial" w:cs="Arial" w:eastAsia="Arial" w:hAnsi="Arial"/>
          <w:sz w:val="16"/>
          <w:szCs w:val="16"/>
          <w:color w:val="auto"/>
        </w:rPr>
      </w:pPr>
      <w:r>
        <w:rPr>
          <w:rFonts w:ascii="Arial" w:cs="Arial" w:eastAsia="Arial" w:hAnsi="Arial"/>
          <w:sz w:val="17"/>
          <w:szCs w:val="17"/>
          <w:color w:val="auto"/>
        </w:rPr>
        <w:t>***</w:t>
      </w:r>
    </w:p>
    <w:p>
      <w:pPr>
        <w:spacing w:after="0" w:line="18" w:lineRule="exact"/>
        <w:rPr>
          <w:rFonts w:ascii="Arial" w:cs="Arial" w:eastAsia="Arial" w:hAnsi="Arial"/>
          <w:sz w:val="16"/>
          <w:szCs w:val="16"/>
          <w:color w:val="auto"/>
        </w:rPr>
      </w:pPr>
    </w:p>
    <w:p>
      <w:pPr>
        <w:ind w:left="610"/>
        <w:spacing w:after="0"/>
        <w:rPr>
          <w:rFonts w:ascii="Arial" w:cs="Arial" w:eastAsia="Arial" w:hAnsi="Arial"/>
          <w:sz w:val="16"/>
          <w:szCs w:val="16"/>
          <w:color w:val="auto"/>
        </w:rPr>
      </w:pPr>
      <w:r>
        <w:rPr>
          <w:rFonts w:ascii="Arial" w:cs="Arial" w:eastAsia="Arial" w:hAnsi="Arial"/>
          <w:sz w:val="17"/>
          <w:szCs w:val="17"/>
          <w:color w:val="auto"/>
        </w:rPr>
        <w:t>***</w:t>
      </w:r>
    </w:p>
    <w:p>
      <w:pPr>
        <w:spacing w:after="0" w:line="18" w:lineRule="exact"/>
        <w:rPr>
          <w:rFonts w:ascii="Arial" w:cs="Arial" w:eastAsia="Arial" w:hAnsi="Arial"/>
          <w:sz w:val="16"/>
          <w:szCs w:val="16"/>
          <w:color w:val="auto"/>
        </w:rPr>
      </w:pPr>
    </w:p>
    <w:p>
      <w:pPr>
        <w:ind w:left="610"/>
        <w:spacing w:after="0"/>
        <w:rPr>
          <w:rFonts w:ascii="Arial" w:cs="Arial" w:eastAsia="Arial" w:hAnsi="Arial"/>
          <w:sz w:val="16"/>
          <w:szCs w:val="16"/>
          <w:color w:val="auto"/>
        </w:rPr>
      </w:pPr>
      <w:r>
        <w:rPr>
          <w:rFonts w:ascii="Arial" w:cs="Arial" w:eastAsia="Arial" w:hAnsi="Arial"/>
          <w:sz w:val="17"/>
          <w:szCs w:val="17"/>
          <w:color w:val="auto"/>
        </w:rPr>
        <w:t>***</w:t>
      </w:r>
    </w:p>
    <w:p>
      <w:pPr>
        <w:spacing w:after="0" w:line="18" w:lineRule="exact"/>
        <w:rPr>
          <w:rFonts w:ascii="Arial" w:cs="Arial" w:eastAsia="Arial" w:hAnsi="Arial"/>
          <w:sz w:val="16"/>
          <w:szCs w:val="16"/>
          <w:color w:val="auto"/>
        </w:rPr>
      </w:pPr>
    </w:p>
    <w:p>
      <w:pPr>
        <w:ind w:left="610"/>
        <w:spacing w:after="0"/>
        <w:rPr>
          <w:rFonts w:ascii="Arial" w:cs="Arial" w:eastAsia="Arial" w:hAnsi="Arial"/>
          <w:sz w:val="16"/>
          <w:szCs w:val="16"/>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12700</wp:posOffset>
            </wp:positionV>
            <wp:extent cx="6121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spacing w:after="0" w:line="126" w:lineRule="exact"/>
        <w:rPr>
          <w:sz w:val="20"/>
          <w:szCs w:val="20"/>
          <w:color w:val="auto"/>
        </w:rPr>
      </w:pPr>
    </w:p>
    <w:p>
      <w:pPr>
        <w:ind w:left="610" w:hanging="610"/>
        <w:spacing w:after="0"/>
        <w:tabs>
          <w:tab w:leader="none" w:pos="61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17145</wp:posOffset>
            </wp:positionV>
            <wp:extent cx="6121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2140" cy="825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34290</wp:posOffset>
            </wp:positionV>
            <wp:extent cx="6121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6630" w:space="720"/>
            <w:col w:w="3630"/>
          </w:cols>
          <w:pgMar w:left="520" w:top="316" w:right="740" w:bottom="1440" w:gutter="0" w:footer="0" w:header="0"/>
          <w:type w:val="continuous"/>
        </w:sectPr>
      </w:pPr>
    </w:p>
    <w:p>
      <w:pPr>
        <w:spacing w:after="0" w:line="11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All of the expenses set forth above shall be borne by the Registrant.</w:t>
      </w:r>
    </w:p>
    <w:p>
      <w:pPr>
        <w:spacing w:after="0" w:line="219" w:lineRule="exact"/>
        <w:rPr>
          <w:sz w:val="20"/>
          <w:szCs w:val="20"/>
          <w:color w:val="auto"/>
        </w:rPr>
      </w:pPr>
    </w:p>
    <w:p>
      <w:pPr>
        <w:ind w:left="660" w:hanging="526"/>
        <w:spacing w:after="0"/>
        <w:tabs>
          <w:tab w:leader="none" w:pos="6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This amount has been offset against a filing fee associated with unsold securities registered under a previous registration statement.</w:t>
      </w:r>
    </w:p>
    <w:p>
      <w:pPr>
        <w:spacing w:after="0" w:line="48" w:lineRule="exact"/>
        <w:rPr>
          <w:rFonts w:ascii="Arial" w:cs="Arial" w:eastAsia="Arial" w:hAnsi="Arial"/>
          <w:sz w:val="15"/>
          <w:szCs w:val="15"/>
          <w:color w:val="auto"/>
        </w:rPr>
      </w:pPr>
    </w:p>
    <w:p>
      <w:pPr>
        <w:ind w:left="140"/>
        <w:spacing w:after="0"/>
        <w:rPr>
          <w:rFonts w:ascii="Arial" w:cs="Arial" w:eastAsia="Arial" w:hAnsi="Arial"/>
          <w:sz w:val="15"/>
          <w:szCs w:val="15"/>
          <w:color w:val="auto"/>
        </w:rPr>
      </w:pPr>
      <w:r>
        <w:rPr>
          <w:rFonts w:ascii="Arial" w:cs="Arial" w:eastAsia="Arial" w:hAnsi="Arial"/>
          <w:sz w:val="17"/>
          <w:szCs w:val="17"/>
          <w:color w:val="auto"/>
        </w:rPr>
        <w:t>**</w:t>
      </w:r>
      <w:r>
        <w:rPr>
          <w:rFonts w:ascii="Arial" w:cs="Arial" w:eastAsia="Arial" w:hAnsi="Arial"/>
          <w:sz w:val="15"/>
          <w:szCs w:val="15"/>
          <w:color w:val="auto"/>
        </w:rPr>
        <w:t>This amount is estimated.</w:t>
      </w:r>
    </w:p>
    <w:p>
      <w:pPr>
        <w:spacing w:after="0" w:line="18" w:lineRule="exact"/>
        <w:rPr>
          <w:rFonts w:ascii="Arial" w:cs="Arial" w:eastAsia="Arial" w:hAnsi="Arial"/>
          <w:sz w:val="15"/>
          <w:szCs w:val="15"/>
          <w:color w:val="auto"/>
        </w:rPr>
      </w:pPr>
    </w:p>
    <w:p>
      <w:pPr>
        <w:ind w:left="140"/>
        <w:spacing w:after="0"/>
        <w:rPr>
          <w:rFonts w:ascii="Arial" w:cs="Arial" w:eastAsia="Arial" w:hAnsi="Arial"/>
          <w:sz w:val="15"/>
          <w:szCs w:val="15"/>
          <w:color w:val="auto"/>
        </w:rPr>
      </w:pPr>
      <w:r>
        <w:rPr>
          <w:rFonts w:ascii="Arial" w:cs="Arial" w:eastAsia="Arial" w:hAnsi="Arial"/>
          <w:sz w:val="17"/>
          <w:szCs w:val="17"/>
          <w:color w:val="auto"/>
        </w:rPr>
        <w:t>***   To be provided by amendment.</w:t>
      </w:r>
    </w:p>
    <w:p>
      <w:pPr>
        <w:spacing w:after="0" w:line="15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C-4</w:t>
      </w:r>
    </w:p>
    <w:p>
      <w:pPr>
        <w:sectPr>
          <w:pgSz w:w="12240" w:h="15840" w:orient="portrait"/>
          <w:cols w:equalWidth="0" w:num="1">
            <w:col w:w="10980"/>
          </w:cols>
          <w:pgMar w:left="520" w:top="316" w:right="740" w:bottom="1440" w:gutter="0" w:footer="0" w:header="0"/>
          <w:type w:val="continuous"/>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1000" w:type="dxa"/>
            <w:vAlign w:val="bottom"/>
          </w:tcPr>
          <w:p>
            <w:pPr>
              <w:spacing w:after="0"/>
              <w:rPr>
                <w:sz w:val="20"/>
                <w:szCs w:val="20"/>
                <w:color w:val="auto"/>
              </w:rPr>
            </w:pPr>
            <w:r>
              <w:rPr>
                <w:rFonts w:ascii="Arial" w:cs="Arial" w:eastAsia="Arial" w:hAnsi="Arial"/>
                <w:sz w:val="17"/>
                <w:szCs w:val="17"/>
                <w:b w:val="1"/>
                <w:bCs w:val="1"/>
                <w:color w:val="auto"/>
              </w:rPr>
              <w:t>Item 28.</w:t>
            </w:r>
          </w:p>
        </w:tc>
        <w:tc>
          <w:tcPr>
            <w:tcW w:w="8060" w:type="dxa"/>
            <w:vAlign w:val="bottom"/>
            <w:gridSpan w:val="2"/>
          </w:tcPr>
          <w:p>
            <w:pPr>
              <w:ind w:left="420"/>
              <w:spacing w:after="0"/>
              <w:rPr>
                <w:sz w:val="20"/>
                <w:szCs w:val="20"/>
                <w:color w:val="auto"/>
              </w:rPr>
            </w:pPr>
            <w:r>
              <w:rPr>
                <w:rFonts w:ascii="Arial" w:cs="Arial" w:eastAsia="Arial" w:hAnsi="Arial"/>
                <w:sz w:val="17"/>
                <w:szCs w:val="17"/>
                <w:b w:val="1"/>
                <w:bCs w:val="1"/>
                <w:color w:val="auto"/>
              </w:rPr>
              <w:t>Persons controlled by or under common control with the Registrant</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Voting Securities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entity and place of jurisdiction</w:t>
            </w:r>
          </w:p>
        </w:tc>
        <w:tc>
          <w:tcPr>
            <w:tcW w:w="2980" w:type="dxa"/>
            <w:vAlign w:val="bottom"/>
            <w:vMerge w:val="restart"/>
          </w:tcPr>
          <w:p>
            <w:pPr>
              <w:spacing w:after="0"/>
              <w:rPr>
                <w:sz w:val="15"/>
                <w:szCs w:val="15"/>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Owned Percentage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080" w:type="dxa"/>
            <w:vAlign w:val="bottom"/>
            <w:tcBorders>
              <w:bottom w:val="single" w:sz="8" w:color="auto"/>
            </w:tcBorders>
            <w:gridSpan w:val="2"/>
            <w:vMerge w:val="continue"/>
          </w:tcPr>
          <w:p>
            <w:pPr>
              <w:spacing w:after="0"/>
              <w:rPr>
                <w:sz w:val="11"/>
                <w:szCs w:val="11"/>
                <w:color w:val="auto"/>
              </w:rPr>
            </w:pPr>
          </w:p>
        </w:tc>
        <w:tc>
          <w:tcPr>
            <w:tcW w:w="2980" w:type="dxa"/>
            <w:vAlign w:val="bottom"/>
            <w:tcBorders>
              <w:bottom w:val="single" w:sz="8" w:color="CCEEFF"/>
            </w:tcBorders>
            <w:vMerge w:val="continue"/>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PennantPark Investment Funding I, LLC (Delaware)</w:t>
            </w:r>
          </w:p>
        </w:tc>
        <w:tc>
          <w:tcPr>
            <w:tcW w:w="29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60" w:type="dxa"/>
            <w:vAlign w:val="bottom"/>
            <w:gridSpan w:val="3"/>
          </w:tcPr>
          <w:p>
            <w:pPr>
              <w:spacing w:after="0"/>
              <w:rPr>
                <w:sz w:val="20"/>
                <w:szCs w:val="20"/>
                <w:color w:val="auto"/>
              </w:rPr>
            </w:pPr>
            <w:r>
              <w:rPr>
                <w:rFonts w:ascii="Arial" w:cs="Arial" w:eastAsia="Arial" w:hAnsi="Arial"/>
                <w:sz w:val="17"/>
                <w:szCs w:val="17"/>
                <w:color w:val="auto"/>
              </w:rPr>
              <w:t>PennantPark SBIC GP, LLC (Delaware)</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PennantPark SBIC GP II, LLC (Delaware)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60" w:type="dxa"/>
            <w:vAlign w:val="bottom"/>
            <w:gridSpan w:val="3"/>
          </w:tcPr>
          <w:p>
            <w:pPr>
              <w:spacing w:after="0"/>
              <w:rPr>
                <w:sz w:val="20"/>
                <w:szCs w:val="20"/>
                <w:color w:val="auto"/>
              </w:rPr>
            </w:pPr>
            <w:r>
              <w:rPr>
                <w:rFonts w:ascii="Arial" w:cs="Arial" w:eastAsia="Arial" w:hAnsi="Arial"/>
                <w:sz w:val="17"/>
                <w:szCs w:val="17"/>
                <w:color w:val="auto"/>
              </w:rPr>
              <w:t>PennantPark SBIC LP (Delaware)</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280" w:type="dxa"/>
            <w:vAlign w:val="bottom"/>
          </w:tcPr>
          <w:p>
            <w:pPr>
              <w:jc w:val="right"/>
              <w:spacing w:after="0"/>
              <w:rPr>
                <w:sz w:val="20"/>
                <w:szCs w:val="20"/>
                <w:color w:val="auto"/>
              </w:rPr>
            </w:pPr>
            <w:r>
              <w:rPr>
                <w:rFonts w:ascii="Arial" w:cs="Arial" w:eastAsia="Arial" w:hAnsi="Arial"/>
                <w:sz w:val="17"/>
                <w:szCs w:val="17"/>
                <w:color w:val="auto"/>
                <w:w w:val="96"/>
              </w:rPr>
              <w:t>(1)</w:t>
            </w:r>
          </w:p>
        </w:tc>
        <w:tc>
          <w:tcPr>
            <w:tcW w:w="0" w:type="dxa"/>
            <w:vAlign w:val="bottom"/>
          </w:tcPr>
          <w:p>
            <w:pPr>
              <w:spacing w:after="0"/>
              <w:rPr>
                <w:sz w:val="1"/>
                <w:szCs w:val="1"/>
                <w:color w:val="auto"/>
              </w:rPr>
            </w:pPr>
          </w:p>
        </w:tc>
      </w:tr>
      <w:tr>
        <w:trPr>
          <w:trHeight w:val="214"/>
        </w:trPr>
        <w:tc>
          <w:tcPr>
            <w:tcW w:w="9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PennantPark SBIC II LP (Delaware)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w:t>
            </w:r>
          </w:p>
        </w:tc>
        <w:tc>
          <w:tcPr>
            <w:tcW w:w="0" w:type="dxa"/>
            <w:vAlign w:val="bottom"/>
          </w:tcPr>
          <w:p>
            <w:pPr>
              <w:spacing w:after="0"/>
              <w:rPr>
                <w:sz w:val="1"/>
                <w:szCs w:val="1"/>
                <w:color w:val="auto"/>
              </w:rPr>
            </w:pPr>
          </w:p>
        </w:tc>
      </w:tr>
      <w:tr>
        <w:trPr>
          <w:trHeight w:val="214"/>
        </w:trPr>
        <w:tc>
          <w:tcPr>
            <w:tcW w:w="9060" w:type="dxa"/>
            <w:vAlign w:val="bottom"/>
            <w:gridSpan w:val="3"/>
          </w:tcPr>
          <w:p>
            <w:pPr>
              <w:spacing w:after="0"/>
              <w:rPr>
                <w:sz w:val="20"/>
                <w:szCs w:val="20"/>
                <w:color w:val="auto"/>
              </w:rPr>
            </w:pPr>
            <w:r>
              <w:rPr>
                <w:rFonts w:ascii="Arial" w:cs="Arial" w:eastAsia="Arial" w:hAnsi="Arial"/>
                <w:sz w:val="17"/>
                <w:szCs w:val="17"/>
                <w:color w:val="auto"/>
              </w:rPr>
              <w:t>PNNT Alabama Holdings Inc. (Delaware)</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280" w:type="dxa"/>
            <w:vAlign w:val="bottom"/>
          </w:tcPr>
          <w:p>
            <w:pPr>
              <w:jc w:val="right"/>
              <w:spacing w:after="0"/>
              <w:rPr>
                <w:sz w:val="20"/>
                <w:szCs w:val="20"/>
                <w:color w:val="auto"/>
              </w:rPr>
            </w:pPr>
            <w:r>
              <w:rPr>
                <w:rFonts w:ascii="Arial" w:cs="Arial" w:eastAsia="Arial" w:hAnsi="Arial"/>
                <w:sz w:val="17"/>
                <w:szCs w:val="17"/>
                <w:color w:val="auto"/>
                <w:w w:val="96"/>
              </w:rPr>
              <w:t>(3)</w:t>
            </w:r>
          </w:p>
        </w:tc>
        <w:tc>
          <w:tcPr>
            <w:tcW w:w="0" w:type="dxa"/>
            <w:vAlign w:val="bottom"/>
          </w:tcPr>
          <w:p>
            <w:pPr>
              <w:spacing w:after="0"/>
              <w:rPr>
                <w:sz w:val="1"/>
                <w:szCs w:val="1"/>
                <w:color w:val="auto"/>
              </w:rPr>
            </w:pPr>
          </w:p>
        </w:tc>
      </w:tr>
      <w:tr>
        <w:trPr>
          <w:trHeight w:val="214"/>
        </w:trPr>
        <w:tc>
          <w:tcPr>
            <w:tcW w:w="9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PNNT Cascade Environmental Holdings, LLC (Delaware)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60" w:type="dxa"/>
            <w:vAlign w:val="bottom"/>
            <w:gridSpan w:val="3"/>
          </w:tcPr>
          <w:p>
            <w:pPr>
              <w:spacing w:after="0"/>
              <w:rPr>
                <w:sz w:val="20"/>
                <w:szCs w:val="20"/>
                <w:color w:val="auto"/>
              </w:rPr>
            </w:pPr>
            <w:r>
              <w:rPr>
                <w:rFonts w:ascii="Arial" w:cs="Arial" w:eastAsia="Arial" w:hAnsi="Arial"/>
                <w:sz w:val="17"/>
                <w:szCs w:val="17"/>
                <w:color w:val="auto"/>
              </w:rPr>
              <w:t>PNNT CI (GALLS) Prime Investment Holdings, LLC (Delaware)</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PNNT ecoserve, LLC (Delaware)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60" w:type="dxa"/>
            <w:vAlign w:val="bottom"/>
            <w:gridSpan w:val="3"/>
          </w:tcPr>
          <w:p>
            <w:pPr>
              <w:spacing w:after="0"/>
              <w:rPr>
                <w:sz w:val="20"/>
                <w:szCs w:val="20"/>
                <w:color w:val="auto"/>
              </w:rPr>
            </w:pPr>
            <w:r>
              <w:rPr>
                <w:rFonts w:ascii="Arial" w:cs="Arial" w:eastAsia="Arial" w:hAnsi="Arial"/>
                <w:sz w:val="17"/>
                <w:szCs w:val="17"/>
                <w:color w:val="auto"/>
              </w:rPr>
              <w:t>PNNT Investment Holdings, LLC (Delaware)</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PNNT New Gulf Resources, LLC (Delaware)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60" w:type="dxa"/>
            <w:vAlign w:val="bottom"/>
            <w:gridSpan w:val="3"/>
          </w:tcPr>
          <w:p>
            <w:pPr>
              <w:spacing w:after="0"/>
              <w:rPr>
                <w:sz w:val="20"/>
                <w:szCs w:val="20"/>
                <w:color w:val="auto"/>
              </w:rPr>
            </w:pPr>
            <w:r>
              <w:rPr>
                <w:rFonts w:ascii="Arial" w:cs="Arial" w:eastAsia="Arial" w:hAnsi="Arial"/>
                <w:sz w:val="17"/>
                <w:szCs w:val="17"/>
                <w:color w:val="auto"/>
              </w:rPr>
              <w:t>AKW Holdings Limited (Delaware)</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83%</w:t>
            </w:r>
          </w:p>
        </w:tc>
        <w:tc>
          <w:tcPr>
            <w:tcW w:w="280" w:type="dxa"/>
            <w:vAlign w:val="bottom"/>
          </w:tcPr>
          <w:p>
            <w:pPr>
              <w:jc w:val="right"/>
              <w:spacing w:after="0"/>
              <w:rPr>
                <w:sz w:val="20"/>
                <w:szCs w:val="20"/>
                <w:color w:val="auto"/>
              </w:rPr>
            </w:pPr>
            <w:r>
              <w:rPr>
                <w:rFonts w:ascii="Arial" w:cs="Arial" w:eastAsia="Arial" w:hAnsi="Arial"/>
                <w:sz w:val="17"/>
                <w:szCs w:val="17"/>
                <w:color w:val="auto"/>
                <w:w w:val="96"/>
              </w:rPr>
              <w:t>(4)</w:t>
            </w:r>
          </w:p>
        </w:tc>
        <w:tc>
          <w:tcPr>
            <w:tcW w:w="0" w:type="dxa"/>
            <w:vAlign w:val="bottom"/>
          </w:tcPr>
          <w:p>
            <w:pPr>
              <w:spacing w:after="0"/>
              <w:rPr>
                <w:sz w:val="1"/>
                <w:szCs w:val="1"/>
                <w:color w:val="auto"/>
              </w:rPr>
            </w:pPr>
          </w:p>
        </w:tc>
      </w:tr>
      <w:tr>
        <w:trPr>
          <w:trHeight w:val="214"/>
        </w:trPr>
        <w:tc>
          <w:tcPr>
            <w:tcW w:w="9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RAM Energy Holdings LLC (Delaware)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w:t>
            </w:r>
          </w:p>
        </w:tc>
        <w:tc>
          <w:tcPr>
            <w:tcW w:w="0" w:type="dxa"/>
            <w:vAlign w:val="bottom"/>
          </w:tcPr>
          <w:p>
            <w:pPr>
              <w:spacing w:after="0"/>
              <w:rPr>
                <w:sz w:val="1"/>
                <w:szCs w:val="1"/>
                <w:color w:val="auto"/>
              </w:rPr>
            </w:pPr>
          </w:p>
        </w:tc>
      </w:tr>
      <w:tr>
        <w:trPr>
          <w:trHeight w:val="221"/>
        </w:trPr>
        <w:tc>
          <w:tcPr>
            <w:tcW w:w="9060" w:type="dxa"/>
            <w:vAlign w:val="bottom"/>
            <w:gridSpan w:val="3"/>
          </w:tcPr>
          <w:p>
            <w:pPr>
              <w:spacing w:after="0"/>
              <w:rPr>
                <w:sz w:val="20"/>
                <w:szCs w:val="20"/>
                <w:color w:val="auto"/>
              </w:rPr>
            </w:pPr>
            <w:r>
              <w:rPr>
                <w:rFonts w:ascii="Arial" w:cs="Arial" w:eastAsia="Arial" w:hAnsi="Arial"/>
                <w:sz w:val="17"/>
                <w:szCs w:val="17"/>
                <w:color w:val="auto"/>
              </w:rPr>
              <w:t>Superior Digital Displays, LLC (Delaware)</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99%</w:t>
            </w:r>
          </w:p>
        </w:tc>
        <w:tc>
          <w:tcPr>
            <w:tcW w:w="280" w:type="dxa"/>
            <w:vAlign w:val="bottom"/>
          </w:tcPr>
          <w:p>
            <w:pPr>
              <w:jc w:val="right"/>
              <w:spacing w:after="0"/>
              <w:rPr>
                <w:sz w:val="20"/>
                <w:szCs w:val="20"/>
                <w:color w:val="auto"/>
              </w:rPr>
            </w:pPr>
            <w:r>
              <w:rPr>
                <w:rFonts w:ascii="Arial" w:cs="Arial" w:eastAsia="Arial" w:hAnsi="Arial"/>
                <w:sz w:val="17"/>
                <w:szCs w:val="17"/>
                <w:color w:val="auto"/>
                <w:w w:val="96"/>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63500</wp:posOffset>
            </wp:positionV>
            <wp:extent cx="193738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12" w:lineRule="exact"/>
        <w:rPr>
          <w:sz w:val="20"/>
          <w:szCs w:val="20"/>
          <w:color w:val="auto"/>
        </w:rPr>
      </w:pPr>
    </w:p>
    <w:p>
      <w:pPr>
        <w:ind w:left="460" w:hanging="326"/>
        <w:spacing w:after="0"/>
        <w:tabs>
          <w:tab w:leader="none" w:pos="4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entity is directly owned 99% by us and 1% by PennantPark SBIC GP, LLC which is effectively wholly-owned by us.</w:t>
      </w:r>
    </w:p>
    <w:p>
      <w:pPr>
        <w:spacing w:after="0" w:line="25" w:lineRule="exact"/>
        <w:rPr>
          <w:rFonts w:ascii="Arial" w:cs="Arial" w:eastAsia="Arial" w:hAnsi="Arial"/>
          <w:sz w:val="17"/>
          <w:szCs w:val="17"/>
          <w:color w:val="auto"/>
        </w:rPr>
      </w:pPr>
    </w:p>
    <w:p>
      <w:pPr>
        <w:ind w:left="460" w:hanging="326"/>
        <w:spacing w:after="0"/>
        <w:tabs>
          <w:tab w:leader="none" w:pos="4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entity is directly owned 99% by us and 1% by PennantPark SBIC GP II, LLC, which is effectively wholly-owned by us.</w:t>
      </w:r>
    </w:p>
    <w:p>
      <w:pPr>
        <w:spacing w:after="0" w:line="18" w:lineRule="exact"/>
        <w:rPr>
          <w:rFonts w:ascii="Arial" w:cs="Arial" w:eastAsia="Arial" w:hAnsi="Arial"/>
          <w:sz w:val="17"/>
          <w:szCs w:val="17"/>
          <w:color w:val="auto"/>
        </w:rPr>
      </w:pPr>
    </w:p>
    <w:p>
      <w:pPr>
        <w:ind w:left="460" w:hanging="326"/>
        <w:spacing w:after="0"/>
        <w:tabs>
          <w:tab w:leader="none" w:pos="4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This entity is not operational.</w:t>
      </w:r>
    </w:p>
    <w:p>
      <w:pPr>
        <w:spacing w:after="0" w:line="18" w:lineRule="exact"/>
        <w:rPr>
          <w:rFonts w:ascii="Arial" w:cs="Arial" w:eastAsia="Arial" w:hAnsi="Arial"/>
          <w:sz w:val="17"/>
          <w:szCs w:val="17"/>
          <w:color w:val="auto"/>
        </w:rPr>
      </w:pPr>
    </w:p>
    <w:p>
      <w:pPr>
        <w:ind w:left="460" w:hanging="326"/>
        <w:spacing w:after="0"/>
        <w:tabs>
          <w:tab w:leader="none" w:pos="4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This is a controlled affiliated investment.</w:t>
      </w:r>
    </w:p>
    <w:p>
      <w:pPr>
        <w:spacing w:after="0" w:line="287"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7"/>
          <w:szCs w:val="17"/>
          <w:b w:val="1"/>
          <w:bCs w:val="1"/>
          <w:color w:val="auto"/>
        </w:rPr>
        <w:t>Item 29.</w:t>
      </w:r>
      <w:r>
        <w:rPr>
          <w:sz w:val="20"/>
          <w:szCs w:val="20"/>
          <w:color w:val="auto"/>
        </w:rPr>
        <w:tab/>
      </w:r>
      <w:r>
        <w:rPr>
          <w:rFonts w:ascii="Arial" w:cs="Arial" w:eastAsia="Arial" w:hAnsi="Arial"/>
          <w:sz w:val="15"/>
          <w:szCs w:val="15"/>
          <w:b w:val="1"/>
          <w:bCs w:val="1"/>
          <w:color w:val="auto"/>
        </w:rPr>
        <w:t>Number of holders of shares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of January 31, 2019</w:t>
      </w:r>
    </w:p>
    <w:p>
      <w:pPr>
        <w:spacing w:after="0" w:line="295"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6720" w:type="dxa"/>
            <w:vAlign w:val="bottom"/>
            <w:gridSpan w:val="2"/>
            <w:vMerge w:val="restart"/>
          </w:tcPr>
          <w:p>
            <w:pPr>
              <w:jc w:val="center"/>
              <w:ind w:right="5240"/>
              <w:spacing w:after="0"/>
              <w:rPr>
                <w:sz w:val="20"/>
                <w:szCs w:val="20"/>
                <w:color w:val="auto"/>
              </w:rPr>
            </w:pPr>
            <w:r>
              <w:rPr>
                <w:rFonts w:ascii="Arial" w:cs="Arial" w:eastAsia="Arial" w:hAnsi="Arial"/>
                <w:sz w:val="13"/>
                <w:szCs w:val="13"/>
                <w:b w:val="1"/>
                <w:bCs w:val="1"/>
                <w:color w:val="auto"/>
                <w:w w:val="93"/>
              </w:rPr>
              <w:t>Title of Class</w:t>
            </w:r>
          </w:p>
        </w:tc>
        <w:tc>
          <w:tcPr>
            <w:tcW w:w="1960" w:type="dxa"/>
            <w:vAlign w:val="bottom"/>
          </w:tcPr>
          <w:p>
            <w:pPr>
              <w:jc w:val="right"/>
              <w:ind w:right="43"/>
              <w:spacing w:after="0"/>
              <w:rPr>
                <w:sz w:val="20"/>
                <w:szCs w:val="20"/>
                <w:color w:val="auto"/>
              </w:rPr>
            </w:pPr>
            <w:r>
              <w:rPr>
                <w:rFonts w:ascii="Arial" w:cs="Arial" w:eastAsia="Arial" w:hAnsi="Arial"/>
                <w:sz w:val="13"/>
                <w:szCs w:val="13"/>
                <w:b w:val="1"/>
                <w:bCs w:val="1"/>
                <w:color w:val="auto"/>
              </w:rPr>
              <w:t>Number of Record Holders</w:t>
            </w: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6720" w:type="dxa"/>
            <w:vAlign w:val="bottom"/>
            <w:gridSpan w:val="2"/>
            <w:vMerge w:val="continue"/>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44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w w:val="91"/>
              </w:rPr>
              <w:t>Common Stock, $0.001 par value</w:t>
            </w:r>
          </w:p>
        </w:tc>
        <w:tc>
          <w:tcPr>
            <w:tcW w:w="4260" w:type="dxa"/>
            <w:vAlign w:val="bottom"/>
          </w:tcPr>
          <w:p>
            <w:pPr>
              <w:spacing w:after="0"/>
              <w:rPr>
                <w:sz w:val="18"/>
                <w:szCs w:val="18"/>
                <w:color w:val="auto"/>
              </w:rPr>
            </w:pPr>
          </w:p>
        </w:tc>
        <w:tc>
          <w:tcPr>
            <w:tcW w:w="1960" w:type="dxa"/>
            <w:vAlign w:val="bottom"/>
          </w:tcPr>
          <w:p>
            <w:pPr>
              <w:jc w:val="right"/>
              <w:ind w:right="823"/>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406"/>
        </w:trPr>
        <w:tc>
          <w:tcPr>
            <w:tcW w:w="980" w:type="dxa"/>
            <w:vAlign w:val="bottom"/>
          </w:tcPr>
          <w:p>
            <w:pPr>
              <w:spacing w:after="0"/>
              <w:rPr>
                <w:sz w:val="20"/>
                <w:szCs w:val="20"/>
                <w:color w:val="auto"/>
              </w:rPr>
            </w:pPr>
            <w:r>
              <w:rPr>
                <w:rFonts w:ascii="Arial" w:cs="Arial" w:eastAsia="Arial" w:hAnsi="Arial"/>
                <w:sz w:val="17"/>
                <w:szCs w:val="17"/>
                <w:b w:val="1"/>
                <w:bCs w:val="1"/>
                <w:color w:val="auto"/>
              </w:rPr>
              <w:t>Item 30.</w:t>
            </w:r>
          </w:p>
        </w:tc>
        <w:tc>
          <w:tcPr>
            <w:tcW w:w="6720" w:type="dxa"/>
            <w:vAlign w:val="bottom"/>
            <w:gridSpan w:val="2"/>
          </w:tcPr>
          <w:p>
            <w:pPr>
              <w:ind w:left="440"/>
              <w:spacing w:after="0"/>
              <w:rPr>
                <w:sz w:val="20"/>
                <w:szCs w:val="20"/>
                <w:color w:val="auto"/>
              </w:rPr>
            </w:pPr>
            <w:r>
              <w:rPr>
                <w:rFonts w:ascii="Arial" w:cs="Arial" w:eastAsia="Arial" w:hAnsi="Arial"/>
                <w:sz w:val="17"/>
                <w:szCs w:val="17"/>
                <w:b w:val="1"/>
                <w:bCs w:val="1"/>
                <w:color w:val="auto"/>
              </w:rPr>
              <w:t>Indemnification</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40" w:right="60" w:firstLine="546"/>
        <w:spacing w:after="0" w:line="294" w:lineRule="auto"/>
        <w:rPr>
          <w:sz w:val="20"/>
          <w:szCs w:val="20"/>
          <w:color w:val="auto"/>
        </w:rPr>
      </w:pPr>
      <w:r>
        <w:rPr>
          <w:rFonts w:ascii="Arial" w:cs="Arial" w:eastAsia="Arial" w:hAnsi="Arial"/>
          <w:sz w:val="17"/>
          <w:szCs w:val="17"/>
          <w:color w:val="auto"/>
        </w:rPr>
        <w:t>The information contained under the heading “Description of our Capital Stock —Limitation on Liability of Directors and Officers; Indemnification and Advance of Expenses” is incorporated herein by reference.</w:t>
      </w:r>
    </w:p>
    <w:p>
      <w:pPr>
        <w:spacing w:after="0" w:line="144"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7"/>
          <w:szCs w:val="17"/>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85" w:lineRule="exact"/>
        <w:rPr>
          <w:sz w:val="20"/>
          <w:szCs w:val="20"/>
          <w:color w:val="auto"/>
        </w:rPr>
      </w:pPr>
    </w:p>
    <w:p>
      <w:pPr>
        <w:ind w:left="140" w:right="160" w:firstLine="546"/>
        <w:spacing w:after="0" w:line="295"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 —Our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C-5</w:t>
      </w:r>
    </w:p>
    <w:p>
      <w:pPr>
        <w:sectPr>
          <w:pgSz w:w="12240" w:h="15840" w:orient="portrait"/>
          <w:cols w:equalWidth="0" w:num="1">
            <w:col w:w="11060"/>
          </w:cols>
          <w:pgMar w:left="520" w:top="317" w:right="660"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7"/>
          <w:szCs w:val="17"/>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85" w:lineRule="exact"/>
        <w:rPr>
          <w:sz w:val="20"/>
          <w:szCs w:val="20"/>
          <w:color w:val="auto"/>
        </w:rPr>
      </w:pPr>
    </w:p>
    <w:p>
      <w:pPr>
        <w:ind w:left="140" w:right="60" w:firstLine="546"/>
        <w:spacing w:after="0" w:line="294" w:lineRule="auto"/>
        <w:rPr>
          <w:sz w:val="20"/>
          <w:szCs w:val="20"/>
          <w:color w:val="auto"/>
        </w:rPr>
      </w:pPr>
      <w:r>
        <w:rPr>
          <w:rFonts w:ascii="Arial" w:cs="Arial" w:eastAsia="Arial" w:hAnsi="Arial"/>
          <w:sz w:val="17"/>
          <w:szCs w:val="17"/>
          <w:color w:val="auto"/>
        </w:rPr>
        <w:t>All accounts, books and other documents required to be maintained by Section 31(a) of the 1940 Act, and the rules thereunder are maintained at the offices of:</w:t>
      </w:r>
    </w:p>
    <w:p>
      <w:pPr>
        <w:spacing w:after="0" w:line="110" w:lineRule="exact"/>
        <w:rPr>
          <w:sz w:val="20"/>
          <w:szCs w:val="20"/>
          <w:color w:val="auto"/>
        </w:rPr>
      </w:pPr>
    </w:p>
    <w:p>
      <w:pPr>
        <w:ind w:left="820" w:hanging="250"/>
        <w:spacing w:after="0"/>
        <w:tabs>
          <w:tab w:leader="none" w:pos="8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 PennantPark Investment Corporation, 590 Madison Avenue, 15th Floor, New York, NY 10022;</w:t>
      </w:r>
    </w:p>
    <w:p>
      <w:pPr>
        <w:spacing w:after="0" w:line="179" w:lineRule="exact"/>
        <w:rPr>
          <w:rFonts w:ascii="Arial" w:cs="Arial" w:eastAsia="Arial" w:hAnsi="Arial"/>
          <w:sz w:val="17"/>
          <w:szCs w:val="17"/>
          <w:color w:val="auto"/>
        </w:rPr>
      </w:pPr>
    </w:p>
    <w:p>
      <w:pPr>
        <w:ind w:left="820" w:hanging="250"/>
        <w:spacing w:after="0"/>
        <w:tabs>
          <w:tab w:leader="none" w:pos="8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Transfer Agent, American Stock Transfer &amp; Trust Company, LLC, 6201 15th Avenue, Brooklyn, NY 11219;</w:t>
      </w:r>
    </w:p>
    <w:p>
      <w:pPr>
        <w:spacing w:after="0" w:line="179" w:lineRule="exact"/>
        <w:rPr>
          <w:rFonts w:ascii="Arial" w:cs="Arial" w:eastAsia="Arial" w:hAnsi="Arial"/>
          <w:sz w:val="17"/>
          <w:szCs w:val="17"/>
          <w:color w:val="auto"/>
        </w:rPr>
      </w:pPr>
    </w:p>
    <w:p>
      <w:pPr>
        <w:ind w:left="920" w:hanging="240"/>
        <w:spacing w:after="0"/>
        <w:tabs>
          <w:tab w:leader="none" w:pos="92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Custodian, The Bank of New York Mellon, 225 Liberty Street, New York, NY 10286; and</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(4) the Investment Adviser, PennantPark Investment Advisers, LLC, 590 Madison Avenue, 15th Floor, New York, NY 10022.</w:t>
      </w:r>
    </w:p>
    <w:p>
      <w:pPr>
        <w:spacing w:after="0" w:line="213"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7"/>
          <w:szCs w:val="17"/>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Not Applicable.</w:t>
      </w:r>
    </w:p>
    <w:p>
      <w:pPr>
        <w:spacing w:after="0" w:line="213"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7"/>
          <w:szCs w:val="17"/>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Registrant hereby undertakes:</w:t>
      </w:r>
    </w:p>
    <w:p>
      <w:pPr>
        <w:spacing w:after="0" w:line="179" w:lineRule="exact"/>
        <w:rPr>
          <w:sz w:val="20"/>
          <w:szCs w:val="20"/>
          <w:color w:val="auto"/>
        </w:rPr>
      </w:pPr>
    </w:p>
    <w:p>
      <w:pPr>
        <w:ind w:left="140" w:right="60" w:firstLine="540"/>
        <w:spacing w:after="0" w:line="278" w:lineRule="auto"/>
        <w:tabs>
          <w:tab w:leader="none" w:pos="93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suspend the offering of its units until it amends its prospectus if (a) subsequent to the effective date of its registration statement, the NAV declines more than 10 percent from its NAV as of the effective date of the Registration Statement or (b) the NAV increases to an amount greater than its net proceeds as stated in the prospectus;</w:t>
      </w:r>
    </w:p>
    <w:p>
      <w:pPr>
        <w:spacing w:after="0" w:line="123" w:lineRule="exact"/>
        <w:rPr>
          <w:rFonts w:ascii="Arial" w:cs="Arial" w:eastAsia="Arial" w:hAnsi="Arial"/>
          <w:sz w:val="17"/>
          <w:szCs w:val="17"/>
          <w:color w:val="auto"/>
        </w:rPr>
      </w:pPr>
    </w:p>
    <w:p>
      <w:pPr>
        <w:ind w:left="920" w:hanging="240"/>
        <w:spacing w:after="0"/>
        <w:tabs>
          <w:tab w:leader="none" w:pos="9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79" w:lineRule="exact"/>
        <w:rPr>
          <w:rFonts w:ascii="Arial" w:cs="Arial" w:eastAsia="Arial" w:hAnsi="Arial"/>
          <w:sz w:val="17"/>
          <w:szCs w:val="17"/>
          <w:color w:val="auto"/>
        </w:rPr>
      </w:pPr>
    </w:p>
    <w:p>
      <w:pPr>
        <w:ind w:left="140" w:firstLine="540"/>
        <w:spacing w:after="0" w:line="269" w:lineRule="auto"/>
        <w:tabs>
          <w:tab w:leader="none" w:pos="93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(4)(a) to file, during any period in which offers or sales are being made, a post-effective amendment to the registration statement:</w:t>
      </w:r>
    </w:p>
    <w:p>
      <w:pPr>
        <w:spacing w:after="0" w:line="99" w:lineRule="exact"/>
        <w:rPr>
          <w:sz w:val="20"/>
          <w:szCs w:val="20"/>
          <w:color w:val="auto"/>
        </w:rPr>
      </w:pPr>
    </w:p>
    <w:p>
      <w:pPr>
        <w:ind w:left="1200" w:hanging="209"/>
        <w:spacing w:after="0"/>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w:t>
      </w:r>
    </w:p>
    <w:p>
      <w:pPr>
        <w:spacing w:after="0" w:line="98" w:lineRule="exact"/>
        <w:rPr>
          <w:rFonts w:ascii="Arial" w:cs="Arial" w:eastAsia="Arial" w:hAnsi="Arial"/>
          <w:sz w:val="17"/>
          <w:szCs w:val="17"/>
          <w:color w:val="auto"/>
        </w:rPr>
      </w:pPr>
    </w:p>
    <w:p>
      <w:pPr>
        <w:ind w:left="460" w:right="180" w:firstLine="531"/>
        <w:spacing w:after="0" w:line="278" w:lineRule="auto"/>
        <w:tabs>
          <w:tab w:leader="none" w:pos="124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43" w:lineRule="exact"/>
        <w:rPr>
          <w:rFonts w:ascii="Arial" w:cs="Arial" w:eastAsia="Arial" w:hAnsi="Arial"/>
          <w:sz w:val="17"/>
          <w:szCs w:val="17"/>
          <w:color w:val="auto"/>
        </w:rPr>
      </w:pPr>
    </w:p>
    <w:p>
      <w:pPr>
        <w:ind w:left="460" w:right="360" w:firstLine="531"/>
        <w:spacing w:after="0" w:line="294" w:lineRule="auto"/>
        <w:tabs>
          <w:tab w:leader="none" w:pos="129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30" w:lineRule="exact"/>
        <w:rPr>
          <w:sz w:val="20"/>
          <w:szCs w:val="20"/>
          <w:color w:val="auto"/>
        </w:rPr>
      </w:pPr>
    </w:p>
    <w:p>
      <w:pPr>
        <w:jc w:val="both"/>
        <w:ind w:left="460" w:firstLine="530"/>
        <w:spacing w:after="0" w:line="278"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4(a)(i), (ii), and (iii) of this section do not apply if the registration statement is on Form S-1 (§ 239.11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chapter), Form S-3 (§ 239.13 of this chapter), Form SF-3 (§ 239.45 of this chapter) or Form F-3 (§ 239.33 of this chapter) and the information required to be included</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C-6</w:t>
      </w:r>
    </w:p>
    <w:p>
      <w:pPr>
        <w:sectPr>
          <w:pgSz w:w="12240" w:h="15840" w:orient="portrait"/>
          <w:cols w:equalWidth="0" w:num="1">
            <w:col w:w="11020"/>
          </w:cols>
          <w:pgMar w:left="520" w:top="316" w:right="700"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in a post-effective amendment by those paragraphs is contained in reports filed with or furnished to the Commission by the registrant pursuant to section 13 or section 15(d) of the Securities Exchange Act of 1934 (15 U.S.C. 78m or 78</w:t>
      </w:r>
      <w:r>
        <w:rPr>
          <w:rFonts w:ascii="Arial" w:cs="Arial" w:eastAsia="Arial" w:hAnsi="Arial"/>
          <w:sz w:val="17"/>
          <w:szCs w:val="17"/>
          <w:i w:val="1"/>
          <w:iCs w:val="1"/>
          <w:color w:val="auto"/>
        </w:rPr>
        <w:t>o</w:t>
      </w:r>
      <w:r>
        <w:rPr>
          <w:rFonts w:ascii="Arial" w:cs="Arial" w:eastAsia="Arial" w:hAnsi="Arial"/>
          <w:sz w:val="17"/>
          <w:szCs w:val="17"/>
          <w:color w:val="auto"/>
        </w:rPr>
        <w:t>(d)) that are incorporated by reference in the registration statement, or, as to a registration statement on Form S-3, Form SF-3 or Form F-3, is contained in a form of prospectus filed pursuant to § 230.424(b) of this chapter that is part of the registration statement.</w:t>
      </w:r>
    </w:p>
    <w:p>
      <w:pPr>
        <w:spacing w:after="0" w:line="47" w:lineRule="exact"/>
        <w:rPr>
          <w:sz w:val="20"/>
          <w:szCs w:val="20"/>
          <w:color w:val="auto"/>
        </w:rPr>
      </w:pPr>
    </w:p>
    <w:p>
      <w:pPr>
        <w:jc w:val="both"/>
        <w:ind w:left="460" w:right="80" w:firstLine="531"/>
        <w:spacing w:after="0" w:line="278" w:lineRule="auto"/>
        <w:tabs>
          <w:tab w:leader="none" w:pos="123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43" w:lineRule="exact"/>
        <w:rPr>
          <w:rFonts w:ascii="Arial" w:cs="Arial" w:eastAsia="Arial" w:hAnsi="Arial"/>
          <w:sz w:val="17"/>
          <w:szCs w:val="17"/>
          <w:color w:val="auto"/>
        </w:rPr>
      </w:pPr>
    </w:p>
    <w:p>
      <w:pPr>
        <w:ind w:left="460" w:right="500" w:firstLine="531"/>
        <w:spacing w:after="0" w:line="294" w:lineRule="auto"/>
        <w:tabs>
          <w:tab w:leader="none" w:pos="122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09" w:lineRule="exact"/>
        <w:rPr>
          <w:rFonts w:ascii="Arial" w:cs="Arial" w:eastAsia="Arial" w:hAnsi="Arial"/>
          <w:sz w:val="17"/>
          <w:szCs w:val="17"/>
          <w:color w:val="auto"/>
        </w:rPr>
      </w:pPr>
    </w:p>
    <w:p>
      <w:pPr>
        <w:ind w:left="460" w:firstLine="531"/>
        <w:spacing w:after="0" w:line="267" w:lineRule="auto"/>
        <w:tabs>
          <w:tab w:leader="none" w:pos="123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liability under the Securities Act to any purchaser, if the Registrant is subject to Rule 430C under the Securities Act: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53" w:lineRule="exact"/>
        <w:rPr>
          <w:rFonts w:ascii="Arial" w:cs="Arial" w:eastAsia="Arial" w:hAnsi="Arial"/>
          <w:sz w:val="17"/>
          <w:szCs w:val="17"/>
          <w:color w:val="auto"/>
        </w:rPr>
      </w:pPr>
    </w:p>
    <w:p>
      <w:pPr>
        <w:ind w:left="460" w:right="120" w:firstLine="531"/>
        <w:spacing w:after="0" w:line="270" w:lineRule="auto"/>
        <w:tabs>
          <w:tab w:leader="none" w:pos="122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51" w:lineRule="exact"/>
        <w:rPr>
          <w:sz w:val="20"/>
          <w:szCs w:val="20"/>
          <w:color w:val="auto"/>
        </w:rPr>
      </w:pPr>
    </w:p>
    <w:p>
      <w:pPr>
        <w:ind w:left="460" w:right="400" w:firstLine="531"/>
        <w:spacing w:after="0" w:line="294" w:lineRule="auto"/>
        <w:tabs>
          <w:tab w:leader="none" w:pos="119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497 under the Securities Act;</w:t>
      </w:r>
    </w:p>
    <w:p>
      <w:pPr>
        <w:spacing w:after="0" w:line="29" w:lineRule="exact"/>
        <w:rPr>
          <w:rFonts w:ascii="Arial" w:cs="Arial" w:eastAsia="Arial" w:hAnsi="Arial"/>
          <w:sz w:val="17"/>
          <w:szCs w:val="17"/>
          <w:color w:val="auto"/>
        </w:rPr>
      </w:pPr>
    </w:p>
    <w:p>
      <w:pPr>
        <w:ind w:left="460" w:right="20" w:firstLine="531"/>
        <w:spacing w:after="0" w:line="294" w:lineRule="auto"/>
        <w:tabs>
          <w:tab w:leader="none" w:pos="124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29" w:lineRule="exact"/>
        <w:rPr>
          <w:rFonts w:ascii="Arial" w:cs="Arial" w:eastAsia="Arial" w:hAnsi="Arial"/>
          <w:sz w:val="17"/>
          <w:szCs w:val="17"/>
          <w:color w:val="auto"/>
        </w:rPr>
      </w:pPr>
    </w:p>
    <w:p>
      <w:pPr>
        <w:ind w:left="1300" w:hanging="309"/>
        <w:spacing w:after="0"/>
        <w:tabs>
          <w:tab w:leader="none" w:pos="13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79" w:lineRule="exact"/>
        <w:rPr>
          <w:sz w:val="20"/>
          <w:szCs w:val="20"/>
          <w:color w:val="auto"/>
        </w:rPr>
      </w:pPr>
    </w:p>
    <w:p>
      <w:pPr>
        <w:ind w:left="140" w:right="40" w:firstLine="546"/>
        <w:spacing w:after="0" w:line="303" w:lineRule="auto"/>
        <w:rPr>
          <w:sz w:val="20"/>
          <w:szCs w:val="20"/>
          <w:color w:val="auto"/>
        </w:rPr>
      </w:pPr>
      <w:r>
        <w:rPr>
          <w:rFonts w:ascii="Arial" w:cs="Arial" w:eastAsia="Arial" w:hAnsi="Arial"/>
          <w:sz w:val="16"/>
          <w:szCs w:val="16"/>
          <w:color w:val="auto"/>
        </w:rPr>
        <w:t>(5)(a) that for the purposes of determining any liability under the Securities Act, the information omitted from the form of prospectus filed as part of a registration statement in reliance upon Rule 430A under the Securities Act and contained in the form of prospectus filed by the Registrant under Rule 497(h) under the Securities Act shall be deemed to be part of the Registration Statement as of the time it was declared effective; and</w:t>
      </w:r>
    </w:p>
    <w:p>
      <w:pPr>
        <w:spacing w:after="0" w:line="26" w:lineRule="exact"/>
        <w:rPr>
          <w:sz w:val="20"/>
          <w:szCs w:val="20"/>
          <w:color w:val="auto"/>
        </w:rPr>
      </w:pPr>
    </w:p>
    <w:p>
      <w:pPr>
        <w:ind w:left="460" w:right="100" w:firstLine="531"/>
        <w:spacing w:after="0" w:line="278" w:lineRule="auto"/>
        <w:tabs>
          <w:tab w:leader="none" w:pos="123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23" w:lineRule="exact"/>
        <w:rPr>
          <w:rFonts w:ascii="Arial" w:cs="Arial" w:eastAsia="Arial" w:hAnsi="Arial"/>
          <w:sz w:val="17"/>
          <w:szCs w:val="17"/>
          <w:color w:val="auto"/>
        </w:rPr>
      </w:pPr>
    </w:p>
    <w:p>
      <w:pPr>
        <w:ind w:left="920" w:hanging="240"/>
        <w:spacing w:after="0"/>
        <w:tabs>
          <w:tab w:leader="none" w:pos="9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79" w:lineRule="exact"/>
        <w:rPr>
          <w:rFonts w:ascii="Arial" w:cs="Arial" w:eastAsia="Arial" w:hAnsi="Arial"/>
          <w:sz w:val="17"/>
          <w:szCs w:val="17"/>
          <w:color w:val="auto"/>
        </w:rPr>
      </w:pPr>
    </w:p>
    <w:p>
      <w:pPr>
        <w:ind w:left="140" w:right="20" w:firstLine="540"/>
        <w:spacing w:after="0" w:line="294" w:lineRule="auto"/>
        <w:tabs>
          <w:tab w:leader="none" w:pos="93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not seek to sell shares under a prospectus supplement to the registration statement, or a post-effective amendment to the registration statement, of which the prospectus forms a part (the “current registration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C-7</w:t>
      </w:r>
    </w:p>
    <w:p>
      <w:pPr>
        <w:sectPr>
          <w:pgSz w:w="12240" w:h="15840" w:orient="portrait"/>
          <w:cols w:equalWidth="0" w:num="1">
            <w:col w:w="11040"/>
          </w:cols>
          <w:pgMar w:left="520" w:top="316" w:right="680"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statement”) if the cumulative dilution to the Registrant’s NAV per share arising from offerings from the effective date of the current registration</w:t>
      </w:r>
    </w:p>
    <w:p>
      <w:pPr>
        <w:spacing w:after="0" w:line="26" w:lineRule="exact"/>
        <w:rPr>
          <w:sz w:val="20"/>
          <w:szCs w:val="20"/>
          <w:color w:val="auto"/>
        </w:rPr>
      </w:pPr>
    </w:p>
    <w:p>
      <w:pPr>
        <w:ind w:left="140" w:right="80"/>
        <w:spacing w:after="0" w:line="270" w:lineRule="auto"/>
        <w:rPr>
          <w:sz w:val="20"/>
          <w:szCs w:val="20"/>
          <w:color w:val="auto"/>
        </w:rPr>
      </w:pPr>
      <w:r>
        <w:rPr>
          <w:rFonts w:ascii="Arial" w:cs="Arial" w:eastAsia="Arial" w:hAnsi="Arial"/>
          <w:sz w:val="17"/>
          <w:szCs w:val="17"/>
          <w:color w:val="auto"/>
        </w:rPr>
        <w:t>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31" w:lineRule="exact"/>
        <w:rPr>
          <w:sz w:val="20"/>
          <w:szCs w:val="20"/>
          <w:color w:val="auto"/>
        </w:rPr>
      </w:pPr>
    </w:p>
    <w:p>
      <w:pPr>
        <w:ind w:left="920" w:hanging="240"/>
        <w:spacing w:after="0"/>
        <w:tabs>
          <w:tab w:leader="none" w:pos="9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only offer units after a post-effective amendment to the registration statement relating to units has been declared effective.</w:t>
      </w:r>
    </w:p>
    <w:p>
      <w:pPr>
        <w:spacing w:after="0" w:line="179" w:lineRule="exact"/>
        <w:rPr>
          <w:rFonts w:ascii="Arial" w:cs="Arial" w:eastAsia="Arial" w:hAnsi="Arial"/>
          <w:sz w:val="17"/>
          <w:szCs w:val="17"/>
          <w:color w:val="auto"/>
        </w:rPr>
      </w:pPr>
    </w:p>
    <w:p>
      <w:pPr>
        <w:ind w:left="140" w:firstLine="540"/>
        <w:spacing w:after="0" w:line="270" w:lineRule="auto"/>
        <w:tabs>
          <w:tab w:leader="none" w:pos="93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1" w:lineRule="exact"/>
        <w:rPr>
          <w:rFonts w:ascii="Arial" w:cs="Arial" w:eastAsia="Arial" w:hAnsi="Arial"/>
          <w:sz w:val="17"/>
          <w:szCs w:val="17"/>
          <w:color w:val="auto"/>
        </w:rPr>
      </w:pPr>
    </w:p>
    <w:p>
      <w:pPr>
        <w:ind w:left="140" w:right="80" w:firstLine="540"/>
        <w:spacing w:after="0" w:line="291" w:lineRule="auto"/>
        <w:tabs>
          <w:tab w:leader="none" w:pos="101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C-8</w:t>
      </w:r>
    </w:p>
    <w:p>
      <w:pPr>
        <w:sectPr>
          <w:pgSz w:w="12240" w:h="15840" w:orient="portrait"/>
          <w:cols w:equalWidth="0" w:num="1">
            <w:col w:w="11040"/>
          </w:cols>
          <w:pgMar w:left="520" w:top="317" w:right="680"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SIGNATURES</w:t>
      </w:r>
    </w:p>
    <w:p>
      <w:pPr>
        <w:spacing w:after="0" w:line="185" w:lineRule="exact"/>
        <w:rPr>
          <w:sz w:val="20"/>
          <w:szCs w:val="20"/>
          <w:color w:val="auto"/>
        </w:rPr>
      </w:pPr>
    </w:p>
    <w:p>
      <w:pPr>
        <w:ind w:left="140" w:right="160" w:firstLine="546"/>
        <w:spacing w:after="0" w:line="327"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and State of New York, on the 1st day of March 2019.</w:t>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By:</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A</w:t>
            </w:r>
            <w:r>
              <w:rPr>
                <w:rFonts w:ascii="Arial" w:cs="Arial" w:eastAsia="Arial" w:hAnsi="Arial"/>
                <w:sz w:val="14"/>
                <w:szCs w:val="14"/>
                <w:color w:val="auto"/>
              </w:rPr>
              <w:t>RTHUR</w:t>
            </w:r>
            <w:r>
              <w:rPr>
                <w:rFonts w:ascii="Arial" w:cs="Arial" w:eastAsia="Arial" w:hAnsi="Arial"/>
                <w:sz w:val="17"/>
                <w:szCs w:val="17"/>
                <w:color w:val="auto"/>
              </w:rPr>
              <w:t xml:space="preserve"> H. P</w:t>
            </w:r>
            <w:r>
              <w:rPr>
                <w:rFonts w:ascii="Arial" w:cs="Arial" w:eastAsia="Arial" w:hAnsi="Arial"/>
                <w:sz w:val="14"/>
                <w:szCs w:val="14"/>
                <w:color w:val="auto"/>
              </w:rPr>
              <w:t>ENN</w:t>
            </w:r>
          </w:p>
        </w:tc>
      </w:tr>
      <w:tr>
        <w:trPr>
          <w:trHeight w:val="222"/>
        </w:trPr>
        <w:tc>
          <w:tcPr>
            <w:tcW w:w="560" w:type="dxa"/>
            <w:vAlign w:val="bottom"/>
          </w:tcPr>
          <w:p>
            <w:pPr>
              <w:jc w:val="right"/>
              <w:spacing w:after="0"/>
              <w:rPr>
                <w:sz w:val="20"/>
                <w:szCs w:val="20"/>
                <w:color w:val="auto"/>
              </w:rPr>
            </w:pPr>
            <w:r>
              <w:rPr>
                <w:rFonts w:ascii="Arial" w:cs="Arial" w:eastAsia="Arial" w:hAnsi="Arial"/>
                <w:sz w:val="17"/>
                <w:szCs w:val="17"/>
                <w:b w:val="1"/>
                <w:bCs w:val="1"/>
                <w:color w:val="auto"/>
                <w:w w:val="88"/>
              </w:rPr>
              <w:t>Name:</w:t>
            </w:r>
          </w:p>
        </w:tc>
        <w:tc>
          <w:tcPr>
            <w:tcW w:w="3720" w:type="dxa"/>
            <w:vAlign w:val="bottom"/>
          </w:tcPr>
          <w:p>
            <w:pPr>
              <w:jc w:val="center"/>
              <w:spacing w:after="0"/>
              <w:rPr>
                <w:sz w:val="20"/>
                <w:szCs w:val="20"/>
                <w:color w:val="auto"/>
              </w:rPr>
            </w:pPr>
            <w:r>
              <w:rPr>
                <w:rFonts w:ascii="Arial" w:cs="Arial" w:eastAsia="Arial" w:hAnsi="Arial"/>
                <w:sz w:val="17"/>
                <w:szCs w:val="17"/>
                <w:b w:val="1"/>
                <w:bCs w:val="1"/>
                <w:color w:val="auto"/>
                <w:w w:val="98"/>
              </w:rPr>
              <w:t>Arthur H. Penn</w:t>
            </w:r>
          </w:p>
        </w:tc>
      </w:tr>
      <w:tr>
        <w:trPr>
          <w:trHeight w:val="347"/>
        </w:trPr>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Title:</w:t>
            </w:r>
          </w:p>
        </w:tc>
        <w:tc>
          <w:tcPr>
            <w:tcW w:w="3720" w:type="dxa"/>
            <w:vAlign w:val="bottom"/>
          </w:tcPr>
          <w:p>
            <w:pPr>
              <w:jc w:val="center"/>
              <w:spacing w:after="0"/>
              <w:rPr>
                <w:sz w:val="20"/>
                <w:szCs w:val="20"/>
                <w:color w:val="auto"/>
              </w:rPr>
            </w:pPr>
            <w:r>
              <w:rPr>
                <w:rFonts w:ascii="Arial" w:cs="Arial" w:eastAsia="Arial" w:hAnsi="Arial"/>
                <w:sz w:val="17"/>
                <w:szCs w:val="17"/>
                <w:b w:val="1"/>
                <w:bCs w:val="1"/>
                <w:color w:val="auto"/>
                <w:w w:val="94"/>
              </w:rPr>
              <w:t>Chief Executive Officer and Chairman of the</w:t>
            </w:r>
          </w:p>
        </w:tc>
      </w:tr>
      <w:tr>
        <w:trPr>
          <w:trHeight w:val="227"/>
        </w:trPr>
        <w:tc>
          <w:tcPr>
            <w:tcW w:w="56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Arial" w:cs="Arial" w:eastAsia="Arial" w:hAnsi="Arial"/>
                <w:sz w:val="17"/>
                <w:szCs w:val="17"/>
                <w:b w:val="1"/>
                <w:bCs w:val="1"/>
                <w:color w:val="auto"/>
                <w:w w:val="93"/>
              </w:rPr>
              <w:t>Board</w:t>
            </w:r>
          </w:p>
        </w:tc>
      </w:tr>
    </w:tbl>
    <w:p>
      <w:pPr>
        <w:spacing w:after="0" w:line="167" w:lineRule="exact"/>
        <w:rPr>
          <w:sz w:val="20"/>
          <w:szCs w:val="20"/>
          <w:color w:val="auto"/>
        </w:rPr>
      </w:pPr>
    </w:p>
    <w:p>
      <w:pPr>
        <w:ind w:left="140" w:right="100" w:firstLine="546"/>
        <w:spacing w:after="0" w:line="268" w:lineRule="auto"/>
        <w:rPr>
          <w:sz w:val="20"/>
          <w:szCs w:val="20"/>
          <w:color w:val="auto"/>
        </w:rPr>
      </w:pPr>
      <w:r>
        <w:rPr>
          <w:rFonts w:ascii="Arial" w:cs="Arial" w:eastAsia="Arial" w:hAnsi="Arial"/>
          <w:sz w:val="17"/>
          <w:szCs w:val="17"/>
          <w:color w:val="auto"/>
        </w:rPr>
        <w:t>KNOW ALL MEN BY THESE PRESENT, each person whose signature appears below hereby constitutes and appoints Aviv Efrat his true and lawful attorney-in-fact and agent, with full power of substitution and resubstitution, for him and in his name, place and stead, in any and all capacities, to sign any and all amendments to this Registration Statement on Form N-2 and any registration statement filed pursuant to Rule 462(b) under the Securities Act,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might or could do in person, hereby ratifying and confirming all that said attorney-in-fact and agent, or his substitutes, may lawfully do or cause to be done by virtue hereof.</w:t>
      </w:r>
    </w:p>
    <w:p>
      <w:pPr>
        <w:spacing w:after="0" w:line="131" w:lineRule="exact"/>
        <w:rPr>
          <w:sz w:val="20"/>
          <w:szCs w:val="20"/>
          <w:color w:val="auto"/>
        </w:rPr>
      </w:pPr>
    </w:p>
    <w:p>
      <w:pPr>
        <w:ind w:left="140" w:right="60" w:firstLine="546"/>
        <w:spacing w:after="0" w:line="294" w:lineRule="auto"/>
        <w:rPr>
          <w:sz w:val="20"/>
          <w:szCs w:val="20"/>
          <w:color w:val="auto"/>
        </w:rPr>
      </w:pPr>
      <w:r>
        <w:rPr>
          <w:rFonts w:ascii="Arial" w:cs="Arial" w:eastAsia="Arial" w:hAnsi="Arial"/>
          <w:sz w:val="17"/>
          <w:szCs w:val="17"/>
          <w:color w:val="auto"/>
        </w:rPr>
        <w:t>Pursuant to the requirements of the Securities Act of 1933, this Registration Statement on Form N-2 has been signed by the following persons in the capacities set forth below on the 1st day of March 2019.</w:t>
      </w:r>
    </w:p>
    <w:p>
      <w:pPr>
        <w:spacing w:after="0" w:line="144" w:lineRule="exact"/>
        <w:rPr>
          <w:sz w:val="20"/>
          <w:szCs w:val="20"/>
          <w:color w:val="auto"/>
        </w:rPr>
      </w:pPr>
    </w:p>
    <w:tbl>
      <w:tblPr>
        <w:tblLayout w:type="fixed"/>
        <w:tblInd w:w="140" w:type="dxa"/>
        <w:tblCellMar>
          <w:top w:w="0" w:type="dxa"/>
          <w:left w:w="0" w:type="dxa"/>
          <w:bottom w:w="0" w:type="dxa"/>
          <w:right w:w="0" w:type="dxa"/>
        </w:tblCellMar>
      </w:tblPr>
      <w:tr>
        <w:trPr>
          <w:trHeight w:val="235"/>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Name</w:t>
            </w:r>
          </w:p>
        </w:tc>
        <w:tc>
          <w:tcPr>
            <w:tcW w:w="660" w:type="dxa"/>
            <w:vAlign w:val="bottom"/>
          </w:tcPr>
          <w:p>
            <w:pPr>
              <w:spacing w:after="0"/>
              <w:rPr>
                <w:sz w:val="20"/>
                <w:szCs w:val="20"/>
                <w:color w:val="auto"/>
              </w:rPr>
            </w:pPr>
          </w:p>
        </w:tc>
        <w:tc>
          <w:tcPr>
            <w:tcW w:w="5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Title</w:t>
            </w:r>
          </w:p>
        </w:tc>
      </w:tr>
      <w:tr>
        <w:trPr>
          <w:trHeight w:val="561"/>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ARTHUR H. PENN</w:t>
            </w:r>
          </w:p>
        </w:tc>
        <w:tc>
          <w:tcPr>
            <w:tcW w:w="66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14"/>
        </w:trPr>
        <w:tc>
          <w:tcPr>
            <w:tcW w:w="4460" w:type="dxa"/>
            <w:vAlign w:val="bottom"/>
          </w:tcPr>
          <w:p>
            <w:pPr>
              <w:jc w:val="center"/>
              <w:spacing w:after="0"/>
              <w:rPr>
                <w:sz w:val="20"/>
                <w:szCs w:val="20"/>
                <w:color w:val="auto"/>
              </w:rPr>
            </w:pPr>
            <w:r>
              <w:rPr>
                <w:rFonts w:ascii="Arial" w:cs="Arial" w:eastAsia="Arial" w:hAnsi="Arial"/>
                <w:sz w:val="17"/>
                <w:szCs w:val="17"/>
                <w:b w:val="1"/>
                <w:bCs w:val="1"/>
                <w:color w:val="auto"/>
                <w:w w:val="96"/>
              </w:rPr>
              <w:t>Arthur H. Penn</w:t>
            </w:r>
          </w:p>
        </w:tc>
        <w:tc>
          <w:tcPr>
            <w:tcW w:w="660" w:type="dxa"/>
            <w:vAlign w:val="bottom"/>
          </w:tcPr>
          <w:p>
            <w:pPr>
              <w:spacing w:after="0"/>
              <w:rPr>
                <w:sz w:val="18"/>
                <w:szCs w:val="18"/>
                <w:color w:val="auto"/>
              </w:rPr>
            </w:pPr>
          </w:p>
        </w:tc>
        <w:tc>
          <w:tcPr>
            <w:tcW w:w="5800" w:type="dxa"/>
            <w:vAlign w:val="bottom"/>
          </w:tcPr>
          <w:p>
            <w:pPr>
              <w:jc w:val="center"/>
              <w:spacing w:after="0"/>
              <w:rPr>
                <w:sz w:val="20"/>
                <w:szCs w:val="20"/>
                <w:color w:val="auto"/>
              </w:rPr>
            </w:pPr>
            <w:r>
              <w:rPr>
                <w:rFonts w:ascii="Arial" w:cs="Arial" w:eastAsia="Arial" w:hAnsi="Arial"/>
                <w:sz w:val="17"/>
                <w:szCs w:val="17"/>
                <w:color w:val="auto"/>
                <w:w w:val="94"/>
              </w:rPr>
              <w:t>Chief Executive Officer and Chairman of the Board of Directors</w:t>
            </w:r>
          </w:p>
        </w:tc>
      </w:tr>
      <w:tr>
        <w:trPr>
          <w:trHeight w:val="221"/>
        </w:trPr>
        <w:tc>
          <w:tcPr>
            <w:tcW w:w="4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0" w:type="dxa"/>
            <w:vAlign w:val="bottom"/>
          </w:tcPr>
          <w:p>
            <w:pPr>
              <w:jc w:val="center"/>
              <w:spacing w:after="0"/>
              <w:rPr>
                <w:sz w:val="20"/>
                <w:szCs w:val="20"/>
                <w:color w:val="auto"/>
              </w:rPr>
            </w:pPr>
            <w:r>
              <w:rPr>
                <w:rFonts w:ascii="Arial" w:cs="Arial" w:eastAsia="Arial" w:hAnsi="Arial"/>
                <w:sz w:val="17"/>
                <w:szCs w:val="17"/>
                <w:color w:val="auto"/>
                <w:w w:val="96"/>
              </w:rPr>
              <w:t>(Principal Executive Officer)</w:t>
            </w:r>
          </w:p>
        </w:tc>
      </w:tr>
      <w:tr>
        <w:trPr>
          <w:trHeight w:val="428"/>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AVIV EFRAT</w:t>
            </w:r>
          </w:p>
        </w:tc>
        <w:tc>
          <w:tcPr>
            <w:tcW w:w="66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4460" w:type="dxa"/>
            <w:vAlign w:val="bottom"/>
          </w:tcPr>
          <w:p>
            <w:pPr>
              <w:jc w:val="center"/>
              <w:spacing w:after="0"/>
              <w:rPr>
                <w:sz w:val="20"/>
                <w:szCs w:val="20"/>
                <w:color w:val="auto"/>
              </w:rPr>
            </w:pPr>
            <w:r>
              <w:rPr>
                <w:rFonts w:ascii="Arial" w:cs="Arial" w:eastAsia="Arial" w:hAnsi="Arial"/>
                <w:sz w:val="17"/>
                <w:szCs w:val="17"/>
                <w:b w:val="1"/>
                <w:bCs w:val="1"/>
                <w:color w:val="auto"/>
                <w:w w:val="95"/>
              </w:rPr>
              <w:t>Aviv Efrat</w:t>
            </w:r>
          </w:p>
        </w:tc>
        <w:tc>
          <w:tcPr>
            <w:tcW w:w="660" w:type="dxa"/>
            <w:vAlign w:val="bottom"/>
          </w:tcPr>
          <w:p>
            <w:pPr>
              <w:spacing w:after="0"/>
              <w:rPr>
                <w:sz w:val="19"/>
                <w:szCs w:val="19"/>
                <w:color w:val="auto"/>
              </w:rPr>
            </w:pPr>
          </w:p>
        </w:tc>
        <w:tc>
          <w:tcPr>
            <w:tcW w:w="5800" w:type="dxa"/>
            <w:vAlign w:val="bottom"/>
          </w:tcPr>
          <w:p>
            <w:pPr>
              <w:jc w:val="center"/>
              <w:spacing w:after="0"/>
              <w:rPr>
                <w:sz w:val="20"/>
                <w:szCs w:val="20"/>
                <w:color w:val="auto"/>
              </w:rPr>
            </w:pPr>
            <w:r>
              <w:rPr>
                <w:rFonts w:ascii="Arial" w:cs="Arial" w:eastAsia="Arial" w:hAnsi="Arial"/>
                <w:sz w:val="17"/>
                <w:szCs w:val="17"/>
                <w:color w:val="auto"/>
                <w:w w:val="95"/>
              </w:rPr>
              <w:t>Chief Financial Officer and Treasurer (Principal Financial and Accounting Officer)</w:t>
            </w:r>
          </w:p>
        </w:tc>
      </w:tr>
      <w:tr>
        <w:trPr>
          <w:trHeight w:val="427"/>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ADAM K. BERNSTEIN</w:t>
            </w:r>
          </w:p>
        </w:tc>
        <w:tc>
          <w:tcPr>
            <w:tcW w:w="66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4460" w:type="dxa"/>
            <w:vAlign w:val="bottom"/>
          </w:tcPr>
          <w:p>
            <w:pPr>
              <w:jc w:val="center"/>
              <w:spacing w:after="0"/>
              <w:rPr>
                <w:sz w:val="20"/>
                <w:szCs w:val="20"/>
                <w:color w:val="auto"/>
              </w:rPr>
            </w:pPr>
            <w:r>
              <w:rPr>
                <w:rFonts w:ascii="Arial" w:cs="Arial" w:eastAsia="Arial" w:hAnsi="Arial"/>
                <w:sz w:val="17"/>
                <w:szCs w:val="17"/>
                <w:b w:val="1"/>
                <w:bCs w:val="1"/>
                <w:color w:val="auto"/>
                <w:w w:val="94"/>
              </w:rPr>
              <w:t>Adam K. Bernstein</w:t>
            </w:r>
          </w:p>
        </w:tc>
        <w:tc>
          <w:tcPr>
            <w:tcW w:w="660" w:type="dxa"/>
            <w:vAlign w:val="bottom"/>
          </w:tcPr>
          <w:p>
            <w:pPr>
              <w:spacing w:after="0"/>
              <w:rPr>
                <w:sz w:val="19"/>
                <w:szCs w:val="19"/>
                <w:color w:val="auto"/>
              </w:rPr>
            </w:pPr>
          </w:p>
        </w:tc>
        <w:tc>
          <w:tcPr>
            <w:tcW w:w="5800" w:type="dxa"/>
            <w:vAlign w:val="bottom"/>
          </w:tcPr>
          <w:p>
            <w:pPr>
              <w:jc w:val="center"/>
              <w:spacing w:after="0"/>
              <w:rPr>
                <w:sz w:val="20"/>
                <w:szCs w:val="20"/>
                <w:color w:val="auto"/>
              </w:rPr>
            </w:pPr>
            <w:r>
              <w:rPr>
                <w:rFonts w:ascii="Arial" w:cs="Arial" w:eastAsia="Arial" w:hAnsi="Arial"/>
                <w:sz w:val="17"/>
                <w:szCs w:val="17"/>
                <w:color w:val="auto"/>
                <w:w w:val="97"/>
              </w:rPr>
              <w:t>Director</w:t>
            </w:r>
          </w:p>
        </w:tc>
      </w:tr>
      <w:tr>
        <w:trPr>
          <w:trHeight w:val="427"/>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JEFFREY FLUG</w:t>
            </w:r>
          </w:p>
        </w:tc>
        <w:tc>
          <w:tcPr>
            <w:tcW w:w="66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4460" w:type="dxa"/>
            <w:vAlign w:val="bottom"/>
          </w:tcPr>
          <w:p>
            <w:pPr>
              <w:jc w:val="center"/>
              <w:spacing w:after="0"/>
              <w:rPr>
                <w:sz w:val="20"/>
                <w:szCs w:val="20"/>
                <w:color w:val="auto"/>
              </w:rPr>
            </w:pPr>
            <w:r>
              <w:rPr>
                <w:rFonts w:ascii="Arial" w:cs="Arial" w:eastAsia="Arial" w:hAnsi="Arial"/>
                <w:sz w:val="17"/>
                <w:szCs w:val="17"/>
                <w:b w:val="1"/>
                <w:bCs w:val="1"/>
                <w:color w:val="auto"/>
                <w:w w:val="93"/>
              </w:rPr>
              <w:t>Jeffrey Flug</w:t>
            </w:r>
          </w:p>
        </w:tc>
        <w:tc>
          <w:tcPr>
            <w:tcW w:w="660" w:type="dxa"/>
            <w:vAlign w:val="bottom"/>
          </w:tcPr>
          <w:p>
            <w:pPr>
              <w:spacing w:after="0"/>
              <w:rPr>
                <w:sz w:val="19"/>
                <w:szCs w:val="19"/>
                <w:color w:val="auto"/>
              </w:rPr>
            </w:pPr>
          </w:p>
        </w:tc>
        <w:tc>
          <w:tcPr>
            <w:tcW w:w="5800" w:type="dxa"/>
            <w:vAlign w:val="bottom"/>
          </w:tcPr>
          <w:p>
            <w:pPr>
              <w:jc w:val="center"/>
              <w:spacing w:after="0"/>
              <w:rPr>
                <w:sz w:val="20"/>
                <w:szCs w:val="20"/>
                <w:color w:val="auto"/>
              </w:rPr>
            </w:pPr>
            <w:r>
              <w:rPr>
                <w:rFonts w:ascii="Arial" w:cs="Arial" w:eastAsia="Arial" w:hAnsi="Arial"/>
                <w:sz w:val="17"/>
                <w:szCs w:val="17"/>
                <w:color w:val="auto"/>
                <w:w w:val="97"/>
              </w:rPr>
              <w:t>Director</w:t>
            </w:r>
          </w:p>
        </w:tc>
      </w:tr>
      <w:tr>
        <w:trPr>
          <w:trHeight w:val="427"/>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MARSHALL BROZOST</w:t>
            </w:r>
          </w:p>
        </w:tc>
        <w:tc>
          <w:tcPr>
            <w:tcW w:w="66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4460" w:type="dxa"/>
            <w:vAlign w:val="bottom"/>
          </w:tcPr>
          <w:p>
            <w:pPr>
              <w:jc w:val="center"/>
              <w:spacing w:after="0"/>
              <w:rPr>
                <w:sz w:val="20"/>
                <w:szCs w:val="20"/>
                <w:color w:val="auto"/>
              </w:rPr>
            </w:pPr>
            <w:r>
              <w:rPr>
                <w:rFonts w:ascii="Arial" w:cs="Arial" w:eastAsia="Arial" w:hAnsi="Arial"/>
                <w:sz w:val="17"/>
                <w:szCs w:val="17"/>
                <w:b w:val="1"/>
                <w:bCs w:val="1"/>
                <w:color w:val="auto"/>
                <w:w w:val="93"/>
              </w:rPr>
              <w:t>Marshall Brozost</w:t>
            </w:r>
          </w:p>
        </w:tc>
        <w:tc>
          <w:tcPr>
            <w:tcW w:w="660" w:type="dxa"/>
            <w:vAlign w:val="bottom"/>
          </w:tcPr>
          <w:p>
            <w:pPr>
              <w:spacing w:after="0"/>
              <w:rPr>
                <w:sz w:val="19"/>
                <w:szCs w:val="19"/>
                <w:color w:val="auto"/>
              </w:rPr>
            </w:pPr>
          </w:p>
        </w:tc>
        <w:tc>
          <w:tcPr>
            <w:tcW w:w="5800" w:type="dxa"/>
            <w:vAlign w:val="bottom"/>
          </w:tcPr>
          <w:p>
            <w:pPr>
              <w:jc w:val="center"/>
              <w:spacing w:after="0"/>
              <w:rPr>
                <w:sz w:val="20"/>
                <w:szCs w:val="20"/>
                <w:color w:val="auto"/>
              </w:rPr>
            </w:pPr>
            <w:r>
              <w:rPr>
                <w:rFonts w:ascii="Arial" w:cs="Arial" w:eastAsia="Arial" w:hAnsi="Arial"/>
                <w:sz w:val="17"/>
                <w:szCs w:val="17"/>
                <w:color w:val="auto"/>
                <w:w w:val="97"/>
              </w:rPr>
              <w:t>Director</w:t>
            </w:r>
          </w:p>
        </w:tc>
      </w:tr>
      <w:tr>
        <w:trPr>
          <w:trHeight w:val="427"/>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SAMUEL L. KATZ</w:t>
            </w:r>
          </w:p>
        </w:tc>
        <w:tc>
          <w:tcPr>
            <w:tcW w:w="66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4460" w:type="dxa"/>
            <w:vAlign w:val="bottom"/>
          </w:tcPr>
          <w:p>
            <w:pPr>
              <w:jc w:val="center"/>
              <w:spacing w:after="0"/>
              <w:rPr>
                <w:sz w:val="20"/>
                <w:szCs w:val="20"/>
                <w:color w:val="auto"/>
              </w:rPr>
            </w:pPr>
            <w:r>
              <w:rPr>
                <w:rFonts w:ascii="Arial" w:cs="Arial" w:eastAsia="Arial" w:hAnsi="Arial"/>
                <w:sz w:val="17"/>
                <w:szCs w:val="17"/>
                <w:b w:val="1"/>
                <w:bCs w:val="1"/>
                <w:color w:val="auto"/>
                <w:w w:val="95"/>
              </w:rPr>
              <w:t>Samuel L. Katz</w:t>
            </w:r>
          </w:p>
        </w:tc>
        <w:tc>
          <w:tcPr>
            <w:tcW w:w="660" w:type="dxa"/>
            <w:vAlign w:val="bottom"/>
          </w:tcPr>
          <w:p>
            <w:pPr>
              <w:spacing w:after="0"/>
              <w:rPr>
                <w:sz w:val="19"/>
                <w:szCs w:val="19"/>
                <w:color w:val="auto"/>
              </w:rPr>
            </w:pPr>
          </w:p>
        </w:tc>
        <w:tc>
          <w:tcPr>
            <w:tcW w:w="5800" w:type="dxa"/>
            <w:vAlign w:val="bottom"/>
          </w:tcPr>
          <w:p>
            <w:pPr>
              <w:jc w:val="center"/>
              <w:spacing w:after="0"/>
              <w:rPr>
                <w:sz w:val="20"/>
                <w:szCs w:val="20"/>
                <w:color w:val="auto"/>
              </w:rPr>
            </w:pPr>
            <w:r>
              <w:rPr>
                <w:rFonts w:ascii="Arial" w:cs="Arial" w:eastAsia="Arial" w:hAnsi="Arial"/>
                <w:sz w:val="17"/>
                <w:szCs w:val="17"/>
                <w:color w:val="auto"/>
                <w:w w:val="97"/>
              </w:rPr>
              <w:t>Director</w:t>
            </w:r>
          </w:p>
        </w:tc>
      </w:tr>
      <w:tr>
        <w:trPr>
          <w:trHeight w:val="360"/>
        </w:trPr>
        <w:tc>
          <w:tcPr>
            <w:tcW w:w="4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0" w:type="dxa"/>
            <w:vAlign w:val="bottom"/>
          </w:tcPr>
          <w:p>
            <w:pPr>
              <w:ind w:left="200"/>
              <w:spacing w:after="0"/>
              <w:rPr>
                <w:sz w:val="20"/>
                <w:szCs w:val="20"/>
                <w:color w:val="auto"/>
              </w:rPr>
            </w:pPr>
            <w:r>
              <w:rPr>
                <w:rFonts w:ascii="Arial" w:cs="Arial" w:eastAsia="Arial" w:hAnsi="Arial"/>
                <w:sz w:val="17"/>
                <w:szCs w:val="17"/>
                <w:color w:val="auto"/>
              </w:rPr>
              <w:t>C-9</w:t>
            </w:r>
          </w:p>
        </w:tc>
      </w:tr>
    </w:tbl>
    <w:p>
      <w:pPr>
        <w:sectPr>
          <w:pgSz w:w="12240" w:h="15840" w:orient="portrait"/>
          <w:cols w:equalWidth="0" w:num="1">
            <w:col w:w="11060"/>
          </w:cols>
          <w:pgMar w:left="520" w:top="316" w:right="660"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5396230" cy="6121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5396230" cy="612140"/>
                    </a:xfrm>
                    <a:prstGeom prst="rect">
                      <a:avLst/>
                    </a:prstGeom>
                    <a:noFill/>
                  </pic:spPr>
                </pic:pic>
              </a:graphicData>
            </a:graphic>
          </wp:anchor>
        </w:drawing>
        <w:t>Exhibit (l)(1)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1, 2019</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8" w:lineRule="exact"/>
        <w:rPr>
          <w:sz w:val="20"/>
          <w:szCs w:val="20"/>
          <w:color w:val="auto"/>
        </w:rPr>
      </w:pPr>
    </w:p>
    <w:p>
      <w:pPr>
        <w:ind w:left="1900"/>
        <w:spacing w:after="0"/>
        <w:tabs>
          <w:tab w:leader="none" w:pos="23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N-2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80" w:firstLine="1902"/>
        <w:spacing w:after="0" w:line="251" w:lineRule="auto"/>
        <w:rPr>
          <w:sz w:val="20"/>
          <w:szCs w:val="20"/>
          <w:color w:val="auto"/>
        </w:rPr>
      </w:pPr>
      <w:r>
        <w:rPr>
          <w:rFonts w:ascii="Arial" w:cs="Arial" w:eastAsia="Arial" w:hAnsi="Arial"/>
          <w:sz w:val="18"/>
          <w:szCs w:val="18"/>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registration of the following securities of the Company having an aggregate initial offering price of up to $750,000,000 (collectively, the “Securities”): (i) shares (“Common Shares”) of common stock, $.001 par value per share (“Common Stock”); (ii) shares (“Preferred Shares”) of preferred stock, $.001 par value per share (“Preferred Stock”); (iii) warrants (“Warrants”); (iv) subscription rights (“Subscription Rights”); (v) debt securities (“Debt Securities”); and (vi) units (the “Units”) consisting of one or more of the foregoing Securities or of securities issued by a third party, covered by the above-referenced Registration Statement, and all amendments thereto (the “Registration Statement”), to be filed by the Company with the United States Securities and Exchange Commission (the “Commission”) under the Securities Act of 1933, as amended (the “1933 Act”), on or about the date hereof.</w:t>
      </w:r>
    </w:p>
    <w:p>
      <w:pPr>
        <w:spacing w:after="0" w:line="193" w:lineRule="exact"/>
        <w:rPr>
          <w:sz w:val="20"/>
          <w:szCs w:val="20"/>
          <w:color w:val="auto"/>
        </w:rPr>
      </w:pPr>
    </w:p>
    <w:p>
      <w:pPr>
        <w:ind w:firstLine="1902"/>
        <w:spacing w:after="0" w:line="335"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29" w:lineRule="exact"/>
        <w:rPr>
          <w:sz w:val="20"/>
          <w:szCs w:val="20"/>
          <w:color w:val="auto"/>
        </w:rPr>
      </w:pPr>
    </w:p>
    <w:p>
      <w:pPr>
        <w:ind w:right="200" w:firstLine="1902"/>
        <w:spacing w:after="0" w:line="271" w:lineRule="auto"/>
        <w:tabs>
          <w:tab w:leader="none" w:pos="221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in the form transmitted to the Commission for filing pursuant to the 1933 Act;</w:t>
      </w:r>
    </w:p>
    <w:p>
      <w:pPr>
        <w:spacing w:after="0" w:line="174" w:lineRule="exact"/>
        <w:rPr>
          <w:rFonts w:ascii="Arial" w:cs="Arial" w:eastAsia="Arial" w:hAnsi="Arial"/>
          <w:sz w:val="18"/>
          <w:szCs w:val="18"/>
          <w:color w:val="auto"/>
        </w:rPr>
      </w:pPr>
    </w:p>
    <w:p>
      <w:pPr>
        <w:ind w:left="2220" w:hanging="318"/>
        <w:spacing w:after="0"/>
        <w:tabs>
          <w:tab w:leader="none" w:pos="22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charter of the Company (the “Charter”), certified by the State Department of Assessments and Taxation of Maryland (the</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“SDAT”);</w:t>
      </w:r>
    </w:p>
    <w:p>
      <w:pPr>
        <w:spacing w:after="0" w:line="208" w:lineRule="exact"/>
        <w:rPr>
          <w:rFonts w:ascii="Arial" w:cs="Arial" w:eastAsia="Arial" w:hAnsi="Arial"/>
          <w:sz w:val="16"/>
          <w:szCs w:val="16"/>
          <w:color w:val="auto"/>
        </w:rPr>
      </w:pPr>
    </w:p>
    <w:p>
      <w:pPr>
        <w:ind w:left="2220" w:hanging="318"/>
        <w:spacing w:after="0"/>
        <w:tabs>
          <w:tab w:leader="none" w:pos="22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Amended and Restated Bylaws of the Company (the “Bylaws”), certified as of the date hereof by an officer of the</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8" w:lineRule="exact"/>
        <w:rPr>
          <w:rFonts w:ascii="Arial" w:cs="Arial" w:eastAsia="Arial" w:hAnsi="Arial"/>
          <w:sz w:val="17"/>
          <w:szCs w:val="17"/>
          <w:color w:val="auto"/>
        </w:rPr>
      </w:pPr>
    </w:p>
    <w:p>
      <w:pPr>
        <w:ind w:left="2200" w:hanging="298"/>
        <w:spacing w:after="0"/>
        <w:tabs>
          <w:tab w:leader="none" w:pos="22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2240" w:h="15840" w:orient="portrait"/>
          <w:cols w:equalWidth="0" w:num="1">
            <w:col w:w="11160"/>
          </w:cols>
          <w:pgMar w:left="520" w:top="1159" w:right="560" w:bottom="1440" w:gutter="0" w:footer="0" w:header="0"/>
        </w:sectPr>
      </w:pPr>
    </w:p>
    <w:bookmarkStart w:id="235" w:name="page236"/>
    <w:bookmarkEnd w:id="235"/>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070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86600" cy="8070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PennantPark Investment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8" w:lineRule="exact"/>
        <w:rPr>
          <w:sz w:val="20"/>
          <w:szCs w:val="20"/>
          <w:color w:val="auto"/>
        </w:rPr>
      </w:pPr>
    </w:p>
    <w:p>
      <w:pPr>
        <w:ind w:firstLine="1902"/>
        <w:spacing w:after="0" w:line="271" w:lineRule="auto"/>
        <w:tabs>
          <w:tab w:leader="none" w:pos="221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(the “Board of Directors”) of the Company relating to the registration and issuance of the Securities, certified as of the date hereof by an officer of the Company;</w:t>
      </w:r>
    </w:p>
    <w:p>
      <w:pPr>
        <w:spacing w:after="0" w:line="174" w:lineRule="exact"/>
        <w:rPr>
          <w:rFonts w:ascii="Arial" w:cs="Arial" w:eastAsia="Arial" w:hAnsi="Arial"/>
          <w:sz w:val="18"/>
          <w:szCs w:val="18"/>
          <w:color w:val="auto"/>
        </w:rPr>
      </w:pPr>
    </w:p>
    <w:p>
      <w:pPr>
        <w:ind w:left="2200" w:hanging="298"/>
        <w:spacing w:after="0"/>
        <w:tabs>
          <w:tab w:leader="none" w:pos="2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221" w:lineRule="exact"/>
        <w:rPr>
          <w:rFonts w:ascii="Arial" w:cs="Arial" w:eastAsia="Arial" w:hAnsi="Arial"/>
          <w:sz w:val="18"/>
          <w:szCs w:val="18"/>
          <w:color w:val="auto"/>
        </w:rPr>
      </w:pPr>
    </w:p>
    <w:p>
      <w:pPr>
        <w:ind w:right="460" w:firstLine="1902"/>
        <w:spacing w:after="0" w:line="271" w:lineRule="auto"/>
        <w:tabs>
          <w:tab w:leader="none" w:pos="221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221" w:lineRule="exact"/>
        <w:rPr>
          <w:sz w:val="20"/>
          <w:szCs w:val="20"/>
          <w:color w:val="auto"/>
        </w:rPr>
      </w:pPr>
    </w:p>
    <w:p>
      <w:pPr>
        <w:ind w:left="2220" w:hanging="318"/>
        <w:spacing w:after="0"/>
        <w:tabs>
          <w:tab w:leader="none" w:pos="2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Each individual executing any of the Documents, whether on behalf of such individual or any other person, is legally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competent to do so.</w:t>
      </w:r>
    </w:p>
    <w:p>
      <w:pPr>
        <w:spacing w:after="0" w:line="208" w:lineRule="exact"/>
        <w:rPr>
          <w:sz w:val="20"/>
          <w:szCs w:val="20"/>
          <w:color w:val="auto"/>
        </w:rPr>
      </w:pPr>
    </w:p>
    <w:p>
      <w:pPr>
        <w:ind w:left="2220" w:hanging="318"/>
        <w:spacing w:after="0"/>
        <w:tabs>
          <w:tab w:leader="none" w:pos="22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Each individual executing any of the Documents on behalf of a party (other than the Company) is duly authorized to do so.</w:t>
      </w:r>
    </w:p>
    <w:p>
      <w:pPr>
        <w:spacing w:after="0" w:line="244" w:lineRule="exact"/>
        <w:rPr>
          <w:rFonts w:ascii="Arial" w:cs="Arial" w:eastAsia="Arial" w:hAnsi="Arial"/>
          <w:sz w:val="16"/>
          <w:szCs w:val="16"/>
          <w:color w:val="auto"/>
        </w:rPr>
      </w:pPr>
    </w:p>
    <w:p>
      <w:pPr>
        <w:jc w:val="both"/>
        <w:ind w:right="140" w:firstLine="1902"/>
        <w:spacing w:after="0" w:line="259" w:lineRule="auto"/>
        <w:tabs>
          <w:tab w:leader="none" w:pos="221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86" w:lineRule="exact"/>
        <w:rPr>
          <w:rFonts w:ascii="Arial" w:cs="Arial" w:eastAsia="Arial" w:hAnsi="Arial"/>
          <w:sz w:val="18"/>
          <w:szCs w:val="18"/>
          <w:color w:val="auto"/>
        </w:rPr>
      </w:pPr>
    </w:p>
    <w:p>
      <w:pPr>
        <w:ind w:right="60" w:firstLine="1902"/>
        <w:spacing w:after="0" w:line="270" w:lineRule="auto"/>
        <w:tabs>
          <w:tab w:leader="none" w:pos="220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79" w:lineRule="exact"/>
        <w:rPr>
          <w:rFonts w:ascii="Arial" w:cs="Arial" w:eastAsia="Arial" w:hAnsi="Arial"/>
          <w:sz w:val="17"/>
          <w:szCs w:val="17"/>
          <w:color w:val="auto"/>
        </w:rPr>
      </w:pPr>
    </w:p>
    <w:p>
      <w:pPr>
        <w:jc w:val="both"/>
        <w:ind w:right="160" w:firstLine="1902"/>
        <w:spacing w:after="0" w:line="307" w:lineRule="auto"/>
        <w:tabs>
          <w:tab w:leader="none" w:pos="221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issuance of, and certain terms of, the Securities to be issued by the Company from time to time will be authorized and approved by the Board of Directors, or a duly authorized committee thereof, in accordance with the Maryland General Corporation Law, the Charter, the Bylaws and the Resolutions prior to the issuance of such Securities (such approval referred to herein as the “Corporate Proceedings”).</w:t>
      </w:r>
    </w:p>
    <w:p>
      <w:pPr>
        <w:sectPr>
          <w:pgSz w:w="12240" w:h="15840" w:orient="portrait"/>
          <w:cols w:equalWidth="0" w:num="1">
            <w:col w:w="11100"/>
          </w:cols>
          <w:pgMar w:left="520" w:top="1440" w:right="620" w:bottom="1440" w:gutter="0" w:footer="0" w:header="0"/>
        </w:sectPr>
      </w:pPr>
    </w:p>
    <w:bookmarkStart w:id="236" w:name="page237"/>
    <w:bookmarkEnd w:id="236"/>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070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86600" cy="8070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PennantPark Investment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8" w:lineRule="exact"/>
        <w:rPr>
          <w:sz w:val="20"/>
          <w:szCs w:val="20"/>
          <w:color w:val="auto"/>
        </w:rPr>
      </w:pPr>
    </w:p>
    <w:p>
      <w:pPr>
        <w:ind w:right="60" w:firstLine="1902"/>
        <w:spacing w:after="0" w:line="307" w:lineRule="auto"/>
        <w:tabs>
          <w:tab w:leader="none" w:pos="221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Upon the issuance of any Securities that are Common Shares, including Common Shares that may be issued upon the conversion or exercise of any other Securities convertible into or exercisable into Common Shares, the total number of shares of Common Stock issued and outstanding will not exceed the total number of shares of Common Stock that the Company is then authorized to issue under the Charter.</w:t>
      </w:r>
    </w:p>
    <w:p>
      <w:pPr>
        <w:spacing w:after="0" w:line="150" w:lineRule="exact"/>
        <w:rPr>
          <w:rFonts w:ascii="Arial" w:cs="Arial" w:eastAsia="Arial" w:hAnsi="Arial"/>
          <w:sz w:val="16"/>
          <w:szCs w:val="16"/>
          <w:color w:val="auto"/>
        </w:rPr>
      </w:pPr>
    </w:p>
    <w:p>
      <w:pPr>
        <w:ind w:right="300" w:firstLine="1902"/>
        <w:spacing w:after="0" w:line="335" w:lineRule="auto"/>
        <w:tabs>
          <w:tab w:leader="none" w:pos="220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Articles Supplementary classifying and designating the number of shares and the terms of any class or series of Preferred Shares to be issued by the Company will be filed with and accepted for record by the SDAT prior to the issuance of such Preferred Shares.</w:t>
      </w:r>
    </w:p>
    <w:p>
      <w:pPr>
        <w:spacing w:after="0" w:line="128" w:lineRule="exact"/>
        <w:rPr>
          <w:rFonts w:ascii="Arial" w:cs="Arial" w:eastAsia="Arial" w:hAnsi="Arial"/>
          <w:sz w:val="16"/>
          <w:szCs w:val="16"/>
          <w:color w:val="auto"/>
        </w:rPr>
      </w:pPr>
    </w:p>
    <w:p>
      <w:pPr>
        <w:ind w:right="120" w:firstLine="1902"/>
        <w:spacing w:after="0" w:line="254" w:lineRule="auto"/>
        <w:tabs>
          <w:tab w:leader="none" w:pos="221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Upon the issuance of any Securities that are Preferred Shares, including Preferred Shares which may be issued upon the conversion or exercise of any other Securities convertible into or exercisable for Preferred Shares,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Based upon the foregoing, and subject to the assumptions, limitations and qualifications stated herein, it is our opinion that:</w:t>
      </w:r>
    </w:p>
    <w:p>
      <w:pPr>
        <w:spacing w:after="0" w:line="233" w:lineRule="exact"/>
        <w:rPr>
          <w:sz w:val="20"/>
          <w:szCs w:val="20"/>
          <w:color w:val="auto"/>
        </w:rPr>
      </w:pPr>
    </w:p>
    <w:p>
      <w:pPr>
        <w:ind w:right="40" w:firstLine="1902"/>
        <w:spacing w:after="0" w:line="271" w:lineRule="auto"/>
        <w:tabs>
          <w:tab w:leader="none" w:pos="22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pacing w:after="0" w:line="174" w:lineRule="exact"/>
        <w:rPr>
          <w:rFonts w:ascii="Arial" w:cs="Arial" w:eastAsia="Arial" w:hAnsi="Arial"/>
          <w:sz w:val="18"/>
          <w:szCs w:val="18"/>
          <w:color w:val="auto"/>
        </w:rPr>
      </w:pPr>
    </w:p>
    <w:p>
      <w:pPr>
        <w:ind w:right="120" w:firstLine="1902"/>
        <w:spacing w:after="0" w:line="282" w:lineRule="auto"/>
        <w:tabs>
          <w:tab w:leader="none" w:pos="221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Upon the completion of all Corporate Proceedings relating to the Common Shares, the issuance of the Common Shares will be duly authorized and, when and if issued and delivered against payment therefor in accordance with the Registration Statement, the Resolutions and the Corporate Proceedings, the Common Shares will be validly issued, fully paid and nonassessable.</w:t>
      </w:r>
    </w:p>
    <w:p>
      <w:pPr>
        <w:spacing w:after="0" w:line="167" w:lineRule="exact"/>
        <w:rPr>
          <w:rFonts w:ascii="Arial" w:cs="Arial" w:eastAsia="Arial" w:hAnsi="Arial"/>
          <w:sz w:val="17"/>
          <w:szCs w:val="17"/>
          <w:color w:val="auto"/>
        </w:rPr>
      </w:pPr>
    </w:p>
    <w:p>
      <w:pPr>
        <w:ind w:right="120" w:firstLine="1902"/>
        <w:spacing w:after="0" w:line="282" w:lineRule="auto"/>
        <w:tabs>
          <w:tab w:leader="none" w:pos="221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Upon the completion of all Corporate Proceedings relating to the Preferred Shares, the issuance of the Preferred Shares will be duly authorized and, when and if issued and delivered against payment therefor in accordance with the Registration Statement, the Resolutions and the Corporate Proceedings, the Preferred Shares will be validly issued, fully paid and nonassessable.</w:t>
      </w:r>
    </w:p>
    <w:p>
      <w:pPr>
        <w:spacing w:after="0" w:line="167" w:lineRule="exact"/>
        <w:rPr>
          <w:rFonts w:ascii="Arial" w:cs="Arial" w:eastAsia="Arial" w:hAnsi="Arial"/>
          <w:sz w:val="17"/>
          <w:szCs w:val="17"/>
          <w:color w:val="auto"/>
        </w:rPr>
      </w:pPr>
    </w:p>
    <w:p>
      <w:pPr>
        <w:ind w:left="2220" w:hanging="318"/>
        <w:spacing w:after="0"/>
        <w:tabs>
          <w:tab w:leader="none" w:pos="22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Upon the completion of all Corporate Proceedings relating to the Warrants, the issuance of the Warrants will be duly</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authorized.</w:t>
      </w:r>
    </w:p>
    <w:p>
      <w:pPr>
        <w:spacing w:after="0" w:line="208" w:lineRule="exact"/>
        <w:rPr>
          <w:rFonts w:ascii="Arial" w:cs="Arial" w:eastAsia="Arial" w:hAnsi="Arial"/>
          <w:sz w:val="17"/>
          <w:szCs w:val="17"/>
          <w:color w:val="auto"/>
        </w:rPr>
      </w:pPr>
    </w:p>
    <w:p>
      <w:pPr>
        <w:ind w:left="2220" w:hanging="318"/>
        <w:spacing w:after="0"/>
        <w:tabs>
          <w:tab w:leader="none" w:pos="22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Upon the completion of all Corporate Proceedings relating to the Subscription Rights, the issuance of the Subscription Rights</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will be duly authorized.</w:t>
      </w:r>
    </w:p>
    <w:p>
      <w:pPr>
        <w:sectPr>
          <w:pgSz w:w="12240" w:h="15840" w:orient="portrait"/>
          <w:cols w:equalWidth="0" w:num="1">
            <w:col w:w="11160"/>
          </w:cols>
          <w:pgMar w:left="520" w:top="1440" w:right="560" w:bottom="1440" w:gutter="0" w:footer="0" w:header="0"/>
        </w:sectPr>
      </w:pPr>
    </w:p>
    <w:bookmarkStart w:id="237" w:name="page238"/>
    <w:bookmarkEnd w:id="237"/>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070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086600" cy="8070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PennantPark Investment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42" w:lineRule="exact"/>
        <w:rPr>
          <w:sz w:val="20"/>
          <w:szCs w:val="20"/>
          <w:color w:val="auto"/>
        </w:rPr>
      </w:pPr>
    </w:p>
    <w:p>
      <w:pPr>
        <w:ind w:left="2220" w:hanging="318"/>
        <w:spacing w:after="0"/>
        <w:tabs>
          <w:tab w:leader="none" w:pos="22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Upon the completion of all Corporate Proceedings relating to the Debt Securities, the issuance of the Debt Securities will be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duly authorized.</w:t>
      </w:r>
    </w:p>
    <w:p>
      <w:pPr>
        <w:spacing w:after="0" w:line="208" w:lineRule="exact"/>
        <w:rPr>
          <w:sz w:val="20"/>
          <w:szCs w:val="20"/>
          <w:color w:val="auto"/>
        </w:rPr>
      </w:pPr>
    </w:p>
    <w:p>
      <w:pPr>
        <w:ind w:left="2220" w:hanging="318"/>
        <w:spacing w:after="0"/>
        <w:tabs>
          <w:tab w:leader="none" w:pos="22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Upon the completion of all Corporate Proceedings relating to the Units, the issuance of the Units will be duly authorized.</w:t>
      </w:r>
    </w:p>
    <w:p>
      <w:pPr>
        <w:spacing w:after="0" w:line="244" w:lineRule="exact"/>
        <w:rPr>
          <w:sz w:val="20"/>
          <w:szCs w:val="20"/>
          <w:color w:val="auto"/>
        </w:rPr>
      </w:pPr>
    </w:p>
    <w:p>
      <w:pPr>
        <w:ind w:right="60" w:firstLine="1902"/>
        <w:spacing w:after="0" w:line="255"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or the applicability of, the 1940 Act and other federal securities laws, or state securities laws, including the securities laws of the State of Maryland. We express no opinion as to debt obligations of third parties that may be issued in combination with other Securities as a Unit as described in the Registration Statement.</w:t>
      </w:r>
    </w:p>
    <w:p>
      <w:pPr>
        <w:spacing w:after="0" w:line="191" w:lineRule="exact"/>
        <w:rPr>
          <w:sz w:val="20"/>
          <w:szCs w:val="20"/>
          <w:color w:val="auto"/>
        </w:rPr>
      </w:pPr>
    </w:p>
    <w:p>
      <w:pPr>
        <w:jc w:val="both"/>
        <w:ind w:firstLine="1902"/>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6" w:lineRule="exact"/>
        <w:rPr>
          <w:sz w:val="20"/>
          <w:szCs w:val="20"/>
          <w:color w:val="auto"/>
        </w:rPr>
      </w:pPr>
    </w:p>
    <w:p>
      <w:pPr>
        <w:jc w:val="both"/>
        <w:ind w:right="60" w:firstLine="1902"/>
        <w:spacing w:after="0" w:line="282" w:lineRule="auto"/>
        <w:rPr>
          <w:sz w:val="20"/>
          <w:szCs w:val="20"/>
          <w:color w:val="auto"/>
        </w:rPr>
      </w:pPr>
      <w:r>
        <w:rPr>
          <w:rFonts w:ascii="Arial" w:cs="Arial" w:eastAsia="Arial" w:hAnsi="Arial"/>
          <w:sz w:val="17"/>
          <w:szCs w:val="17"/>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27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Venable LLP</w:t>
      </w:r>
    </w:p>
    <w:p>
      <w:pPr>
        <w:sectPr>
          <w:pgSz w:w="12240" w:h="15840" w:orient="portrait"/>
          <w:cols w:equalWidth="0" w:num="1">
            <w:col w:w="11100"/>
          </w:cols>
          <w:pgMar w:left="520" w:top="1440" w:right="620"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1079500" cy="4845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79500" cy="48450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5080</wp:posOffset>
            </wp:positionV>
            <wp:extent cx="1903730" cy="8413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903730" cy="84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8"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N-2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counsel to PennantPark Investment Corporation,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of a Registration Statement on Form N-2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on the date hereof, with the U.S. Securities and Exchange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possible offerings from time to time of up</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 an aggregate of $750,000,000 of the following securities of the Company: (1) shares of common stock, par value $0.001 per share, of the Company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(2) shares of preferred stock, par value $0.001 per share, of the Company (“</w:t>
      </w:r>
      <w:r>
        <w:rPr>
          <w:rFonts w:ascii="Arial" w:cs="Arial" w:eastAsia="Arial" w:hAnsi="Arial"/>
          <w:sz w:val="17"/>
          <w:szCs w:val="17"/>
          <w:u w:val="single" w:color="auto"/>
          <w:color w:val="auto"/>
        </w:rPr>
        <w:t>Preferred Stock</w:t>
      </w:r>
      <w:r>
        <w:rPr>
          <w:rFonts w:ascii="Arial" w:cs="Arial" w:eastAsia="Arial" w:hAnsi="Arial"/>
          <w:sz w:val="17"/>
          <w:szCs w:val="17"/>
          <w:color w:val="auto"/>
        </w:rPr>
        <w:t>”), (3) warrants of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Common Stock, Preferred Stock or Debt Securities (as defined below), (4) rights to purchase Common Stock, (5)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Securities</w:t>
      </w:r>
      <w:r>
        <w:rPr>
          <w:rFonts w:ascii="Arial" w:cs="Arial" w:eastAsia="Arial" w:hAnsi="Arial"/>
          <w:sz w:val="16"/>
          <w:szCs w:val="16"/>
          <w:color w:val="auto"/>
        </w:rPr>
        <w:t>”) to be issued pursuant to an indenture between the Company and American Stock Transfer &amp; Trust Company, LLC, as trustee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and (6) units consisting of any combination of the foregoing or of securities issued by the U.S. Treasury. The Warrants and Debt Securities are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collectively referred to herein as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20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Registration Statement provides that the Securities may be offered separately or together, in separate series, in amounts, at prices and on terms to be set forth in one or more supplements to the prospectus included in the Registration Statement (each, a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This opinion letter is being furnished to the Company in accordance with the requirements of Item 25 of Form N-2 under the Investment Company Act of 1940, as amended, and we express no opinion herein as to any matter other than as to the legality of the Securities.</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pacing w:after="0" w:line="218" w:lineRule="exact"/>
        <w:rPr>
          <w:sz w:val="20"/>
          <w:szCs w:val="20"/>
          <w:color w:val="auto"/>
        </w:rPr>
      </w:pPr>
    </w:p>
    <w:p>
      <w:pPr>
        <w:ind w:left="880" w:hanging="438"/>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27" w:lineRule="exact"/>
        <w:rPr>
          <w:rFonts w:ascii="Arial" w:cs="Arial" w:eastAsia="Arial" w:hAnsi="Arial"/>
          <w:sz w:val="18"/>
          <w:szCs w:val="18"/>
          <w:color w:val="auto"/>
        </w:rPr>
      </w:pPr>
    </w:p>
    <w:p>
      <w:pPr>
        <w:ind w:left="880" w:hanging="438"/>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form of warrant agreement (as may be amended or supplemented from time to time,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880" w:right="660" w:hanging="438"/>
        <w:spacing w:after="0" w:line="271" w:lineRule="auto"/>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indenture, dated as of January 22, 2013, governing the Debt Securities (as may be amended or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and</w:t>
      </w:r>
    </w:p>
    <w:p>
      <w:pPr>
        <w:spacing w:after="0" w:line="81" w:lineRule="exact"/>
        <w:rPr>
          <w:rFonts w:ascii="Arial" w:cs="Arial" w:eastAsia="Arial" w:hAnsi="Arial"/>
          <w:sz w:val="18"/>
          <w:szCs w:val="18"/>
          <w:color w:val="auto"/>
        </w:rPr>
      </w:pPr>
    </w:p>
    <w:p>
      <w:pPr>
        <w:ind w:left="880" w:right="460" w:hanging="438"/>
        <w:spacing w:after="0" w:line="271" w:lineRule="auto"/>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resolutions of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relating to, among other things, the authorization and approval of the preparation and filing of the Registration Statement.</w:t>
      </w:r>
    </w:p>
    <w:p>
      <w:pPr>
        <w:spacing w:after="0" w:line="17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As to the facts upon which this opinion is based, we have relied upon certificates of public officials and certificates and written statements of agents, officers, directors and representatives of the Company.</w:t>
      </w:r>
    </w:p>
    <w:p>
      <w:pPr>
        <w:spacing w:after="0" w:line="175" w:lineRule="exact"/>
        <w:rPr>
          <w:sz w:val="20"/>
          <w:szCs w:val="20"/>
          <w:color w:val="auto"/>
        </w:rPr>
      </w:pPr>
    </w:p>
    <w:p>
      <w:pPr>
        <w:ind w:right="360"/>
        <w:spacing w:after="0" w:line="307" w:lineRule="auto"/>
        <w:rPr>
          <w:sz w:val="20"/>
          <w:szCs w:val="20"/>
          <w:color w:val="auto"/>
        </w:rPr>
      </w:pPr>
      <w:r>
        <w:rPr>
          <w:rFonts w:ascii="Arial" w:cs="Arial" w:eastAsia="Arial" w:hAnsi="Arial"/>
          <w:sz w:val="16"/>
          <w:szCs w:val="16"/>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w:t>
      </w:r>
    </w:p>
    <w:p>
      <w:pPr>
        <w:sectPr>
          <w:pgSz w:w="12240" w:h="15840" w:orient="portrait"/>
          <w:cols w:equalWidth="0" w:num="1">
            <w:col w:w="11160"/>
          </w:cols>
          <w:pgMar w:left="520" w:top="0" w:right="560" w:bottom="1440" w:gutter="0" w:footer="0" w:header="0"/>
        </w:sectPr>
      </w:pPr>
    </w:p>
    <w:bookmarkStart w:id="239" w:name="page240"/>
    <w:bookmarkEnd w:id="239"/>
    <w:p>
      <w:pPr>
        <w:ind w:left="7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March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079500" cy="4845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79500" cy="484505"/>
                    </a:xfrm>
                    <a:prstGeom prst="rect">
                      <a:avLst/>
                    </a:prstGeom>
                    <a:noFill/>
                  </pic:spPr>
                </pic:pic>
              </a:graphicData>
            </a:graphic>
          </wp:anchor>
        </w:drawing>
      </w:r>
    </w:p>
    <w:p>
      <w:pPr>
        <w:ind w:left="772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qualifications and limitations set forth in this letter, we are of the opinion that:</w:t>
      </w:r>
    </w:p>
    <w:p>
      <w:pPr>
        <w:spacing w:after="0" w:line="128" w:lineRule="exact"/>
        <w:rPr>
          <w:sz w:val="20"/>
          <w:szCs w:val="20"/>
          <w:color w:val="auto"/>
        </w:rPr>
      </w:pPr>
    </w:p>
    <w:p>
      <w:pPr>
        <w:ind w:left="880" w:right="40" w:hanging="438"/>
        <w:spacing w:after="0" w:line="254" w:lineRule="auto"/>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Warrants, when (a) duly authorized, executed, authenticated, issued and sold in accordance with the Registration Statement and applicable Prospectus Supplement and the provisions of the Warrant Agreement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216" w:lineRule="exact"/>
        <w:rPr>
          <w:rFonts w:ascii="Arial" w:cs="Arial" w:eastAsia="Arial" w:hAnsi="Arial"/>
          <w:sz w:val="18"/>
          <w:szCs w:val="18"/>
          <w:color w:val="auto"/>
        </w:rPr>
      </w:pPr>
    </w:p>
    <w:p>
      <w:pPr>
        <w:ind w:left="880" w:hanging="438"/>
        <w:spacing w:after="0" w:line="290" w:lineRule="auto"/>
        <w:tabs>
          <w:tab w:leader="none" w:pos="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Debt Securities, when (a) duly authorized and executed by the Company and authenticated by the Trustee in accordance with the provisions of the Indenture and (x) issued and sold in accordance with the Registration Statement and applicable Prospectus Supplement or (y) issued upon exchange or conversion of Preferred Stock or upon exercise of Warrants as contemplated by the Registration Statement and applicable Prospectus Supplement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delivery of any Securities offered pursuant to the Registration Statement and appropriate Prospectus Supplement:</w:t>
      </w:r>
    </w:p>
    <w:p>
      <w:pPr>
        <w:spacing w:after="0" w:line="202" w:lineRule="exact"/>
        <w:rPr>
          <w:sz w:val="20"/>
          <w:szCs w:val="20"/>
          <w:color w:val="auto"/>
        </w:rPr>
      </w:pPr>
    </w:p>
    <w:p>
      <w:pPr>
        <w:ind w:left="880" w:hanging="438"/>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248" w:lineRule="exact"/>
        <w:rPr>
          <w:rFonts w:ascii="Arial" w:cs="Arial" w:eastAsia="Arial" w:hAnsi="Arial"/>
          <w:sz w:val="18"/>
          <w:szCs w:val="18"/>
          <w:color w:val="auto"/>
        </w:rPr>
      </w:pPr>
    </w:p>
    <w:p>
      <w:pPr>
        <w:ind w:left="880" w:hanging="438"/>
        <w:spacing w:after="0"/>
        <w:tabs>
          <w:tab w:leader="none" w:pos="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Board of Directors, including any appropriate committee appointed thereby, and/or appropriate officers of the Company shall have duly</w:t>
      </w:r>
    </w:p>
    <w:p>
      <w:pPr>
        <w:spacing w:after="0" w:line="42" w:lineRule="exact"/>
        <w:rPr>
          <w:rFonts w:ascii="Arial" w:cs="Arial" w:eastAsia="Arial" w:hAnsi="Arial"/>
          <w:sz w:val="16"/>
          <w:szCs w:val="16"/>
          <w:color w:val="auto"/>
        </w:rPr>
      </w:pPr>
    </w:p>
    <w:p>
      <w:pPr>
        <w:ind w:left="880" w:right="100"/>
        <w:spacing w:after="0" w:line="256" w:lineRule="auto"/>
        <w:rPr>
          <w:rFonts w:ascii="Arial" w:cs="Arial" w:eastAsia="Arial" w:hAnsi="Arial"/>
          <w:sz w:val="16"/>
          <w:szCs w:val="16"/>
          <w:color w:val="auto"/>
        </w:rPr>
      </w:pPr>
      <w:r>
        <w:rPr>
          <w:rFonts w:ascii="Arial" w:cs="Arial" w:eastAsia="Arial" w:hAnsi="Arial"/>
          <w:sz w:val="18"/>
          <w:szCs w:val="18"/>
          <w:color w:val="auto"/>
        </w:rPr>
        <w:t>(x) established the terms of the Securities and (y) authorized and taken any other necessary corporate or other action to approve the creation, if applicable, issuance and sale of the Securities and related matters;</w:t>
      </w:r>
    </w:p>
    <w:p>
      <w:pPr>
        <w:spacing w:after="0" w:line="214" w:lineRule="exact"/>
        <w:rPr>
          <w:rFonts w:ascii="Arial" w:cs="Arial" w:eastAsia="Arial" w:hAnsi="Arial"/>
          <w:sz w:val="16"/>
          <w:szCs w:val="16"/>
          <w:color w:val="auto"/>
        </w:rPr>
      </w:pPr>
    </w:p>
    <w:p>
      <w:pPr>
        <w:ind w:left="880" w:right="400" w:hanging="438"/>
        <w:spacing w:after="0" w:line="271" w:lineRule="auto"/>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resolutions establishing the definitive terms and authorizing the Company to register, offer, sell and issue the Securities shall remain in effect and unchanged at all times during which the Securities are offered, sold or issued by the Company;</w:t>
      </w:r>
    </w:p>
    <w:p>
      <w:pPr>
        <w:spacing w:after="0" w:line="201" w:lineRule="exact"/>
        <w:rPr>
          <w:rFonts w:ascii="Arial" w:cs="Arial" w:eastAsia="Arial" w:hAnsi="Arial"/>
          <w:sz w:val="18"/>
          <w:szCs w:val="18"/>
          <w:color w:val="auto"/>
        </w:rPr>
      </w:pPr>
    </w:p>
    <w:p>
      <w:pPr>
        <w:ind w:left="880" w:hanging="438"/>
        <w:spacing w:after="0" w:line="287" w:lineRule="auto"/>
        <w:tabs>
          <w:tab w:leader="none" w:pos="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terms of the issuance and sale of the Securities (x) shall have been duly established in accordance with all applicable law and the Articles of Incorporation and Bylaws of the Company, any Indenture, underwriting agreement and Warrant Agreement and any other relevant agreement relating to the terms and the offer and sale of the Securities (collectively, the “</w:t>
      </w:r>
      <w:r>
        <w:rPr>
          <w:rFonts w:ascii="Arial" w:cs="Arial" w:eastAsia="Arial" w:hAnsi="Arial"/>
          <w:sz w:val="16"/>
          <w:szCs w:val="16"/>
          <w:u w:val="single" w:color="auto"/>
          <w:color w:val="auto"/>
        </w:rPr>
        <w:t>Documents</w:t>
      </w:r>
      <w:r>
        <w:rPr>
          <w:rFonts w:ascii="Arial" w:cs="Arial" w:eastAsia="Arial" w:hAnsi="Arial"/>
          <w:sz w:val="16"/>
          <w:szCs w:val="16"/>
          <w:color w:val="auto"/>
        </w:rPr>
        <w:t>”) and the authorizing resolutions of the Board of Directors, and reflected in appropriate documentation reviewed by us and (y) shall not violate any applicable law or the Documents (subject to the further assumption that such Documents have not been amended from the date hereof in a manner that would affect the validity of any of the opinions rendered herein), or result in a default under or breach of (nor constitute any event which with notice, lapse of time or both would constitute a default under or result in any breach of) any agreement or instrument binding upon the Company and so as to comply with any restriction imposed by any court or governmental body having jurisdiction over the Company;</w:t>
      </w:r>
    </w:p>
    <w:p>
      <w:pPr>
        <w:spacing w:after="0" w:line="193" w:lineRule="exact"/>
        <w:rPr>
          <w:rFonts w:ascii="Arial" w:cs="Arial" w:eastAsia="Arial" w:hAnsi="Arial"/>
          <w:sz w:val="16"/>
          <w:szCs w:val="16"/>
          <w:color w:val="auto"/>
        </w:rPr>
      </w:pPr>
    </w:p>
    <w:p>
      <w:pPr>
        <w:ind w:left="880" w:hanging="438"/>
        <w:spacing w:after="0"/>
        <w:tabs>
          <w:tab w:leader="none" w:pos="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interest rate on the Debt Securities shall not be higher than the maximum lawful rate permitted from time to time under applicable law;</w:t>
      </w:r>
    </w:p>
    <w:p>
      <w:pPr>
        <w:spacing w:after="0" w:line="271" w:lineRule="exact"/>
        <w:rPr>
          <w:rFonts w:ascii="Arial" w:cs="Arial" w:eastAsia="Arial" w:hAnsi="Arial"/>
          <w:sz w:val="16"/>
          <w:szCs w:val="16"/>
          <w:color w:val="auto"/>
        </w:rPr>
      </w:pPr>
    </w:p>
    <w:p>
      <w:pPr>
        <w:ind w:left="880" w:right="20" w:hanging="438"/>
        <w:spacing w:after="0" w:line="254" w:lineRule="auto"/>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Securities (including any Securities issuable upon exercise, conversion or exchange of other Securities) and any certificates representing the relevant Securities (including any Securities issuable upon exercise, conversion or exchange of other Securities) have been duly authenticated, executed, countersigned, registered and delivered upon payment of the agreed-upon legal consideration therefor and have been duly issued and sold in accordance with any relevant agreement and, if applicable, duly authorized, executed and delivered by the Company and any other appropriate party;</w:t>
      </w:r>
    </w:p>
    <w:p>
      <w:pPr>
        <w:spacing w:after="0" w:line="216" w:lineRule="exact"/>
        <w:rPr>
          <w:rFonts w:ascii="Arial" w:cs="Arial" w:eastAsia="Arial" w:hAnsi="Arial"/>
          <w:sz w:val="18"/>
          <w:szCs w:val="18"/>
          <w:color w:val="auto"/>
        </w:rPr>
      </w:pPr>
    </w:p>
    <w:p>
      <w:pPr>
        <w:ind w:left="880" w:right="620" w:hanging="438"/>
        <w:spacing w:after="0" w:line="271" w:lineRule="auto"/>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Indenture and Warrant Agreement and any other relevant agreement has been duly authorized, executed and delivered by, and will constitute a valid and binding obligation of, each party thereto (other than the Company);</w:t>
      </w:r>
    </w:p>
    <w:p>
      <w:pPr>
        <w:sectPr>
          <w:pgSz w:w="12240" w:h="15840" w:orient="portrait"/>
          <w:cols w:equalWidth="0" w:num="1">
            <w:col w:w="11160"/>
          </w:cols>
          <w:pgMar w:left="520" w:top="132" w:right="560" w:bottom="1440" w:gutter="0" w:footer="0" w:header="0"/>
        </w:sectPr>
      </w:pPr>
    </w:p>
    <w:bookmarkStart w:id="240" w:name="page241"/>
    <w:bookmarkEnd w:id="240"/>
    <w:p>
      <w:pPr>
        <w:ind w:left="7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March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079500" cy="4845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079500" cy="484505"/>
                    </a:xfrm>
                    <a:prstGeom prst="rect">
                      <a:avLst/>
                    </a:prstGeom>
                    <a:noFill/>
                  </pic:spPr>
                </pic:pic>
              </a:graphicData>
            </a:graphic>
          </wp:anchor>
        </w:drawing>
      </w:r>
    </w:p>
    <w:p>
      <w:pPr>
        <w:ind w:left="7720"/>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80" w:right="240" w:hanging="438"/>
        <w:spacing w:after="0" w:line="259"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Registration Statement, as amended (including all necessary post-effective amendments), and any additional registration statement filed under Rule 462 under the Securities Act, shall be effective under the Securities Act, and such effectiveness shall not have been terminated or rescinded;</w:t>
      </w:r>
    </w:p>
    <w:p>
      <w:pPr>
        <w:spacing w:after="0" w:line="213" w:lineRule="exact"/>
        <w:rPr>
          <w:rFonts w:ascii="Arial" w:cs="Arial" w:eastAsia="Arial" w:hAnsi="Arial"/>
          <w:sz w:val="18"/>
          <w:szCs w:val="18"/>
          <w:color w:val="auto"/>
        </w:rPr>
      </w:pPr>
    </w:p>
    <w:p>
      <w:pPr>
        <w:ind w:left="880" w:right="240" w:hanging="438"/>
        <w:spacing w:after="0" w:line="271"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appropriate Prospectus Supplement shall have been prepared, delivered and filed in compliance with the Securities Act and the applicable rules and regulations thereunder describing the Securities offered thereby;</w:t>
      </w:r>
    </w:p>
    <w:p>
      <w:pPr>
        <w:spacing w:after="0" w:line="201" w:lineRule="exact"/>
        <w:rPr>
          <w:rFonts w:ascii="Arial" w:cs="Arial" w:eastAsia="Arial" w:hAnsi="Arial"/>
          <w:sz w:val="18"/>
          <w:szCs w:val="18"/>
          <w:color w:val="auto"/>
        </w:rPr>
      </w:pPr>
    </w:p>
    <w:p>
      <w:pPr>
        <w:ind w:left="880" w:right="120" w:hanging="438"/>
        <w:spacing w:after="0" w:line="259"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Securities shall be issued and sold in compliance with all U.S. federal and state securities laws and solely in the manner stated in the Registration Statement and the applicable Prospectus Supplement and there shall not have occurred any change in law affecting the validity of the opinions rendered herein;</w:t>
      </w:r>
    </w:p>
    <w:p>
      <w:pPr>
        <w:spacing w:after="0" w:line="213" w:lineRule="exact"/>
        <w:rPr>
          <w:rFonts w:ascii="Arial" w:cs="Arial" w:eastAsia="Arial" w:hAnsi="Arial"/>
          <w:sz w:val="18"/>
          <w:szCs w:val="18"/>
          <w:color w:val="auto"/>
        </w:rPr>
      </w:pPr>
    </w:p>
    <w:p>
      <w:pPr>
        <w:ind w:left="880" w:right="100" w:hanging="438"/>
        <w:spacing w:after="0" w:line="259"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Securities will be sold pursuant to a firm commitment underwritten offering, the underwriting agreement with respect to the Securities in the form filed as an exhibit to the Registration Statement or any post-effective amendment thereto, or incorporated by reference therein, has been duly authorized, executed and delivered by the Company and the other parties thereto; and</w:t>
      </w:r>
    </w:p>
    <w:p>
      <w:pPr>
        <w:spacing w:after="0" w:line="213" w:lineRule="exact"/>
        <w:rPr>
          <w:rFonts w:ascii="Arial" w:cs="Arial" w:eastAsia="Arial" w:hAnsi="Arial"/>
          <w:sz w:val="18"/>
          <w:szCs w:val="18"/>
          <w:color w:val="auto"/>
        </w:rPr>
      </w:pPr>
    </w:p>
    <w:p>
      <w:pPr>
        <w:ind w:left="880" w:right="380" w:hanging="438"/>
        <w:spacing w:after="0" w:line="271"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case of an agreement or instrument pursuant to which any Securities are to be issued, there shall be no terms or provisions contained therein which would affect the validity of any of the opinions rendered herein.</w:t>
      </w:r>
    </w:p>
    <w:p>
      <w:pPr>
        <w:spacing w:after="0" w:line="175"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w:t>
      </w:r>
    </w:p>
    <w:p>
      <w:pPr>
        <w:spacing w:after="0" w:line="3" w:lineRule="exact"/>
        <w:rPr>
          <w:sz w:val="20"/>
          <w:szCs w:val="20"/>
          <w:color w:val="auto"/>
        </w:rPr>
      </w:pPr>
    </w:p>
    <w:p>
      <w:pPr>
        <w:ind w:left="320" w:hanging="320"/>
        <w:spacing w:after="0"/>
        <w:tabs>
          <w:tab w:leader="none" w:pos="3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provisions of law which may require that a judgment for money damages rendered by a court in the United States be expressed only in U.S. dollars;</w:t>
      </w:r>
    </w:p>
    <w:p>
      <w:pPr>
        <w:spacing w:after="0" w:line="30" w:lineRule="exact"/>
        <w:rPr>
          <w:rFonts w:ascii="Arial" w:cs="Arial" w:eastAsia="Arial" w:hAnsi="Arial"/>
          <w:sz w:val="16"/>
          <w:szCs w:val="16"/>
          <w:color w:val="auto"/>
        </w:rPr>
      </w:pPr>
    </w:p>
    <w:p>
      <w:pPr>
        <w:ind w:right="340"/>
        <w:spacing w:after="0" w:line="279" w:lineRule="auto"/>
        <w:tabs>
          <w:tab w:leader="none" w:pos="30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w:t>
      </w:r>
    </w:p>
    <w:p>
      <w:pPr>
        <w:ind w:left="260" w:hanging="260"/>
        <w:spacing w:after="0"/>
        <w:tabs>
          <w:tab w:leader="none" w:pos="2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governmental authority to limit, delay or prohibit the making of payments outside the United States or in foreign currency or composite currency.</w:t>
      </w:r>
    </w:p>
    <w:p>
      <w:pPr>
        <w:spacing w:after="0" w:line="220"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are members of the bar of the State of New York, and the foregoing opinions are limited to the laws of the State of New York.</w:t>
      </w:r>
    </w:p>
    <w:p>
      <w:pPr>
        <w:spacing w:after="0" w:line="22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This opinion letter has been prepared for your use solely in connection with the Registration Statement. We assume no obligation to advise you of any changes in the foregoing subsequent to the effectiveness of the Registration Statement.</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ectPr>
          <w:pgSz w:w="12240" w:h="15840" w:orient="portrait"/>
          <w:cols w:equalWidth="0" w:num="1">
            <w:col w:w="11160"/>
          </w:cols>
          <w:pgMar w:left="520" w:top="133" w:right="560"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(n)(1)</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consent to use in this Registration Statement on Form N-2 of PennantPark Investment Corporation and its Subsidiaries of our reports dated November 15, 2018, relating to the consolidated financial statements and the effectiveness of internal control over financial reporting of PennantPark Investment Corporation and its Subsidiaries, appearing in the Prospectus, which is part of this Registration Statement, and of our report dated November 15, 2018, relating to the senior securities table appearing elsewhere in this Registration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“Independent Registered Public Accounting Firm” in such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2240" w:h="15840" w:orient="portrait"/>
          <w:cols w:equalWidth="0" w:num="1">
            <w:col w:w="11160"/>
          </w:cols>
          <w:pgMar w:left="520" w:top="0" w:right="560"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(n)(2)</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08" w:lineRule="exact"/>
        <w:rPr>
          <w:sz w:val="20"/>
          <w:szCs w:val="20"/>
          <w:color w:val="auto"/>
        </w:rPr>
      </w:pPr>
    </w:p>
    <w:p>
      <w:pPr>
        <w:ind w:right="480"/>
        <w:spacing w:after="0" w:line="297" w:lineRule="auto"/>
        <w:rPr>
          <w:sz w:val="20"/>
          <w:szCs w:val="20"/>
          <w:color w:val="auto"/>
        </w:rPr>
      </w:pPr>
      <w:r>
        <w:rPr>
          <w:rFonts w:ascii="Arial" w:cs="Arial" w:eastAsia="Arial" w:hAnsi="Arial"/>
          <w:sz w:val="16"/>
          <w:szCs w:val="16"/>
          <w:color w:val="auto"/>
        </w:rPr>
        <w:t>Our audit of the consolidated financial statements and internal control over financial reporting referred to in our reports dated November 15, 2018, (appearing in the accompanying registration statement on Form N-2) also included an audit of the senior securities table of PennantPark Investment Corporation and its Subsidiaries appearing in this Registration Statement on Form N-2. This table is the responsibility of PennantPark Investment Corporation and its Subsidiaries’ management. Our responsibility is to express an opinion based on our audit of the consolidated financial statements.</w:t>
      </w:r>
    </w:p>
    <w:p>
      <w:pPr>
        <w:spacing w:after="0" w:line="16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 our opinion, the senior securities table, when considered in relation to the basic consolidated financial statements taken as a whole, presents fairly in all material respects the information set forth therein.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2018</w:t>
      </w:r>
    </w:p>
    <w:p>
      <w:pPr>
        <w:sectPr>
          <w:pgSz w:w="12240" w:h="15840" w:orient="portrait"/>
          <w:cols w:equalWidth="0" w:num="1">
            <w:col w:w="11160"/>
          </w:cols>
          <w:pgMar w:left="520" w:top="0" w:right="560"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(n)(3)</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PennantPark Investment Corporation and its Subsidiaries for the periods ended December 31, 2018 and 2017, as indicated in our report dated February, 7, 2019; because we did not perform an audit, we expressed no opinion on that information.</w:t>
      </w:r>
    </w:p>
    <w:p>
      <w:pPr>
        <w:spacing w:after="0" w:line="18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are aware that our report referred to above, which was included in your Quarterly Report on Form 10-Q for the quarter ended December 31, 2018, is being used in this Registration Statement.</w:t>
      </w:r>
    </w:p>
    <w:p>
      <w:pPr>
        <w:spacing w:after="0" w:line="175" w:lineRule="exact"/>
        <w:rPr>
          <w:sz w:val="20"/>
          <w:szCs w:val="20"/>
          <w:color w:val="auto"/>
        </w:rPr>
      </w:pPr>
    </w:p>
    <w:p>
      <w:pPr>
        <w:jc w:val="both"/>
        <w:ind w:right="380"/>
        <w:spacing w:after="0" w:line="335"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2240" w:h="15840" w:orient="portrait"/>
          <w:cols w:equalWidth="0" w:num="1">
            <w:col w:w="11160"/>
          </w:cols>
          <w:pgMar w:left="520" w:top="0" w:right="560"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(n)(4)</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Auditor</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consent to the use in this Registration Statement on Form N-2 of PennantPark Investment Corporation, to be filed on or about March 1, 2019, of our report dated November 13, 2018 relating to the consolidated financial statements of Superior Digital Displays Holdings, Inc. and Subsidiaries as of September 30, 2018 and for the year then ended, which appears in this Registration Statement. Our report includes an emphasis of a matter paragraph regarding Superior Digital Displays, Inc. and Subsidiaries’ reliance on financing from a related party in order to meet its obligations. We also consent to the reference to our firm under the caption “Independent Auditor” in such Registration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2240" w:h="15840" w:orient="portrait"/>
          <w:cols w:equalWidth="0" w:num="1">
            <w:col w:w="11160"/>
          </w:cols>
          <w:pgMar w:left="520" w:top="0" w:right="560"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157480</wp:posOffset>
            </wp:positionV>
            <wp:extent cx="2854960" cy="69684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54960" cy="6968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SUPERIOR DIGITAL DISPLAYS</w:t>
      </w:r>
    </w:p>
    <w:p>
      <w:pPr>
        <w:spacing w:after="0" w:line="20"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HOLDINGS, INC. AND SUBSIDIARIES</w:t>
      </w:r>
    </w:p>
    <w:p>
      <w:pPr>
        <w:spacing w:after="0" w:line="235" w:lineRule="exact"/>
        <w:rPr>
          <w:sz w:val="20"/>
          <w:szCs w:val="20"/>
          <w:color w:val="auto"/>
        </w:rPr>
      </w:pPr>
    </w:p>
    <w:p>
      <w:pPr>
        <w:jc w:val="center"/>
        <w:ind w:left="5940"/>
        <w:spacing w:after="0"/>
        <w:rPr>
          <w:sz w:val="20"/>
          <w:szCs w:val="20"/>
          <w:color w:val="auto"/>
        </w:rPr>
      </w:pPr>
      <w:r>
        <w:rPr>
          <w:rFonts w:ascii="Arial" w:cs="Arial" w:eastAsia="Arial" w:hAnsi="Arial"/>
          <w:sz w:val="17"/>
          <w:szCs w:val="17"/>
          <w:color w:val="auto"/>
        </w:rPr>
        <w:t>CONSOLIDATED FINANCIAL STATEMENTS</w:t>
      </w:r>
    </w:p>
    <w:p>
      <w:pPr>
        <w:spacing w:after="0" w:line="26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3404235</wp:posOffset>
            </wp:positionV>
            <wp:extent cx="390525" cy="3740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0525" cy="374015"/>
                    </a:xfrm>
                    <a:prstGeom prst="rect">
                      <a:avLst/>
                    </a:prstGeom>
                    <a:noFill/>
                  </pic:spPr>
                </pic:pic>
              </a:graphicData>
            </a:graphic>
          </wp:anchor>
        </w:drawing>
      </w:r>
    </w:p>
    <w:p>
      <w:pPr>
        <w:sectPr>
          <w:pgSz w:w="12240" w:h="15840" w:orient="portrait"/>
          <w:cols w:equalWidth="0" w:num="1">
            <w:col w:w="10240"/>
          </w:cols>
          <w:pgMar w:left="1440" w:top="0" w:right="560" w:bottom="1440" w:gutter="0" w:footer="0" w:header="0"/>
        </w:sectPr>
      </w:pPr>
    </w:p>
    <w:bookmarkStart w:id="246" w:name="page247"/>
    <w:bookmarkEnd w:id="246"/>
    <w:p>
      <w:pPr>
        <w:ind w:right="5300"/>
        <w:spacing w:after="0" w:line="37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 Contents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60" w:type="dxa"/>
            <w:vAlign w:val="bottom"/>
            <w:vMerge w:val="restart"/>
          </w:tcPr>
          <w:p>
            <w:pPr>
              <w:spacing w:after="0"/>
              <w:rPr>
                <w:sz w:val="20"/>
                <w:szCs w:val="20"/>
                <w:color w:val="auto"/>
              </w:rPr>
            </w:pPr>
            <w:r>
              <w:rPr>
                <w:rFonts w:ascii="Arial" w:cs="Arial" w:eastAsia="Arial" w:hAnsi="Arial"/>
                <w:sz w:val="18"/>
                <w:szCs w:val="18"/>
                <w:b w:val="1"/>
                <w:bCs w:val="1"/>
                <w:color w:val="auto"/>
              </w:rPr>
              <w:t>Independent Auditors’ Report</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0"/>
        </w:trPr>
        <w:tc>
          <w:tcPr>
            <w:tcW w:w="10660" w:type="dxa"/>
            <w:vAlign w:val="bottom"/>
            <w:vMerge w:val="continue"/>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066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balance sheet as of September 30, 2018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1"/>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statement of operations for the year ended September 30, 2018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1"/>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statement of stockholders’ deficit for the year ended September 30, 2018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1"/>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statement of cash flows for the year ended September 30, 2018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1"/>
        </w:trPr>
        <w:tc>
          <w:tcPr>
            <w:tcW w:w="10660" w:type="dxa"/>
            <w:vAlign w:val="bottom"/>
          </w:tcPr>
          <w:p>
            <w:pPr>
              <w:ind w:left="360"/>
              <w:spacing w:after="0"/>
              <w:rPr>
                <w:sz w:val="20"/>
                <w:szCs w:val="20"/>
                <w:color w:val="auto"/>
              </w:rPr>
            </w:pPr>
            <w:r>
              <w:rPr>
                <w:rFonts w:ascii="Arial" w:cs="Arial" w:eastAsia="Arial" w:hAnsi="Arial"/>
                <w:sz w:val="18"/>
                <w:szCs w:val="18"/>
                <w:color w:val="auto"/>
              </w:rPr>
              <w:t>Notes to the consolidated financial statements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7 - 17</w:t>
            </w:r>
          </w:p>
        </w:tc>
        <w:tc>
          <w:tcPr>
            <w:tcW w:w="0" w:type="dxa"/>
            <w:vAlign w:val="bottom"/>
          </w:tcPr>
          <w:p>
            <w:pPr>
              <w:spacing w:after="0"/>
              <w:rPr>
                <w:sz w:val="1"/>
                <w:szCs w:val="1"/>
                <w:color w:val="auto"/>
              </w:rPr>
            </w:pPr>
          </w:p>
        </w:tc>
      </w:tr>
    </w:tbl>
    <w:p>
      <w:pPr>
        <w:sectPr>
          <w:pgSz w:w="12240" w:h="15840" w:orient="portrait"/>
          <w:cols w:equalWidth="0" w:num="1">
            <w:col w:w="11140"/>
          </w:cols>
          <w:pgMar w:left="520" w:top="128" w:right="580" w:bottom="1440" w:gutter="0" w:footer="0" w:header="0"/>
        </w:sectPr>
      </w:pPr>
    </w:p>
    <w:bookmarkStart w:id="247" w:name="page248"/>
    <w:bookmarkEnd w:id="247"/>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070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86600" cy="8070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Superior Digital Displays Holdings, Inc. and Subsidiaries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Consolidated Financial Statements</w:t>
      </w:r>
    </w:p>
    <w:p>
      <w:pPr>
        <w:spacing w:after="0" w:line="118"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We have audited the accompanying consolidated financial statements of Superior Digital Displays Holdings, Inc. and Subsidiaries (the “Company”), which comprise the consolidated balance sheet as of September 30, 2018, and the related consolidated statements of operations, changes in stockholders’ deficit, and cash flows for the year then ended, and the related notes to the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4" w:lineRule="exact"/>
        <w:rPr>
          <w:sz w:val="20"/>
          <w:szCs w:val="20"/>
          <w:color w:val="auto"/>
        </w:rPr>
      </w:pPr>
    </w:p>
    <w:p>
      <w:pPr>
        <w:jc w:val="both"/>
        <w:ind w:right="60"/>
        <w:spacing w:after="0" w:line="282"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Superior Digital Displays Holdings, Inc. and Subsidiaries as of September 30, 2018, and the consolidated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6798310</wp:posOffset>
            </wp:positionH>
            <wp:positionV relativeFrom="paragraph">
              <wp:posOffset>132080</wp:posOffset>
            </wp:positionV>
            <wp:extent cx="288290" cy="2806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8290" cy="280670"/>
                    </a:xfrm>
                    <a:prstGeom prst="rect">
                      <a:avLst/>
                    </a:prstGeom>
                    <a:noFill/>
                  </pic:spPr>
                </pic:pic>
              </a:graphicData>
            </a:graphic>
          </wp:anchor>
        </w:drawing>
      </w:r>
    </w:p>
    <w:p>
      <w:pPr>
        <w:sectPr>
          <w:pgSz w:w="12240" w:h="15840" w:orient="portrait"/>
          <w:cols w:equalWidth="0" w:num="1">
            <w:col w:w="11140"/>
          </w:cols>
          <w:pgMar w:left="520" w:top="1440" w:right="580"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086600" cy="38100"/>
                    </a:xfrm>
                    <a:prstGeom prst="rect">
                      <a:avLst/>
                    </a:prstGeom>
                    <a:noFill/>
                  </pic:spPr>
                </pic:pic>
              </a:graphicData>
            </a:graphic>
          </wp:anchor>
        </w:drawing>
        <w:drawing>
          <wp:anchor simplePos="0" relativeHeight="251657728" behindDoc="1" locked="0" layoutInCell="0" allowOverlap="1">
            <wp:simplePos x="0" y="0"/>
            <wp:positionH relativeFrom="page">
              <wp:posOffset>330200</wp:posOffset>
            </wp:positionH>
            <wp:positionV relativeFrom="page">
              <wp:posOffset>93980</wp:posOffset>
            </wp:positionV>
            <wp:extent cx="1673860" cy="2292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1673860" cy="229235"/>
                    </a:xfrm>
                    <a:prstGeom prst="rect">
                      <a:avLst/>
                    </a:prstGeom>
                    <a:noFill/>
                  </pic:spPr>
                </pic:pic>
              </a:graphicData>
            </a:graphic>
          </wp:anchor>
        </w:drawing>
        <w:t>Emphasis of Matter</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Notes A, D, and G, the Company relies on financing from a related party in order to meet its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1861185" cy="3486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861185" cy="34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6840855</wp:posOffset>
            </wp:positionH>
            <wp:positionV relativeFrom="paragraph">
              <wp:posOffset>99060</wp:posOffset>
            </wp:positionV>
            <wp:extent cx="245745" cy="2381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5745" cy="238125"/>
                    </a:xfrm>
                    <a:prstGeom prst="rect">
                      <a:avLst/>
                    </a:prstGeom>
                    <a:noFill/>
                  </pic:spPr>
                </pic:pic>
              </a:graphicData>
            </a:graphic>
          </wp:anchor>
        </w:drawing>
      </w:r>
    </w:p>
    <w:p>
      <w:pPr>
        <w:sectPr>
          <w:pgSz w:w="12240" w:h="15840" w:orient="portrait"/>
          <w:cols w:equalWidth="0" w:num="1">
            <w:col w:w="10280"/>
          </w:cols>
          <w:pgMar w:left="520" w:top="815" w:right="1440"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31"/>
        </w:trPr>
        <w:tc>
          <w:tcPr>
            <w:tcW w:w="10120" w:type="dxa"/>
            <w:vAlign w:val="bottom"/>
          </w:tcPr>
          <w:p>
            <w:pPr>
              <w:spacing w:after="0"/>
              <w:rPr>
                <w:sz w:val="20"/>
                <w:szCs w:val="20"/>
                <w:color w:val="auto"/>
              </w:rPr>
            </w:pPr>
            <w:r>
              <w:rPr>
                <w:rFonts w:ascii="Arial" w:cs="Arial" w:eastAsia="Arial" w:hAnsi="Arial"/>
                <w:sz w:val="18"/>
                <w:szCs w:val="18"/>
                <w:b w:val="1"/>
                <w:bCs w:val="1"/>
                <w:color w:val="auto"/>
              </w:rPr>
              <w:t>SUPERIOR DIGITAL DISPLAYS HOLDINGS, INC. AND SUBSIDIARIES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10120" w:type="dxa"/>
            <w:vAlign w:val="bottom"/>
          </w:tcPr>
          <w:p>
            <w:pPr>
              <w:spacing w:after="0"/>
              <w:rPr>
                <w:sz w:val="20"/>
                <w:szCs w:val="20"/>
                <w:color w:val="auto"/>
              </w:rPr>
            </w:pPr>
            <w:r>
              <w:rPr>
                <w:rFonts w:ascii="Arial" w:cs="Arial" w:eastAsia="Arial" w:hAnsi="Arial"/>
                <w:sz w:val="18"/>
                <w:szCs w:val="18"/>
                <w:b w:val="1"/>
                <w:bCs w:val="1"/>
                <w:color w:val="auto"/>
              </w:rPr>
              <w:t>Consolidated Balance Sheet</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0120" w:type="dxa"/>
            <w:vAlign w:val="bottom"/>
          </w:tcPr>
          <w:p>
            <w:pPr>
              <w:spacing w:after="0"/>
              <w:rPr>
                <w:sz w:val="20"/>
                <w:szCs w:val="20"/>
                <w:color w:val="auto"/>
              </w:rPr>
            </w:pPr>
            <w:r>
              <w:rPr>
                <w:rFonts w:ascii="Arial" w:cs="Arial" w:eastAsia="Arial" w:hAnsi="Arial"/>
                <w:sz w:val="18"/>
                <w:szCs w:val="18"/>
                <w:b w:val="1"/>
                <w:bCs w:val="1"/>
                <w:color w:val="auto"/>
              </w:rPr>
              <w:t>September 30, 2018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101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12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3"/>
            <w:vMerge w:val="restart"/>
          </w:tcPr>
          <w:p>
            <w:pPr>
              <w:jc w:val="right"/>
              <w:ind w:right="1"/>
              <w:spacing w:after="0"/>
              <w:rPr>
                <w:sz w:val="20"/>
                <w:szCs w:val="20"/>
                <w:color w:val="auto"/>
              </w:rPr>
            </w:pPr>
            <w:r>
              <w:rPr>
                <w:rFonts w:ascii="Arial" w:cs="Arial" w:eastAsia="Arial" w:hAnsi="Arial"/>
                <w:sz w:val="18"/>
                <w:szCs w:val="18"/>
                <w:b w:val="1"/>
                <w:bCs w:val="1"/>
                <w:color w:val="auto"/>
              </w:rPr>
              <w:t>381,273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120" w:type="dxa"/>
            <w:vAlign w:val="bottom"/>
          </w:tcPr>
          <w:p>
            <w:pPr>
              <w:ind w:left="720"/>
              <w:spacing w:after="0"/>
              <w:rPr>
                <w:sz w:val="20"/>
                <w:szCs w:val="20"/>
                <w:color w:val="auto"/>
              </w:rPr>
            </w:pPr>
            <w:r>
              <w:rPr>
                <w:rFonts w:ascii="Arial" w:cs="Arial" w:eastAsia="Arial" w:hAnsi="Arial"/>
                <w:sz w:val="18"/>
                <w:szCs w:val="18"/>
                <w:color w:val="auto"/>
              </w:rPr>
              <w:t>Cash</w:t>
            </w:r>
          </w:p>
        </w:tc>
        <w:tc>
          <w:tcPr>
            <w:tcW w:w="10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20" w:type="dxa"/>
            <w:vAlign w:val="bottom"/>
          </w:tcPr>
          <w:p>
            <w:pPr>
              <w:ind w:left="7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434,994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2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20,460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12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0"/>
                <w:szCs w:val="20"/>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196,957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012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1,033,684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120" w:type="dxa"/>
            <w:vAlign w:val="bottom"/>
          </w:tcPr>
          <w:p>
            <w:pPr>
              <w:ind w:left="360"/>
              <w:spacing w:after="0"/>
              <w:rPr>
                <w:sz w:val="20"/>
                <w:szCs w:val="20"/>
                <w:color w:val="auto"/>
              </w:rPr>
            </w:pPr>
            <w:r>
              <w:rPr>
                <w:rFonts w:ascii="Arial" w:cs="Arial" w:eastAsia="Arial" w:hAnsi="Arial"/>
                <w:sz w:val="18"/>
                <w:szCs w:val="18"/>
                <w:color w:val="auto"/>
              </w:rPr>
              <w:t>Signs and equipment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6,573,860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01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4"/>
                <w:szCs w:val="24"/>
                <w:color w:val="auto"/>
              </w:rPr>
            </w:pPr>
          </w:p>
        </w:tc>
        <w:tc>
          <w:tcPr>
            <w:tcW w:w="900" w:type="dxa"/>
            <w:vAlign w:val="bottom"/>
            <w:gridSpan w:val="3"/>
            <w:vMerge w:val="restart"/>
          </w:tcPr>
          <w:p>
            <w:pPr>
              <w:jc w:val="right"/>
              <w:ind w:right="1"/>
              <w:spacing w:after="0"/>
              <w:rPr>
                <w:sz w:val="20"/>
                <w:szCs w:val="20"/>
                <w:color w:val="auto"/>
              </w:rPr>
            </w:pPr>
            <w:r>
              <w:rPr>
                <w:rFonts w:ascii="Arial" w:cs="Arial" w:eastAsia="Arial" w:hAnsi="Arial"/>
                <w:sz w:val="18"/>
                <w:szCs w:val="18"/>
                <w:b w:val="1"/>
                <w:bCs w:val="1"/>
                <w:color w:val="auto"/>
              </w:rPr>
              <w:t>89,202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0120" w:type="dxa"/>
            <w:vAlign w:val="bottom"/>
          </w:tcPr>
          <w:p>
            <w:pPr>
              <w:ind w:left="720"/>
              <w:spacing w:after="0"/>
              <w:rPr>
                <w:sz w:val="20"/>
                <w:szCs w:val="20"/>
                <w:color w:val="auto"/>
              </w:rPr>
            </w:pPr>
            <w:r>
              <w:rPr>
                <w:rFonts w:ascii="Arial" w:cs="Arial" w:eastAsia="Arial" w:hAnsi="Arial"/>
                <w:sz w:val="18"/>
                <w:szCs w:val="18"/>
                <w:color w:val="auto"/>
              </w:rPr>
              <w:t>Deferred costs, net of accumulated amortization</w:t>
            </w:r>
          </w:p>
        </w:tc>
        <w:tc>
          <w:tcPr>
            <w:tcW w:w="10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12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7,696,746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12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3"/>
            <w:vMerge w:val="restart"/>
          </w:tcPr>
          <w:p>
            <w:pPr>
              <w:jc w:val="right"/>
              <w:ind w:right="1"/>
              <w:spacing w:after="0"/>
              <w:rPr>
                <w:sz w:val="20"/>
                <w:szCs w:val="20"/>
                <w:color w:val="auto"/>
              </w:rPr>
            </w:pPr>
            <w:r>
              <w:rPr>
                <w:rFonts w:ascii="Arial" w:cs="Arial" w:eastAsia="Arial" w:hAnsi="Arial"/>
                <w:sz w:val="18"/>
                <w:szCs w:val="18"/>
                <w:b w:val="1"/>
                <w:bCs w:val="1"/>
                <w:color w:val="auto"/>
              </w:rPr>
              <w:t>62,595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1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12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1,144,128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012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1,206,723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10120" w:type="dxa"/>
            <w:vAlign w:val="bottom"/>
          </w:tcPr>
          <w:p>
            <w:pPr>
              <w:ind w:left="360"/>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24"/>
                <w:szCs w:val="24"/>
                <w:color w:val="auto"/>
              </w:rPr>
            </w:pPr>
          </w:p>
        </w:tc>
        <w:tc>
          <w:tcPr>
            <w:tcW w:w="900" w:type="dxa"/>
            <w:vAlign w:val="bottom"/>
            <w:gridSpan w:val="3"/>
            <w:vMerge w:val="restart"/>
          </w:tcPr>
          <w:p>
            <w:pPr>
              <w:jc w:val="right"/>
              <w:ind w:right="1"/>
              <w:spacing w:after="0"/>
              <w:rPr>
                <w:sz w:val="20"/>
                <w:szCs w:val="20"/>
                <w:color w:val="auto"/>
              </w:rPr>
            </w:pPr>
            <w:r>
              <w:rPr>
                <w:rFonts w:ascii="Arial" w:cs="Arial" w:eastAsia="Arial" w:hAnsi="Arial"/>
                <w:sz w:val="18"/>
                <w:szCs w:val="18"/>
                <w:b w:val="1"/>
                <w:bCs w:val="1"/>
                <w:color w:val="auto"/>
                <w:w w:val="93"/>
              </w:rPr>
              <w:t>22,913,696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120" w:type="dxa"/>
            <w:vAlign w:val="bottom"/>
          </w:tcPr>
          <w:p>
            <w:pPr>
              <w:ind w:left="720"/>
              <w:spacing w:after="0"/>
              <w:rPr>
                <w:sz w:val="20"/>
                <w:szCs w:val="20"/>
                <w:color w:val="auto"/>
              </w:rPr>
            </w:pPr>
            <w:r>
              <w:rPr>
                <w:rFonts w:ascii="Arial" w:cs="Arial" w:eastAsia="Arial" w:hAnsi="Arial"/>
                <w:sz w:val="18"/>
                <w:szCs w:val="18"/>
                <w:color w:val="auto"/>
              </w:rPr>
              <w:t>Related party notes payable, net</w:t>
            </w:r>
          </w:p>
        </w:tc>
        <w:tc>
          <w:tcPr>
            <w:tcW w:w="10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120" w:type="dxa"/>
            <w:vAlign w:val="bottom"/>
          </w:tcPr>
          <w:p>
            <w:pPr>
              <w:ind w:left="720"/>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8"/>
                <w:szCs w:val="18"/>
                <w:b w:val="1"/>
                <w:bCs w:val="1"/>
                <w:color w:val="auto"/>
              </w:rPr>
              <w:t>152,250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0120" w:type="dxa"/>
            <w:vAlign w:val="bottom"/>
          </w:tcPr>
          <w:p>
            <w:pPr>
              <w:ind w:left="1080"/>
              <w:spacing w:after="0"/>
              <w:rPr>
                <w:sz w:val="20"/>
                <w:szCs w:val="20"/>
                <w:color w:val="auto"/>
              </w:rPr>
            </w:pPr>
            <w:r>
              <w:rPr>
                <w:rFonts w:ascii="Arial" w:cs="Arial" w:eastAsia="Arial" w:hAnsi="Arial"/>
                <w:sz w:val="18"/>
                <w:szCs w:val="18"/>
                <w:color w:val="auto"/>
              </w:rPr>
              <w:t>Total long term liabilities</w:t>
            </w:r>
          </w:p>
        </w:tc>
        <w:tc>
          <w:tcPr>
            <w:tcW w:w="100" w:type="dxa"/>
            <w:vAlign w:val="bottom"/>
          </w:tcPr>
          <w:p>
            <w:pPr>
              <w:spacing w:after="0"/>
              <w:rPr>
                <w:sz w:val="19"/>
                <w:szCs w:val="19"/>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w w:val="93"/>
              </w:rPr>
              <w:t>23,065,946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120" w:type="dxa"/>
            <w:vAlign w:val="bottom"/>
          </w:tcPr>
          <w:p>
            <w:pPr>
              <w:spacing w:after="0"/>
              <w:rPr>
                <w:sz w:val="20"/>
                <w:szCs w:val="20"/>
                <w:color w:val="auto"/>
              </w:rPr>
            </w:pPr>
            <w:r>
              <w:rPr>
                <w:rFonts w:ascii="Arial" w:cs="Arial" w:eastAsia="Arial" w:hAnsi="Arial"/>
                <w:sz w:val="18"/>
                <w:szCs w:val="18"/>
                <w:color w:val="auto"/>
              </w:rPr>
              <w:t>Commitments and contingencies (see Note J)</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0120" w:type="dxa"/>
            <w:vAlign w:val="bottom"/>
          </w:tcPr>
          <w:p>
            <w:pPr>
              <w:ind w:left="360"/>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24"/>
                <w:szCs w:val="24"/>
                <w:color w:val="auto"/>
              </w:rPr>
            </w:pPr>
          </w:p>
        </w:tc>
        <w:tc>
          <w:tcPr>
            <w:tcW w:w="900" w:type="dxa"/>
            <w:vAlign w:val="bottom"/>
            <w:gridSpan w:val="3"/>
            <w:vMerge w:val="restart"/>
          </w:tcPr>
          <w:p>
            <w:pPr>
              <w:jc w:val="right"/>
              <w:ind w:right="1"/>
              <w:spacing w:after="0"/>
              <w:rPr>
                <w:sz w:val="20"/>
                <w:szCs w:val="20"/>
                <w:color w:val="auto"/>
              </w:rPr>
            </w:pPr>
            <w:r>
              <w:rPr>
                <w:rFonts w:ascii="Arial" w:cs="Arial" w:eastAsia="Arial" w:hAnsi="Arial"/>
                <w:sz w:val="18"/>
                <w:szCs w:val="18"/>
                <w:b w:val="1"/>
                <w:bCs w:val="1"/>
                <w:color w:val="auto"/>
              </w:rPr>
              <w:t>198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120" w:type="dxa"/>
            <w:vAlign w:val="bottom"/>
          </w:tcPr>
          <w:p>
            <w:pPr>
              <w:ind w:left="7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20" w:type="dxa"/>
            <w:vAlign w:val="bottom"/>
          </w:tcPr>
          <w:p>
            <w:pPr>
              <w:ind w:left="72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8,723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2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w w:val="93"/>
              </w:rPr>
              <w:t>31,802,791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12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8"/>
              </w:rPr>
              <w:t>(48,387,635)</w:t>
            </w:r>
          </w:p>
        </w:tc>
        <w:tc>
          <w:tcPr>
            <w:tcW w:w="0" w:type="dxa"/>
            <w:vAlign w:val="bottom"/>
          </w:tcPr>
          <w:p>
            <w:pPr>
              <w:spacing w:after="0"/>
              <w:rPr>
                <w:sz w:val="1"/>
                <w:szCs w:val="1"/>
                <w:color w:val="auto"/>
              </w:rPr>
            </w:pPr>
          </w:p>
        </w:tc>
      </w:tr>
      <w:tr>
        <w:trPr>
          <w:trHeight w:val="222"/>
        </w:trPr>
        <w:tc>
          <w:tcPr>
            <w:tcW w:w="10120" w:type="dxa"/>
            <w:vAlign w:val="bottom"/>
          </w:tcPr>
          <w:p>
            <w:pPr>
              <w:ind w:left="1080"/>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(16,575,923</w:t>
            </w:r>
          </w:p>
        </w:tc>
        <w:tc>
          <w:tcPr>
            <w:tcW w:w="60" w:type="dxa"/>
            <w:vAlign w:val="bottom"/>
            <w:gridSpan w:val="2"/>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21"/>
        </w:trPr>
        <w:tc>
          <w:tcPr>
            <w:tcW w:w="10120" w:type="dxa"/>
            <w:vAlign w:val="bottom"/>
          </w:tcPr>
          <w:p>
            <w:pPr>
              <w:ind w:left="1080"/>
              <w:spacing w:after="0"/>
              <w:rPr>
                <w:sz w:val="20"/>
                <w:szCs w:val="20"/>
                <w:color w:val="auto"/>
              </w:rPr>
            </w:pPr>
            <w:r>
              <w:rPr>
                <w:rFonts w:ascii="Arial" w:cs="Arial" w:eastAsia="Arial" w:hAnsi="Arial"/>
                <w:sz w:val="18"/>
                <w:szCs w:val="18"/>
                <w:color w:val="auto"/>
              </w:rPr>
              <w:t>Total liabilites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7,696,746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0120" w:type="dxa"/>
            <w:vAlign w:val="bottom"/>
          </w:tcPr>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tc>
        <w:tc>
          <w:tcPr>
            <w:tcW w:w="10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rPr>
          <w:sz w:val="20"/>
          <w:szCs w:val="20"/>
          <w:color w:val="auto"/>
        </w:rPr>
        <w:sectPr>
          <w:pgSz w:w="12240" w:h="15840" w:orient="portrait"/>
          <w:cols w:equalWidth="0" w:num="1">
            <w:col w:w="11160"/>
          </w:cols>
          <w:pgMar w:left="520" w:top="129" w:right="560" w:bottom="1440" w:gutter="0" w:footer="0" w:header="0"/>
        </w:sect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p>
    <w:bookmarkStart w:id="250" w:name="page251"/>
    <w:bookmarkEnd w:id="250"/>
    <w:tbl>
      <w:tblPr>
        <w:tblLayout w:type="fixed"/>
        <w:tblInd w:w="0" w:type="dxa"/>
        <w:tblCellMar>
          <w:top w:w="0" w:type="dxa"/>
          <w:left w:w="0" w:type="dxa"/>
          <w:bottom w:w="0" w:type="dxa"/>
          <w:right w:w="0" w:type="dxa"/>
        </w:tblCellMar>
      </w:tblPr>
      <w:tr>
        <w:trPr>
          <w:trHeight w:val="231"/>
        </w:trPr>
        <w:tc>
          <w:tcPr>
            <w:tcW w:w="10220" w:type="dxa"/>
            <w:vAlign w:val="bottom"/>
          </w:tcPr>
          <w:p>
            <w:pPr>
              <w:spacing w:after="0"/>
              <w:rPr>
                <w:sz w:val="20"/>
                <w:szCs w:val="20"/>
                <w:color w:val="auto"/>
              </w:rPr>
            </w:pPr>
            <w:r>
              <w:rPr>
                <w:rFonts w:ascii="Arial" w:cs="Arial" w:eastAsia="Arial" w:hAnsi="Arial"/>
                <w:sz w:val="18"/>
                <w:szCs w:val="18"/>
                <w:b w:val="1"/>
                <w:bCs w:val="1"/>
                <w:color w:val="auto"/>
              </w:rPr>
              <w:t>SUPERIOR DIGITAL DISPLAYS HOLDINGS, INC. AND SUBSIDIARIES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1022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0220" w:type="dxa"/>
            <w:vAlign w:val="bottom"/>
          </w:tcPr>
          <w:p>
            <w:pPr>
              <w:spacing w:after="0"/>
              <w:rPr>
                <w:sz w:val="20"/>
                <w:szCs w:val="20"/>
                <w:color w:val="auto"/>
              </w:rPr>
            </w:pPr>
            <w:r>
              <w:rPr>
                <w:rFonts w:ascii="Arial" w:cs="Arial" w:eastAsia="Arial" w:hAnsi="Arial"/>
                <w:sz w:val="18"/>
                <w:szCs w:val="18"/>
                <w:b w:val="1"/>
                <w:bCs w:val="1"/>
                <w:color w:val="auto"/>
              </w:rPr>
              <w:t>Year Ended September 30, 2018</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10220" w:type="dxa"/>
            <w:vAlign w:val="bottom"/>
          </w:tcPr>
          <w:p>
            <w:pPr>
              <w:spacing w:after="0"/>
              <w:rPr>
                <w:sz w:val="20"/>
                <w:szCs w:val="20"/>
                <w:color w:val="auto"/>
              </w:rPr>
            </w:pPr>
            <w:r>
              <w:rPr>
                <w:rFonts w:ascii="Arial" w:cs="Arial" w:eastAsia="Arial" w:hAnsi="Arial"/>
                <w:sz w:val="18"/>
                <w:szCs w:val="18"/>
                <w:color w:val="auto"/>
              </w:rPr>
              <w:t>Net revenue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8"/>
              </w:rPr>
              <w:t>$ 1,985,715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022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7,662,362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0220" w:type="dxa"/>
            <w:vAlign w:val="bottom"/>
          </w:tcPr>
          <w:p>
            <w:pPr>
              <w:spacing w:after="0"/>
              <w:rPr>
                <w:sz w:val="20"/>
                <w:szCs w:val="20"/>
                <w:color w:val="auto"/>
              </w:rPr>
            </w:pPr>
            <w:r>
              <w:rPr>
                <w:rFonts w:ascii="Arial" w:cs="Arial" w:eastAsia="Arial" w:hAnsi="Arial"/>
                <w:sz w:val="18"/>
                <w:szCs w:val="18"/>
                <w:color w:val="auto"/>
              </w:rPr>
              <w:t>Operating loss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1"/>
              </w:rPr>
              <w:t>(5,676,647)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1022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9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7"/>
              </w:rPr>
              <w:t>(3,577,999)</w:t>
            </w:r>
          </w:p>
        </w:tc>
        <w:tc>
          <w:tcPr>
            <w:tcW w:w="0" w:type="dxa"/>
            <w:vAlign w:val="bottom"/>
          </w:tcPr>
          <w:p>
            <w:pPr>
              <w:spacing w:after="0"/>
              <w:rPr>
                <w:sz w:val="1"/>
                <w:szCs w:val="1"/>
                <w:color w:val="auto"/>
              </w:rPr>
            </w:pPr>
          </w:p>
        </w:tc>
      </w:tr>
      <w:tr>
        <w:trPr>
          <w:trHeight w:val="210"/>
        </w:trPr>
        <w:tc>
          <w:tcPr>
            <w:tcW w:w="102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22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22"/>
        </w:trPr>
        <w:tc>
          <w:tcPr>
            <w:tcW w:w="10220" w:type="dxa"/>
            <w:vAlign w:val="bottom"/>
          </w:tcPr>
          <w:p>
            <w:pPr>
              <w:ind w:left="720"/>
              <w:spacing w:after="0"/>
              <w:rPr>
                <w:sz w:val="20"/>
                <w:szCs w:val="20"/>
                <w:color w:val="auto"/>
              </w:rPr>
            </w:pPr>
            <w:r>
              <w:rPr>
                <w:rFonts w:ascii="Arial" w:cs="Arial" w:eastAsia="Arial" w:hAnsi="Arial"/>
                <w:sz w:val="18"/>
                <w:szCs w:val="18"/>
                <w:color w:val="auto"/>
              </w:rPr>
              <w:t>Other expense, net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7"/>
              </w:rPr>
              <w:t>(3,578,089</w:t>
            </w: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21"/>
        </w:trPr>
        <w:tc>
          <w:tcPr>
            <w:tcW w:w="102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(9,254,736</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10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0220" w:type="dxa"/>
            <w:vAlign w:val="bottom"/>
          </w:tcPr>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rPr>
          <w:sz w:val="20"/>
          <w:szCs w:val="20"/>
          <w:color w:val="auto"/>
        </w:rPr>
        <w:sectPr>
          <w:pgSz w:w="12240" w:h="15840" w:orient="portrait"/>
          <w:cols w:equalWidth="0" w:num="1">
            <w:col w:w="11160"/>
          </w:cols>
          <w:pgMar w:left="520" w:top="129" w:right="560" w:bottom="1440" w:gutter="0" w:footer="0" w:header="0"/>
        </w:sect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p>
    <w:bookmarkStart w:id="251" w:name="page252"/>
    <w:bookmarkEnd w:id="251"/>
    <w:p>
      <w:pPr>
        <w:ind w:right="5320"/>
        <w:spacing w:after="0" w:line="44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 Consolidated Statement of Stockholders’ Deficit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w w:val="91"/>
              </w:rPr>
              <w:t>Superior Digital Displays Holdings, Inc.</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ind w:left="80"/>
              <w:spacing w:after="0" w:line="141" w:lineRule="exact"/>
              <w:rPr>
                <w:sz w:val="20"/>
                <w:szCs w:val="20"/>
                <w:color w:val="auto"/>
              </w:rPr>
            </w:pPr>
            <w:r>
              <w:rPr>
                <w:rFonts w:ascii="Arial" w:cs="Arial" w:eastAsia="Arial" w:hAnsi="Arial"/>
                <w:sz w:val="14"/>
                <w:szCs w:val="14"/>
                <w:b w:val="1"/>
                <w:bCs w:val="1"/>
                <w:color w:val="auto"/>
              </w:rPr>
              <w:t>Preferred Stock</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tcPr>
          <w:p>
            <w:pPr>
              <w:spacing w:after="0"/>
              <w:rPr>
                <w:sz w:val="12"/>
                <w:szCs w:val="12"/>
                <w:color w:val="auto"/>
              </w:rPr>
            </w:pPr>
          </w:p>
        </w:tc>
        <w:tc>
          <w:tcPr>
            <w:tcW w:w="1240" w:type="dxa"/>
            <w:vAlign w:val="bottom"/>
            <w:gridSpan w:val="6"/>
          </w:tcPr>
          <w:p>
            <w:pPr>
              <w:ind w:left="60"/>
              <w:spacing w:after="0" w:line="141" w:lineRule="exact"/>
              <w:rPr>
                <w:sz w:val="20"/>
                <w:szCs w:val="20"/>
                <w:color w:val="auto"/>
              </w:rPr>
            </w:pPr>
            <w:r>
              <w:rPr>
                <w:rFonts w:ascii="Arial" w:cs="Arial" w:eastAsia="Arial" w:hAnsi="Arial"/>
                <w:sz w:val="14"/>
                <w:szCs w:val="14"/>
                <w:b w:val="1"/>
                <w:bCs w:val="1"/>
                <w:color w:val="auto"/>
              </w:rPr>
              <w:t>Common Stock</w:t>
            </w:r>
          </w:p>
        </w:tc>
        <w:tc>
          <w:tcPr>
            <w:tcW w:w="1220" w:type="dxa"/>
            <w:vAlign w:val="bottom"/>
            <w:gridSpan w:val="4"/>
          </w:tcPr>
          <w:p>
            <w:pPr>
              <w:ind w:left="280"/>
              <w:spacing w:after="0" w:line="141" w:lineRule="exact"/>
              <w:rPr>
                <w:sz w:val="20"/>
                <w:szCs w:val="20"/>
                <w:color w:val="auto"/>
              </w:rPr>
            </w:pPr>
            <w:r>
              <w:rPr>
                <w:rFonts w:ascii="Arial" w:cs="Arial" w:eastAsia="Arial" w:hAnsi="Arial"/>
                <w:sz w:val="14"/>
                <w:szCs w:val="14"/>
                <w:b w:val="1"/>
                <w:bCs w:val="1"/>
                <w:color w:val="auto"/>
              </w:rPr>
              <w:t>Series A</w:t>
            </w:r>
          </w:p>
        </w:tc>
        <w:tc>
          <w:tcPr>
            <w:tcW w:w="1300" w:type="dxa"/>
            <w:vAlign w:val="bottom"/>
            <w:gridSpan w:val="3"/>
          </w:tcPr>
          <w:p>
            <w:pPr>
              <w:jc w:val="right"/>
              <w:ind w:right="314"/>
              <w:spacing w:after="0" w:line="141" w:lineRule="exact"/>
              <w:rPr>
                <w:sz w:val="20"/>
                <w:szCs w:val="20"/>
                <w:color w:val="auto"/>
              </w:rPr>
            </w:pPr>
            <w:r>
              <w:rPr>
                <w:rFonts w:ascii="Arial" w:cs="Arial" w:eastAsia="Arial" w:hAnsi="Arial"/>
                <w:sz w:val="14"/>
                <w:szCs w:val="14"/>
                <w:b w:val="1"/>
                <w:bCs w:val="1"/>
                <w:color w:val="auto"/>
              </w:rPr>
              <w:t>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9"/>
              </w:rPr>
              <w:t>Paid-</w:t>
            </w:r>
          </w:p>
        </w:tc>
        <w:tc>
          <w:tcPr>
            <w:tcW w:w="80" w:type="dxa"/>
            <w:vAlign w:val="bottom"/>
          </w:tcPr>
          <w:p>
            <w:pPr>
              <w:spacing w:after="0"/>
              <w:rPr>
                <w:sz w:val="12"/>
                <w:szCs w:val="12"/>
                <w:color w:val="auto"/>
              </w:rPr>
            </w:pPr>
          </w:p>
        </w:tc>
        <w:tc>
          <w:tcPr>
            <w:tcW w:w="1180" w:type="dxa"/>
            <w:vAlign w:val="bottom"/>
            <w:gridSpan w:val="2"/>
          </w:tcPr>
          <w:p>
            <w:pPr>
              <w:jc w:val="right"/>
              <w:ind w:right="222"/>
              <w:spacing w:after="0" w:line="141" w:lineRule="exact"/>
              <w:rPr>
                <w:sz w:val="20"/>
                <w:szCs w:val="20"/>
                <w:color w:val="auto"/>
              </w:rPr>
            </w:pPr>
            <w:r>
              <w:rPr>
                <w:rFonts w:ascii="Arial" w:cs="Arial" w:eastAsia="Arial" w:hAnsi="Arial"/>
                <w:sz w:val="14"/>
                <w:szCs w:val="14"/>
                <w:b w:val="1"/>
                <w:bCs w:val="1"/>
                <w:color w:val="auto"/>
                <w:w w:val="97"/>
              </w:rPr>
              <w:t>Accumulated</w:t>
            </w:r>
          </w:p>
        </w:tc>
        <w:tc>
          <w:tcPr>
            <w:tcW w:w="1040" w:type="dxa"/>
            <w:vAlign w:val="bottom"/>
            <w:gridSpan w:val="2"/>
          </w:tcPr>
          <w:p>
            <w:pPr>
              <w:jc w:val="right"/>
              <w:ind w:right="62"/>
              <w:spacing w:after="0" w:line="141"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1"/>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Opening balance - October 1, 2017</w:t>
            </w:r>
          </w:p>
        </w:tc>
        <w:tc>
          <w:tcPr>
            <w:tcW w:w="680" w:type="dxa"/>
            <w:vAlign w:val="bottom"/>
            <w:tcBorders>
              <w:top w:val="single" w:sz="8" w:color="auto"/>
            </w:tcBorders>
            <w:gridSpan w:val="3"/>
          </w:tcPr>
          <w:p>
            <w:pPr>
              <w:ind w:left="80"/>
              <w:spacing w:after="0" w:line="141"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60"/>
              <w:spacing w:after="0" w:line="141" w:lineRule="exact"/>
              <w:rPr>
                <w:sz w:val="20"/>
                <w:szCs w:val="20"/>
                <w:color w:val="auto"/>
              </w:rPr>
            </w:pPr>
            <w:r>
              <w:rPr>
                <w:rFonts w:ascii="Arial" w:cs="Arial" w:eastAsia="Arial" w:hAnsi="Arial"/>
                <w:sz w:val="14"/>
                <w:szCs w:val="14"/>
                <w:b w:val="1"/>
                <w:bCs w:val="1"/>
                <w:color w:val="auto"/>
              </w:rPr>
              <w:t>Shares</w:t>
            </w:r>
          </w:p>
        </w:tc>
        <w:tc>
          <w:tcPr>
            <w:tcW w:w="3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1"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8"/>
              </w:rPr>
              <w:t>in Capital</w:t>
            </w:r>
          </w:p>
        </w:tc>
        <w:tc>
          <w:tcPr>
            <w:tcW w:w="80" w:type="dxa"/>
            <w:vAlign w:val="bottom"/>
          </w:tcPr>
          <w:p>
            <w:pPr>
              <w:spacing w:after="0"/>
              <w:rPr>
                <w:sz w:val="12"/>
                <w:szCs w:val="12"/>
                <w:color w:val="auto"/>
              </w:rPr>
            </w:pPr>
          </w:p>
        </w:tc>
        <w:tc>
          <w:tcPr>
            <w:tcW w:w="1180" w:type="dxa"/>
            <w:vAlign w:val="bottom"/>
            <w:gridSpan w:val="2"/>
          </w:tcPr>
          <w:p>
            <w:pPr>
              <w:jc w:val="right"/>
              <w:ind w:right="422"/>
              <w:spacing w:after="0" w:line="141" w:lineRule="exact"/>
              <w:rPr>
                <w:sz w:val="20"/>
                <w:szCs w:val="20"/>
                <w:color w:val="auto"/>
              </w:rPr>
            </w:pPr>
            <w:r>
              <w:rPr>
                <w:rFonts w:ascii="Arial" w:cs="Arial" w:eastAsia="Arial" w:hAnsi="Arial"/>
                <w:sz w:val="14"/>
                <w:szCs w:val="14"/>
                <w:b w:val="1"/>
                <w:bCs w:val="1"/>
                <w:color w:val="auto"/>
              </w:rPr>
              <w:t>Deficit</w:t>
            </w:r>
          </w:p>
        </w:tc>
        <w:tc>
          <w:tcPr>
            <w:tcW w:w="1040" w:type="dxa"/>
            <w:vAlign w:val="bottom"/>
            <w:gridSpan w:val="2"/>
          </w:tcPr>
          <w:p>
            <w:pPr>
              <w:jc w:val="right"/>
              <w:ind w:right="282"/>
              <w:spacing w:after="0" w:line="141"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0"/>
        </w:trPr>
        <w:tc>
          <w:tcPr>
            <w:tcW w:w="3960" w:type="dxa"/>
            <w:vAlign w:val="bottom"/>
            <w:vMerge w:val="continue"/>
          </w:tcPr>
          <w:p>
            <w:pPr>
              <w:spacing w:after="0"/>
              <w:rPr>
                <w:sz w:val="19"/>
                <w:szCs w:val="19"/>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19,793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6"/>
              </w:rPr>
              <w:t>198</w:t>
            </w:r>
          </w:p>
        </w:tc>
        <w:tc>
          <w:tcPr>
            <w:tcW w:w="160" w:type="dxa"/>
            <w:vAlign w:val="bottom"/>
          </w:tcPr>
          <w:p>
            <w:pPr>
              <w:spacing w:after="0"/>
              <w:rPr>
                <w:sz w:val="19"/>
                <w:szCs w:val="19"/>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37,046</w:t>
            </w:r>
          </w:p>
        </w:tc>
        <w:tc>
          <w:tcPr>
            <w:tcW w:w="160" w:type="dxa"/>
            <w:vAlign w:val="bottom"/>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79"/>
              </w:rPr>
              <w:t>370</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479,158</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21,201,367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(39,132,899)</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(17,926,172)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3960" w:type="dxa"/>
            <w:vAlign w:val="bottom"/>
          </w:tcPr>
          <w:p>
            <w:pPr>
              <w:spacing w:after="0"/>
              <w:rPr>
                <w:sz w:val="20"/>
                <w:szCs w:val="20"/>
                <w:color w:val="auto"/>
              </w:rPr>
            </w:pPr>
            <w:r>
              <w:rPr>
                <w:rFonts w:ascii="Arial" w:cs="Arial" w:eastAsia="Arial" w:hAnsi="Arial"/>
                <w:sz w:val="18"/>
                <w:szCs w:val="18"/>
                <w:color w:val="auto"/>
                <w:w w:val="96"/>
              </w:rPr>
              <w:t>Issuance of preferred stock - Series B, net of equity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960" w:type="dxa"/>
            <w:vAlign w:val="bottom"/>
          </w:tcPr>
          <w:p>
            <w:pPr>
              <w:ind w:left="180"/>
              <w:spacing w:after="0"/>
              <w:rPr>
                <w:sz w:val="20"/>
                <w:szCs w:val="20"/>
                <w:color w:val="auto"/>
              </w:rPr>
            </w:pPr>
            <w:r>
              <w:rPr>
                <w:rFonts w:ascii="Arial" w:cs="Arial" w:eastAsia="Arial" w:hAnsi="Arial"/>
                <w:sz w:val="18"/>
                <w:szCs w:val="18"/>
                <w:color w:val="auto"/>
              </w:rPr>
              <w:t>issuance costs of approximately $75,000</w:t>
            </w:r>
          </w:p>
        </w:tc>
        <w:tc>
          <w:tcPr>
            <w:tcW w:w="6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356,082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3,561</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10,601,424</w:t>
            </w:r>
          </w:p>
        </w:tc>
        <w:tc>
          <w:tcPr>
            <w:tcW w:w="80" w:type="dxa"/>
            <w:vAlign w:val="bottom"/>
          </w:tcPr>
          <w:p>
            <w:pPr>
              <w:spacing w:after="0"/>
              <w:rPr>
                <w:sz w:val="19"/>
                <w:szCs w:val="19"/>
                <w:color w:val="auto"/>
              </w:rPr>
            </w:pPr>
          </w:p>
        </w:tc>
        <w:tc>
          <w:tcPr>
            <w:tcW w:w="118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10,604,985</w:t>
            </w:r>
          </w:p>
        </w:tc>
        <w:tc>
          <w:tcPr>
            <w:tcW w:w="0" w:type="dxa"/>
            <w:vAlign w:val="bottom"/>
          </w:tcPr>
          <w:p>
            <w:pPr>
              <w:spacing w:after="0"/>
              <w:rPr>
                <w:sz w:val="1"/>
                <w:szCs w:val="1"/>
                <w:color w:val="auto"/>
              </w:rPr>
            </w:pPr>
          </w:p>
        </w:tc>
      </w:tr>
      <w:tr>
        <w:trPr>
          <w:trHeight w:val="321"/>
        </w:trPr>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2"/>
              <w:spacing w:after="0"/>
              <w:rPr>
                <w:sz w:val="20"/>
                <w:szCs w:val="20"/>
                <w:color w:val="auto"/>
              </w:rPr>
            </w:pPr>
            <w:r>
              <w:rPr>
                <w:rFonts w:ascii="Arial" w:cs="Arial" w:eastAsia="Arial" w:hAnsi="Arial"/>
                <w:sz w:val="18"/>
                <w:szCs w:val="18"/>
                <w:color w:val="auto"/>
              </w:rPr>
              <w:t>(9,254,736)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(9,254,736)</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b w:val="1"/>
                <w:bCs w:val="1"/>
                <w:color w:val="auto"/>
              </w:rPr>
              <w:t>Closing balance - September 30, 2018</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3"/>
              </w:rPr>
              <w:t>19,793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198</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3"/>
              </w:rPr>
              <w:t>37,046</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370</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835,240</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8,353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31,802,791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(48,387,635</w:t>
            </w:r>
          </w:p>
        </w:tc>
        <w:tc>
          <w:tcPr>
            <w:tcW w:w="220" w:type="dxa"/>
            <w:vAlign w:val="bottom"/>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(16,575,923</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640" w:type="dxa"/>
            <w:vAlign w:val="bottom"/>
            <w:gridSpan w:val="4"/>
          </w:tcPr>
          <w:p>
            <w:pPr>
              <w:spacing w:after="0"/>
              <w:rPr>
                <w:sz w:val="20"/>
                <w:szCs w:val="20"/>
                <w:color w:val="auto"/>
              </w:rPr>
            </w:pPr>
            <w:r>
              <w:rPr>
                <w:rFonts w:ascii="Arial" w:cs="Arial" w:eastAsia="Arial" w:hAnsi="Arial"/>
                <w:sz w:val="18"/>
                <w:szCs w:val="18"/>
                <w:i w:val="1"/>
                <w:iCs w:val="1"/>
                <w:color w:val="auto"/>
                <w:w w:val="88"/>
              </w:rPr>
              <w:t>See accompanying notes to the consolidated financial statements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2240" w:h="15840" w:orient="portrait"/>
          <w:cols w:equalWidth="0" w:num="1">
            <w:col w:w="11160"/>
          </w:cols>
          <w:pgMar w:left="520" w:top="128" w:right="560"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September 30, 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loss</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 and amortization</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Deferred rent</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of debt issuance costs</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of original debt discount</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Interest paid in kind</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(Increase) decrease in:</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Accounts receivable</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Prepaid expenses and other current assets</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Increase in:</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Accounts payable</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Accrued expenses</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Net cash used in operating activities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Payments for purchases of signs and equipment</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Net cash used in investing activities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Proceeds from note payable</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Repayment on note payable</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Repayment on related party notes payable</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Proceeds from issuance of preferred stock</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Net cash provided by financing activities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Cash at beginning of year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at end of year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paid:</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4" w:lineRule="exact"/>
        <w:rPr>
          <w:sz w:val="20"/>
          <w:szCs w:val="20"/>
          <w:color w:val="auto"/>
        </w:rPr>
      </w:pPr>
    </w:p>
    <w:p>
      <w:pPr>
        <w:ind w:right="3160" w:firstLine="357"/>
        <w:spacing w:after="0" w:line="427" w:lineRule="auto"/>
        <w:rPr>
          <w:sz w:val="20"/>
          <w:szCs w:val="20"/>
          <w:color w:val="auto"/>
        </w:rPr>
      </w:pPr>
      <w:r>
        <w:rPr>
          <w:rFonts w:ascii="Arial" w:cs="Arial" w:eastAsia="Arial" w:hAnsi="Arial"/>
          <w:sz w:val="18"/>
          <w:szCs w:val="18"/>
          <w:color w:val="auto"/>
        </w:rPr>
        <w:t xml:space="preserve">Mutual release of outstanding payable balance for purchase of signs and equipment </w:t>
      </w:r>
      <w:r>
        <w:rPr>
          <w:rFonts w:ascii="Arial" w:cs="Arial" w:eastAsia="Arial" w:hAnsi="Arial"/>
          <w:sz w:val="18"/>
          <w:szCs w:val="18"/>
          <w:i w:val="1"/>
          <w:iCs w:val="1"/>
          <w:color w:val="auto"/>
        </w:rPr>
        <w:t>See accompanying notes to the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(9,254,736)</w:t>
      </w:r>
    </w:p>
    <w:p>
      <w:pPr>
        <w:spacing w:after="0" w:line="244"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4,082,336</w:t>
      </w:r>
    </w:p>
    <w:p>
      <w:pPr>
        <w:spacing w:after="0" w:line="24"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23,000</w:t>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551,773</w:t>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541,731</w:t>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2,822,470</w:t>
      </w:r>
    </w:p>
    <w:p>
      <w:pPr>
        <w:spacing w:after="0" w:line="20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(236,715)</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(51,044)</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25,002</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169,335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95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959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u w:val="single" w:color="auto"/>
          <w:color w:val="auto"/>
        </w:rPr>
        <w:t>(1,326,848</w:t>
      </w:r>
      <w:r>
        <w:rPr>
          <w:rFonts w:ascii="Arial" w:cs="Arial" w:eastAsia="Arial" w:hAnsi="Arial"/>
          <w:sz w:val="16"/>
          <w:szCs w:val="16"/>
          <w:b w:val="1"/>
          <w:bCs w:val="1"/>
          <w:color w:val="auto"/>
        </w:rPr>
        <w:t>)</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(65,838)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5695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69595" cy="8255"/>
                    </a:xfrm>
                    <a:prstGeom prst="rect">
                      <a:avLst/>
                    </a:prstGeom>
                    <a:noFill/>
                  </pic:spPr>
                </pic:pic>
              </a:graphicData>
            </a:graphic>
          </wp:anchor>
        </w:drawing>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(65,838)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56959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69595" cy="8255"/>
                    </a:xfrm>
                    <a:prstGeom prst="rect">
                      <a:avLst/>
                    </a:prstGeom>
                    <a:noFill/>
                  </pic:spPr>
                </pic:pic>
              </a:graphicData>
            </a:graphic>
          </wp:anchor>
        </w:drawing>
      </w:r>
    </w:p>
    <w:p>
      <w:pPr>
        <w:spacing w:after="0" w:line="251"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182,352</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(183,950)</w:t>
      </w:r>
    </w:p>
    <w:p>
      <w:pPr>
        <w:spacing w:after="0" w:line="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(8,970,000)</w:t>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7"/>
          <w:szCs w:val="17"/>
          <w:b w:val="1"/>
          <w:bCs w:val="1"/>
          <w:u w:val="single" w:color="auto"/>
          <w:color w:val="auto"/>
        </w:rPr>
        <w:t>10,604,985</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1,633,387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5695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9595" cy="8255"/>
                    </a:xfrm>
                    <a:prstGeom prst="rect">
                      <a:avLst/>
                    </a:prstGeom>
                    <a:noFill/>
                  </pic:spPr>
                </pic:pic>
              </a:graphicData>
            </a:graphic>
          </wp:anchor>
        </w:drawing>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240,701</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140,572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95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69595" cy="8255"/>
                    </a:xfrm>
                    <a:prstGeom prst="rect">
                      <a:avLst/>
                    </a:prstGeom>
                    <a:noFill/>
                  </pic:spPr>
                </pic:pic>
              </a:graphicData>
            </a:graphic>
          </wp:anchor>
        </w:drawing>
      </w:r>
    </w:p>
    <w:p>
      <w:pPr>
        <w:ind w:left="320" w:hanging="316"/>
        <w:spacing w:after="0"/>
        <w:tabs>
          <w:tab w:leader="none" w:pos="320" w:val="left"/>
        </w:tabs>
        <w:numPr>
          <w:ilvl w:val="0"/>
          <w:numId w:val="14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381,273</w:t>
      </w:r>
    </w:p>
    <w:p>
      <w:pPr>
        <w:spacing w:after="0" w:line="274" w:lineRule="exact"/>
        <w:rPr>
          <w:rFonts w:ascii="Arial" w:cs="Arial" w:eastAsia="Arial" w:hAnsi="Arial"/>
          <w:sz w:val="18"/>
          <w:szCs w:val="18"/>
          <w:b w:val="1"/>
          <w:bCs w:val="1"/>
          <w:u w:val="single" w:color="auto"/>
          <w:color w:val="auto"/>
        </w:rPr>
      </w:pPr>
    </w:p>
    <w:p>
      <w:pPr>
        <w:ind w:left="500" w:hanging="496"/>
        <w:spacing w:after="0"/>
        <w:tabs>
          <w:tab w:leader="none" w:pos="5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5,579</w:t>
      </w:r>
    </w:p>
    <w:p>
      <w:pPr>
        <w:spacing w:after="0" w:line="328" w:lineRule="exact"/>
        <w:rPr>
          <w:rFonts w:ascii="Arial" w:cs="Arial" w:eastAsia="Arial" w:hAnsi="Arial"/>
          <w:sz w:val="18"/>
          <w:szCs w:val="18"/>
          <w:b w:val="1"/>
          <w:bCs w:val="1"/>
          <w:color w:val="auto"/>
        </w:rPr>
      </w:pPr>
    </w:p>
    <w:p>
      <w:pPr>
        <w:ind w:left="320" w:hanging="316"/>
        <w:spacing w:after="0"/>
        <w:tabs>
          <w:tab w:leader="none" w:pos="3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190,928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-612140</wp:posOffset>
            </wp:positionV>
            <wp:extent cx="5695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9595" cy="8255"/>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2240" w:h="15840" w:orient="portrait"/>
          <w:cols w:equalWidth="0" w:num="2">
            <w:col w:w="9460" w:space="720"/>
            <w:col w:w="980"/>
          </w:cols>
          <w:pgMar w:left="520" w:top="129" w:right="560"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A - O</w:t>
      </w:r>
      <w:r>
        <w:rPr>
          <w:rFonts w:ascii="Arial" w:cs="Arial" w:eastAsia="Arial" w:hAnsi="Arial"/>
          <w:sz w:val="14"/>
          <w:szCs w:val="14"/>
          <w:b w:val="1"/>
          <w:bCs w:val="1"/>
          <w:color w:val="auto"/>
        </w:rPr>
        <w:t>RGANIZATION AND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ATURE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IQUIDITY</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Superior Digital Displays Holdings, Inc. (“Holdings”) and its wholly-owned subsidiaries, Superior Digital Displays, LLC (“SDD”) and Sign 5, LLC (“Sign 5”) (collectively, referred to as the “Company”) are focused on developing the outdoor advertising business primarily through operating outdoor digital billboard advertising displays.</w:t>
      </w:r>
    </w:p>
    <w:p>
      <w:pPr>
        <w:spacing w:after="0" w:line="186"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auto"/>
        </w:rPr>
        <w:t>Holdings was incorporated on November 25, 2013 in the state of Delaware. SDD, a limited liability company, was formed in the state of Florida on September 3, 2009. Sign 5, a limited liability company and wholly-owned subsidiary of SDD, was formed in the state of Delaware on September 21, 2012.</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December 30, 2013, the Company entered into a Stockholders’ Agreement with both existing shareholders and new shareholders, as well as a debt financing agreement (see Note D) with one of the new shareholders. In connection therewith, a) the members of SDD exchanged their ownership interests in SDD for 4,950 shares of common stock of Holdings, b) a new shareholder, in exchange for $2,211,000, was issued 4,950 shares in Holdings of which 200 shares were transferred to another entity, and c) Holdings issued 100 shares of common stock to an entity in exchange for financial advisory services. At December 31, 2013, the majority of the Board of Directors of Holdings represented parties that were investors in SDD and Sign 5. Certain decisions require the consent of the shareholder providing the debt financing. As such, although the former owners of SDD were issued 49.5% of Holdings’ common stock, control was not deemed to have changed at the time of formation based on the composition of the Board and the governance structure. Accordingly, the formation of Holdings was treated as a reorganization of SDD, with the investment of the shareholder providing the debt financing being treated as an equity contribution and no change to the carrying value of the assets and liabilities of SDD and Sign 5.</w:t>
      </w:r>
    </w:p>
    <w:p>
      <w:pPr>
        <w:spacing w:after="0" w:line="168"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Through December 31, 2013, the Company had been primarily focused on securing a financing agreement and developing its first digital display, Sign 5 located at 3 Times Square, New York, NY, which entered into startup mode in December 2013. During the year ended December 31, 2014, the Company placed an additional 3 signs, known as the Triple Play and located at 729 Seventh Avenue, New York, NY into operation. During the year ended December 31, 2015, the Company installed 4 additional signs. Three signs, located on 3 Times Square facing west on 42nd Street are known as the Waterfall. The fourth sign, constructed above Sign 5, and in combination with Sign 5, is known as the Crossroads of the World. The construction of the aforementioned signs, which was finalized during May 2016, marks the completion of the initial build out of SDD’s Times Square network.</w:t>
      </w:r>
    </w:p>
    <w:p>
      <w:pPr>
        <w:spacing w:after="0" w:line="16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For the year ended September 30, 2018, the Company has net operating losses of approximately $9,255,000 and cash flow deficiencies from operating activities of approximately $1,327,000. Until such time the Company achieves positive cash flows, the Company will be dependent upon its majority stockholder for financial support. The majority stockholder has agreed to provide required financial support through at least December 31, 2019. Refer to Note D and G for additional information regarding the Company’s liquidity and financing arrangements with the majority stockholder.</w:t>
      </w:r>
    </w:p>
    <w:p>
      <w:pPr>
        <w:spacing w:after="0" w:line="16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During the year ended September 30, 2018, the Company changed its fiscal year end from December 31 to September 30. The accompanying consolidated financial statements represent 12 months of activity through September 30,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4"/>
          <w:szCs w:val="14"/>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w:t>
      </w:r>
    </w:p>
    <w:p>
      <w:pPr>
        <w:spacing w:after="0" w:line="128" w:lineRule="exact"/>
        <w:rPr>
          <w:sz w:val="20"/>
          <w:szCs w:val="20"/>
          <w:color w:val="auto"/>
        </w:rPr>
      </w:pPr>
    </w:p>
    <w:p>
      <w:pPr>
        <w:ind w:left="440" w:hanging="440"/>
        <w:spacing w:after="0"/>
        <w:tabs>
          <w:tab w:leader="none" w:pos="4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18" w:lineRule="exact"/>
        <w:rPr>
          <w:rFonts w:ascii="Arial" w:cs="Arial" w:eastAsia="Arial" w:hAnsi="Arial"/>
          <w:sz w:val="18"/>
          <w:szCs w:val="18"/>
          <w:b w:val="1"/>
          <w:bCs w:val="1"/>
          <w:color w:val="auto"/>
        </w:rPr>
      </w:pPr>
    </w:p>
    <w:p>
      <w:pPr>
        <w:ind w:left="440" w:right="220"/>
        <w:spacing w:after="0" w:line="301" w:lineRule="auto"/>
        <w:rPr>
          <w:rFonts w:ascii="Arial" w:cs="Arial" w:eastAsia="Arial" w:hAnsi="Arial"/>
          <w:sz w:val="18"/>
          <w:szCs w:val="18"/>
          <w:b w:val="1"/>
          <w:bCs w:val="1"/>
          <w:color w:val="auto"/>
        </w:rPr>
      </w:pPr>
      <w:r>
        <w:rPr>
          <w:rFonts w:ascii="Arial" w:cs="Arial" w:eastAsia="Arial" w:hAnsi="Arial"/>
          <w:sz w:val="17"/>
          <w:szCs w:val="17"/>
          <w:color w:val="auto"/>
        </w:rPr>
        <w:t>The accompanying consolidated financial statements include Superior Digital Displays Holdings, Inc., and its wholly-owned subsidiaries, Superior Digital Displays, LLC and Sign 5, LLC. All inter-company transactions and balances have been eliminated in consolidation.</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2240" w:h="15840" w:orient="portrait"/>
          <w:cols w:equalWidth="0" w:num="1">
            <w:col w:w="11160"/>
          </w:cols>
          <w:pgMar w:left="520" w:top="128" w:right="560"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4"/>
          <w:szCs w:val="14"/>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p>
      <w:pPr>
        <w:spacing w:after="0" w:line="128" w:lineRule="exact"/>
        <w:rPr>
          <w:sz w:val="20"/>
          <w:szCs w:val="20"/>
          <w:color w:val="auto"/>
        </w:rPr>
      </w:pPr>
    </w:p>
    <w:p>
      <w:pPr>
        <w:ind w:left="440" w:hanging="440"/>
        <w:spacing w:after="0"/>
        <w:tabs>
          <w:tab w:leader="none" w:pos="4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18" w:lineRule="exact"/>
        <w:rPr>
          <w:rFonts w:ascii="Arial" w:cs="Arial" w:eastAsia="Arial" w:hAnsi="Arial"/>
          <w:sz w:val="18"/>
          <w:szCs w:val="18"/>
          <w:b w:val="1"/>
          <w:bCs w:val="1"/>
          <w:color w:val="auto"/>
        </w:rPr>
      </w:pPr>
    </w:p>
    <w:p>
      <w:pPr>
        <w:jc w:val="both"/>
        <w:ind w:left="440" w:right="80"/>
        <w:spacing w:after="0" w:line="325" w:lineRule="auto"/>
        <w:rPr>
          <w:rFonts w:ascii="Arial" w:cs="Arial" w:eastAsia="Arial" w:hAnsi="Arial"/>
          <w:sz w:val="18"/>
          <w:szCs w:val="18"/>
          <w:b w:val="1"/>
          <w:bCs w:val="1"/>
          <w:color w:val="auto"/>
        </w:rPr>
      </w:pPr>
      <w:r>
        <w:rPr>
          <w:rFonts w:ascii="Arial" w:cs="Arial" w:eastAsia="Arial" w:hAnsi="Arial"/>
          <w:sz w:val="14"/>
          <w:szCs w:val="14"/>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Actual results could differ from these estimates.</w:t>
      </w:r>
    </w:p>
    <w:p>
      <w:pPr>
        <w:spacing w:after="0" w:line="351" w:lineRule="exact"/>
        <w:rPr>
          <w:rFonts w:ascii="Arial" w:cs="Arial" w:eastAsia="Arial" w:hAnsi="Arial"/>
          <w:sz w:val="18"/>
          <w:szCs w:val="18"/>
          <w:b w:val="1"/>
          <w:bCs w:val="1"/>
          <w:color w:val="auto"/>
        </w:rPr>
      </w:pPr>
    </w:p>
    <w:p>
      <w:pPr>
        <w:ind w:left="440" w:hanging="440"/>
        <w:spacing w:after="0"/>
        <w:tabs>
          <w:tab w:leader="none" w:pos="4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18"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recognizes outdoor advertising revenue on an accrual basis ratably over the term of the contracts.</w:t>
      </w:r>
    </w:p>
    <w:p>
      <w:pPr>
        <w:spacing w:after="0" w:line="364" w:lineRule="exact"/>
        <w:rPr>
          <w:rFonts w:ascii="Arial" w:cs="Arial" w:eastAsia="Arial" w:hAnsi="Arial"/>
          <w:sz w:val="18"/>
          <w:szCs w:val="18"/>
          <w:b w:val="1"/>
          <w:bCs w:val="1"/>
          <w:color w:val="auto"/>
        </w:rPr>
      </w:pPr>
    </w:p>
    <w:p>
      <w:pPr>
        <w:ind w:left="440" w:hanging="440"/>
        <w:spacing w:after="0"/>
        <w:tabs>
          <w:tab w:leader="none" w:pos="4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w:t>
      </w:r>
    </w:p>
    <w:p>
      <w:pPr>
        <w:spacing w:after="0" w:line="118" w:lineRule="exact"/>
        <w:rPr>
          <w:rFonts w:ascii="Arial" w:cs="Arial" w:eastAsia="Arial" w:hAnsi="Arial"/>
          <w:sz w:val="18"/>
          <w:szCs w:val="18"/>
          <w:b w:val="1"/>
          <w:bCs w:val="1"/>
          <w:color w:val="auto"/>
        </w:rPr>
      </w:pPr>
    </w:p>
    <w:p>
      <w:pPr>
        <w:ind w:left="44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at times, may maintain cash balances in bank accounts in excess of amounts insured by the Federal Deposit Insurance Corporation (“FDIC”). The Company has not experienced any losses in such accounts as of September 30, 2018, and does not anticipate incurring any such losses in the future.</w:t>
      </w:r>
    </w:p>
    <w:p>
      <w:pPr>
        <w:spacing w:after="0" w:line="329" w:lineRule="exact"/>
        <w:rPr>
          <w:rFonts w:ascii="Arial" w:cs="Arial" w:eastAsia="Arial" w:hAnsi="Arial"/>
          <w:sz w:val="18"/>
          <w:szCs w:val="18"/>
          <w:b w:val="1"/>
          <w:bCs w:val="1"/>
          <w:color w:val="auto"/>
        </w:rPr>
      </w:pPr>
    </w:p>
    <w:p>
      <w:pPr>
        <w:ind w:left="440" w:hanging="440"/>
        <w:spacing w:after="0"/>
        <w:tabs>
          <w:tab w:leader="none" w:pos="4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 for doubtful accounts:</w:t>
      </w:r>
    </w:p>
    <w:p>
      <w:pPr>
        <w:spacing w:after="0" w:line="118" w:lineRule="exact"/>
        <w:rPr>
          <w:rFonts w:ascii="Arial" w:cs="Arial" w:eastAsia="Arial" w:hAnsi="Arial"/>
          <w:sz w:val="18"/>
          <w:szCs w:val="18"/>
          <w:b w:val="1"/>
          <w:bCs w:val="1"/>
          <w:color w:val="auto"/>
        </w:rPr>
      </w:pPr>
    </w:p>
    <w:p>
      <w:pPr>
        <w:ind w:left="44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reported net of an allowance for doubtful accounts. The Company maintains an allowance for estimated losses resulting from the inability of customers to make required payments as deemed necessary. The collectability of outstanding customer invoices is continuously assessed. In estimating the allowance, the Company considers factors such as historical collections, a customer’s credit-worthiness, age of the receivable balance, both individually and in the aggregate, and general economic conditions that may affect a customer’s ability to pay. Actual customer collections could differ from those estimates, requiring additional adjustments to the allowance for doubtful accounts. There was an allowance for doubtful accounts recorded at September 30, 2018 of $8,932.</w:t>
      </w:r>
    </w:p>
    <w:p>
      <w:pPr>
        <w:spacing w:after="0" w:line="322" w:lineRule="exact"/>
        <w:rPr>
          <w:rFonts w:ascii="Arial" w:cs="Arial" w:eastAsia="Arial" w:hAnsi="Arial"/>
          <w:sz w:val="18"/>
          <w:szCs w:val="18"/>
          <w:b w:val="1"/>
          <w:bCs w:val="1"/>
          <w:color w:val="auto"/>
        </w:rPr>
      </w:pPr>
    </w:p>
    <w:p>
      <w:pPr>
        <w:ind w:left="440" w:hanging="440"/>
        <w:spacing w:after="0"/>
        <w:tabs>
          <w:tab w:leader="none" w:pos="4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Signs and equipment:</w:t>
      </w:r>
    </w:p>
    <w:p>
      <w:pPr>
        <w:spacing w:after="0" w:line="118" w:lineRule="exact"/>
        <w:rPr>
          <w:rFonts w:ascii="Arial" w:cs="Arial" w:eastAsia="Arial" w:hAnsi="Arial"/>
          <w:sz w:val="18"/>
          <w:szCs w:val="18"/>
          <w:b w:val="1"/>
          <w:bCs w:val="1"/>
          <w:color w:val="auto"/>
        </w:rPr>
      </w:pPr>
    </w:p>
    <w:p>
      <w:pPr>
        <w:ind w:left="44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Signs and equipment are stated at cost, less accumulated depreciation. Expenditures for major additions and betterments are capitalized. Maintenance and repairs are charged to operations as incurred. Upon sale or retirement of signs and equipment, the related cost and accumulated depreciation are removed from the accounts and any gain or loss is reflected in operations.</w:t>
      </w:r>
    </w:p>
    <w:p>
      <w:pPr>
        <w:spacing w:after="0" w:line="79" w:lineRule="exact"/>
        <w:rPr>
          <w:rFonts w:ascii="Arial" w:cs="Arial" w:eastAsia="Arial" w:hAnsi="Arial"/>
          <w:sz w:val="18"/>
          <w:szCs w:val="18"/>
          <w:b w:val="1"/>
          <w:bCs w:val="1"/>
          <w:color w:val="auto"/>
        </w:rPr>
      </w:pPr>
    </w:p>
    <w:p>
      <w:pPr>
        <w:ind w:left="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recoverability of the investment in long-lived assets on an ongoing basis and recognizes any impairment in the year of determination. Long-lived assets were tested for impairment as of September 30, 2018, and in the opinion of management there was no impairment. It is reasonably possible that relevant conditions could change in the near term and necessitate a change in management’s estimate of the recoverability of these assets.</w:t>
      </w:r>
    </w:p>
    <w:p>
      <w:pPr>
        <w:spacing w:after="0" w:line="83" w:lineRule="exact"/>
        <w:rPr>
          <w:rFonts w:ascii="Arial" w:cs="Arial" w:eastAsia="Arial" w:hAnsi="Arial"/>
          <w:sz w:val="18"/>
          <w:szCs w:val="18"/>
          <w:b w:val="1"/>
          <w:bCs w:val="1"/>
          <w:color w:val="auto"/>
        </w:rPr>
      </w:pPr>
    </w:p>
    <w:p>
      <w:pPr>
        <w:ind w:left="44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Signs and equipment are affixed to the building and become property of the lessor. Depreciation for signs and equipment is calculated using the straight-line method over the lesser of the estimated life of the asset or term of the lease. The Company estimates the signs’ depreciable lives to be 5 years.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2240" w:h="15840" w:orient="portrait"/>
          <w:cols w:equalWidth="0" w:num="1">
            <w:col w:w="11160"/>
          </w:cols>
          <w:pgMar w:left="520" w:top="129" w:right="560"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4"/>
          <w:szCs w:val="14"/>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p>
      <w:pPr>
        <w:spacing w:after="0" w:line="154" w:lineRule="exact"/>
        <w:rPr>
          <w:sz w:val="20"/>
          <w:szCs w:val="20"/>
          <w:color w:val="auto"/>
        </w:rPr>
      </w:pPr>
    </w:p>
    <w:p>
      <w:pPr>
        <w:ind w:left="440" w:hanging="440"/>
        <w:spacing w:after="0"/>
        <w:tabs>
          <w:tab w:leader="none" w:pos="4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18" w:lineRule="exact"/>
        <w:rPr>
          <w:rFonts w:ascii="Arial" w:cs="Arial" w:eastAsia="Arial" w:hAnsi="Arial"/>
          <w:sz w:val="18"/>
          <w:szCs w:val="18"/>
          <w:b w:val="1"/>
          <w:bCs w:val="1"/>
          <w:color w:val="auto"/>
        </w:rPr>
      </w:pPr>
    </w:p>
    <w:p>
      <w:pPr>
        <w:ind w:left="44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Company’s lease agreement, the Company entered into an escrow agreement for construction and installation related costs. The Company disbursed funds to an escrow account for future construction and installation payments. As of September 30, 2018, the landlord held $20,460 in escrow on behalf of the Company to be held and disbursed in accordance with the terms specified in the lease agreement. Funds held in escrow are disbursed upon receipt of a written request submitted by the Company and to be used for the purpose of paying vendors during the term of the escrow agreement. Upon completion of all construction, any unused funds will be returned to the Company upon satisfaction of all outstanding liabilities.</w:t>
      </w:r>
    </w:p>
    <w:p>
      <w:pPr>
        <w:spacing w:after="0" w:line="338" w:lineRule="exact"/>
        <w:rPr>
          <w:rFonts w:ascii="Arial" w:cs="Arial" w:eastAsia="Arial" w:hAnsi="Arial"/>
          <w:sz w:val="18"/>
          <w:szCs w:val="18"/>
          <w:b w:val="1"/>
          <w:bCs w:val="1"/>
          <w:color w:val="auto"/>
        </w:rPr>
      </w:pPr>
    </w:p>
    <w:p>
      <w:pPr>
        <w:ind w:left="440" w:hanging="440"/>
        <w:spacing w:after="0"/>
        <w:tabs>
          <w:tab w:leader="none" w:pos="4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Debt issuance costs and original issue discount:</w:t>
      </w:r>
    </w:p>
    <w:p>
      <w:pPr>
        <w:spacing w:after="0" w:line="118" w:lineRule="exact"/>
        <w:rPr>
          <w:rFonts w:ascii="Arial" w:cs="Arial" w:eastAsia="Arial" w:hAnsi="Arial"/>
          <w:sz w:val="18"/>
          <w:szCs w:val="18"/>
          <w:b w:val="1"/>
          <w:bCs w:val="1"/>
          <w:color w:val="auto"/>
        </w:rPr>
      </w:pPr>
    </w:p>
    <w:p>
      <w:pPr>
        <w:jc w:val="both"/>
        <w:ind w:left="440" w:right="160"/>
        <w:spacing w:after="0" w:line="282" w:lineRule="auto"/>
        <w:rPr>
          <w:rFonts w:ascii="Arial" w:cs="Arial" w:eastAsia="Arial" w:hAnsi="Arial"/>
          <w:sz w:val="18"/>
          <w:szCs w:val="18"/>
          <w:b w:val="1"/>
          <w:bCs w:val="1"/>
          <w:color w:val="auto"/>
        </w:rPr>
      </w:pPr>
      <w:r>
        <w:rPr>
          <w:rFonts w:ascii="Arial" w:cs="Arial" w:eastAsia="Arial" w:hAnsi="Arial"/>
          <w:sz w:val="17"/>
          <w:szCs w:val="17"/>
          <w:color w:val="auto"/>
        </w:rPr>
        <w:t>The costs associated with obtaining financing have been capitalized and are being amortized over the term of the financing agreement (see Note D) using the effective interest method. Should the maturity of the debt become accelerated then the unamortized costs will be written off. Amortization expense is included in the accompanying consolidated statement of operations as a component of interest expense.</w:t>
      </w:r>
    </w:p>
    <w:p>
      <w:pPr>
        <w:spacing w:after="0" w:line="60" w:lineRule="exact"/>
        <w:rPr>
          <w:rFonts w:ascii="Arial" w:cs="Arial" w:eastAsia="Arial" w:hAnsi="Arial"/>
          <w:sz w:val="18"/>
          <w:szCs w:val="18"/>
          <w:b w:val="1"/>
          <w:bCs w:val="1"/>
          <w:color w:val="auto"/>
        </w:rPr>
      </w:pPr>
    </w:p>
    <w:p>
      <w:pPr>
        <w:ind w:left="44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Effective January 1, 2014, the Company adopted Financial Accounting Standards Board (“FASB”) Accounting Standards Update (“ASU”) 2015-03, </w:t>
      </w:r>
      <w:r>
        <w:rPr>
          <w:rFonts w:ascii="Arial" w:cs="Arial" w:eastAsia="Arial" w:hAnsi="Arial"/>
          <w:sz w:val="18"/>
          <w:szCs w:val="18"/>
          <w:i w:val="1"/>
          <w:iCs w:val="1"/>
          <w:color w:val="auto"/>
        </w:rPr>
        <w:t xml:space="preserve">“Interest - Imputation of Interest (Subtopic 835-30): Simplifying the Presentation of Debt Issuance Costs” </w:t>
      </w:r>
      <w:r>
        <w:rPr>
          <w:rFonts w:ascii="Arial" w:cs="Arial" w:eastAsia="Arial" w:hAnsi="Arial"/>
          <w:sz w:val="18"/>
          <w:szCs w:val="18"/>
          <w:color w:val="auto"/>
        </w:rPr>
        <w:t>(“ASU 2015-03”) which requires that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related to a recognized debt liability be presented in the balance sheet as a direct deduction from the carrying amount of that debt liability, consistent with debt discounts.</w:t>
      </w:r>
    </w:p>
    <w:p>
      <w:pPr>
        <w:spacing w:after="0" w:line="83" w:lineRule="exact"/>
        <w:rPr>
          <w:rFonts w:ascii="Arial" w:cs="Arial" w:eastAsia="Arial" w:hAnsi="Arial"/>
          <w:sz w:val="18"/>
          <w:szCs w:val="18"/>
          <w:b w:val="1"/>
          <w:bCs w:val="1"/>
          <w:color w:val="auto"/>
        </w:rPr>
      </w:pPr>
    </w:p>
    <w:p>
      <w:pPr>
        <w:ind w:left="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original issue discount on the related party notes payable is being accreted to interest expense over the term of the loan using the effective interest method. The associated financing agreement was executed on December 30, 2013 and the accretion of the original issue discount commenced on December 31, 2013. At September 30, 2018, unamortized discount approximated $146,000. Subsequent to year end, the First Lien maturity date was extended to December 31, 2019.</w:t>
      </w:r>
    </w:p>
    <w:p>
      <w:pPr>
        <w:spacing w:after="0" w:line="83" w:lineRule="exact"/>
        <w:rPr>
          <w:rFonts w:ascii="Arial" w:cs="Arial" w:eastAsia="Arial" w:hAnsi="Arial"/>
          <w:sz w:val="18"/>
          <w:szCs w:val="18"/>
          <w:b w:val="1"/>
          <w:bCs w:val="1"/>
          <w:color w:val="auto"/>
        </w:rPr>
      </w:pPr>
    </w:p>
    <w:p>
      <w:pPr>
        <w:ind w:left="440" w:right="8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For the year ended September 30, 2018, amortization of debt issuance costs original issue discount approximated $552,000 and $542,000, respectively.</w:t>
      </w:r>
    </w:p>
    <w:p>
      <w:pPr>
        <w:spacing w:after="0" w:line="6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Future amortization of debt issuance costs and original issue discount approximates as follows:</w:t>
      </w:r>
    </w:p>
    <w:p>
      <w:pPr>
        <w:spacing w:after="0" w:line="235"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b w:val="1"/>
                <w:bCs w:val="1"/>
                <w:color w:val="auto"/>
                <w:w w:val="93"/>
              </w:rPr>
              <w:t>Years Ending</w:t>
            </w:r>
          </w:p>
        </w:tc>
        <w:tc>
          <w:tcPr>
            <w:tcW w:w="4940" w:type="dxa"/>
            <w:vAlign w:val="bottom"/>
          </w:tcPr>
          <w:p>
            <w:pPr>
              <w:spacing w:after="0"/>
              <w:rPr>
                <w:sz w:val="14"/>
                <w:szCs w:val="1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8"/>
              </w:rPr>
              <w:t>Debt Issuance</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Original Issue</w:t>
            </w:r>
          </w:p>
        </w:tc>
        <w:tc>
          <w:tcPr>
            <w:tcW w:w="280" w:type="dxa"/>
            <w:vAlign w:val="bottom"/>
          </w:tcPr>
          <w:p>
            <w:pPr>
              <w:spacing w:after="0"/>
              <w:rPr>
                <w:sz w:val="14"/>
                <w:szCs w:val="14"/>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September 30,</w:t>
            </w:r>
          </w:p>
        </w:tc>
        <w:tc>
          <w:tcPr>
            <w:tcW w:w="4940" w:type="dxa"/>
            <w:vAlign w:val="bottom"/>
          </w:tcPr>
          <w:p>
            <w:pPr>
              <w:spacing w:after="0"/>
              <w:rPr>
                <w:sz w:val="15"/>
                <w:szCs w:val="15"/>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Costs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Discount</w:t>
            </w:r>
          </w:p>
        </w:tc>
        <w:tc>
          <w:tcPr>
            <w:tcW w:w="2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line="187" w:lineRule="exact"/>
              <w:rPr>
                <w:sz w:val="20"/>
                <w:szCs w:val="20"/>
                <w:color w:val="auto"/>
              </w:rPr>
            </w:pPr>
            <w:r>
              <w:rPr>
                <w:rFonts w:ascii="Arial" w:cs="Arial" w:eastAsia="Arial" w:hAnsi="Arial"/>
                <w:sz w:val="18"/>
                <w:szCs w:val="18"/>
                <w:color w:val="auto"/>
              </w:rPr>
              <w:t>2019</w:t>
            </w:r>
          </w:p>
        </w:tc>
        <w:tc>
          <w:tcPr>
            <w:tcW w:w="4940" w:type="dxa"/>
            <w:vAlign w:val="bottom"/>
          </w:tcPr>
          <w:p>
            <w:pPr>
              <w:spacing w:after="0"/>
              <w:rPr>
                <w:sz w:val="16"/>
                <w:szCs w:val="16"/>
                <w:color w:val="auto"/>
              </w:rPr>
            </w:pPr>
          </w:p>
        </w:tc>
        <w:tc>
          <w:tcPr>
            <w:tcW w:w="8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w w:val="98"/>
              </w:rPr>
              <w:t>$  118,000</w:t>
            </w:r>
          </w:p>
        </w:tc>
        <w:tc>
          <w:tcPr>
            <w:tcW w:w="560" w:type="dxa"/>
            <w:vAlign w:val="bottom"/>
          </w:tcPr>
          <w:p>
            <w:pPr>
              <w:spacing w:after="0"/>
              <w:rPr>
                <w:sz w:val="16"/>
                <w:szCs w:val="16"/>
                <w:color w:val="auto"/>
              </w:rPr>
            </w:pPr>
          </w:p>
        </w:tc>
        <w:tc>
          <w:tcPr>
            <w:tcW w:w="8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w w:val="95"/>
              </w:rPr>
              <w:t>$   116,000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w w:val="87"/>
              </w:rPr>
              <w:t>$234,000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60" w:type="dxa"/>
            <w:vAlign w:val="bottom"/>
          </w:tcPr>
          <w:p>
            <w:pPr>
              <w:spacing w:after="0"/>
              <w:rPr>
                <w:sz w:val="20"/>
                <w:szCs w:val="20"/>
                <w:color w:val="auto"/>
              </w:rPr>
            </w:pPr>
            <w:r>
              <w:rPr>
                <w:rFonts w:ascii="Arial" w:cs="Arial" w:eastAsia="Arial" w:hAnsi="Arial"/>
                <w:sz w:val="18"/>
                <w:szCs w:val="18"/>
                <w:color w:val="auto"/>
              </w:rPr>
              <w:t>2020</w:t>
            </w:r>
          </w:p>
        </w:tc>
        <w:tc>
          <w:tcPr>
            <w:tcW w:w="6360" w:type="dxa"/>
            <w:vAlign w:val="bottom"/>
            <w:gridSpan w:val="3"/>
          </w:tcPr>
          <w:p>
            <w:pPr>
              <w:jc w:val="right"/>
              <w:ind w:right="560"/>
              <w:spacing w:after="0"/>
              <w:rPr>
                <w:sz w:val="20"/>
                <w:szCs w:val="20"/>
                <w:color w:val="auto"/>
              </w:rPr>
            </w:pPr>
            <w:r>
              <w:rPr>
                <w:rFonts w:ascii="Arial" w:cs="Arial" w:eastAsia="Arial" w:hAnsi="Arial"/>
                <w:sz w:val="18"/>
                <w:szCs w:val="18"/>
                <w:color w:val="auto"/>
              </w:rPr>
              <w:t>31,000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61,000</w:t>
            </w: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440" w:hanging="440"/>
        <w:spacing w:after="0"/>
        <w:tabs>
          <w:tab w:leader="none" w:pos="4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costs:</w:t>
      </w:r>
    </w:p>
    <w:p>
      <w:pPr>
        <w:spacing w:after="0" w:line="118" w:lineRule="exact"/>
        <w:rPr>
          <w:rFonts w:ascii="Arial" w:cs="Arial" w:eastAsia="Arial" w:hAnsi="Arial"/>
          <w:sz w:val="18"/>
          <w:szCs w:val="18"/>
          <w:b w:val="1"/>
          <w:bCs w:val="1"/>
          <w:color w:val="auto"/>
        </w:rPr>
      </w:pPr>
    </w:p>
    <w:p>
      <w:pPr>
        <w:ind w:left="4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costs associated with securing certain operating leases have been capitalized and are being amortized over the term of the lease on a straight-line basis. Depreciation and amortization expense is included in the accompanying consolidated statements of operations as a component of operating expenses.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2240" w:h="15840" w:orient="portrait"/>
          <w:cols w:equalWidth="0" w:num="1">
            <w:col w:w="11160"/>
          </w:cols>
          <w:pgMar w:left="520" w:top="128" w:right="560"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4"/>
                <w:szCs w:val="14"/>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[9]   Deferred costs: (continued)</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560" w:type="dxa"/>
            <w:vAlign w:val="bottom"/>
            <w:gridSpan w:val="3"/>
          </w:tcPr>
          <w:p>
            <w:pPr>
              <w:ind w:left="440"/>
              <w:spacing w:after="0"/>
              <w:rPr>
                <w:sz w:val="20"/>
                <w:szCs w:val="20"/>
                <w:color w:val="auto"/>
              </w:rPr>
            </w:pPr>
            <w:r>
              <w:rPr>
                <w:rFonts w:ascii="Arial" w:cs="Arial" w:eastAsia="Arial" w:hAnsi="Arial"/>
                <w:sz w:val="18"/>
                <w:szCs w:val="18"/>
                <w:color w:val="auto"/>
              </w:rPr>
              <w:t>Deferred costs are approximately as follows at September 30, 2018:</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80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Deferred costs</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$ 350,000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(261,000)</w:t>
            </w: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Deferred costs, net of accumulated amortization</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89,000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gridSpan w:val="3"/>
            <w:vMerge w:val="restart"/>
          </w:tcPr>
          <w:p>
            <w:pPr>
              <w:ind w:left="440"/>
              <w:spacing w:after="0"/>
              <w:rPr>
                <w:sz w:val="20"/>
                <w:szCs w:val="20"/>
                <w:color w:val="auto"/>
              </w:rPr>
            </w:pPr>
            <w:r>
              <w:rPr>
                <w:rFonts w:ascii="Arial" w:cs="Arial" w:eastAsia="Arial" w:hAnsi="Arial"/>
                <w:sz w:val="18"/>
                <w:szCs w:val="18"/>
                <w:color w:val="auto"/>
              </w:rPr>
              <w:t>Amortization expense for the year ended September 30, 2018 was $35,000.</w:t>
            </w: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856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560" w:type="dxa"/>
            <w:vAlign w:val="bottom"/>
            <w:gridSpan w:val="3"/>
          </w:tcPr>
          <w:p>
            <w:pPr>
              <w:ind w:left="440"/>
              <w:spacing w:after="0"/>
              <w:rPr>
                <w:sz w:val="20"/>
                <w:szCs w:val="20"/>
                <w:color w:val="auto"/>
              </w:rPr>
            </w:pPr>
            <w:r>
              <w:rPr>
                <w:rFonts w:ascii="Arial" w:cs="Arial" w:eastAsia="Arial" w:hAnsi="Arial"/>
                <w:sz w:val="18"/>
                <w:szCs w:val="18"/>
                <w:color w:val="auto"/>
              </w:rPr>
              <w:t>Future amortization expense for each of the years ending September 30 is approximately as follows: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80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Year Ending</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8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2019</w:t>
            </w:r>
          </w:p>
        </w:tc>
        <w:tc>
          <w:tcPr>
            <w:tcW w:w="59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660" w:type="dxa"/>
            <w:vAlign w:val="bottom"/>
            <w:gridSpan w:val="2"/>
          </w:tcPr>
          <w:p>
            <w:pPr>
              <w:ind w:left="1800"/>
              <w:spacing w:after="0"/>
              <w:rPr>
                <w:sz w:val="20"/>
                <w:szCs w:val="20"/>
                <w:color w:val="auto"/>
              </w:rPr>
            </w:pPr>
            <w:r>
              <w:rPr>
                <w:rFonts w:ascii="Arial" w:cs="Arial" w:eastAsia="Arial" w:hAnsi="Arial"/>
                <w:sz w:val="18"/>
                <w:szCs w:val="18"/>
                <w:color w:val="auto"/>
              </w:rPr>
              <w:t>2020</w:t>
            </w:r>
          </w:p>
        </w:tc>
        <w:tc>
          <w:tcPr>
            <w:tcW w:w="59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27"/>
        </w:trPr>
        <w:tc>
          <w:tcPr>
            <w:tcW w:w="2660" w:type="dxa"/>
            <w:vAlign w:val="bottom"/>
            <w:gridSpan w:val="2"/>
          </w:tcPr>
          <w:p>
            <w:pPr>
              <w:ind w:left="1800"/>
              <w:spacing w:after="0"/>
              <w:rPr>
                <w:sz w:val="20"/>
                <w:szCs w:val="20"/>
                <w:color w:val="auto"/>
              </w:rPr>
            </w:pPr>
            <w:r>
              <w:rPr>
                <w:rFonts w:ascii="Arial" w:cs="Arial" w:eastAsia="Arial" w:hAnsi="Arial"/>
                <w:sz w:val="18"/>
                <w:szCs w:val="18"/>
                <w:color w:val="auto"/>
              </w:rPr>
              <w:t>2021</w:t>
            </w:r>
          </w:p>
        </w:tc>
        <w:tc>
          <w:tcPr>
            <w:tcW w:w="59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440" w:hanging="440"/>
        <w:spacing w:after="0"/>
        <w:tabs>
          <w:tab w:leader="none" w:pos="4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rFonts w:ascii="Arial" w:cs="Arial" w:eastAsia="Arial" w:hAnsi="Arial"/>
          <w:sz w:val="18"/>
          <w:szCs w:val="18"/>
          <w:b w:val="1"/>
          <w:bCs w:val="1"/>
          <w:color w:val="auto"/>
        </w:rPr>
      </w:pPr>
    </w:p>
    <w:p>
      <w:pPr>
        <w:ind w:left="4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Prior to December 30, 2013, SDD and Sign 5 were limited liability companies that had elected to be taxed as partnerships for federal and state income tax purposes. All income or losses were included in the members’ tax returns. On December 30, 2013, members of SDD and Sign 5 transferred their membership interest in SDD and Sign 5 to Holdings in exchange for shares of the Holdings stock. SDD and Sign 5 effectively became single member LLCs and disregarded entities for income tax purposes. All income and losses incurred for the year ended September 30, 2018 were included in Holdings’ tax returns. Holdings is taxed as a C Corporation for federal and state income tax purposes.</w:t>
      </w:r>
    </w:p>
    <w:p>
      <w:pPr>
        <w:spacing w:after="0" w:line="69" w:lineRule="exact"/>
        <w:rPr>
          <w:rFonts w:ascii="Arial" w:cs="Arial" w:eastAsia="Arial" w:hAnsi="Arial"/>
          <w:sz w:val="18"/>
          <w:szCs w:val="18"/>
          <w:b w:val="1"/>
          <w:bCs w:val="1"/>
          <w:color w:val="auto"/>
        </w:rPr>
      </w:pPr>
    </w:p>
    <w:p>
      <w:pPr>
        <w:ind w:left="440" w:right="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applies the elements of FASB ASC 740-10 </w:t>
      </w:r>
      <w:r>
        <w:rPr>
          <w:rFonts w:ascii="Arial" w:cs="Arial" w:eastAsia="Arial" w:hAnsi="Arial"/>
          <w:sz w:val="17"/>
          <w:szCs w:val="17"/>
          <w:i w:val="1"/>
          <w:iCs w:val="1"/>
          <w:color w:val="auto"/>
        </w:rPr>
        <w:t>“Income Taxes – Overall”</w:t>
      </w:r>
      <w:r>
        <w:rPr>
          <w:rFonts w:ascii="Arial" w:cs="Arial" w:eastAsia="Arial" w:hAnsi="Arial"/>
          <w:sz w:val="17"/>
          <w:szCs w:val="17"/>
          <w:color w:val="auto"/>
        </w:rPr>
        <w:t xml:space="preserve"> regarding accounting for uncertainty in income taxes. This clarifies the accounting for uncertainty in income taxes recognized in financial statements and required impact of a tax position to be recognized in the financial statements if that position is more likely than not of being sustained by the taxing authority. As of December 31, 2015 the company did not have any unrecognized tax benefits and has not accrued any interest or penalties through 2015. The Company does not expect to have any unrecognized tax benefits within the next twelve months. The Company’s policy is to recognize interest and penalties related to tax matters within the income tax provision. The Company was organized 2013 and began operations in 2014. Tax years beginning in 2013 are generally subject to examination by taxing authorities, although net operating losses from all years are subject to examinations and adjustments for at least three years following the year in which the attributes are used.</w:t>
      </w:r>
    </w:p>
    <w:p>
      <w:pPr>
        <w:spacing w:after="0" w:line="324" w:lineRule="exact"/>
        <w:rPr>
          <w:rFonts w:ascii="Arial" w:cs="Arial" w:eastAsia="Arial" w:hAnsi="Arial"/>
          <w:sz w:val="18"/>
          <w:szCs w:val="18"/>
          <w:b w:val="1"/>
          <w:bCs w:val="1"/>
          <w:color w:val="auto"/>
        </w:rPr>
      </w:pPr>
    </w:p>
    <w:p>
      <w:pPr>
        <w:ind w:left="440" w:hanging="440"/>
        <w:spacing w:after="0"/>
        <w:tabs>
          <w:tab w:leader="none" w:pos="4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8" w:lineRule="exact"/>
        <w:rPr>
          <w:rFonts w:ascii="Arial" w:cs="Arial" w:eastAsia="Arial" w:hAnsi="Arial"/>
          <w:sz w:val="18"/>
          <w:szCs w:val="18"/>
          <w:b w:val="1"/>
          <w:bCs w:val="1"/>
          <w:color w:val="auto"/>
        </w:rPr>
      </w:pPr>
    </w:p>
    <w:p>
      <w:pPr>
        <w:ind w:left="440" w:right="6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events subsequent to September 30, 2018 through November 13, 2018, the date that these consolidated financial statements were available to be issued.</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2240" w:h="15840" w:orient="portrait"/>
          <w:cols w:equalWidth="0" w:num="1">
            <w:col w:w="11160"/>
          </w:cols>
          <w:pgMar w:left="520" w:top="128" w:right="560"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4"/>
          <w:szCs w:val="14"/>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p>
      <w:pPr>
        <w:spacing w:after="0" w:line="154" w:lineRule="exact"/>
        <w:rPr>
          <w:sz w:val="20"/>
          <w:szCs w:val="20"/>
          <w:color w:val="auto"/>
        </w:rPr>
      </w:pPr>
    </w:p>
    <w:p>
      <w:pPr>
        <w:ind w:left="440" w:hanging="440"/>
        <w:spacing w:after="0"/>
        <w:tabs>
          <w:tab w:leader="none" w:pos="4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18" w:lineRule="exact"/>
        <w:rPr>
          <w:rFonts w:ascii="Arial" w:cs="Arial" w:eastAsia="Arial" w:hAnsi="Arial"/>
          <w:sz w:val="18"/>
          <w:szCs w:val="18"/>
          <w:b w:val="1"/>
          <w:bCs w:val="1"/>
          <w:color w:val="auto"/>
        </w:rPr>
      </w:pPr>
    </w:p>
    <w:p>
      <w:pPr>
        <w:ind w:left="44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 xml:space="preserve">In May 2014, the Financial Accounting Standards Board (“FASB”) issued Accounting Standards Codification (“ASC”)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which requires that an entity recognize the amount of revenue to which it expects to be entitled for the transfer of</w:t>
      </w:r>
      <w:r>
        <w:rPr>
          <w:rFonts w:ascii="Arial" w:cs="Arial" w:eastAsia="Arial" w:hAnsi="Arial"/>
          <w:sz w:val="17"/>
          <w:szCs w:val="17"/>
          <w:i w:val="1"/>
          <w:iCs w:val="1"/>
          <w:color w:val="auto"/>
        </w:rPr>
        <w:t xml:space="preserve"> </w:t>
      </w:r>
      <w:r>
        <w:rPr>
          <w:rFonts w:ascii="Arial" w:cs="Arial" w:eastAsia="Arial" w:hAnsi="Arial"/>
          <w:sz w:val="17"/>
          <w:szCs w:val="17"/>
          <w:color w:val="auto"/>
        </w:rPr>
        <w:t>promised goods or services to its customers. In order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will replace existing revenue recognition guidance under U.S. GAAP when it becomes effective for annual reporting periods beginning after December 15, 2018, with early adoption permitted as of the original effective date. The updated standard will permit the use of either the retrospective or cumulative effect transition method. The Company is currently evaluating the impact of this update on its consolidated financial statements, which will be effective for the Company for the fiscal year commencing on December 30, 2018.</w:t>
      </w:r>
    </w:p>
    <w:p>
      <w:pPr>
        <w:spacing w:after="0" w:line="76" w:lineRule="exact"/>
        <w:rPr>
          <w:rFonts w:ascii="Arial" w:cs="Arial" w:eastAsia="Arial" w:hAnsi="Arial"/>
          <w:sz w:val="18"/>
          <w:szCs w:val="18"/>
          <w:b w:val="1"/>
          <w:bCs w:val="1"/>
          <w:color w:val="auto"/>
        </w:rPr>
      </w:pPr>
    </w:p>
    <w:p>
      <w:pPr>
        <w:ind w:left="4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January of 2016, the FASB issued ASU No. 2016-01, </w:t>
      </w:r>
      <w:r>
        <w:rPr>
          <w:rFonts w:ascii="Arial" w:cs="Arial" w:eastAsia="Arial" w:hAnsi="Arial"/>
          <w:sz w:val="17"/>
          <w:szCs w:val="17"/>
          <w:i w:val="1"/>
          <w:iCs w:val="1"/>
          <w:color w:val="auto"/>
        </w:rPr>
        <w:t>“Financial Instruments - 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ASU 2016-01 generally requires companies to measure investments in equity securities, except those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equity method, at fair value and recognize any changes in fair value in net income. The new guidance must be applied using a modified-retrospective approach and is effective for periods beginning after December 15, 2018 and early adoption is not permitted. The Company is currently evaluating the impact on the consolidated financial statements.</w:t>
      </w:r>
    </w:p>
    <w:p>
      <w:pPr>
        <w:spacing w:after="0" w:line="69" w:lineRule="exact"/>
        <w:rPr>
          <w:rFonts w:ascii="Arial" w:cs="Arial" w:eastAsia="Arial" w:hAnsi="Arial"/>
          <w:sz w:val="18"/>
          <w:szCs w:val="18"/>
          <w:b w:val="1"/>
          <w:bCs w:val="1"/>
          <w:color w:val="auto"/>
        </w:rPr>
      </w:pPr>
    </w:p>
    <w:p>
      <w:pPr>
        <w:ind w:left="440" w:right="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 xml:space="preserve">In February of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Under ASU 2016-02, an entity will be required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For private companies, ASU 2016-02 is effective for annual reporting periods beginning after December 15, 2019, and interim periods within fiscal years beginning after December 15, 2020. Early adoption is permitted. The Company is in the process of evaluating the future impact of ASU 2016-02 on the consolidated financial statements.</w:t>
      </w:r>
    </w:p>
    <w:p>
      <w:pPr>
        <w:spacing w:after="0" w:line="84" w:lineRule="exact"/>
        <w:rPr>
          <w:rFonts w:ascii="Arial" w:cs="Arial" w:eastAsia="Arial" w:hAnsi="Arial"/>
          <w:sz w:val="18"/>
          <w:szCs w:val="18"/>
          <w:b w:val="1"/>
          <w:bCs w:val="1"/>
          <w:color w:val="auto"/>
        </w:rPr>
      </w:pPr>
    </w:p>
    <w:p>
      <w:pPr>
        <w:ind w:left="4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June of 2016, the FASB issued ASU No. 2016-13</w:t>
      </w:r>
      <w:r>
        <w:rPr>
          <w:rFonts w:ascii="Arial" w:cs="Arial" w:eastAsia="Arial" w:hAnsi="Arial"/>
          <w:sz w:val="18"/>
          <w:szCs w:val="18"/>
          <w:i w:val="1"/>
          <w:iCs w:val="1"/>
          <w:color w:val="auto"/>
        </w:rPr>
        <w:t>, “Financial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replaces the incurred loss impairment methodology in current GAAP with a methodology that reflects expected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requires consideration of a broader range of reasonable and supportable information to inform credit loss estimates. The new guidance is effective for fiscal years beginning after December 15, 2020. The Company is in the process of evaluating the future impact of ASU 2016-13 on the consolidated financial statements.</w:t>
      </w:r>
    </w:p>
    <w:p>
      <w:pPr>
        <w:spacing w:after="0" w:line="82" w:lineRule="exact"/>
        <w:rPr>
          <w:rFonts w:ascii="Arial" w:cs="Arial" w:eastAsia="Arial" w:hAnsi="Arial"/>
          <w:sz w:val="18"/>
          <w:szCs w:val="18"/>
          <w:b w:val="1"/>
          <w:bCs w:val="1"/>
          <w:color w:val="auto"/>
        </w:rPr>
      </w:pPr>
    </w:p>
    <w:p>
      <w:pPr>
        <w:ind w:left="44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August of 2016, the FASB issued ASU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ASU 2016-15 clarifies how certain cash receipts and payments should be presented in the statement of cash flows. The guidance is effective for fiscal years beginning after December 15, 2018 with early adoption permitted. The Company is in the process of evaluating the future impact of ASU 2016-15 on the consolidated financial statements.</w:t>
      </w:r>
    </w:p>
    <w:p>
      <w:pPr>
        <w:spacing w:after="0" w:line="83" w:lineRule="exact"/>
        <w:rPr>
          <w:rFonts w:ascii="Arial" w:cs="Arial" w:eastAsia="Arial" w:hAnsi="Arial"/>
          <w:sz w:val="18"/>
          <w:szCs w:val="18"/>
          <w:b w:val="1"/>
          <w:bCs w:val="1"/>
          <w:color w:val="auto"/>
        </w:rPr>
      </w:pPr>
    </w:p>
    <w:p>
      <w:pPr>
        <w:ind w:left="440" w:right="140"/>
        <w:spacing w:after="0" w:line="307" w:lineRule="auto"/>
        <w:rPr>
          <w:rFonts w:ascii="Arial" w:cs="Arial" w:eastAsia="Arial" w:hAnsi="Arial"/>
          <w:sz w:val="18"/>
          <w:szCs w:val="18"/>
          <w:b w:val="1"/>
          <w:bCs w:val="1"/>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which provides guidance on the presentation of restricted cash or restricted cash equivalents in the statement of cash flows. ASU 2016-18 is effective for fiscal years beginning after December 15, 2018. The Company is in the process of evaluating the future impact of ASU 2016-18 on the consolidated financial statements.</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2240" w:h="15840" w:orient="portrait"/>
          <w:cols w:equalWidth="0" w:num="1">
            <w:col w:w="11160"/>
          </w:cols>
          <w:pgMar w:left="520" w:top="129" w:right="560"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C - S</w:t>
      </w:r>
      <w:r>
        <w:rPr>
          <w:rFonts w:ascii="Arial" w:cs="Arial" w:eastAsia="Arial" w:hAnsi="Arial"/>
          <w:sz w:val="14"/>
          <w:szCs w:val="14"/>
          <w:b w:val="1"/>
          <w:bCs w:val="1"/>
          <w:color w:val="auto"/>
        </w:rPr>
        <w:t>IGNS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signs and equipment approximated as follows:</w:t>
      </w:r>
    </w:p>
    <w:p>
      <w:pPr>
        <w:spacing w:after="0" w:line="248" w:lineRule="exact"/>
        <w:rPr>
          <w:sz w:val="20"/>
          <w:szCs w:val="20"/>
          <w:color w:val="auto"/>
        </w:rPr>
      </w:pPr>
    </w:p>
    <w:tbl>
      <w:tblPr>
        <w:tblLayout w:type="fixed"/>
        <w:tblInd w:w="1800" w:type="dxa"/>
        <w:tblCellMar>
          <w:top w:w="0" w:type="dxa"/>
          <w:left w:w="0" w:type="dxa"/>
          <w:bottom w:w="0" w:type="dxa"/>
          <w:right w:w="0" w:type="dxa"/>
        </w:tblCellMar>
      </w:tblP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Signs and equipment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20,050,000</w:t>
            </w:r>
          </w:p>
        </w:tc>
      </w:tr>
      <w:tr>
        <w:trPr>
          <w:trHeight w:val="227"/>
        </w:trPr>
        <w:tc>
          <w:tcPr>
            <w:tcW w:w="65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(13,476,000)</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Signs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6,574,000</w:t>
            </w:r>
          </w:p>
        </w:tc>
        <w:tc>
          <w:tcPr>
            <w:tcW w:w="6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 ended September 30, 2018 approximated $4,047,000.</w:t>
      </w:r>
    </w:p>
    <w:p>
      <w:pPr>
        <w:spacing w:after="0" w:line="2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Through December 31, 2013, the Company placed its first digital display, Sign 5, located at 3 Times Square, into startup mode. During the year ended December 31, 2014, the Company placed an additional 3 signs, known as the Triple Play, and located at 729 Seventh Avenue into operation. During the year ended December 31, 2015, the Company installed 4 additional signs. Three signs, located on 3 Times Square facing west on 42nd Street are known as the Waterfall. The fourth sign, constructed above Sign 5, and in combination with Sign 5, is known as the Crossroads of the World. The construction of the aforementioned signs, which was finalized during May 2016, marks the completion of the initial build out of SDD’s Times Square network.</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 ended September 30, 2018, in connection with the execution of a Settlement Agreement and Mutual Release with a supplier of the Company’s signs and equipment, outstanding obligations previously recorded under accounts payable on the accompanying consolidated balance sheet were released in the amount of approximately $191,000.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D -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28" w:lineRule="exact"/>
        <w:rPr>
          <w:sz w:val="20"/>
          <w:szCs w:val="20"/>
          <w:color w:val="auto"/>
        </w:rPr>
      </w:pPr>
    </w:p>
    <w:p>
      <w:pPr>
        <w:ind w:left="440" w:hanging="440"/>
        <w:spacing w:after="0"/>
        <w:tabs>
          <w:tab w:leader="none" w:pos="4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notes payable:</w:t>
      </w:r>
    </w:p>
    <w:p>
      <w:pPr>
        <w:spacing w:after="0" w:line="118" w:lineRule="exact"/>
        <w:rPr>
          <w:rFonts w:ascii="Arial" w:cs="Arial" w:eastAsia="Arial" w:hAnsi="Arial"/>
          <w:sz w:val="18"/>
          <w:szCs w:val="18"/>
          <w:b w:val="1"/>
          <w:bCs w:val="1"/>
          <w:color w:val="auto"/>
        </w:rPr>
      </w:pPr>
    </w:p>
    <w:p>
      <w:pPr>
        <w:ind w:left="440"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December 30, 2013, the Company entered into a First Lien Credit Agreement (the “First Lien”) with aggregate borrowings of $25,000,000 available for draw through February of 2015. As of February 2015, all available borrowings under the agreement were fully drawn, accruing interest at LIBOR plus 12.5% compounded quarterly, allowing the Company, in its discretion, to pay interest in kind at a rate of LIBOR plus 13%. In June of 2017 and March of 2018, the applicable margin was reduced to 9.00% and 5.50%, respectively, through amendments to the First Lien.</w:t>
      </w:r>
    </w:p>
    <w:p>
      <w:pPr>
        <w:spacing w:after="0" w:line="52" w:lineRule="exact"/>
        <w:rPr>
          <w:rFonts w:ascii="Arial" w:cs="Arial" w:eastAsia="Arial" w:hAnsi="Arial"/>
          <w:sz w:val="18"/>
          <w:szCs w:val="18"/>
          <w:b w:val="1"/>
          <w:bCs w:val="1"/>
          <w:color w:val="auto"/>
        </w:rPr>
      </w:pPr>
    </w:p>
    <w:p>
      <w:pPr>
        <w:ind w:left="440"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Principal borrowings were scheduled to be repaid in consecutive quarterly installments, plus accrued interest, consistent with the terms of the agreement commencing June of 2016. The Company executed waivers and amendments to the First Lien, waiving all quarterly covenant violations and delaying required quarterly payments through December 31, 2018. In conjunction with an amendment executed in October of 2018, all quarterly debt covenant requirements were removed from the agreement and all remaining principal and interest is due upon maturity on December 31, 2019.</w:t>
      </w:r>
    </w:p>
    <w:p>
      <w:pPr>
        <w:spacing w:after="0" w:line="52" w:lineRule="exact"/>
        <w:rPr>
          <w:rFonts w:ascii="Arial" w:cs="Arial" w:eastAsia="Arial" w:hAnsi="Arial"/>
          <w:sz w:val="18"/>
          <w:szCs w:val="18"/>
          <w:b w:val="1"/>
          <w:bCs w:val="1"/>
          <w:color w:val="auto"/>
        </w:rPr>
      </w:pPr>
    </w:p>
    <w:p>
      <w:pPr>
        <w:ind w:left="440" w:right="1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 March and June of 2018, the Company utilized proceeds of approximately $6,970,000 and $2,000,000, respectively, from the issuance of Series B Preferred Stock to repay principal and accrued interest on the First Lien.</w:t>
      </w:r>
    </w:p>
    <w:p>
      <w:pPr>
        <w:spacing w:after="0" w:line="67" w:lineRule="exact"/>
        <w:rPr>
          <w:rFonts w:ascii="Arial" w:cs="Arial" w:eastAsia="Arial" w:hAnsi="Arial"/>
          <w:sz w:val="18"/>
          <w:szCs w:val="18"/>
          <w:b w:val="1"/>
          <w:bCs w:val="1"/>
          <w:color w:val="auto"/>
        </w:rPr>
      </w:pPr>
    </w:p>
    <w:p>
      <w:pPr>
        <w:ind w:left="44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at its discretion, may pay interest in kind accrued at the applicable margin on a quarterly basis. During the year ended September 30, 2018, approximately $2,822,000 of interest was paid in kind of which $2,479,000 was expensed during the year ended September 30, 2018. As of September 30, 2018, approximately $460,000 of interest was accrued and included in accrued expenses and other current liabilities on the accompanying consolidated balance sheet.</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2240" w:h="15840" w:orient="portrait"/>
          <w:cols w:equalWidth="0" w:num="1">
            <w:col w:w="11160"/>
          </w:cols>
          <w:pgMar w:left="520" w:top="128" w:right="560"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400" w:type="dxa"/>
            <w:vAlign w:val="bottom"/>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D -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5"/>
        </w:trPr>
        <w:tc>
          <w:tcPr>
            <w:tcW w:w="8400" w:type="dxa"/>
            <w:vAlign w:val="bottom"/>
          </w:tcPr>
          <w:p>
            <w:pPr>
              <w:spacing w:after="0"/>
              <w:rPr>
                <w:sz w:val="20"/>
                <w:szCs w:val="20"/>
                <w:color w:val="auto"/>
              </w:rPr>
            </w:pPr>
            <w:r>
              <w:rPr>
                <w:rFonts w:ascii="Arial" w:cs="Arial" w:eastAsia="Arial" w:hAnsi="Arial"/>
                <w:sz w:val="18"/>
                <w:szCs w:val="18"/>
                <w:b w:val="1"/>
                <w:bCs w:val="1"/>
                <w:color w:val="auto"/>
              </w:rPr>
              <w:t>[1]   Related party notes payable: (continued)</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1"/>
        </w:trPr>
        <w:tc>
          <w:tcPr>
            <w:tcW w:w="8400" w:type="dxa"/>
            <w:vAlign w:val="bottom"/>
          </w:tcPr>
          <w:p>
            <w:pPr>
              <w:ind w:left="440"/>
              <w:spacing w:after="0"/>
              <w:rPr>
                <w:sz w:val="20"/>
                <w:szCs w:val="20"/>
                <w:color w:val="auto"/>
              </w:rPr>
            </w:pPr>
            <w:r>
              <w:rPr>
                <w:rFonts w:ascii="Arial" w:cs="Arial" w:eastAsia="Arial" w:hAnsi="Arial"/>
                <w:sz w:val="18"/>
                <w:szCs w:val="18"/>
                <w:color w:val="auto"/>
              </w:rPr>
              <w:t>Related party notes payable at September 30, 2018 approximated as follows: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2"/>
        </w:trPr>
        <w:tc>
          <w:tcPr>
            <w:tcW w:w="8400" w:type="dxa"/>
            <w:vAlign w:val="bottom"/>
          </w:tcPr>
          <w:p>
            <w:pPr>
              <w:ind w:left="1800"/>
              <w:spacing w:after="0"/>
              <w:rPr>
                <w:sz w:val="20"/>
                <w:szCs w:val="20"/>
                <w:color w:val="auto"/>
              </w:rPr>
            </w:pPr>
            <w:r>
              <w:rPr>
                <w:rFonts w:ascii="Arial" w:cs="Arial" w:eastAsia="Arial" w:hAnsi="Arial"/>
                <w:sz w:val="18"/>
                <w:szCs w:val="18"/>
                <w:color w:val="auto"/>
              </w:rPr>
              <w:t>Principal borrowings: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8400" w:type="dxa"/>
            <w:vAlign w:val="bottom"/>
          </w:tcPr>
          <w:p>
            <w:pPr>
              <w:ind w:left="2160"/>
              <w:spacing w:after="0"/>
              <w:rPr>
                <w:sz w:val="20"/>
                <w:szCs w:val="20"/>
                <w:color w:val="auto"/>
              </w:rPr>
            </w:pPr>
            <w:r>
              <w:rPr>
                <w:rFonts w:ascii="Arial" w:cs="Arial" w:eastAsia="Arial" w:hAnsi="Arial"/>
                <w:sz w:val="18"/>
                <w:szCs w:val="18"/>
                <w:color w:val="auto"/>
              </w:rPr>
              <w:t>First lien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$23,209,000</w:t>
            </w:r>
          </w:p>
        </w:tc>
        <w:tc>
          <w:tcPr>
            <w:tcW w:w="40" w:type="dxa"/>
            <w:vAlign w:val="bottom"/>
          </w:tcPr>
          <w:p>
            <w:pPr>
              <w:spacing w:after="0"/>
              <w:rPr>
                <w:sz w:val="18"/>
                <w:szCs w:val="18"/>
                <w:color w:val="auto"/>
              </w:rPr>
            </w:pPr>
          </w:p>
        </w:tc>
      </w:tr>
      <w:tr>
        <w:trPr>
          <w:trHeight w:val="214"/>
        </w:trPr>
        <w:tc>
          <w:tcPr>
            <w:tcW w:w="8400" w:type="dxa"/>
            <w:vAlign w:val="bottom"/>
          </w:tcPr>
          <w:p>
            <w:pPr>
              <w:ind w:left="1800"/>
              <w:spacing w:after="0"/>
              <w:rPr>
                <w:sz w:val="20"/>
                <w:szCs w:val="20"/>
                <w:color w:val="auto"/>
              </w:rPr>
            </w:pPr>
            <w:r>
              <w:rPr>
                <w:rFonts w:ascii="Arial" w:cs="Arial" w:eastAsia="Arial" w:hAnsi="Arial"/>
                <w:sz w:val="18"/>
                <w:szCs w:val="18"/>
                <w:color w:val="auto"/>
              </w:rPr>
              <w:t>Less: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8400" w:type="dxa"/>
            <w:vAlign w:val="bottom"/>
          </w:tcPr>
          <w:p>
            <w:pPr>
              <w:ind w:left="2160"/>
              <w:spacing w:after="0"/>
              <w:rPr>
                <w:sz w:val="20"/>
                <w:szCs w:val="20"/>
                <w:color w:val="auto"/>
              </w:rPr>
            </w:pPr>
            <w:r>
              <w:rPr>
                <w:rFonts w:ascii="Arial" w:cs="Arial" w:eastAsia="Arial" w:hAnsi="Arial"/>
                <w:sz w:val="18"/>
                <w:szCs w:val="18"/>
                <w:color w:val="auto"/>
              </w:rPr>
              <w:t>Unamortized original issue discount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(146,000)</w:t>
            </w:r>
          </w:p>
        </w:tc>
      </w:tr>
      <w:tr>
        <w:trPr>
          <w:trHeight w:val="227"/>
        </w:trPr>
        <w:tc>
          <w:tcPr>
            <w:tcW w:w="8400" w:type="dxa"/>
            <w:vAlign w:val="bottom"/>
          </w:tcPr>
          <w:p>
            <w:pPr>
              <w:ind w:left="2160"/>
              <w:spacing w:after="0"/>
              <w:rPr>
                <w:sz w:val="20"/>
                <w:szCs w:val="20"/>
                <w:color w:val="auto"/>
              </w:rPr>
            </w:pPr>
            <w:r>
              <w:rPr>
                <w:rFonts w:ascii="Arial" w:cs="Arial" w:eastAsia="Arial" w:hAnsi="Arial"/>
                <w:sz w:val="18"/>
                <w:szCs w:val="18"/>
                <w:color w:val="auto"/>
              </w:rPr>
              <w:t>Unamortized debt issuance costs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(149,000)</w:t>
            </w:r>
          </w:p>
        </w:tc>
      </w:tr>
      <w:tr>
        <w:trPr>
          <w:trHeight w:val="208"/>
        </w:trPr>
        <w:tc>
          <w:tcPr>
            <w:tcW w:w="8400" w:type="dxa"/>
            <w:vAlign w:val="bottom"/>
          </w:tcPr>
          <w:p>
            <w:pPr>
              <w:ind w:left="1800"/>
              <w:spacing w:after="0"/>
              <w:rPr>
                <w:sz w:val="20"/>
                <w:szCs w:val="20"/>
                <w:color w:val="auto"/>
              </w:rPr>
            </w:pPr>
            <w:r>
              <w:rPr>
                <w:rFonts w:ascii="Arial" w:cs="Arial" w:eastAsia="Arial" w:hAnsi="Arial"/>
                <w:sz w:val="18"/>
                <w:szCs w:val="18"/>
                <w:color w:val="auto"/>
              </w:rPr>
              <w:t>Related party notes payable less unamortized discount and debt issuance costs</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22,914,000</w:t>
            </w:r>
          </w:p>
        </w:tc>
        <w:tc>
          <w:tcPr>
            <w:tcW w:w="40" w:type="dxa"/>
            <w:vAlign w:val="bottom"/>
          </w:tcPr>
          <w:p>
            <w:pPr>
              <w:spacing w:after="0"/>
              <w:rPr>
                <w:sz w:val="18"/>
                <w:szCs w:val="18"/>
                <w:color w:val="auto"/>
              </w:rPr>
            </w:pPr>
          </w:p>
        </w:tc>
      </w:tr>
      <w:tr>
        <w:trPr>
          <w:trHeight w:val="227"/>
        </w:trPr>
        <w:tc>
          <w:tcPr>
            <w:tcW w:w="8400" w:type="dxa"/>
            <w:vAlign w:val="bottom"/>
          </w:tcPr>
          <w:p>
            <w:pPr>
              <w:ind w:left="1800"/>
              <w:spacing w:after="0"/>
              <w:rPr>
                <w:sz w:val="20"/>
                <w:szCs w:val="20"/>
                <w:color w:val="auto"/>
              </w:rPr>
            </w:pPr>
            <w:r>
              <w:rPr>
                <w:rFonts w:ascii="Arial" w:cs="Arial" w:eastAsia="Arial" w:hAnsi="Arial"/>
                <w:sz w:val="18"/>
                <w:szCs w:val="18"/>
                <w:color w:val="auto"/>
              </w:rPr>
              <w:t>Less: current portion</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8400" w:type="dxa"/>
            <w:vAlign w:val="bottom"/>
          </w:tcPr>
          <w:p>
            <w:pPr>
              <w:ind w:left="1800"/>
              <w:spacing w:after="0"/>
              <w:rPr>
                <w:sz w:val="20"/>
                <w:szCs w:val="20"/>
                <w:color w:val="auto"/>
              </w:rPr>
            </w:pPr>
            <w:r>
              <w:rPr>
                <w:rFonts w:ascii="Arial" w:cs="Arial" w:eastAsia="Arial" w:hAnsi="Arial"/>
                <w:sz w:val="18"/>
                <w:szCs w:val="18"/>
                <w:color w:val="auto"/>
              </w:rPr>
              <w:t>Related party notes payable, net of current portion</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22,914,000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6" w:lineRule="exact"/>
        <w:rPr>
          <w:sz w:val="20"/>
          <w:szCs w:val="20"/>
          <w:color w:val="auto"/>
        </w:rPr>
      </w:pPr>
    </w:p>
    <w:p>
      <w:pPr>
        <w:ind w:left="440" w:right="380"/>
        <w:spacing w:after="0" w:line="271" w:lineRule="auto"/>
        <w:rPr>
          <w:sz w:val="20"/>
          <w:szCs w:val="20"/>
          <w:color w:val="auto"/>
        </w:rPr>
      </w:pPr>
      <w:r>
        <w:rPr>
          <w:rFonts w:ascii="Arial" w:cs="Arial" w:eastAsia="Arial" w:hAnsi="Arial"/>
          <w:sz w:val="18"/>
          <w:szCs w:val="18"/>
          <w:color w:val="auto"/>
        </w:rPr>
        <w:t>Based on principal advanced under the First Lien facility, as of September 30, 2018, future principal payments on related party notes payable are approximately as follows:</w:t>
      </w:r>
    </w:p>
    <w:p>
      <w:pPr>
        <w:spacing w:after="0" w:line="193"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Year Ending</w:t>
      </w:r>
    </w:p>
    <w:p>
      <w:pPr>
        <w:ind w:left="180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1800" w:type="dxa"/>
        <w:tblCellMar>
          <w:top w:w="0" w:type="dxa"/>
          <w:left w:w="0" w:type="dxa"/>
          <w:bottom w:w="0" w:type="dxa"/>
          <w:right w:w="0" w:type="dxa"/>
        </w:tblCellMar>
      </w:tblPr>
      <w:tr>
        <w:trPr>
          <w:trHeight w:val="193"/>
        </w:trPr>
        <w:tc>
          <w:tcPr>
            <w:tcW w:w="860" w:type="dxa"/>
            <w:vAlign w:val="bottom"/>
            <w:tcBorders>
              <w:top w:val="single" w:sz="8" w:color="auto"/>
            </w:tcBorders>
          </w:tcPr>
          <w:p>
            <w:pPr>
              <w:jc w:val="right"/>
              <w:ind w:right="411"/>
              <w:spacing w:after="0" w:line="193" w:lineRule="exact"/>
              <w:rPr>
                <w:sz w:val="20"/>
                <w:szCs w:val="20"/>
                <w:color w:val="auto"/>
              </w:rPr>
            </w:pPr>
            <w:r>
              <w:rPr>
                <w:rFonts w:ascii="Arial" w:cs="Arial" w:eastAsia="Arial" w:hAnsi="Arial"/>
                <w:sz w:val="18"/>
                <w:szCs w:val="18"/>
                <w:color w:val="auto"/>
                <w:w w:val="84"/>
              </w:rPr>
              <w:t>2019</w:t>
            </w:r>
          </w:p>
        </w:tc>
        <w:tc>
          <w:tcPr>
            <w:tcW w:w="588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r>
      <w:tr>
        <w:trPr>
          <w:trHeight w:val="227"/>
        </w:trPr>
        <w:tc>
          <w:tcPr>
            <w:tcW w:w="860" w:type="dxa"/>
            <w:vAlign w:val="bottom"/>
          </w:tcPr>
          <w:p>
            <w:pPr>
              <w:jc w:val="right"/>
              <w:ind w:right="411"/>
              <w:spacing w:after="0"/>
              <w:rPr>
                <w:sz w:val="20"/>
                <w:szCs w:val="20"/>
                <w:color w:val="auto"/>
              </w:rPr>
            </w:pPr>
            <w:r>
              <w:rPr>
                <w:rFonts w:ascii="Arial" w:cs="Arial" w:eastAsia="Arial" w:hAnsi="Arial"/>
                <w:sz w:val="18"/>
                <w:szCs w:val="18"/>
                <w:color w:val="auto"/>
                <w:w w:val="84"/>
              </w:rPr>
              <w:t>2020</w:t>
            </w:r>
          </w:p>
        </w:tc>
        <w:tc>
          <w:tcPr>
            <w:tcW w:w="5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23,209,000</w:t>
            </w:r>
          </w:p>
        </w:tc>
      </w:tr>
    </w:tbl>
    <w:p>
      <w:pPr>
        <w:spacing w:after="0" w:line="345" w:lineRule="exact"/>
        <w:rPr>
          <w:sz w:val="20"/>
          <w:szCs w:val="20"/>
          <w:color w:val="auto"/>
        </w:rPr>
      </w:pPr>
    </w:p>
    <w:p>
      <w:pPr>
        <w:ind w:left="440" w:hanging="440"/>
        <w:spacing w:after="0"/>
        <w:tabs>
          <w:tab w:leader="none" w:pos="4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118" w:lineRule="exact"/>
        <w:rPr>
          <w:rFonts w:ascii="Arial" w:cs="Arial" w:eastAsia="Arial" w:hAnsi="Arial"/>
          <w:sz w:val="18"/>
          <w:szCs w:val="18"/>
          <w:b w:val="1"/>
          <w:bCs w:val="1"/>
          <w:color w:val="auto"/>
        </w:rPr>
      </w:pPr>
    </w:p>
    <w:p>
      <w:pPr>
        <w:ind w:left="440" w:right="1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an Amended and Restated Management Agreement (the “Agreement”) with a shareholder during the year ended December 31, 2013. This Agreement assigns the right to a monthly fee equal to the total of 1.5% of the Company’s gross revenues generated from each of the five commercial signs to be erected in the Company’s Times Square location. This amended agreement became effective during the first full month for which each sign was installed and operated and expires December 31, 2023. For the year ended September 30, 2018, management expense approximated $16,000 and is recorded under operating expenses on the accompanying consolidated statement of operations. As of September 30, 2018, approximately $25,000 is included under accrued expenses and other current liabilities on the accompanying consolidated balance sheet.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E - 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AYABLE</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year ended September 30, 2018, the Company entered into an agreement to finance the cost of certain insurance policies. The financing required 10 monthly installments of principal and interest in the amount of $18,905 and had an effective rate of interest of 7.93%. Final payment was made September 4, 2018.</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2240" w:h="15840" w:orient="portrait"/>
          <w:cols w:equalWidth="0" w:num="1">
            <w:col w:w="11160"/>
          </w:cols>
          <w:pgMar w:left="520" w:top="128" w:right="560"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F -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as follows for the year ended September 30, 2018:</w:t>
      </w:r>
    </w:p>
    <w:p>
      <w:pPr>
        <w:spacing w:after="0" w:line="248" w:lineRule="exact"/>
        <w:rPr>
          <w:sz w:val="20"/>
          <w:szCs w:val="20"/>
          <w:color w:val="auto"/>
        </w:rPr>
      </w:pPr>
    </w:p>
    <w:tbl>
      <w:tblPr>
        <w:tblLayout w:type="fixed"/>
        <w:tblInd w:w="1800" w:type="dxa"/>
        <w:tblCellMar>
          <w:top w:w="0" w:type="dxa"/>
          <w:left w:w="0" w:type="dxa"/>
          <w:bottom w:w="0" w:type="dxa"/>
          <w:right w:w="0" w:type="dxa"/>
        </w:tblCellMar>
      </w:tblPr>
      <w:tr>
        <w:trPr>
          <w:trHeight w:val="214"/>
        </w:trPr>
        <w:tc>
          <w:tcPr>
            <w:tcW w:w="6720" w:type="dxa"/>
            <w:vAlign w:val="bottom"/>
          </w:tcPr>
          <w:p>
            <w:pPr>
              <w:spacing w:after="0"/>
              <w:rPr>
                <w:sz w:val="20"/>
                <w:szCs w:val="20"/>
                <w:color w:val="auto"/>
              </w:rPr>
            </w:pPr>
            <w:r>
              <w:rPr>
                <w:rFonts w:ascii="Arial" w:cs="Arial" w:eastAsia="Arial" w:hAnsi="Arial"/>
                <w:sz w:val="18"/>
                <w:szCs w:val="18"/>
                <w:color w:val="auto"/>
              </w:rPr>
              <w:t>Related party notes payable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$2,479,000</w:t>
            </w:r>
          </w:p>
        </w:tc>
      </w:tr>
      <w:tr>
        <w:trPr>
          <w:trHeight w:val="214"/>
        </w:trPr>
        <w:tc>
          <w:tcPr>
            <w:tcW w:w="6720" w:type="dxa"/>
            <w:vAlign w:val="bottom"/>
          </w:tcPr>
          <w:p>
            <w:pPr>
              <w:spacing w:after="0"/>
              <w:rPr>
                <w:sz w:val="20"/>
                <w:szCs w:val="20"/>
                <w:color w:val="auto"/>
              </w:rPr>
            </w:pPr>
            <w:r>
              <w:rPr>
                <w:rFonts w:ascii="Arial" w:cs="Arial" w:eastAsia="Arial" w:hAnsi="Arial"/>
                <w:sz w:val="18"/>
                <w:szCs w:val="18"/>
                <w:color w:val="auto"/>
              </w:rPr>
              <w:t>Original issue discount amortization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542,000</w:t>
            </w:r>
          </w:p>
        </w:tc>
      </w:tr>
      <w:tr>
        <w:trPr>
          <w:trHeight w:val="214"/>
        </w:trPr>
        <w:tc>
          <w:tcPr>
            <w:tcW w:w="6720" w:type="dxa"/>
            <w:vAlign w:val="bottom"/>
          </w:tcPr>
          <w:p>
            <w:pPr>
              <w:spacing w:after="0"/>
              <w:rPr>
                <w:sz w:val="20"/>
                <w:szCs w:val="20"/>
                <w:color w:val="auto"/>
              </w:rPr>
            </w:pPr>
            <w:r>
              <w:rPr>
                <w:rFonts w:ascii="Arial" w:cs="Arial" w:eastAsia="Arial" w:hAnsi="Arial"/>
                <w:sz w:val="18"/>
                <w:szCs w:val="18"/>
                <w:color w:val="auto"/>
              </w:rPr>
              <w:t>Debt issuance costs amortization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552,000</w:t>
            </w:r>
          </w:p>
        </w:tc>
      </w:tr>
      <w:tr>
        <w:trPr>
          <w:trHeight w:val="228"/>
        </w:trPr>
        <w:tc>
          <w:tcPr>
            <w:tcW w:w="6720" w:type="dxa"/>
            <w:vAlign w:val="bottom"/>
          </w:tcPr>
          <w:p>
            <w:pPr>
              <w:spacing w:after="0"/>
              <w:rPr>
                <w:sz w:val="20"/>
                <w:szCs w:val="20"/>
                <w:color w:val="auto"/>
              </w:rPr>
            </w:pPr>
            <w:r>
              <w:rPr>
                <w:rFonts w:ascii="Arial" w:cs="Arial" w:eastAsia="Arial" w:hAnsi="Arial"/>
                <w:sz w:val="18"/>
                <w:szCs w:val="18"/>
                <w:color w:val="auto"/>
              </w:rPr>
              <w:t>Other, net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5,000</w:t>
            </w:r>
          </w:p>
        </w:tc>
      </w:tr>
      <w:tr>
        <w:trPr>
          <w:trHeight w:val="221"/>
        </w:trPr>
        <w:tc>
          <w:tcPr>
            <w:tcW w:w="6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3,578,000</w:t>
            </w: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G -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D</w:t>
      </w:r>
      <w:r>
        <w:rPr>
          <w:rFonts w:ascii="Arial" w:cs="Arial" w:eastAsia="Arial" w:hAnsi="Arial"/>
          <w:sz w:val="14"/>
          <w:szCs w:val="14"/>
          <w:b w:val="1"/>
          <w:bCs w:val="1"/>
          <w:color w:val="auto"/>
        </w:rPr>
        <w:t>EFICIT</w:t>
      </w:r>
    </w:p>
    <w:p>
      <w:pPr>
        <w:spacing w:after="0" w:line="11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On June 12, 2017, the Board approved an amendment to the Certificate of Incorporation of Holdings increasing the number of authorized shares to a total of 678,775 shares of common stock with a par value of $0.01 per share and 648,775 shares of a convertible preferred stock with a par value of $0.01 per share, of which 38,000 are designated as Series A Convertible Preferred Stock and 610,775 shares designated as Series B Convertible Preferred Stock.</w:t>
      </w:r>
    </w:p>
    <w:p>
      <w:pPr>
        <w:spacing w:after="0" w:line="150"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On March 15, 2018, the Board approved an amendment to the Certificate of Incorporation of Holdings increasing the number of authorized shares to a total of 1,078,775 shares of common stock with a par value of $0.01 per share and 1,048,775 shares of a convertible preferred stock with a par value of $0.01 per share, of which 38,000 are designated as Series A Preferred Stock and 1,010,775 shares designated as Series B Preferred Stock.</w:t>
      </w:r>
    </w:p>
    <w:p>
      <w:pPr>
        <w:spacing w:after="0" w:line="150"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Series A Convertible Preferred Stock and Series B Convertible Preferred Stock accrue dividends annually at a rate of 15% whether or not declared by the Board and shall be cumulative and compounded annually. There were no dividends declared by the Board for the year ended September 30, 2018. Each share of preferred stock shall be convertible at the option of the holder at any time to pro-rated shares of Common Stock based on original issue price.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On October 2, 2017, 25,076 Series B Convertible Preferred Stock shares were sold for approximately $750,000.</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 March and June of 2018, the Company issued 250,762 and 80,244 Series B Convertible Preferred Stock shares, respectively, for approximately</w:t>
      </w:r>
    </w:p>
    <w:p>
      <w:pPr>
        <w:spacing w:after="0" w:line="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$7,500,000 and $2,430,000, respectively, for working capital needs and partial repayment of accrued interest and outstanding principal on the Company’s First Lien.</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September 30, 2018, the issued and outstanding common stock represented 2.2%, the issued and outstanding Series A Convertible Preferred Stock represent 4.1% and the Series B Convertible Preferred Stock represented 92.5% of the fully diluted stock of the Company. The remaining 1.2% represents shares reserved for the Management Employee Incentive Program.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H -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ROGRAM</w:t>
      </w:r>
    </w:p>
    <w:p>
      <w:pPr>
        <w:spacing w:after="0" w:line="11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March of 2015, an Equity Incentive Plan was approved by the Board of Directors and existing stockholders. A maximum of 10,030 shares are available under the Equity Incentive Plan. At September 30, 2018, a total of 10,030 shares were reserved under the Equity Incentive Plan. At September 30, 2018, a total of 3,343 shares were vested and issued under the Plan and all remaining shares were forfeited. The purchase of the forfeited shares will be refunded by the Company for a total of $2,500. Such amounts are accrued as of September 30, 2018 on the accompanying consolidated Balance Sheet.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2240" w:h="15840" w:orient="portrait"/>
          <w:cols w:equalWidth="0" w:num="1">
            <w:col w:w="11160"/>
          </w:cols>
          <w:pgMar w:left="520" w:top="129" w:right="560"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 -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Company’s deferred tax assets and liabilities at September 30, 2018 are approximately as follows:</w:t>
      </w:r>
    </w:p>
    <w:p>
      <w:pPr>
        <w:spacing w:after="0" w:line="248" w:lineRule="exact"/>
        <w:rPr>
          <w:sz w:val="20"/>
          <w:szCs w:val="20"/>
          <w:color w:val="auto"/>
        </w:rPr>
      </w:pPr>
    </w:p>
    <w:tbl>
      <w:tblPr>
        <w:tblLayout w:type="fixed"/>
        <w:tblInd w:w="1800" w:type="dxa"/>
        <w:tblCellMar>
          <w:top w:w="0" w:type="dxa"/>
          <w:left w:w="0" w:type="dxa"/>
          <w:bottom w:w="0" w:type="dxa"/>
          <w:right w:w="0" w:type="dxa"/>
        </w:tblCellMar>
      </w:tblP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(75,000)</w:t>
            </w: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(1,080,000)</w:t>
            </w: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49,000</w:t>
            </w: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705,000</w:t>
            </w:r>
          </w:p>
        </w:tc>
        <w:tc>
          <w:tcPr>
            <w:tcW w:w="60" w:type="dxa"/>
            <w:vAlign w:val="bottom"/>
          </w:tcPr>
          <w:p>
            <w:pPr>
              <w:spacing w:after="0"/>
              <w:rPr>
                <w:sz w:val="18"/>
                <w:szCs w:val="18"/>
                <w:color w:val="auto"/>
              </w:rPr>
            </w:pP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72,000</w:t>
            </w: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Federal net operating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9,929,000</w:t>
            </w:r>
          </w:p>
        </w:tc>
        <w:tc>
          <w:tcPr>
            <w:tcW w:w="60" w:type="dxa"/>
            <w:vAlign w:val="bottom"/>
          </w:tcPr>
          <w:p>
            <w:pPr>
              <w:spacing w:after="0"/>
              <w:rPr>
                <w:sz w:val="18"/>
                <w:szCs w:val="18"/>
                <w:color w:val="auto"/>
              </w:rPr>
            </w:pPr>
          </w:p>
        </w:tc>
      </w:tr>
      <w:tr>
        <w:trPr>
          <w:trHeight w:val="227"/>
        </w:trPr>
        <w:tc>
          <w:tcPr>
            <w:tcW w:w="6520" w:type="dxa"/>
            <w:vAlign w:val="bottom"/>
          </w:tcPr>
          <w:p>
            <w:pPr>
              <w:spacing w:after="0"/>
              <w:rPr>
                <w:sz w:val="20"/>
                <w:szCs w:val="20"/>
                <w:color w:val="auto"/>
              </w:rPr>
            </w:pPr>
            <w:r>
              <w:rPr>
                <w:rFonts w:ascii="Arial" w:cs="Arial" w:eastAsia="Arial" w:hAnsi="Arial"/>
                <w:sz w:val="18"/>
                <w:szCs w:val="18"/>
                <w:color w:val="auto"/>
              </w:rPr>
              <w:t>State net operating losses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5,136,000</w:t>
            </w:r>
          </w:p>
        </w:tc>
        <w:tc>
          <w:tcPr>
            <w:tcW w:w="60" w:type="dxa"/>
            <w:vAlign w:val="bottom"/>
          </w:tcPr>
          <w:p>
            <w:pPr>
              <w:spacing w:after="0"/>
              <w:rPr>
                <w:sz w:val="19"/>
                <w:szCs w:val="19"/>
                <w:color w:val="auto"/>
              </w:rPr>
            </w:pPr>
          </w:p>
        </w:tc>
      </w:tr>
      <w:tr>
        <w:trPr>
          <w:trHeight w:val="208"/>
        </w:trPr>
        <w:tc>
          <w:tcPr>
            <w:tcW w:w="6520" w:type="dxa"/>
            <w:vAlign w:val="bottom"/>
          </w:tcPr>
          <w:p>
            <w:pPr>
              <w:spacing w:after="0"/>
              <w:rPr>
                <w:sz w:val="20"/>
                <w:szCs w:val="20"/>
                <w:color w:val="auto"/>
              </w:rPr>
            </w:pPr>
            <w:r>
              <w:rPr>
                <w:rFonts w:ascii="Arial" w:cs="Arial" w:eastAsia="Arial" w:hAnsi="Arial"/>
                <w:sz w:val="18"/>
                <w:szCs w:val="18"/>
                <w:color w:val="auto"/>
              </w:rPr>
              <w:t>Total gross 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14,736,000</w:t>
            </w:r>
          </w:p>
        </w:tc>
        <w:tc>
          <w:tcPr>
            <w:tcW w:w="60" w:type="dxa"/>
            <w:vAlign w:val="bottom"/>
          </w:tcPr>
          <w:p>
            <w:pPr>
              <w:spacing w:after="0"/>
              <w:rPr>
                <w:sz w:val="18"/>
                <w:szCs w:val="18"/>
                <w:color w:val="auto"/>
              </w:rPr>
            </w:pPr>
          </w:p>
        </w:tc>
      </w:tr>
      <w:tr>
        <w:trPr>
          <w:trHeight w:val="227"/>
        </w:trPr>
        <w:tc>
          <w:tcPr>
            <w:tcW w:w="65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(14,736,000)</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At September 30, 2018, the Company has recorded a full valuation allowance against its net deferred tax assets of approximately $14,736,000. A full valuation allowance has been recorded since, in the judgment of management, these assets are not more likely than not to be realized. The ultimate realization of deferred tax assets is dependent upon the generation of future taxable income during periods in which those temporary differences and carryforwards become deductible or are utilized.</w:t>
      </w:r>
    </w:p>
    <w:p>
      <w:pPr>
        <w:spacing w:after="0" w:line="19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As of September 30, 2018, the Company has approximately $47,284,000 and $46,559,000 of federal and state net operating loss carryforwards, respectively The federal and state net operating loss carryforwards begin to expire in 2034.</w:t>
      </w:r>
    </w:p>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December 22, 2017, H.R. 1 (also, known as the Tax Cuts and Jobs Act (the “Act”)) was signed into law. Among its numerous changes to the Internal Revenue Code, the Act reduces U.S. federal corporate tax rate from 34% to 21% and implemented an interest limitation. As a result, the Company has revalued their deferred tax assets as of December 31, 2017 at the 21% rate. In addition, the interest expense incurred by the Company has been disallowed from the period of January 1, 2018 to September 30, 2018. The interest will be carried forward indefinitely until the Company has enough income to incur the loss.</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income tax benefit for the year ended September 30, 2018 differed from the amounts computed by applying the U.S. federal income tax rate of 21% to loss before tax benefit as a result of nondeductible expenses, tax credits generated, utilization of net operating loss carryforwards, and increases in the Company’s valuation allowance.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J - 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ONTINGENCIES</w:t>
      </w:r>
    </w:p>
    <w:p>
      <w:pPr>
        <w:spacing w:after="0" w:line="128" w:lineRule="exact"/>
        <w:rPr>
          <w:sz w:val="20"/>
          <w:szCs w:val="20"/>
          <w:color w:val="auto"/>
        </w:rPr>
      </w:pPr>
    </w:p>
    <w:p>
      <w:pPr>
        <w:ind w:left="440" w:hanging="440"/>
        <w:spacing w:after="0"/>
        <w:tabs>
          <w:tab w:leader="none" w:pos="4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18" w:lineRule="exact"/>
        <w:rPr>
          <w:rFonts w:ascii="Arial" w:cs="Arial" w:eastAsia="Arial" w:hAnsi="Arial"/>
          <w:sz w:val="18"/>
          <w:szCs w:val="18"/>
          <w:b w:val="1"/>
          <w:bCs w:val="1"/>
          <w:color w:val="auto"/>
        </w:rPr>
      </w:pPr>
    </w:p>
    <w:p>
      <w:pPr>
        <w:ind w:left="44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a lease agreement during April of 2011, as periodically amended, with respect to certain portions of the exterior of a building suitable for construction of five digital displays. The lease calls for fixed monthly rental payments in the amount of $5,000 per month for a term of 10 years for each active sign location.</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2240" w:h="15840" w:orient="portrait"/>
          <w:cols w:equalWidth="0" w:num="1">
            <w:col w:w="11160"/>
          </w:cols>
          <w:pgMar w:left="520" w:top="129" w:right="560"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J - 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ONTINGENCIES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p>
      <w:pPr>
        <w:spacing w:after="0" w:line="154" w:lineRule="exact"/>
        <w:rPr>
          <w:sz w:val="20"/>
          <w:szCs w:val="20"/>
          <w:color w:val="auto"/>
        </w:rPr>
      </w:pPr>
    </w:p>
    <w:p>
      <w:pPr>
        <w:ind w:left="440" w:hanging="440"/>
        <w:spacing w:after="0"/>
        <w:tabs>
          <w:tab w:leader="none" w:pos="4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 (continued)</w:t>
      </w:r>
    </w:p>
    <w:p>
      <w:pPr>
        <w:spacing w:after="0" w:line="118" w:lineRule="exact"/>
        <w:rPr>
          <w:rFonts w:ascii="Arial" w:cs="Arial" w:eastAsia="Arial" w:hAnsi="Arial"/>
          <w:sz w:val="18"/>
          <w:szCs w:val="18"/>
          <w:b w:val="1"/>
          <w:bCs w:val="1"/>
          <w:color w:val="auto"/>
        </w:rPr>
      </w:pPr>
    </w:p>
    <w:p>
      <w:pPr>
        <w:ind w:left="44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lease has two five-year options to renew. In addition to fixed rent, the Company is required to make percentage rent payments equal to an agreed-upon percentage of the gross revenues generated by each sign area.</w:t>
      </w:r>
    </w:p>
    <w:p>
      <w:pPr>
        <w:spacing w:after="0" w:line="67" w:lineRule="exact"/>
        <w:rPr>
          <w:rFonts w:ascii="Arial" w:cs="Arial" w:eastAsia="Arial" w:hAnsi="Arial"/>
          <w:sz w:val="18"/>
          <w:szCs w:val="18"/>
          <w:b w:val="1"/>
          <w:bCs w:val="1"/>
          <w:color w:val="auto"/>
        </w:rPr>
      </w:pPr>
    </w:p>
    <w:p>
      <w:pPr>
        <w:ind w:left="44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During November of 2012, the lease was amended, segregating sign areas 1 through 4 to a new lease with terms consistent with the original lease. Rent payments per this agreement are $5,000 per month for each active sign area. The Company paid contingent rent based on total revenues generated by Sign 5 equal to 50% of monthly revenue with a minimum monthly guaranteed rent share on Sign 5 equal to $62,500 per month payable to the landlord in addition to the $5,000 per month base rent.</w:t>
      </w:r>
    </w:p>
    <w:p>
      <w:pPr>
        <w:spacing w:after="0" w:line="83" w:lineRule="exact"/>
        <w:rPr>
          <w:rFonts w:ascii="Arial" w:cs="Arial" w:eastAsia="Arial" w:hAnsi="Arial"/>
          <w:sz w:val="18"/>
          <w:szCs w:val="18"/>
          <w:b w:val="1"/>
          <w:bCs w:val="1"/>
          <w:color w:val="auto"/>
        </w:rPr>
      </w:pPr>
    </w:p>
    <w:p>
      <w:pPr>
        <w:ind w:left="44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Effective May 1, 2017, the leases were amended transferring Sign 4 from the Sign 1 - 4 lease to the Sign 5 lease. This transfer allows the revenue share from Signs 4 and 5 to be applied against the minimum revenue share of $62,500 per month as contingent rent. The Company also has a minimum monthly guaranteed rent share on Signs 1 - 3 equal to 50% of monthly revenue payable to the landlord in addition to the $5,000 per month base rent per sign.</w:t>
      </w:r>
    </w:p>
    <w:p>
      <w:pPr>
        <w:spacing w:after="0" w:line="83" w:lineRule="exact"/>
        <w:rPr>
          <w:rFonts w:ascii="Arial" w:cs="Arial" w:eastAsia="Arial" w:hAnsi="Arial"/>
          <w:sz w:val="18"/>
          <w:szCs w:val="18"/>
          <w:b w:val="1"/>
          <w:bCs w:val="1"/>
          <w:color w:val="auto"/>
        </w:rPr>
      </w:pPr>
    </w:p>
    <w:p>
      <w:pPr>
        <w:ind w:left="440" w:right="1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December of 2012, the Company entered into an additional lease agreement for a second advertising location. The lease commenced on January 1, 2013 and continues for a twenty-year period expiring on December 31, 2032. The lease terms contain one ten-year renewal option. The lease contains escalating rent provisions and certain rent holidays accounted for on a straight-line basis over the term of the lease. In addition to scheduled monthly rental payments, the Company is required to make percentage rental payments equal to the agreed-upon formula contained in the lease agreement.</w:t>
      </w:r>
    </w:p>
    <w:p>
      <w:pPr>
        <w:spacing w:after="0" w:line="82" w:lineRule="exact"/>
        <w:rPr>
          <w:rFonts w:ascii="Arial" w:cs="Arial" w:eastAsia="Arial" w:hAnsi="Arial"/>
          <w:sz w:val="18"/>
          <w:szCs w:val="18"/>
          <w:b w:val="1"/>
          <w:bCs w:val="1"/>
          <w:color w:val="auto"/>
        </w:rPr>
      </w:pPr>
    </w:p>
    <w:p>
      <w:pPr>
        <w:ind w:left="440" w:right="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Future minimum rental payments required under operating leases for sign space that have initial or remaining non-cancelable lease terms in excess of one year and are fixed and determinable as of September 30, 2018 are approximately:</w:t>
      </w:r>
    </w:p>
    <w:p>
      <w:pPr>
        <w:spacing w:after="0" w:line="193"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Year Ending</w:t>
      </w:r>
    </w:p>
    <w:p>
      <w:pPr>
        <w:ind w:left="180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1800" w:type="dxa"/>
        <w:tblCellMar>
          <w:top w:w="0" w:type="dxa"/>
          <w:left w:w="0" w:type="dxa"/>
          <w:bottom w:w="0" w:type="dxa"/>
          <w:right w:w="0" w:type="dxa"/>
        </w:tblCellMar>
      </w:tblPr>
      <w:tr>
        <w:trPr>
          <w:trHeight w:val="193"/>
        </w:trPr>
        <w:tc>
          <w:tcPr>
            <w:tcW w:w="8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2019</w:t>
            </w:r>
          </w:p>
        </w:tc>
        <w:tc>
          <w:tcPr>
            <w:tcW w:w="5860" w:type="dxa"/>
            <w:vAlign w:val="bottom"/>
          </w:tcPr>
          <w:p>
            <w:pPr>
              <w:spacing w:after="0"/>
              <w:rPr>
                <w:sz w:val="16"/>
                <w:szCs w:val="16"/>
                <w:color w:val="auto"/>
              </w:rPr>
            </w:pPr>
          </w:p>
        </w:tc>
        <w:tc>
          <w:tcPr>
            <w:tcW w:w="820" w:type="dxa"/>
            <w:vAlign w:val="bottom"/>
            <w:gridSpan w:val="2"/>
          </w:tcPr>
          <w:p>
            <w:pPr>
              <w:jc w:val="right"/>
              <w:spacing w:after="0" w:line="193" w:lineRule="exact"/>
              <w:rPr>
                <w:sz w:val="20"/>
                <w:szCs w:val="20"/>
                <w:color w:val="auto"/>
              </w:rPr>
            </w:pPr>
            <w:r>
              <w:rPr>
                <w:rFonts w:ascii="Arial" w:cs="Arial" w:eastAsia="Arial" w:hAnsi="Arial"/>
                <w:sz w:val="18"/>
                <w:szCs w:val="18"/>
                <w:color w:val="auto"/>
                <w:w w:val="88"/>
              </w:rPr>
              <w:t>$1,290,000</w:t>
            </w:r>
          </w:p>
        </w:tc>
      </w:tr>
      <w:tr>
        <w:trPr>
          <w:trHeight w:val="214"/>
        </w:trPr>
        <w:tc>
          <w:tcPr>
            <w:tcW w:w="860" w:type="dxa"/>
            <w:vAlign w:val="bottom"/>
          </w:tcPr>
          <w:p>
            <w:pPr>
              <w:spacing w:after="0"/>
              <w:rPr>
                <w:sz w:val="20"/>
                <w:szCs w:val="20"/>
                <w:color w:val="auto"/>
              </w:rPr>
            </w:pPr>
            <w:r>
              <w:rPr>
                <w:rFonts w:ascii="Arial" w:cs="Arial" w:eastAsia="Arial" w:hAnsi="Arial"/>
                <w:sz w:val="18"/>
                <w:szCs w:val="18"/>
                <w:color w:val="auto"/>
              </w:rPr>
              <w:t>2020</w:t>
            </w:r>
          </w:p>
        </w:tc>
        <w:tc>
          <w:tcPr>
            <w:tcW w:w="58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1,290,000</w:t>
            </w:r>
          </w:p>
        </w:tc>
      </w:tr>
      <w:tr>
        <w:trPr>
          <w:trHeight w:val="214"/>
        </w:trPr>
        <w:tc>
          <w:tcPr>
            <w:tcW w:w="860" w:type="dxa"/>
            <w:vAlign w:val="bottom"/>
          </w:tcPr>
          <w:p>
            <w:pPr>
              <w:spacing w:after="0"/>
              <w:rPr>
                <w:sz w:val="20"/>
                <w:szCs w:val="20"/>
                <w:color w:val="auto"/>
              </w:rPr>
            </w:pPr>
            <w:r>
              <w:rPr>
                <w:rFonts w:ascii="Arial" w:cs="Arial" w:eastAsia="Arial" w:hAnsi="Arial"/>
                <w:sz w:val="18"/>
                <w:szCs w:val="18"/>
                <w:color w:val="auto"/>
              </w:rPr>
              <w:t>2021</w:t>
            </w:r>
          </w:p>
        </w:tc>
        <w:tc>
          <w:tcPr>
            <w:tcW w:w="58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765,000</w:t>
            </w:r>
          </w:p>
        </w:tc>
      </w:tr>
      <w:tr>
        <w:trPr>
          <w:trHeight w:val="214"/>
        </w:trPr>
        <w:tc>
          <w:tcPr>
            <w:tcW w:w="860" w:type="dxa"/>
            <w:vAlign w:val="bottom"/>
          </w:tcPr>
          <w:p>
            <w:pPr>
              <w:spacing w:after="0"/>
              <w:rPr>
                <w:sz w:val="20"/>
                <w:szCs w:val="20"/>
                <w:color w:val="auto"/>
              </w:rPr>
            </w:pPr>
            <w:r>
              <w:rPr>
                <w:rFonts w:ascii="Arial" w:cs="Arial" w:eastAsia="Arial" w:hAnsi="Arial"/>
                <w:sz w:val="18"/>
                <w:szCs w:val="18"/>
                <w:color w:val="auto"/>
              </w:rPr>
              <w:t>2022</w:t>
            </w:r>
          </w:p>
        </w:tc>
        <w:tc>
          <w:tcPr>
            <w:tcW w:w="58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240,000</w:t>
            </w:r>
          </w:p>
        </w:tc>
      </w:tr>
      <w:tr>
        <w:trPr>
          <w:trHeight w:val="214"/>
        </w:trPr>
        <w:tc>
          <w:tcPr>
            <w:tcW w:w="860" w:type="dxa"/>
            <w:vAlign w:val="bottom"/>
          </w:tcPr>
          <w:p>
            <w:pPr>
              <w:spacing w:after="0"/>
              <w:rPr>
                <w:sz w:val="20"/>
                <w:szCs w:val="20"/>
                <w:color w:val="auto"/>
              </w:rPr>
            </w:pPr>
            <w:r>
              <w:rPr>
                <w:rFonts w:ascii="Arial" w:cs="Arial" w:eastAsia="Arial" w:hAnsi="Arial"/>
                <w:sz w:val="18"/>
                <w:szCs w:val="18"/>
                <w:color w:val="auto"/>
              </w:rPr>
              <w:t>2023</w:t>
            </w:r>
          </w:p>
        </w:tc>
        <w:tc>
          <w:tcPr>
            <w:tcW w:w="58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240,000</w:t>
            </w:r>
          </w:p>
        </w:tc>
      </w:tr>
      <w:tr>
        <w:trPr>
          <w:trHeight w:val="227"/>
        </w:trPr>
        <w:tc>
          <w:tcPr>
            <w:tcW w:w="67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2,664,000</w:t>
            </w:r>
          </w:p>
        </w:tc>
      </w:tr>
      <w:tr>
        <w:trPr>
          <w:trHeight w:val="222"/>
        </w:trPr>
        <w:tc>
          <w:tcPr>
            <w:tcW w:w="6720" w:type="dxa"/>
            <w:vAlign w:val="bottom"/>
            <w:gridSpan w:val="2"/>
          </w:tcPr>
          <w:p>
            <w:pPr>
              <w:spacing w:after="0"/>
              <w:rPr>
                <w:sz w:val="20"/>
                <w:szCs w:val="20"/>
                <w:color w:val="auto"/>
              </w:rPr>
            </w:pPr>
            <w:r>
              <w:rPr>
                <w:rFonts w:ascii="Arial" w:cs="Arial" w:eastAsia="Arial" w:hAnsi="Arial"/>
                <w:sz w:val="18"/>
                <w:szCs w:val="18"/>
                <w:color w:val="auto"/>
              </w:rPr>
              <w:t>Total minimum rentals</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6,489,000</w:t>
            </w:r>
          </w:p>
        </w:tc>
      </w:tr>
      <w:tr>
        <w:trPr>
          <w:trHeight w:val="20"/>
        </w:trPr>
        <w:tc>
          <w:tcPr>
            <w:tcW w:w="8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440" w:right="420"/>
        <w:spacing w:after="0" w:line="271" w:lineRule="auto"/>
        <w:rPr>
          <w:sz w:val="20"/>
          <w:szCs w:val="20"/>
          <w:color w:val="auto"/>
        </w:rPr>
      </w:pPr>
      <w:r>
        <w:rPr>
          <w:rFonts w:ascii="Arial" w:cs="Arial" w:eastAsia="Arial" w:hAnsi="Arial"/>
          <w:sz w:val="18"/>
          <w:szCs w:val="18"/>
          <w:color w:val="auto"/>
        </w:rPr>
        <w:t>Rent expense for the year ended September 30, 2018 was approximately $1,590,000 and is included in operating expenses on the accompanying consolidated statement of operations.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2240" w:h="15840" w:orient="portrait"/>
          <w:cols w:equalWidth="0" w:num="1">
            <w:col w:w="11160"/>
          </w:cols>
          <w:pgMar w:left="520" w:top="128" w:right="560"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SUPERIOR DIGITAL DISPLAYS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J - 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ONTINGENCIES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p>
      <w:pPr>
        <w:spacing w:after="0" w:line="154" w:lineRule="exact"/>
        <w:rPr>
          <w:sz w:val="20"/>
          <w:szCs w:val="20"/>
          <w:color w:val="auto"/>
        </w:rPr>
      </w:pPr>
    </w:p>
    <w:p>
      <w:pPr>
        <w:ind w:left="440" w:hanging="440"/>
        <w:spacing w:after="0"/>
        <w:tabs>
          <w:tab w:leader="none" w:pos="4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agreements:</w:t>
      </w:r>
    </w:p>
    <w:p>
      <w:pPr>
        <w:spacing w:after="0" w:line="118" w:lineRule="exact"/>
        <w:rPr>
          <w:rFonts w:ascii="Arial" w:cs="Arial" w:eastAsia="Arial" w:hAnsi="Arial"/>
          <w:sz w:val="18"/>
          <w:szCs w:val="18"/>
          <w:b w:val="1"/>
          <w:bCs w:val="1"/>
          <w:color w:val="auto"/>
        </w:rPr>
      </w:pPr>
    </w:p>
    <w:p>
      <w:pPr>
        <w:ind w:left="44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employment agreements with certain executive officers. As applicable, the agreements include an annual compensation amount, sales commissions, and the terms of an annual incentive bonus under the Company’s Management Bonus Plan as further defined in the agreements.</w:t>
      </w:r>
    </w:p>
    <w:p>
      <w:pPr>
        <w:spacing w:after="0" w:line="7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6"/>
          <w:szCs w:val="16"/>
          <w:color w:val="auto"/>
        </w:rPr>
        <w:t>On January 31, 2017, the Company entered into a separation agreement that calls for continuation of compensation as severance pay for 12 months.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K - M</w:t>
      </w:r>
      <w:r>
        <w:rPr>
          <w:rFonts w:ascii="Arial" w:cs="Arial" w:eastAsia="Arial" w:hAnsi="Arial"/>
          <w:sz w:val="14"/>
          <w:szCs w:val="14"/>
          <w:b w:val="1"/>
          <w:bCs w:val="1"/>
          <w:color w:val="auto"/>
        </w:rPr>
        <w:t>AJOR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USTOMERS</w:t>
      </w:r>
    </w:p>
    <w:p>
      <w:pPr>
        <w:spacing w:after="0" w:line="118"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For the year ended September 30, 2018, two customers accounted for approximately 54% of the Company’s total revenues. These same customers accounted for approximately 43% of accounts receivable as of September 30, 2018.</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sectPr>
      <w:pgSz w:w="12240" w:h="15840" w:orient="portrait"/>
      <w:cols w:equalWidth="0" w:num="1">
        <w:col w:w="11160"/>
      </w:cols>
      <w:pgMar w:left="520" w:top="129"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1)"/>
      <w:numFmt w:val="decimal"/>
      <w:start w:val="1"/>
    </w:lvl>
  </w:abstractNum>
  <w:abstractNum w:abstractNumId="2">
    <w:nsid w:val="11447B73"/>
    <w:multiLevelType w:val="hybridMultilevel"/>
    <w:lvl w:ilvl="0">
      <w:lvlJc w:val="left"/>
      <w:lvlText w:val="(%1)"/>
      <w:numFmt w:val="decimal"/>
      <w:start w:val="1"/>
    </w:lvl>
  </w:abstractNum>
  <w:abstractNum w:abstractNumId="3">
    <w:nsid w:val="42963E5A"/>
    <w:multiLevelType w:val="hybridMultilevel"/>
    <w:lvl w:ilvl="0">
      <w:lvlJc w:val="left"/>
      <w:lvlText w:val="(%1)"/>
      <w:numFmt w:val="decimal"/>
      <w:start w:val="7"/>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1)"/>
      <w:numFmt w:val="decimal"/>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1."/>
      <w:numFmt w:val="decimal"/>
      <w:start w:val="1"/>
    </w:lvl>
  </w:abstractNum>
  <w:abstractNum w:abstractNumId="10">
    <w:nsid w:val="60B6DF70"/>
    <w:multiLevelType w:val="hybridMultilevel"/>
    <w:lvl w:ilvl="0">
      <w:lvlJc w:val="left"/>
      <w:lvlText w:val="%1."/>
      <w:numFmt w:val="decimal"/>
      <w:start w:val="2"/>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1)"/>
      <w:numFmt w:val="upperLetter"/>
      <w:start w:val="2"/>
    </w:lvl>
  </w:abstractNum>
  <w:abstractNum w:abstractNumId="19">
    <w:nsid w:val="6F6DD9AC"/>
    <w:multiLevelType w:val="hybridMultilevel"/>
    <w:lvl w:ilvl="0">
      <w:lvlJc w:val="left"/>
      <w:lvlText w:val="(%1)"/>
      <w:numFmt w:val="decimal"/>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1)"/>
      <w:numFmt w:val="decimal"/>
      <w:start w:val="1"/>
    </w:lvl>
  </w:abstractNum>
  <w:abstractNum w:abstractNumId="24">
    <w:nsid w:val="1716703B"/>
    <w:multiLevelType w:val="hybridMultilevel"/>
    <w:lvl w:ilvl="0">
      <w:lvlJc w:val="left"/>
      <w:lvlText w:val="(%1)"/>
      <w:numFmt w:val="decimal"/>
      <w:start w:val="4"/>
    </w:lvl>
  </w:abstractNum>
  <w:abstractNum w:abstractNumId="25">
    <w:nsid w:val="14E17E33"/>
    <w:multiLevelType w:val="hybridMultilevel"/>
    <w:lvl w:ilvl="0">
      <w:lvlJc w:val="left"/>
      <w:lvlText w:val="(%1)"/>
      <w:numFmt w:val="decimal"/>
      <w:start w:val="1"/>
    </w:lvl>
  </w:abstractNum>
  <w:abstractNum w:abstractNumId="26">
    <w:nsid w:val="3222E7CD"/>
    <w:multiLevelType w:val="hybridMultilevel"/>
    <w:lvl w:ilvl="0">
      <w:lvlJc w:val="left"/>
      <w:lvlText w:val="%1."/>
      <w:numFmt w:val="decimal"/>
      <w:start w:val="1"/>
    </w:lvl>
  </w:abstractNum>
  <w:abstractNum w:abstractNumId="27">
    <w:nsid w:val="74DE0EE3"/>
    <w:multiLevelType w:val="hybridMultilevel"/>
    <w:lvl w:ilvl="0">
      <w:lvlJc w:val="left"/>
      <w:lvlText w:val="(%1)"/>
      <w:numFmt w:val="decimal"/>
      <w:start w:val="1"/>
    </w:lvl>
  </w:abstractNum>
  <w:abstractNum w:abstractNumId="28">
    <w:nsid w:val="68EBC550"/>
    <w:multiLevelType w:val="hybridMultilevel"/>
    <w:lvl w:ilvl="0">
      <w:lvlJc w:val="left"/>
      <w:lvlText w:val="(%1)"/>
      <w:numFmt w:val="decimal"/>
      <w:start w:val="1"/>
    </w:lvl>
  </w:abstractNum>
  <w:abstractNum w:abstractNumId="29">
    <w:nsid w:val="2DF6D648"/>
    <w:multiLevelType w:val="hybridMultilevel"/>
    <w:lvl w:ilvl="0">
      <w:lvlJc w:val="left"/>
      <w:lvlText w:val="(%1)"/>
      <w:numFmt w:val="decimal"/>
      <w:start w:val="1"/>
    </w:lvl>
  </w:abstractNum>
  <w:abstractNum w:abstractNumId="30">
    <w:nsid w:val="46B7D447"/>
    <w:multiLevelType w:val="hybridMultilevel"/>
    <w:lvl w:ilvl="0">
      <w:lvlJc w:val="left"/>
      <w:lvlText w:val="(%1)"/>
      <w:numFmt w:val="decimal"/>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1)"/>
      <w:numFmt w:val="lowerLetter"/>
      <w:start w:val="2"/>
    </w:lvl>
    <w:lvl w:ilvl="1">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1)"/>
      <w:numFmt w:val="decimal"/>
      <w:start w:val="1"/>
    </w:lvl>
  </w:abstractNum>
  <w:abstractNum w:abstractNumId="40">
    <w:nsid w:val="7055A5F5"/>
    <w:multiLevelType w:val="hybridMultilevel"/>
    <w:lvl w:ilvl="0">
      <w:lvlJc w:val="left"/>
      <w:lvlText w:val="(%1)"/>
      <w:numFmt w:val="decimal"/>
      <w:start w:val="1"/>
    </w:lvl>
  </w:abstractNum>
  <w:abstractNum w:abstractNumId="41">
    <w:nsid w:val="5FB8370B"/>
    <w:multiLevelType w:val="hybridMultilevel"/>
    <w:lvl w:ilvl="0">
      <w:lvlJc w:val="left"/>
      <w:lvlText w:val="(%1)"/>
      <w:numFmt w:val="decimal"/>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1)"/>
      <w:numFmt w:val="decimal"/>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
      <w:numFmt w:val="bullet"/>
      <w:start w:val="1"/>
    </w:lvl>
    <w:lvl w:ilvl="1">
      <w:lvlJc w:val="left"/>
      <w:lvlText w:val="="/>
      <w:numFmt w:val="bullet"/>
      <w:start w:val="1"/>
    </w:lvl>
  </w:abstractNum>
  <w:abstractNum w:abstractNumId="47">
    <w:nsid w:val="6FC75AF8"/>
    <w:multiLevelType w:val="hybridMultilevel"/>
    <w:lvl w:ilvl="0">
      <w:lvlJc w:val="left"/>
      <w:lvlText w:val="(%1)"/>
      <w:numFmt w:val="decimal"/>
      <w:start w:val="1"/>
    </w:lvl>
  </w:abstractNum>
  <w:abstractNum w:abstractNumId="48">
    <w:nsid w:val="6A5F7029"/>
    <w:multiLevelType w:val="hybridMultilevel"/>
    <w:lvl w:ilvl="0">
      <w:lvlJc w:val="left"/>
      <w:lvlText w:val="(%1)"/>
      <w:numFmt w:val="decimal"/>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
      <w:numFmt w:val="bullet"/>
      <w:start w:val="1"/>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1)"/>
      <w:numFmt w:val="decimal"/>
      <w:start w:val="3"/>
    </w:lvl>
  </w:abstractNum>
  <w:abstractNum w:abstractNumId="77">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8">
    <w:nsid w:val="4BD8591A"/>
    <w:multiLevelType w:val="hybridMultilevel"/>
    <w:lvl w:ilvl="0">
      <w:lvlJc w:val="left"/>
      <w:lvlText w:val="(%1)"/>
      <w:numFmt w:val="decimal"/>
      <w:start w:val="2"/>
    </w:lvl>
  </w:abstractNum>
  <w:abstractNum w:abstractNumId="79">
    <w:nsid w:val="78DF6A55"/>
    <w:multiLevelType w:val="hybridMultilevel"/>
    <w:lvl w:ilvl="0">
      <w:lvlJc w:val="left"/>
      <w:lvlText w:val="•"/>
      <w:numFmt w:val="bullet"/>
      <w:start w:val="1"/>
    </w:lvl>
  </w:abstractNum>
  <w:abstractNum w:abstractNumId="80">
    <w:nsid w:val="39B7AAA2"/>
    <w:multiLevelType w:val="hybridMultilevel"/>
    <w:lvl w:ilvl="0">
      <w:lvlJc w:val="left"/>
      <w:lvlText w:val="•"/>
      <w:numFmt w:val="bullet"/>
      <w:start w:val="1"/>
    </w:lvl>
  </w:abstractNum>
  <w:abstractNum w:abstractNumId="81">
    <w:nsid w:val="2B0D8DBE"/>
    <w:multiLevelType w:val="hybridMultilevel"/>
    <w:lvl w:ilvl="0">
      <w:lvlJc w:val="left"/>
      <w:lvlText w:val="•"/>
      <w:numFmt w:val="bullet"/>
      <w:start w:val="1"/>
    </w:lvl>
  </w:abstractNum>
  <w:abstractNum w:abstractNumId="82">
    <w:nsid w:val="6C80EC70"/>
    <w:multiLevelType w:val="hybridMultilevel"/>
    <w:lvl w:ilvl="0">
      <w:lvlJc w:val="left"/>
      <w:lvlText w:val="•"/>
      <w:numFmt w:val="bullet"/>
      <w:start w:val="1"/>
    </w:lvl>
    <w:lvl w:ilvl="1">
      <w:lvlJc w:val="left"/>
      <w:lvlText w:val="%2)"/>
      <w:numFmt w:val="decimal"/>
      <w:start w:val="1"/>
    </w:lvl>
  </w:abstractNum>
  <w:abstractNum w:abstractNumId="83">
    <w:nsid w:val="379E21B5"/>
    <w:multiLevelType w:val="hybridMultilevel"/>
    <w:lvl w:ilvl="0">
      <w:lvlJc w:val="left"/>
      <w:lvlText w:val="•"/>
      <w:numFmt w:val="bullet"/>
      <w:start w:val="1"/>
    </w:lvl>
  </w:abstractNum>
  <w:abstractNum w:abstractNumId="84">
    <w:nsid w:val="69E373"/>
    <w:multiLevelType w:val="hybridMultilevel"/>
    <w:lvl w:ilvl="0">
      <w:lvlJc w:val="left"/>
      <w:lvlText w:val="(%1)"/>
      <w:numFmt w:val="decimal"/>
      <w:start w:val="1"/>
    </w:lvl>
  </w:abstractNum>
  <w:abstractNum w:abstractNumId="85">
    <w:nsid w:val="2C27173B"/>
    <w:multiLevelType w:val="hybridMultilevel"/>
    <w:lvl w:ilvl="0">
      <w:lvlJc w:val="left"/>
      <w:lvlText w:val="(%1)"/>
      <w:numFmt w:val="decimal"/>
      <w:start w:val="1"/>
    </w:lvl>
  </w:abstractNum>
  <w:abstractNum w:abstractNumId="86">
    <w:nsid w:val="4C9B0904"/>
    <w:multiLevelType w:val="hybridMultilevel"/>
    <w:lvl w:ilvl="0">
      <w:lvlJc w:val="left"/>
      <w:lvlText w:val="(%1)"/>
      <w:numFmt w:val="decimal"/>
      <w:start w:val="7"/>
    </w:lvl>
  </w:abstractNum>
  <w:abstractNum w:abstractNumId="87">
    <w:nsid w:val="6AA7B75C"/>
    <w:multiLevelType w:val="hybridMultilevel"/>
    <w:lvl w:ilvl="0">
      <w:lvlJc w:val="left"/>
      <w:lvlText w:val="(%1)"/>
      <w:numFmt w:val="decimal"/>
      <w:start w:val="1"/>
    </w:lvl>
  </w:abstractNum>
  <w:abstractNum w:abstractNumId="88">
    <w:nsid w:val="1DF029D3"/>
    <w:multiLevelType w:val="hybridMultilevel"/>
    <w:lvl w:ilvl="0">
      <w:lvlJc w:val="left"/>
      <w:lvlText w:val="%1."/>
      <w:numFmt w:val="decimal"/>
      <w:start w:val="1"/>
    </w:lvl>
  </w:abstractNum>
  <w:abstractNum w:abstractNumId="89">
    <w:nsid w:val="5675FF36"/>
    <w:multiLevelType w:val="hybridMultilevel"/>
    <w:lvl w:ilvl="0">
      <w:lvlJc w:val="left"/>
      <w:lvlText w:val="(%1)"/>
      <w:numFmt w:val="decimal"/>
      <w:start w:val="1"/>
    </w:lvl>
  </w:abstractNum>
  <w:abstractNum w:abstractNumId="90">
    <w:nsid w:val="3DD15094"/>
    <w:multiLevelType w:val="hybridMultilevel"/>
    <w:lvl w:ilvl="0">
      <w:lvlJc w:val="left"/>
      <w:lvlText w:val="(%1)"/>
      <w:numFmt w:val="decimal"/>
      <w:start w:val="1"/>
    </w:lvl>
  </w:abstractNum>
  <w:abstractNum w:abstractNumId="91">
    <w:nsid w:val="3DB012B3"/>
    <w:multiLevelType w:val="hybridMultilevel"/>
    <w:lvl w:ilvl="0">
      <w:lvlJc w:val="left"/>
      <w:lvlText w:val="*"/>
      <w:numFmt w:val="bullet"/>
      <w:start w:val="1"/>
    </w:lvl>
  </w:abstractNum>
  <w:abstractNum w:abstractNumId="92">
    <w:nsid w:val="2708C9AF"/>
    <w:multiLevelType w:val="hybridMultilevel"/>
    <w:lvl w:ilvl="0">
      <w:lvlJc w:val="left"/>
      <w:lvlText w:val="(%1)"/>
      <w:numFmt w:val="decimal"/>
      <w:start w:val="1"/>
    </w:lvl>
  </w:abstractNum>
  <w:abstractNum w:abstractNumId="93">
    <w:nsid w:val="5B25ACE2"/>
    <w:multiLevelType w:val="hybridMultilevel"/>
    <w:lvl w:ilvl="0">
      <w:lvlJc w:val="left"/>
      <w:lvlText w:val="(%1)"/>
      <w:numFmt w:val="decimal"/>
      <w:start w:val="1"/>
    </w:lvl>
  </w:abstractNum>
  <w:abstractNum w:abstractNumId="94">
    <w:nsid w:val="175DFCF0"/>
    <w:multiLevelType w:val="hybridMultilevel"/>
    <w:lvl w:ilvl="0">
      <w:lvlJc w:val="left"/>
      <w:lvlText w:val="(%1)"/>
      <w:numFmt w:val="decimal"/>
      <w:start w:val="1"/>
    </w:lvl>
  </w:abstractNum>
  <w:abstractNum w:abstractNumId="95">
    <w:nsid w:val="4F97E3E4"/>
    <w:multiLevelType w:val="hybridMultilevel"/>
    <w:lvl w:ilvl="0">
      <w:lvlJc w:val="left"/>
      <w:lvlText w:val="(%1)"/>
      <w:numFmt w:val="decimal"/>
      <w:start w:val="7"/>
    </w:lvl>
  </w:abstractNum>
  <w:abstractNum w:abstractNumId="96">
    <w:nsid w:val="53B0A9E"/>
    <w:multiLevelType w:val="hybridMultilevel"/>
    <w:lvl w:ilvl="0">
      <w:lvlJc w:val="left"/>
      <w:lvlText w:val="(%1)"/>
      <w:numFmt w:val="decimal"/>
      <w:start w:val="1"/>
    </w:lvl>
  </w:abstractNum>
  <w:abstractNum w:abstractNumId="97">
    <w:nsid w:val="34FD6B4F"/>
    <w:multiLevelType w:val="hybridMultilevel"/>
    <w:lvl w:ilvl="0">
      <w:lvlJc w:val="left"/>
      <w:lvlText w:val="(%1)"/>
      <w:numFmt w:val="decimal"/>
      <w:start w:val="11"/>
    </w:lvl>
  </w:abstractNum>
  <w:abstractNum w:abstractNumId="98">
    <w:nsid w:val="5915FF32"/>
    <w:multiLevelType w:val="hybridMultilevel"/>
    <w:lvl w:ilvl="0">
      <w:lvlJc w:val="left"/>
      <w:lvlText w:val="(%1)"/>
      <w:numFmt w:val="decimal"/>
      <w:start w:val="1"/>
    </w:lvl>
  </w:abstractNum>
  <w:abstractNum w:abstractNumId="99">
    <w:nsid w:val="56438D15"/>
    <w:multiLevelType w:val="hybridMultilevel"/>
    <w:lvl w:ilvl="0">
      <w:lvlJc w:val="left"/>
      <w:lvlText w:val="%1."/>
      <w:numFmt w:val="decimal"/>
      <w:start w:val="1"/>
    </w:lvl>
  </w:abstractNum>
  <w:abstractNum w:abstractNumId="100">
    <w:nsid w:val="519E3149"/>
    <w:multiLevelType w:val="hybridMultilevel"/>
    <w:lvl w:ilvl="0">
      <w:lvlJc w:val="left"/>
      <w:lvlText w:val="(%1)"/>
      <w:numFmt w:val="decimal"/>
      <w:start w:val="1"/>
    </w:lvl>
  </w:abstractNum>
  <w:abstractNum w:abstractNumId="101">
    <w:nsid w:val="2C6E4AFD"/>
    <w:multiLevelType w:val="hybridMultilevel"/>
    <w:lvl w:ilvl="0">
      <w:lvlJc w:val="left"/>
      <w:lvlText w:val="(%1)"/>
      <w:numFmt w:val="decimal"/>
      <w:start w:val="1"/>
    </w:lvl>
  </w:abstractNum>
  <w:abstractNum w:abstractNumId="102">
    <w:nsid w:val="17A1B582"/>
    <w:multiLevelType w:val="hybridMultilevel"/>
    <w:lvl w:ilvl="0">
      <w:lvlJc w:val="left"/>
      <w:lvlText w:val="(%1)"/>
      <w:numFmt w:val="decimal"/>
      <w:start w:val="1"/>
    </w:lvl>
  </w:abstractNum>
  <w:abstractNum w:abstractNumId="103">
    <w:nsid w:val="4DF72E4E"/>
    <w:multiLevelType w:val="hybridMultilevel"/>
    <w:lvl w:ilvl="0">
      <w:lvlJc w:val="left"/>
      <w:lvlText w:val="(%1)"/>
      <w:numFmt w:val="decimal"/>
      <w:start w:val="8"/>
    </w:lvl>
  </w:abstractNum>
  <w:abstractNum w:abstractNumId="104">
    <w:nsid w:val="5046B5A9"/>
    <w:multiLevelType w:val="hybridMultilevel"/>
    <w:lvl w:ilvl="0">
      <w:lvlJc w:val="left"/>
      <w:lvlText w:val="(%1)"/>
      <w:numFmt w:val="decimal"/>
      <w:start w:val="1"/>
    </w:lvl>
  </w:abstractNum>
  <w:abstractNum w:abstractNumId="105">
    <w:nsid w:val="5D888A08"/>
    <w:multiLevelType w:val="hybridMultilevel"/>
    <w:lvl w:ilvl="0">
      <w:lvlJc w:val="left"/>
      <w:lvlText w:val="(%1)"/>
      <w:numFmt w:val="decimal"/>
      <w:start w:val="1"/>
    </w:lvl>
  </w:abstractNum>
  <w:abstractNum w:abstractNumId="106">
    <w:nsid w:val="2A082C70"/>
    <w:multiLevelType w:val="hybridMultilevel"/>
    <w:lvl w:ilvl="0">
      <w:lvlJc w:val="left"/>
      <w:lvlText w:val="1"/>
      <w:numFmt w:val="bullet"/>
      <w:start w:val="1"/>
    </w:lvl>
  </w:abstractNum>
  <w:abstractNum w:abstractNumId="107">
    <w:nsid w:val="5EC6AFD4"/>
    <w:multiLevelType w:val="hybridMultilevel"/>
    <w:lvl w:ilvl="0">
      <w:lvlJc w:val="left"/>
      <w:lvlText w:val="2"/>
      <w:numFmt w:val="bullet"/>
      <w:start w:val="1"/>
    </w:lvl>
  </w:abstractNum>
  <w:abstractNum w:abstractNumId="108">
    <w:nsid w:val="19E21BB2"/>
    <w:multiLevelType w:val="hybridMultilevel"/>
    <w:lvl w:ilvl="0">
      <w:lvlJc w:val="left"/>
      <w:lvlText w:val="(%1)"/>
      <w:numFmt w:val="lowerLetter"/>
      <w:start w:val="1"/>
    </w:lvl>
  </w:abstractNum>
  <w:abstractNum w:abstractNumId="109">
    <w:nsid w:val="75E0858A"/>
    <w:multiLevelType w:val="hybridMultilevel"/>
    <w:lvl w:ilvl="0">
      <w:lvlJc w:val="left"/>
      <w:lvlText w:val="(%1)"/>
      <w:numFmt w:val="lowerLetter"/>
      <w:start w:val="5"/>
    </w:lvl>
  </w:abstractNum>
  <w:abstractNum w:abstractNumId="110">
    <w:nsid w:val="57A61A29"/>
    <w:multiLevelType w:val="hybridMultilevel"/>
    <w:lvl w:ilvl="0">
      <w:lvlJc w:val="left"/>
      <w:lvlText w:val="(%1)"/>
      <w:numFmt w:val="lowerLetter"/>
      <w:start w:val="10"/>
    </w:lvl>
  </w:abstractNum>
  <w:abstractNum w:abstractNumId="111">
    <w:nsid w:val="5399C654"/>
    <w:multiLevelType w:val="hybridMultilevel"/>
    <w:lvl w:ilvl="0">
      <w:lvlJc w:val="left"/>
      <w:lvlText w:val="2"/>
      <w:numFmt w:val="bullet"/>
      <w:start w:val="1"/>
    </w:lvl>
  </w:abstractNum>
  <w:abstractNum w:abstractNumId="112">
    <w:nsid w:val="20EE1348"/>
    <w:multiLevelType w:val="hybridMultilevel"/>
    <w:lvl w:ilvl="0">
      <w:lvlJc w:val="left"/>
      <w:lvlText w:val="(%1)"/>
      <w:numFmt w:val="lowerLetter"/>
      <w:start w:val="18"/>
    </w:lvl>
  </w:abstractNum>
  <w:abstractNum w:abstractNumId="113">
    <w:nsid w:val="4427069A"/>
    <w:multiLevelType w:val="hybridMultilevel"/>
    <w:lvl w:ilvl="0">
      <w:lvlJc w:val="left"/>
      <w:lvlText w:val="2"/>
      <w:numFmt w:val="bullet"/>
      <w:start w:val="1"/>
    </w:lvl>
  </w:abstractNum>
  <w:abstractNum w:abstractNumId="114">
    <w:nsid w:val="B37E80A"/>
    <w:multiLevelType w:val="hybridMultilevel"/>
    <w:lvl w:ilvl="0">
      <w:lvlJc w:val="left"/>
      <w:lvlText w:val="$"/>
      <w:numFmt w:val="bullet"/>
      <w:start w:val="1"/>
    </w:lvl>
  </w:abstractNum>
  <w:abstractNum w:abstractNumId="115">
    <w:nsid w:val="2157F6BC"/>
    <w:multiLevelType w:val="hybridMultilevel"/>
    <w:lvl w:ilvl="0">
      <w:lvlJc w:val="left"/>
      <w:lvlText w:val="$"/>
      <w:numFmt w:val="bullet"/>
      <w:start w:val="1"/>
    </w:lvl>
  </w:abstractNum>
  <w:abstractNum w:abstractNumId="116">
    <w:nsid w:val="704E1DD5"/>
    <w:multiLevelType w:val="hybridMultilevel"/>
    <w:lvl w:ilvl="0">
      <w:lvlJc w:val="left"/>
      <w:lvlText w:val="*"/>
      <w:numFmt w:val="bullet"/>
      <w:start w:val="1"/>
    </w:lvl>
  </w:abstractNum>
  <w:abstractNum w:abstractNumId="117">
    <w:nsid w:val="57D2F10E"/>
    <w:multiLevelType w:val="hybridMultilevel"/>
    <w:lvl w:ilvl="0">
      <w:lvlJc w:val="left"/>
      <w:lvlText w:val="(%1)"/>
      <w:numFmt w:val="decimal"/>
      <w:start w:val="1"/>
    </w:lvl>
  </w:abstractNum>
  <w:abstractNum w:abstractNumId="118">
    <w:nsid w:val="BFFAE18"/>
    <w:multiLevelType w:val="hybridMultilevel"/>
    <w:lvl w:ilvl="0">
      <w:lvlJc w:val="left"/>
      <w:lvlText w:val="(%1)"/>
      <w:numFmt w:val="decimal"/>
      <w:start w:val="1"/>
    </w:lvl>
    <w:lvl w:ilvl="1">
      <w:lvlJc w:val="left"/>
      <w:lvlText w:val="(%2)"/>
      <w:numFmt w:val="decimal"/>
      <w:start w:val="3"/>
    </w:lvl>
  </w:abstractNum>
  <w:abstractNum w:abstractNumId="119">
    <w:nsid w:val="E3E47A8"/>
    <w:multiLevelType w:val="hybridMultilevel"/>
    <w:lvl w:ilvl="0">
      <w:lvlJc w:val="left"/>
      <w:lvlText w:val="(%1)"/>
      <w:numFmt w:val="decimal"/>
      <w:start w:val="1"/>
    </w:lvl>
  </w:abstractNum>
  <w:abstractNum w:abstractNumId="120">
    <w:nsid w:val="2E48F044"/>
    <w:multiLevelType w:val="hybridMultilevel"/>
    <w:lvl w:ilvl="0">
      <w:lvlJc w:val="left"/>
      <w:lvlText w:val="(%1)"/>
      <w:numFmt w:val="lowerRoman"/>
      <w:start w:val="1"/>
    </w:lvl>
  </w:abstractNum>
  <w:abstractNum w:abstractNumId="121">
    <w:nsid w:val="49D0FEAC"/>
    <w:multiLevelType w:val="hybridMultilevel"/>
    <w:lvl w:ilvl="0">
      <w:lvlJc w:val="left"/>
      <w:lvlText w:val="(%1)"/>
      <w:numFmt w:val="lowerLetter"/>
      <w:start w:val="2"/>
    </w:lvl>
  </w:abstractNum>
  <w:abstractNum w:abstractNumId="122">
    <w:nsid w:val="4BEE5A5B"/>
    <w:multiLevelType w:val="hybridMultilevel"/>
    <w:lvl w:ilvl="0">
      <w:lvlJc w:val="left"/>
      <w:lvlText w:val="(%1)"/>
      <w:numFmt w:val="lowerRoman"/>
      <w:start w:val="1"/>
    </w:lvl>
  </w:abstractNum>
  <w:abstractNum w:abstractNumId="123">
    <w:nsid w:val="5551B9F3"/>
    <w:multiLevelType w:val="hybridMultilevel"/>
    <w:lvl w:ilvl="0">
      <w:lvlJc w:val="left"/>
      <w:lvlText w:val="%1"/>
      <w:numFmt w:val="decimal"/>
      <w:start w:val="1"/>
    </w:lvl>
    <w:lvl w:ilvl="1">
      <w:lvlJc w:val="left"/>
      <w:lvlText w:val="(%2)"/>
      <w:numFmt w:val="lowerLetter"/>
      <w:start w:val="2"/>
    </w:lvl>
  </w:abstractNum>
  <w:abstractNum w:abstractNumId="124">
    <w:nsid w:val="24F6AB8E"/>
    <w:multiLevelType w:val="hybridMultilevel"/>
    <w:lvl w:ilvl="0">
      <w:lvlJc w:val="left"/>
      <w:lvlText w:val="(%1)"/>
      <w:numFmt w:val="decimal"/>
      <w:start w:val="6"/>
    </w:lvl>
    <w:lvl w:ilvl="1">
      <w:lvlJc w:val="left"/>
      <w:lvlText w:val="%2"/>
      <w:numFmt w:val="lowerLetter"/>
      <w:start w:val="1"/>
    </w:lvl>
  </w:abstractNum>
  <w:abstractNum w:abstractNumId="125">
    <w:nsid w:val="634C574C"/>
    <w:multiLevelType w:val="hybridMultilevel"/>
    <w:lvl w:ilvl="0">
      <w:lvlJc w:val="left"/>
      <w:lvlText w:val="(%1)"/>
      <w:numFmt w:val="decimal"/>
      <w:start w:val="8"/>
    </w:lvl>
  </w:abstractNum>
  <w:abstractNum w:abstractNumId="126">
    <w:nsid w:val="24E99DD7"/>
    <w:multiLevelType w:val="hybridMultilevel"/>
    <w:lvl w:ilvl="0">
      <w:lvlJc w:val="left"/>
      <w:lvlText w:val="%1."/>
      <w:numFmt w:val="decimal"/>
      <w:start w:val="1"/>
    </w:lvl>
  </w:abstractNum>
  <w:abstractNum w:abstractNumId="127">
    <w:nsid w:val="2A31B62D"/>
    <w:multiLevelType w:val="hybridMultilevel"/>
    <w:lvl w:ilvl="0">
      <w:lvlJc w:val="left"/>
      <w:lvlText w:val="%1."/>
      <w:numFmt w:val="decimal"/>
      <w:start w:val="5"/>
    </w:lvl>
  </w:abstractNum>
  <w:abstractNum w:abstractNumId="128">
    <w:nsid w:val="1849C29B"/>
    <w:multiLevelType w:val="hybridMultilevel"/>
    <w:lvl w:ilvl="0">
      <w:lvlJc w:val="left"/>
      <w:lvlText w:val="%1."/>
      <w:numFmt w:val="decimal"/>
      <w:start w:val="1"/>
    </w:lvl>
  </w:abstractNum>
  <w:abstractNum w:abstractNumId="129">
    <w:nsid w:val="7DFF9D09"/>
    <w:multiLevelType w:val="hybridMultilevel"/>
    <w:lvl w:ilvl="0">
      <w:lvlJc w:val="left"/>
      <w:lvlText w:val="%1."/>
      <w:numFmt w:val="decimal"/>
      <w:start w:val="2"/>
    </w:lvl>
  </w:abstractNum>
  <w:abstractNum w:abstractNumId="130">
    <w:nsid w:val="754342"/>
    <w:multiLevelType w:val="hybridMultilevel"/>
    <w:lvl w:ilvl="0">
      <w:lvlJc w:val="left"/>
      <w:lvlText w:val="%1."/>
      <w:numFmt w:val="decimal"/>
      <w:start w:val="6"/>
    </w:lvl>
  </w:abstractNum>
  <w:abstractNum w:abstractNumId="131">
    <w:nsid w:val="69E7F3E5"/>
    <w:multiLevelType w:val="hybridMultilevel"/>
    <w:lvl w:ilvl="0">
      <w:lvlJc w:val="left"/>
      <w:lvlText w:val="%1."/>
      <w:numFmt w:val="decimal"/>
      <w:start w:val="1"/>
    </w:lvl>
  </w:abstractNum>
  <w:abstractNum w:abstractNumId="132">
    <w:nsid w:val="2A6DE806"/>
    <w:multiLevelType w:val="hybridMultilevel"/>
    <w:lvl w:ilvl="0">
      <w:lvlJc w:val="left"/>
      <w:lvlText w:val="%1."/>
      <w:numFmt w:val="decimal"/>
      <w:start w:val="6"/>
    </w:lvl>
  </w:abstractNum>
  <w:abstractNum w:abstractNumId="133">
    <w:nsid w:val="1816F8C4"/>
    <w:multiLevelType w:val="hybridMultilevel"/>
    <w:lvl w:ilvl="0">
      <w:lvlJc w:val="left"/>
      <w:lvlText w:val="%1."/>
      <w:numFmt w:val="decimal"/>
      <w:start w:val="7"/>
    </w:lvl>
  </w:abstractNum>
  <w:abstractNum w:abstractNumId="134">
    <w:nsid w:val="37DF2233"/>
    <w:multiLevelType w:val="hybridMultilevel"/>
    <w:lvl w:ilvl="0">
      <w:lvlJc w:val="left"/>
      <w:lvlText w:val="(%1)"/>
      <w:numFmt w:val="lowerRoman"/>
      <w:start w:val="1"/>
    </w:lvl>
  </w:abstractNum>
  <w:abstractNum w:abstractNumId="135">
    <w:nsid w:val="7AB49DAF"/>
    <w:multiLevelType w:val="hybridMultilevel"/>
    <w:lvl w:ilvl="0">
      <w:lvlJc w:val="left"/>
      <w:lvlText w:val="%1."/>
      <w:numFmt w:val="decimal"/>
      <w:start w:val="1"/>
    </w:lvl>
  </w:abstractNum>
  <w:abstractNum w:abstractNumId="136">
    <w:nsid w:val="759F82CD"/>
    <w:multiLevelType w:val="hybridMultilevel"/>
    <w:lvl w:ilvl="0">
      <w:lvlJc w:val="left"/>
      <w:lvlText w:val="(%1)"/>
      <w:numFmt w:val="lowerRoman"/>
      <w:start w:val="1"/>
    </w:lvl>
  </w:abstractNum>
  <w:abstractNum w:abstractNumId="137">
    <w:nsid w:val="61E74EA3"/>
    <w:multiLevelType w:val="hybridMultilevel"/>
    <w:lvl w:ilvl="0">
      <w:lvlJc w:val="left"/>
      <w:lvlText w:val="(%1)"/>
      <w:numFmt w:val="lowerRoman"/>
      <w:start w:val="8"/>
    </w:lvl>
  </w:abstractNum>
  <w:abstractNum w:abstractNumId="138">
    <w:nsid w:val="597B4D84"/>
    <w:multiLevelType w:val="hybridMultilevel"/>
    <w:lvl w:ilvl="0">
      <w:lvlJc w:val="left"/>
      <w:lvlText w:val="(%1)"/>
      <w:numFmt w:val="lowerRoman"/>
      <w:start w:val="3"/>
    </w:lvl>
  </w:abstractNum>
  <w:abstractNum w:abstractNumId="139">
    <w:nsid w:val="F819E7F"/>
    <w:multiLevelType w:val="hybridMultilevel"/>
    <w:lvl w:ilvl="0">
      <w:lvlJc w:val="left"/>
      <w:lvlText w:val="$"/>
      <w:numFmt w:val="bullet"/>
      <w:start w:val="1"/>
    </w:lvl>
  </w:abstractNum>
  <w:abstractNum w:abstractNumId="140">
    <w:nsid w:val="57C7D42D"/>
    <w:multiLevelType w:val="hybridMultilevel"/>
    <w:lvl w:ilvl="0">
      <w:lvlJc w:val="left"/>
      <w:lvlText w:val="[%1]"/>
      <w:numFmt w:val="decimal"/>
      <w:start w:val="1"/>
    </w:lvl>
  </w:abstractNum>
  <w:abstractNum w:abstractNumId="141">
    <w:nsid w:val="312167AD"/>
    <w:multiLevelType w:val="hybridMultilevel"/>
    <w:lvl w:ilvl="0">
      <w:lvlJc w:val="left"/>
      <w:lvlText w:val="[%1]"/>
      <w:numFmt w:val="decimal"/>
      <w:start w:val="2"/>
    </w:lvl>
  </w:abstractNum>
  <w:abstractNum w:abstractNumId="142">
    <w:nsid w:val="631B64D4"/>
    <w:multiLevelType w:val="hybridMultilevel"/>
    <w:lvl w:ilvl="0">
      <w:lvlJc w:val="left"/>
      <w:lvlText w:val="[%1]"/>
      <w:numFmt w:val="decimal"/>
      <w:start w:val="7"/>
    </w:lvl>
  </w:abstractNum>
  <w:abstractNum w:abstractNumId="143">
    <w:nsid w:val="78B5E776"/>
    <w:multiLevelType w:val="hybridMultilevel"/>
    <w:lvl w:ilvl="0">
      <w:lvlJc w:val="left"/>
      <w:lvlText w:val="[%1]"/>
      <w:numFmt w:val="decimal"/>
      <w:start w:val="9"/>
    </w:lvl>
  </w:abstractNum>
  <w:abstractNum w:abstractNumId="144">
    <w:nsid w:val="75486E47"/>
    <w:multiLevelType w:val="hybridMultilevel"/>
    <w:lvl w:ilvl="0">
      <w:lvlJc w:val="left"/>
      <w:lvlText w:val="[%1]"/>
      <w:numFmt w:val="decimal"/>
      <w:start w:val="10"/>
    </w:lvl>
  </w:abstractNum>
  <w:abstractNum w:abstractNumId="145">
    <w:nsid w:val="6E534CDE"/>
    <w:multiLevelType w:val="hybridMultilevel"/>
    <w:lvl w:ilvl="0">
      <w:lvlJc w:val="left"/>
      <w:lvlText w:val="[%1]"/>
      <w:numFmt w:val="decimal"/>
      <w:start w:val="12"/>
    </w:lvl>
  </w:abstractNum>
  <w:abstractNum w:abstractNumId="146">
    <w:nsid w:val="1A0DDE32"/>
    <w:multiLevelType w:val="hybridMultilevel"/>
    <w:lvl w:ilvl="0">
      <w:lvlJc w:val="left"/>
      <w:lvlText w:val="[%1]"/>
      <w:numFmt w:val="decimal"/>
      <w:start w:val="1"/>
    </w:lvl>
  </w:abstractNum>
  <w:abstractNum w:abstractNumId="147">
    <w:nsid w:val="65968C1C"/>
    <w:multiLevelType w:val="hybridMultilevel"/>
    <w:lvl w:ilvl="0">
      <w:lvlJc w:val="left"/>
      <w:lvlText w:val="[%1]"/>
      <w:numFmt w:val="decimal"/>
      <w:start w:val="2"/>
    </w:lvl>
  </w:abstractNum>
  <w:abstractNum w:abstractNumId="148">
    <w:nsid w:val="46263DEC"/>
    <w:multiLevelType w:val="hybridMultilevel"/>
    <w:lvl w:ilvl="0">
      <w:lvlJc w:val="left"/>
      <w:lvlText w:val="[%1]"/>
      <w:numFmt w:val="decimal"/>
      <w:start w:val="1"/>
    </w:lvl>
  </w:abstractNum>
  <w:abstractNum w:abstractNumId="149">
    <w:nsid w:val="260D8C4A"/>
    <w:multiLevelType w:val="hybridMultilevel"/>
    <w:lvl w:ilvl="0">
      <w:lvlJc w:val="left"/>
      <w:lvlText w:val="[%1]"/>
      <w:numFmt w:val="decimal"/>
      <w:start w:val="1"/>
    </w:lvl>
  </w:abstractNum>
  <w:abstractNum w:abstractNumId="150">
    <w:nsid w:val="73D4D3C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2019-12-15T15:12:04Z</dcterms:created>
  <dcterms:modified xsi:type="dcterms:W3CDTF">2019-12-15T15:12:04Z</dcterms:modified>
</cp:coreProperties>
</file>