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333-172524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January 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58420</wp:posOffset>
            </wp:positionV>
            <wp:extent cx="1414780"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3003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9,000,000 Shares</w:t>
      </w:r>
    </w:p>
    <w:p>
      <w:pPr>
        <w:spacing w:after="0" w:line="71"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$10.55 Per Share</w:t>
      </w:r>
    </w:p>
    <w:p>
      <w:pPr>
        <w:spacing w:after="0" w:line="90" w:lineRule="exact"/>
        <w:rPr>
          <w:sz w:val="24"/>
          <w:szCs w:val="24"/>
          <w:color w:val="auto"/>
        </w:rPr>
      </w:pPr>
    </w:p>
    <w:p>
      <w:pPr>
        <w:ind w:right="380" w:firstLine="456"/>
        <w:spacing w:after="0" w:line="306" w:lineRule="auto"/>
        <w:rPr>
          <w:sz w:val="20"/>
          <w:szCs w:val="20"/>
          <w:color w:val="auto"/>
        </w:rPr>
      </w:pPr>
      <w:r>
        <w:rPr>
          <w:rFonts w:ascii="Arial" w:cs="Arial" w:eastAsia="Arial" w:hAnsi="Arial"/>
          <w:sz w:val="16"/>
          <w:szCs w:val="16"/>
          <w:color w:val="auto"/>
        </w:rPr>
        <w:t>We are offering for sale 9,000,000 shares of our common stock. Our common stock is traded on the NASDAQ Global Select Market under the symbol “PNNT.” The last reported closing price for our common stock on January 23, 2012 was $10.78 per share. The net asset value of our common stock on September 30, 2011 (the last date prior to the date of this prospectus supplement on which we determined net asset value) was $10.13 per share.</w:t>
      </w:r>
    </w:p>
    <w:p>
      <w:pPr>
        <w:spacing w:after="0" w:line="26" w:lineRule="exact"/>
        <w:rPr>
          <w:sz w:val="24"/>
          <w:szCs w:val="24"/>
          <w:color w:val="auto"/>
        </w:rPr>
      </w:pPr>
    </w:p>
    <w:p>
      <w:pPr>
        <w:ind w:right="40" w:firstLine="456"/>
        <w:spacing w:after="0" w:line="294"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(“BDC”) under the Investment Company Act of 1940, as amended (the “1940 Act”). Our investment objectives are to generate both current income and capital appreciation through debt and equity investments primarily in U.S. middle-market private companies in the form of senior secured loans, mezzanine debt and equity investments. We are externally managed by PennantPark Investment Advisers, LLC. PennantPark Investment Administration, LLC provides the administrative services necessary for us to operate.</w:t>
      </w:r>
    </w:p>
    <w:p>
      <w:pPr>
        <w:spacing w:after="0" w:line="35" w:lineRule="exact"/>
        <w:rPr>
          <w:sz w:val="24"/>
          <w:szCs w:val="24"/>
          <w:color w:val="auto"/>
        </w:rPr>
      </w:pPr>
    </w:p>
    <w:p>
      <w:pPr>
        <w:ind w:right="280" w:firstLine="456"/>
        <w:spacing w:after="0" w:line="291" w:lineRule="auto"/>
        <w:rPr>
          <w:sz w:val="20"/>
          <w:szCs w:val="20"/>
          <w:color w:val="auto"/>
        </w:rPr>
      </w:pPr>
      <w:r>
        <w:rPr>
          <w:rFonts w:ascii="Arial" w:cs="Arial" w:eastAsia="Arial" w:hAnsi="Arial"/>
          <w:sz w:val="16"/>
          <w:szCs w:val="16"/>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about us with the Securities and Exchange Commission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The information on our website is not incorporated by reference into this prospectus supplement or the accompanying prospectus.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33" w:lineRule="exact"/>
        <w:rPr>
          <w:sz w:val="24"/>
          <w:szCs w:val="24"/>
          <w:color w:val="auto"/>
        </w:rPr>
      </w:pPr>
    </w:p>
    <w:p>
      <w:pPr>
        <w:ind w:right="140" w:firstLine="456"/>
        <w:spacing w:after="0" w:line="357" w:lineRule="auto"/>
        <w:rPr>
          <w:sz w:val="20"/>
          <w:szCs w:val="20"/>
          <w:color w:val="auto"/>
        </w:rPr>
      </w:pPr>
      <w:r>
        <w:rPr>
          <w:rFonts w:ascii="Arial" w:cs="Arial" w:eastAsia="Arial" w:hAnsi="Arial"/>
          <w:sz w:val="15"/>
          <w:szCs w:val="15"/>
          <w:b w:val="1"/>
          <w:bCs w:val="1"/>
          <w:color w:val="auto"/>
        </w:rPr>
        <w:t>Investing in our securities involves a high degree of risk, including the risk of the use of leverage. Before buying any shares of our common stock, you should read the discussion of the material risks of investing in us in “Risk Factors” beginning on page 8 of the accompanying prospectus.</w:t>
      </w:r>
    </w:p>
    <w:p>
      <w:pPr>
        <w:ind w:right="460" w:firstLine="456"/>
        <w:spacing w:after="0" w:line="262" w:lineRule="auto"/>
        <w:rPr>
          <w:sz w:val="20"/>
          <w:szCs w:val="20"/>
          <w:color w:val="auto"/>
        </w:rPr>
      </w:pPr>
      <w:r>
        <w:rPr>
          <w:rFonts w:ascii="Arial" w:cs="Arial" w:eastAsia="Arial" w:hAnsi="Arial"/>
          <w:sz w:val="18"/>
          <w:szCs w:val="18"/>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5"/>
              </w:rPr>
              <w:t>Per 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9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10.55</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94,950,000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3,060,000</w:t>
            </w: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Investment Corporation (before estimated expenses of $460,000)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91,890,000</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The underwriters may also purchase up to an additional 1,350,000 shares from us at the public offering price, less the underwriting discounts, within 30 days from the date of this prospectus supplement to cover overallotments. If the underwriters exercise this option in full, the total public offering price will be $109,192,500, the total underwriting discount and commissions (sales load) paid by us will be $3,519,000, and total proceeds, before expenses, will be $105,673,500.</w:t>
      </w:r>
    </w:p>
    <w:p>
      <w:pPr>
        <w:spacing w:after="0" w:line="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The underwriters expect to deliver the shares on or about January 27, 2012.</w:t>
      </w:r>
    </w:p>
    <w:p>
      <w:pPr>
        <w:spacing w:after="0" w:line="7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Morgan Stanley</w:t>
      </w:r>
    </w:p>
    <w:p>
      <w:pPr>
        <w:spacing w:after="0" w:line="4"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Goldman, Sachs &amp; Co.</w:t>
      </w:r>
    </w:p>
    <w:p>
      <w:pPr>
        <w:ind w:left="2780"/>
        <w:spacing w:after="0" w:line="230" w:lineRule="auto"/>
        <w:rPr>
          <w:sz w:val="20"/>
          <w:szCs w:val="20"/>
          <w:color w:val="auto"/>
        </w:rPr>
      </w:pPr>
      <w:r>
        <w:rPr>
          <w:rFonts w:ascii="Arial" w:cs="Arial" w:eastAsia="Arial" w:hAnsi="Arial"/>
          <w:sz w:val="22"/>
          <w:szCs w:val="22"/>
          <w:b w:val="1"/>
          <w:bCs w:val="1"/>
          <w:color w:val="auto"/>
        </w:rPr>
        <w:t>RBC Capital Markets</w:t>
      </w:r>
    </w:p>
    <w:p>
      <w:pPr>
        <w:ind w:left="4380"/>
        <w:spacing w:after="0" w:line="231" w:lineRule="auto"/>
        <w:rPr>
          <w:sz w:val="20"/>
          <w:szCs w:val="20"/>
          <w:color w:val="auto"/>
        </w:rPr>
      </w:pPr>
      <w:r>
        <w:rPr>
          <w:rFonts w:ascii="Arial" w:cs="Arial" w:eastAsia="Arial" w:hAnsi="Arial"/>
          <w:sz w:val="22"/>
          <w:szCs w:val="22"/>
          <w:b w:val="1"/>
          <w:bCs w:val="1"/>
          <w:color w:val="auto"/>
        </w:rPr>
        <w:t>Credit Suisse</w:t>
      </w:r>
    </w:p>
    <w:p>
      <w:pPr>
        <w:ind w:left="5960"/>
        <w:spacing w:after="0" w:line="230" w:lineRule="auto"/>
        <w:rPr>
          <w:sz w:val="20"/>
          <w:szCs w:val="20"/>
          <w:color w:val="auto"/>
        </w:rPr>
      </w:pPr>
      <w:r>
        <w:rPr>
          <w:rFonts w:ascii="Arial" w:cs="Arial" w:eastAsia="Arial" w:hAnsi="Arial"/>
          <w:sz w:val="22"/>
          <w:szCs w:val="22"/>
          <w:b w:val="1"/>
          <w:bCs w:val="1"/>
          <w:color w:val="auto"/>
        </w:rPr>
        <w:t>Stifel Nicolaus Weisel</w:t>
      </w:r>
    </w:p>
    <w:p>
      <w:pPr>
        <w:spacing w:after="0" w:line="1" w:lineRule="exact"/>
        <w:rPr>
          <w:sz w:val="24"/>
          <w:szCs w:val="24"/>
          <w:color w:val="auto"/>
        </w:rPr>
      </w:pPr>
    </w:p>
    <w:p>
      <w:pPr>
        <w:ind w:left="7540"/>
        <w:spacing w:after="0"/>
        <w:rPr>
          <w:sz w:val="20"/>
          <w:szCs w:val="20"/>
          <w:color w:val="auto"/>
        </w:rPr>
      </w:pPr>
      <w:r>
        <w:rPr>
          <w:rFonts w:ascii="Arial" w:cs="Arial" w:eastAsia="Arial" w:hAnsi="Arial"/>
          <w:sz w:val="22"/>
          <w:szCs w:val="22"/>
          <w:b w:val="1"/>
          <w:bCs w:val="1"/>
          <w:color w:val="auto"/>
        </w:rPr>
        <w:t>SunTrust Robinson Humphrey</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January 24, 2012.</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80" w:type="dxa"/>
            <w:vAlign w:val="bottom"/>
            <w:gridSpan w:val="2"/>
          </w:tcPr>
          <w:p>
            <w:pPr>
              <w:jc w:val="center"/>
              <w:ind w:right="426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gridSpan w:val="4"/>
          </w:tcPr>
          <w:p>
            <w:pPr>
              <w:jc w:val="center"/>
              <w:ind w:right="3640"/>
              <w:spacing w:after="0"/>
              <w:rPr>
                <w:sz w:val="20"/>
                <w:szCs w:val="20"/>
                <w:color w:val="auto"/>
              </w:rPr>
            </w:pPr>
            <w:r>
              <w:rPr>
                <w:rFonts w:ascii="Arial" w:cs="Arial" w:eastAsia="Arial" w:hAnsi="Arial"/>
                <w:sz w:val="18"/>
                <w:szCs w:val="18"/>
                <w:b w:val="1"/>
                <w:bCs w:val="1"/>
                <w:color w:val="auto"/>
                <w:w w:val="95"/>
              </w:rPr>
              <w:t>PROSPECTUS SUPPLEMENT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620" w:type="dxa"/>
            <w:vAlign w:val="bottom"/>
            <w:tcBorders>
              <w:bottom w:val="single" w:sz="8" w:color="0000EE"/>
            </w:tcBorders>
            <w:gridSpan w:val="22"/>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SUPPLEMENTAL PROSPECTUS SUMMARY</w:t>
              </w:r>
            </w:hyperlink>
          </w:p>
        </w:tc>
        <w:tc>
          <w:tcPr>
            <w:tcW w:w="732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4"/>
              </w:rPr>
            </w:pPr>
            <w:hyperlink w:anchor="page11">
              <w:r>
                <w:rPr>
                  <w:rFonts w:ascii="Arial" w:cs="Arial" w:eastAsia="Arial" w:hAnsi="Arial"/>
                  <w:sz w:val="18"/>
                  <w:szCs w:val="18"/>
                  <w:b w:val="1"/>
                  <w:bCs w:val="1"/>
                  <w:color w:val="0000EE"/>
                  <w:w w:val="94"/>
                </w:rPr>
                <w:t>FEES AND EXPENSES</w:t>
              </w:r>
            </w:hyperlink>
          </w:p>
        </w:tc>
        <w:tc>
          <w:tcPr>
            <w:tcW w:w="910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FORWARD-LOOKING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3"/>
              </w:rPr>
            </w:pPr>
            <w:hyperlink w:anchor="page14">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9"/>
          </w:tcPr>
          <w:p>
            <w:pPr>
              <w:spacing w:after="0"/>
              <w:rPr>
                <w:sz w:val="17"/>
                <w:szCs w:val="17"/>
                <w:color w:val="auto"/>
              </w:rPr>
            </w:pPr>
          </w:p>
        </w:tc>
        <w:tc>
          <w:tcPr>
            <w:tcW w:w="790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CAPITALIZATION</w:t>
              </w:r>
            </w:hyperlink>
          </w:p>
        </w:tc>
        <w:tc>
          <w:tcPr>
            <w:tcW w:w="940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8"/>
              </w:rPr>
            </w:pPr>
            <w:hyperlink w:anchor="page16">
              <w:r>
                <w:rPr>
                  <w:rFonts w:ascii="Arial" w:cs="Arial" w:eastAsia="Arial" w:hAnsi="Arial"/>
                  <w:sz w:val="18"/>
                  <w:szCs w:val="18"/>
                  <w:b w:val="1"/>
                  <w:bCs w:val="1"/>
                  <w:color w:val="0000EE"/>
                  <w:w w:val="98"/>
                </w:rPr>
                <w:t>PRICE RANGE OF COMMON STOCK</w:t>
              </w:r>
            </w:hyperlink>
          </w:p>
        </w:tc>
        <w:tc>
          <w:tcPr>
            <w:tcW w:w="786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SELECTED FINANCIAL DATA</w:t>
              </w:r>
            </w:hyperlink>
          </w:p>
        </w:tc>
        <w:tc>
          <w:tcPr>
            <w:tcW w:w="844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UNDERWRITING</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S-17</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LEGAL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S-23</w:t>
            </w:r>
          </w:p>
        </w:tc>
        <w:tc>
          <w:tcPr>
            <w:tcW w:w="0" w:type="dxa"/>
            <w:vAlign w:val="bottom"/>
          </w:tcPr>
          <w:p>
            <w:pPr>
              <w:spacing w:after="0"/>
              <w:rPr>
                <w:sz w:val="1"/>
                <w:szCs w:val="1"/>
                <w:color w:val="auto"/>
              </w:rPr>
            </w:pPr>
          </w:p>
        </w:tc>
      </w:tr>
      <w:tr>
        <w:trPr>
          <w:trHeight w:val="559"/>
        </w:trPr>
        <w:tc>
          <w:tcPr>
            <w:tcW w:w="8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80" w:type="dxa"/>
            <w:vAlign w:val="bottom"/>
            <w:gridSpan w:val="2"/>
          </w:tcPr>
          <w:p>
            <w:pPr>
              <w:ind w:left="320"/>
              <w:spacing w:after="0"/>
              <w:rPr>
                <w:sz w:val="20"/>
                <w:szCs w:val="20"/>
                <w:color w:val="auto"/>
              </w:rPr>
            </w:pPr>
            <w:r>
              <w:rPr>
                <w:rFonts w:ascii="Arial" w:cs="Arial" w:eastAsia="Arial" w:hAnsi="Arial"/>
                <w:sz w:val="18"/>
                <w:szCs w:val="18"/>
                <w:b w:val="1"/>
                <w:bCs w:val="1"/>
                <w:color w:val="auto"/>
              </w:rPr>
              <w:t>PROSPECTUS</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30"/>
            <w:vMerge w:val="restart"/>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PROSPECTUS SUMMARY</w:t>
              </w:r>
            </w:hyperlink>
          </w:p>
        </w:tc>
        <w:tc>
          <w:tcPr>
            <w:tcW w:w="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940" w:type="dxa"/>
            <w:vAlign w:val="bottom"/>
            <w:gridSpan w:val="30"/>
            <w:vMerge w:val="continue"/>
          </w:tcPr>
          <w:p>
            <w:pPr>
              <w:spacing w:after="0"/>
              <w:rPr>
                <w:sz w:val="13"/>
                <w:szCs w:val="13"/>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140" w:type="dxa"/>
            <w:vAlign w:val="bottom"/>
            <w:tcBorders>
              <w:top w:val="single" w:sz="8" w:color="0000EE"/>
            </w:tcBorders>
            <w:gridSpan w:val="1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FEES AND EXPENSES</w:t>
              </w:r>
            </w:hyperlink>
          </w:p>
        </w:tc>
        <w:tc>
          <w:tcPr>
            <w:tcW w:w="8800" w:type="dxa"/>
            <w:vAlign w:val="bottom"/>
            <w:gridSpan w:val="18"/>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10"/>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RISK FACTORS</w:t>
              </w:r>
            </w:hyperlink>
          </w:p>
        </w:tc>
        <w:tc>
          <w:tcPr>
            <w:tcW w:w="9120" w:type="dxa"/>
            <w:vAlign w:val="bottom"/>
            <w:gridSpan w:val="2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FORWARD-LOOKING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3"/>
              </w:rPr>
            </w:pPr>
            <w:hyperlink w:anchor="page62">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9"/>
          </w:tcPr>
          <w:p>
            <w:pPr>
              <w:spacing w:after="0"/>
              <w:rPr>
                <w:sz w:val="17"/>
                <w:szCs w:val="17"/>
                <w:color w:val="auto"/>
              </w:rPr>
            </w:pPr>
          </w:p>
        </w:tc>
        <w:tc>
          <w:tcPr>
            <w:tcW w:w="790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8"/>
              </w:rPr>
            </w:pPr>
            <w:hyperlink w:anchor="page63">
              <w:r>
                <w:rPr>
                  <w:rFonts w:ascii="Arial" w:cs="Arial" w:eastAsia="Arial" w:hAnsi="Arial"/>
                  <w:sz w:val="18"/>
                  <w:szCs w:val="18"/>
                  <w:b w:val="1"/>
                  <w:bCs w:val="1"/>
                  <w:color w:val="0000EE"/>
                  <w:w w:val="98"/>
                </w:rPr>
                <w:t>SELECTED FINANCIAL DATA</w:t>
              </w:r>
            </w:hyperlink>
          </w:p>
        </w:tc>
        <w:tc>
          <w:tcPr>
            <w:tcW w:w="844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MANAGEMENT’S DISCUSSION AND ANALYSIS OF FINANCIAL CONDITION AND RESULTS OF OPERATIONS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9080" w:type="dxa"/>
            <w:vAlign w:val="bottom"/>
            <w:tcBorders>
              <w:top w:val="single" w:sz="8" w:color="0000EE"/>
            </w:tcBorders>
            <w:gridSpan w:val="29"/>
          </w:tcPr>
          <w:p>
            <w:pPr>
              <w:spacing w:after="0" w:line="196"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SENIOR SECURITIES</w:t>
              </w:r>
            </w:hyperlink>
          </w:p>
        </w:tc>
        <w:tc>
          <w:tcPr>
            <w:tcW w:w="18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8"/>
              </w:rPr>
            </w:pPr>
            <w:hyperlink w:anchor="page80">
              <w:r>
                <w:rPr>
                  <w:rFonts w:ascii="Arial" w:cs="Arial" w:eastAsia="Arial" w:hAnsi="Arial"/>
                  <w:sz w:val="18"/>
                  <w:szCs w:val="18"/>
                  <w:b w:val="1"/>
                  <w:bCs w:val="1"/>
                  <w:color w:val="0000EE"/>
                  <w:w w:val="98"/>
                </w:rPr>
                <w:t>PRICE RANGE OF COMMON STOCK</w:t>
              </w:r>
            </w:hyperlink>
          </w:p>
        </w:tc>
        <w:tc>
          <w:tcPr>
            <w:tcW w:w="786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8"/>
          </w:tcPr>
          <w:p>
            <w:pPr>
              <w:spacing w:after="0" w:line="196" w:lineRule="exact"/>
              <w:rPr>
                <w:rFonts w:ascii="Arial" w:cs="Arial" w:eastAsia="Arial" w:hAnsi="Arial"/>
                <w:sz w:val="18"/>
                <w:szCs w:val="18"/>
                <w:b w:val="1"/>
                <w:bCs w:val="1"/>
                <w:color w:val="0000EE"/>
                <w:w w:val="96"/>
              </w:rPr>
            </w:pPr>
            <w:hyperlink w:anchor="page81">
              <w:r>
                <w:rPr>
                  <w:rFonts w:ascii="Arial" w:cs="Arial" w:eastAsia="Arial" w:hAnsi="Arial"/>
                  <w:sz w:val="18"/>
                  <w:szCs w:val="18"/>
                  <w:b w:val="1"/>
                  <w:bCs w:val="1"/>
                  <w:color w:val="0000EE"/>
                  <w:w w:val="96"/>
                </w:rPr>
                <w:t>SALES OF COMMON STOCK BELOW NET ASSET VALUE</w:t>
              </w:r>
            </w:hyperlink>
          </w:p>
        </w:tc>
        <w:tc>
          <w:tcPr>
            <w:tcW w:w="61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DISTRIBUTIONS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89">
              <w:r>
                <w:rPr>
                  <w:rFonts w:ascii="Arial" w:cs="Arial" w:eastAsia="Arial" w:hAnsi="Arial"/>
                  <w:sz w:val="18"/>
                  <w:szCs w:val="18"/>
                  <w:b w:val="1"/>
                  <w:bCs w:val="1"/>
                  <w:color w:val="0000EE"/>
                  <w:w w:val="91"/>
                </w:rPr>
                <w:t>BUSINESS</w:t>
              </w:r>
            </w:hyperlink>
          </w:p>
        </w:tc>
        <w:tc>
          <w:tcPr>
            <w:tcW w:w="580" w:type="dxa"/>
            <w:vAlign w:val="bottom"/>
            <w:tcBorders>
              <w:top w:val="single" w:sz="8" w:color="0000EE"/>
            </w:tcBorders>
            <w:gridSpan w:val="4"/>
          </w:tcPr>
          <w:p>
            <w:pPr>
              <w:spacing w:after="0"/>
              <w:rPr>
                <w:sz w:val="17"/>
                <w:szCs w:val="17"/>
                <w:color w:val="auto"/>
              </w:rPr>
            </w:pPr>
          </w:p>
        </w:tc>
        <w:tc>
          <w:tcPr>
            <w:tcW w:w="9500" w:type="dxa"/>
            <w:vAlign w:val="bottom"/>
            <w:gridSpan w:val="2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98"/>
              </w:rPr>
            </w:pPr>
            <w:hyperlink w:anchor="page93">
              <w:r>
                <w:rPr>
                  <w:rFonts w:ascii="Arial" w:cs="Arial" w:eastAsia="Arial" w:hAnsi="Arial"/>
                  <w:sz w:val="18"/>
                  <w:szCs w:val="18"/>
                  <w:b w:val="1"/>
                  <w:bCs w:val="1"/>
                  <w:color w:val="0000EE"/>
                  <w:w w:val="98"/>
                </w:rPr>
                <w:t>INVESTMENT OBJECTIVES AND POLICIES</w:t>
              </w:r>
            </w:hyperlink>
          </w:p>
        </w:tc>
        <w:tc>
          <w:tcPr>
            <w:tcW w:w="72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7"/>
              </w:rPr>
            </w:pPr>
            <w:hyperlink w:anchor="page100">
              <w:r>
                <w:rPr>
                  <w:rFonts w:ascii="Arial" w:cs="Arial" w:eastAsia="Arial" w:hAnsi="Arial"/>
                  <w:sz w:val="18"/>
                  <w:szCs w:val="18"/>
                  <w:b w:val="1"/>
                  <w:bCs w:val="1"/>
                  <w:color w:val="0000EE"/>
                  <w:w w:val="97"/>
                </w:rPr>
                <w:t>PORTFOLIO COMPANIES</w:t>
              </w:r>
            </w:hyperlink>
          </w:p>
        </w:tc>
        <w:tc>
          <w:tcPr>
            <w:tcW w:w="878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MANAGEMENT</w:t>
              </w:r>
            </w:hyperlink>
          </w:p>
        </w:tc>
        <w:tc>
          <w:tcPr>
            <w:tcW w:w="9600" w:type="dxa"/>
            <w:vAlign w:val="bottom"/>
            <w:gridSpan w:val="2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96"/>
              </w:rPr>
            </w:pPr>
            <w:hyperlink w:anchor="page112">
              <w:r>
                <w:rPr>
                  <w:rFonts w:ascii="Arial" w:cs="Arial" w:eastAsia="Arial" w:hAnsi="Arial"/>
                  <w:sz w:val="18"/>
                  <w:szCs w:val="18"/>
                  <w:b w:val="1"/>
                  <w:bCs w:val="1"/>
                  <w:color w:val="0000EE"/>
                  <w:w w:val="96"/>
                </w:rPr>
                <w:t>CONTROL PERSONS AND PRINCIPAL STOCKHOLDERS</w:t>
              </w:r>
            </w:hyperlink>
          </w:p>
        </w:tc>
        <w:tc>
          <w:tcPr>
            <w:tcW w:w="624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97"/>
              </w:rPr>
            </w:pPr>
            <w:hyperlink w:anchor="page114">
              <w:r>
                <w:rPr>
                  <w:rFonts w:ascii="Arial" w:cs="Arial" w:eastAsia="Arial" w:hAnsi="Arial"/>
                  <w:sz w:val="18"/>
                  <w:szCs w:val="18"/>
                  <w:b w:val="1"/>
                  <w:bCs w:val="1"/>
                  <w:color w:val="0000EE"/>
                  <w:w w:val="97"/>
                </w:rPr>
                <w:t>CERTAIN RELATIONSHIPS AND TRANSACTIONS</w:t>
              </w:r>
            </w:hyperlink>
          </w:p>
        </w:tc>
        <w:tc>
          <w:tcPr>
            <w:tcW w:w="680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DETERMINATION OF NET ASSET VALUE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346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DIVIDEND REINVESTMENT PLAN</w:t>
              </w:r>
            </w:hyperlink>
          </w:p>
        </w:tc>
        <w:tc>
          <w:tcPr>
            <w:tcW w:w="748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EE"/>
          </w:tcPr>
          <w:p>
            <w:pPr>
              <w:spacing w:after="0" w:line="20" w:lineRule="exact"/>
              <w:rPr>
                <w:sz w:val="1"/>
                <w:szCs w:val="1"/>
                <w:color w:val="auto"/>
              </w:rPr>
            </w:pPr>
          </w:p>
        </w:tc>
        <w:tc>
          <w:tcPr>
            <w:tcW w:w="1680" w:type="dxa"/>
            <w:vAlign w:val="bottom"/>
            <w:gridSpan w:val="1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DESCRIPTION OF OUR CAPITAL STOCK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EE"/>
          </w:tcPr>
          <w:p>
            <w:pPr>
              <w:spacing w:after="0" w:line="20" w:lineRule="exact"/>
              <w:rPr>
                <w:sz w:val="1"/>
                <w:szCs w:val="1"/>
                <w:color w:val="auto"/>
              </w:rPr>
            </w:pPr>
          </w:p>
        </w:tc>
        <w:tc>
          <w:tcPr>
            <w:tcW w:w="1800" w:type="dxa"/>
            <w:vAlign w:val="bottom"/>
            <w:gridSpan w:val="1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30"/>
          </w:tcPr>
          <w:p>
            <w:pPr>
              <w:spacing w:after="0" w:line="196" w:lineRule="exact"/>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DESCRIPTION OF OUR PREFERRED STOCK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30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b w:val="1"/>
                <w:bCs w:val="1"/>
                <w:color w:val="0000EE"/>
                <w:w w:val="96"/>
              </w:rPr>
            </w:pPr>
            <w:hyperlink w:anchor="page130">
              <w:r>
                <w:rPr>
                  <w:rFonts w:ascii="Arial" w:cs="Arial" w:eastAsia="Arial" w:hAnsi="Arial"/>
                  <w:sz w:val="18"/>
                  <w:szCs w:val="18"/>
                  <w:b w:val="1"/>
                  <w:bCs w:val="1"/>
                  <w:color w:val="0000EE"/>
                  <w:w w:val="96"/>
                </w:rPr>
                <w:t>DESCRIPTION OF OUR WARRANTS</w:t>
              </w:r>
            </w:hyperlink>
          </w:p>
        </w:tc>
        <w:tc>
          <w:tcPr>
            <w:tcW w:w="720" w:type="dxa"/>
            <w:vAlign w:val="bottom"/>
            <w:tcBorders>
              <w:top w:val="single" w:sz="8" w:color="0000EE"/>
            </w:tcBorders>
            <w:gridSpan w:val="8"/>
          </w:tcPr>
          <w:p>
            <w:pPr>
              <w:spacing w:after="0"/>
              <w:rPr>
                <w:sz w:val="17"/>
                <w:szCs w:val="17"/>
                <w:color w:val="auto"/>
              </w:rPr>
            </w:pPr>
          </w:p>
        </w:tc>
        <w:tc>
          <w:tcPr>
            <w:tcW w:w="72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7"/>
              </w:rPr>
            </w:pPr>
            <w:hyperlink w:anchor="page132">
              <w:r>
                <w:rPr>
                  <w:rFonts w:ascii="Arial" w:cs="Arial" w:eastAsia="Arial" w:hAnsi="Arial"/>
                  <w:sz w:val="18"/>
                  <w:szCs w:val="18"/>
                  <w:b w:val="1"/>
                  <w:bCs w:val="1"/>
                  <w:color w:val="0000EE"/>
                  <w:w w:val="97"/>
                </w:rPr>
                <w:t>DESCRIPTION OF OUR SUBSCRIPTION RIGHTS</w:t>
              </w:r>
            </w:hyperlink>
          </w:p>
        </w:tc>
        <w:tc>
          <w:tcPr>
            <w:tcW w:w="690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7"/>
              </w:rPr>
            </w:pPr>
            <w:hyperlink w:anchor="page133">
              <w:r>
                <w:rPr>
                  <w:rFonts w:ascii="Arial" w:cs="Arial" w:eastAsia="Arial" w:hAnsi="Arial"/>
                  <w:sz w:val="18"/>
                  <w:szCs w:val="18"/>
                  <w:b w:val="1"/>
                  <w:bCs w:val="1"/>
                  <w:color w:val="0000EE"/>
                  <w:w w:val="97"/>
                </w:rPr>
                <w:t>DESCRIPTION OF OUR DEBT SECURITIES</w:t>
              </w:r>
            </w:hyperlink>
          </w:p>
        </w:tc>
        <w:tc>
          <w:tcPr>
            <w:tcW w:w="736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9"/>
              </w:rPr>
            </w:pPr>
            <w:hyperlink w:anchor="page147">
              <w:r>
                <w:rPr>
                  <w:rFonts w:ascii="Arial" w:cs="Arial" w:eastAsia="Arial" w:hAnsi="Arial"/>
                  <w:sz w:val="18"/>
                  <w:szCs w:val="18"/>
                  <w:b w:val="1"/>
                  <w:bCs w:val="1"/>
                  <w:color w:val="0000EE"/>
                  <w:w w:val="99"/>
                </w:rPr>
                <w:t>REGULATION</w:t>
              </w:r>
            </w:hyperlink>
          </w:p>
        </w:tc>
        <w:tc>
          <w:tcPr>
            <w:tcW w:w="9740" w:type="dxa"/>
            <w:vAlign w:val="bottom"/>
            <w:gridSpan w:val="2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4"/>
            <w:vMerge w:val="restart"/>
          </w:tcPr>
          <w:p>
            <w:pPr>
              <w:spacing w:after="0"/>
              <w:rPr>
                <w:rFonts w:ascii="Arial" w:cs="Arial" w:eastAsia="Arial" w:hAnsi="Arial"/>
                <w:sz w:val="18"/>
                <w:szCs w:val="18"/>
                <w:b w:val="1"/>
                <w:bCs w:val="1"/>
                <w:color w:val="0000EE"/>
                <w:w w:val="97"/>
              </w:rPr>
            </w:pPr>
            <w:hyperlink w:anchor="page153">
              <w:r>
                <w:rPr>
                  <w:rFonts w:ascii="Arial" w:cs="Arial" w:eastAsia="Arial" w:hAnsi="Arial"/>
                  <w:sz w:val="18"/>
                  <w:szCs w:val="18"/>
                  <w:b w:val="1"/>
                  <w:bCs w:val="1"/>
                  <w:color w:val="0000EE"/>
                  <w:w w:val="97"/>
                </w:rPr>
                <w:t>BROKERAGE ALLOCATIONS AND OTHER PRACTICES</w:t>
              </w:r>
            </w:hyperlink>
          </w:p>
        </w:tc>
        <w:tc>
          <w:tcPr>
            <w:tcW w:w="6360" w:type="dxa"/>
            <w:vAlign w:val="bottom"/>
            <w:gridSpan w:val="4"/>
            <w:vMerge w:val="restart"/>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4640" w:type="dxa"/>
            <w:vAlign w:val="bottom"/>
            <w:tcBorders>
              <w:bottom w:val="single" w:sz="8" w:color="0000EE"/>
            </w:tcBorders>
            <w:gridSpan w:val="4"/>
            <w:vMerge w:val="continue"/>
          </w:tcPr>
          <w:p>
            <w:pPr>
              <w:spacing w:after="0"/>
              <w:rPr>
                <w:sz w:val="13"/>
                <w:szCs w:val="13"/>
                <w:color w:val="auto"/>
              </w:rPr>
            </w:pPr>
          </w:p>
        </w:tc>
        <w:tc>
          <w:tcPr>
            <w:tcW w:w="6360" w:type="dxa"/>
            <w:vAlign w:val="bottom"/>
            <w:gridSpan w:val="4"/>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0000EE"/>
            </w:tcBorders>
            <w:gridSpan w:val="6"/>
          </w:tcPr>
          <w:p>
            <w:pPr>
              <w:spacing w:after="0"/>
              <w:rPr>
                <w:rFonts w:ascii="Arial" w:cs="Arial" w:eastAsia="Arial" w:hAnsi="Arial"/>
                <w:sz w:val="18"/>
                <w:szCs w:val="18"/>
                <w:b w:val="1"/>
                <w:bCs w:val="1"/>
                <w:color w:val="0000EE"/>
                <w:w w:val="98"/>
              </w:rPr>
            </w:pPr>
            <w:hyperlink w:anchor="page154">
              <w:r>
                <w:rPr>
                  <w:rFonts w:ascii="Arial" w:cs="Arial" w:eastAsia="Arial" w:hAnsi="Arial"/>
                  <w:sz w:val="18"/>
                  <w:szCs w:val="18"/>
                  <w:b w:val="1"/>
                  <w:bCs w:val="1"/>
                  <w:color w:val="0000EE"/>
                  <w:w w:val="98"/>
                </w:rPr>
                <w:t>MATERIAL U.S. FEDERAL INCOME TAX CONSIDERATIONS</w:t>
              </w:r>
            </w:hyperlink>
          </w:p>
        </w:tc>
        <w:tc>
          <w:tcPr>
            <w:tcW w:w="598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9"/>
              </w:rPr>
            </w:pPr>
            <w:hyperlink w:anchor="page160">
              <w:r>
                <w:rPr>
                  <w:rFonts w:ascii="Arial" w:cs="Arial" w:eastAsia="Arial" w:hAnsi="Arial"/>
                  <w:sz w:val="18"/>
                  <w:szCs w:val="18"/>
                  <w:b w:val="1"/>
                  <w:bCs w:val="1"/>
                  <w:color w:val="0000EE"/>
                  <w:w w:val="99"/>
                </w:rPr>
                <w:t>PLAN OF DISTRIBUTION</w:t>
              </w:r>
            </w:hyperlink>
          </w:p>
        </w:tc>
        <w:tc>
          <w:tcPr>
            <w:tcW w:w="88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7"/>
              </w:rPr>
            </w:pPr>
            <w:hyperlink w:anchor="page162">
              <w:r>
                <w:rPr>
                  <w:rFonts w:ascii="Arial" w:cs="Arial" w:eastAsia="Arial" w:hAnsi="Arial"/>
                  <w:sz w:val="18"/>
                  <w:szCs w:val="18"/>
                  <w:b w:val="1"/>
                  <w:bCs w:val="1"/>
                  <w:color w:val="0000EE"/>
                  <w:w w:val="97"/>
                </w:rPr>
                <w:t>SUB-ADMINISTRATOR, CUSTODIAN, TRANSFER AGENT AND TRUSTEE</w:t>
              </w:r>
            </w:hyperlink>
          </w:p>
        </w:tc>
        <w:tc>
          <w:tcPr>
            <w:tcW w:w="49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11000" w:type="dxa"/>
            <w:vAlign w:val="bottom"/>
            <w:gridSpan w:val="8"/>
          </w:tcPr>
          <w:p>
            <w:pPr>
              <w:spacing w:after="0" w:line="196" w:lineRule="exact"/>
              <w:rPr>
                <w:rFonts w:ascii="Arial" w:cs="Arial" w:eastAsia="Arial" w:hAnsi="Arial"/>
                <w:sz w:val="18"/>
                <w:szCs w:val="18"/>
                <w:b w:val="1"/>
                <w:bCs w:val="1"/>
                <w:color w:val="0000EE"/>
              </w:rPr>
            </w:pPr>
            <w:hyperlink w:anchor="page162">
              <w:r>
                <w:rPr>
                  <w:rFonts w:ascii="Arial" w:cs="Arial" w:eastAsia="Arial" w:hAnsi="Arial"/>
                  <w:sz w:val="18"/>
                  <w:szCs w:val="18"/>
                  <w:b w:val="1"/>
                  <w:bCs w:val="1"/>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52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8"/>
          </w:tcPr>
          <w:p>
            <w:pPr>
              <w:spacing w:after="0" w:line="196" w:lineRule="exact"/>
              <w:rPr>
                <w:rFonts w:ascii="Arial" w:cs="Arial" w:eastAsia="Arial" w:hAnsi="Arial"/>
                <w:sz w:val="18"/>
                <w:szCs w:val="18"/>
                <w:b w:val="1"/>
                <w:bCs w:val="1"/>
                <w:color w:val="0000EE"/>
              </w:rPr>
            </w:pPr>
            <w:hyperlink w:anchor="page162">
              <w:r>
                <w:rPr>
                  <w:rFonts w:ascii="Arial" w:cs="Arial" w:eastAsia="Arial" w:hAnsi="Arial"/>
                  <w:sz w:val="18"/>
                  <w:szCs w:val="18"/>
                  <w:b w:val="1"/>
                  <w:bCs w:val="1"/>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960" w:type="dxa"/>
            <w:vAlign w:val="bottom"/>
            <w:tcBorders>
              <w:top w:val="single" w:sz="8" w:color="0000EE"/>
            </w:tcBorders>
            <w:gridSpan w:val="5"/>
          </w:tcPr>
          <w:p>
            <w:pPr>
              <w:spacing w:after="0" w:line="196" w:lineRule="exact"/>
              <w:rPr>
                <w:rFonts w:ascii="Arial" w:cs="Arial" w:eastAsia="Arial" w:hAnsi="Arial"/>
                <w:sz w:val="18"/>
                <w:szCs w:val="18"/>
                <w:b w:val="1"/>
                <w:bCs w:val="1"/>
                <w:color w:val="0000EE"/>
              </w:rPr>
            </w:pPr>
            <w:hyperlink w:anchor="page163">
              <w:r>
                <w:rPr>
                  <w:rFonts w:ascii="Arial" w:cs="Arial" w:eastAsia="Arial" w:hAnsi="Arial"/>
                  <w:sz w:val="18"/>
                  <w:szCs w:val="18"/>
                  <w:b w:val="1"/>
                  <w:bCs w:val="1"/>
                  <w:color w:val="0000EE"/>
                </w:rPr>
                <w:t>INDEX TO FINANCIAL STATEMENTS</w:t>
              </w:r>
            </w:hyperlink>
          </w:p>
        </w:tc>
        <w:tc>
          <w:tcPr>
            <w:tcW w:w="60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Some of the statements in this prospectus supplement and accompanying prospectus constitute forward-looking statements, which apply to both us and our consolidated Small Business Investment Company (“SBIC”) subsidiary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 In this prospectus supplement and the accompanying prospectus except where the context suggests otherwise the terms “we,” “us,” “our,” and “Company” refer to PennantPark Investment Corporation and its consolidated subsidiaries; “PennantPark Investment” refers to only PennantPark Investment Corporation; “SBIC LP,” “subsidiaries” or “our SBIC” refers to our consolidated subsidiary, PennantPark SBIC LP and its general partner PennantPark SBIC GP, LLC; “PennantPark Investment Advisers” or “Investment Adviser” refers to PennantPark Investment Advisers, LLC; and “PennantPark Investment Administration” or “Administrator” refers to PennantPark Investment Administration, LLC.</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140"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(“Credit Facility”), the Small Business Administration (“SBA”) debentures, proceeds from the rotation of our portfolio and proceeds from public and private offerings of securities to finance our investment objectives.</w:t>
      </w:r>
    </w:p>
    <w:p>
      <w:pPr>
        <w:spacing w:after="0" w:line="118"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For the fiscal year ended September 30, 2011, we purchased $479.7 million of investments issued by 17 new and 11 existing portfolio companies with an overall weighted average yield of 13.7% on debt investments.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80"/>
        <w:spacing w:after="0" w:line="306" w:lineRule="auto"/>
        <w:rPr>
          <w:sz w:val="20"/>
          <w:szCs w:val="20"/>
          <w:color w:val="auto"/>
        </w:rPr>
      </w:pPr>
      <w:r>
        <w:rPr>
          <w:rFonts w:ascii="Arial" w:cs="Arial" w:eastAsia="Arial" w:hAnsi="Arial"/>
          <w:sz w:val="16"/>
          <w:szCs w:val="16"/>
          <w:color w:val="auto"/>
        </w:rPr>
        <w:t>This compares to purchasing $309.5 million of investments issued by 17 new and 12 existing portfolio companies with an overall weighted average yield of 14.9% on debt investments and purchasing $112.7 million of investments issued by 11 new and 8 existing portfolio companies with an overall weighted average yield of 14.5% on debt investments for the fiscal years ended September 30, 2010 and 2009, respectively.</w:t>
      </w:r>
    </w:p>
    <w:p>
      <w:pPr>
        <w:spacing w:after="0" w:line="107" w:lineRule="exact"/>
        <w:rPr>
          <w:sz w:val="20"/>
          <w:szCs w:val="20"/>
          <w:color w:val="auto"/>
        </w:rPr>
      </w:pPr>
    </w:p>
    <w:p>
      <w:pPr>
        <w:ind w:left="200" w:right="40" w:firstLine="443"/>
        <w:spacing w:after="0" w:line="332" w:lineRule="auto"/>
        <w:rPr>
          <w:sz w:val="20"/>
          <w:szCs w:val="20"/>
          <w:color w:val="auto"/>
        </w:rPr>
      </w:pPr>
      <w:r>
        <w:rPr>
          <w:rFonts w:ascii="Arial" w:cs="Arial" w:eastAsia="Arial" w:hAnsi="Arial"/>
          <w:sz w:val="16"/>
          <w:szCs w:val="16"/>
          <w:color w:val="auto"/>
        </w:rPr>
        <w:t>For the fiscal year ended September 30, 2011, sales and repayments generated proceeds of $304.0 million. This compares to sales and repayments that generated proceeds for the fiscal years ended September 30, 2010 and 2009 of $145.2 and $28.0 million, respectively.</w:t>
      </w:r>
    </w:p>
    <w:p>
      <w:pPr>
        <w:spacing w:after="0" w:line="85"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31% variable-rate with a London Interbank Offered Rate (“LIBOR”) or prime floor and 8% variable-rate investments.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26% variable-rate with a LIBOR or prime floor and 25% variable-rate investments.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jc w:val="both"/>
        <w:ind w:left="200" w:right="240" w:firstLine="443"/>
        <w:spacing w:after="0" w:line="306" w:lineRule="auto"/>
        <w:rPr>
          <w:sz w:val="20"/>
          <w:szCs w:val="20"/>
          <w:color w:val="auto"/>
        </w:rPr>
      </w:pPr>
      <w:r>
        <w:rPr>
          <w:rFonts w:ascii="Arial" w:cs="Arial" w:eastAsia="Arial" w:hAnsi="Arial"/>
          <w:sz w:val="16"/>
          <w:szCs w:val="16"/>
          <w:color w:val="auto"/>
        </w:rPr>
        <w:t>PennantPark Investment Corporation, a Maryland corporation organized on January 11, 2007, is a closed-end, externally managed, non-diversified investment company that has elected to be treated as a BDC, under the 1940 Act. In addition, for tax purposes we have elected to be treated, and intend to qualify annually, as a regulated investment company (“RIC”) under the Internal Revenue Code of 1986, as amended (the “Code”).</w:t>
      </w:r>
    </w:p>
    <w:p>
      <w:pPr>
        <w:spacing w:after="0" w:line="107" w:lineRule="exact"/>
        <w:rPr>
          <w:sz w:val="20"/>
          <w:szCs w:val="20"/>
          <w:color w:val="auto"/>
        </w:rPr>
      </w:pPr>
    </w:p>
    <w:p>
      <w:pPr>
        <w:ind w:left="200" w:right="200" w:firstLine="443"/>
        <w:spacing w:after="0" w:line="298" w:lineRule="auto"/>
        <w:rPr>
          <w:sz w:val="20"/>
          <w:szCs w:val="20"/>
          <w:color w:val="auto"/>
        </w:rPr>
      </w:pPr>
      <w:r>
        <w:rPr>
          <w:rFonts w:ascii="Arial" w:cs="Arial" w:eastAsia="Arial" w:hAnsi="Arial"/>
          <w:sz w:val="16"/>
          <w:szCs w:val="16"/>
          <w:color w:val="auto"/>
        </w:rPr>
        <w:t>Our wholly-owned subsidiary, PennantPark SBIC LP, was organized as a Delaware limited partnership in May 2010 and received a license from the SBA to operate as an SBIC under Section 301(c) of the Small Business Investment Act of 1958, as amended (the “1958 Act”), in July 2010. SBIC LP’s objective is to generate both current income and capital appreciation through debt and equity investments. SBIC LP, generally, co-invests in SBA eligible businesses that meet the investment criteria used by PennantPark Investment.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$1.2 billion in debt and equity capital and has invested over $1.5 billion in more than 150 companies with over 70 different financial sponsors through its managed funds.</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50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1060" w:right="180" w:hanging="431"/>
        <w:spacing w:after="0" w:line="301"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increasing difficulty in raising debt through the capital markets. </w:t>
      </w:r>
      <w:r>
        <w:rPr>
          <w:rFonts w:ascii="Arial" w:cs="Arial" w:eastAsia="Arial" w:hAnsi="Arial"/>
          <w:sz w:val="16"/>
          <w:szCs w:val="16"/>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22" w:lineRule="exact"/>
        <w:rPr>
          <w:rFonts w:ascii="Arial" w:cs="Arial" w:eastAsia="Arial" w:hAnsi="Arial"/>
          <w:sz w:val="16"/>
          <w:szCs w:val="16"/>
          <w:color w:val="auto"/>
        </w:rPr>
      </w:pPr>
    </w:p>
    <w:p>
      <w:pPr>
        <w:ind w:left="1060" w:right="260" w:hanging="431"/>
        <w:spacing w:after="0" w:line="262"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loan obligation (“CLO”) funds have withdrawn capital from the middle-market resulting in opportunities for alternative funding sources.</w:t>
      </w:r>
    </w:p>
    <w:p>
      <w:pPr>
        <w:spacing w:after="0" w:line="51" w:lineRule="exact"/>
        <w:rPr>
          <w:rFonts w:ascii="Arial" w:cs="Arial" w:eastAsia="Arial" w:hAnsi="Arial"/>
          <w:sz w:val="18"/>
          <w:szCs w:val="18"/>
          <w:color w:val="auto"/>
        </w:rPr>
      </w:pPr>
    </w:p>
    <w:p>
      <w:pPr>
        <w:ind w:left="1060" w:right="500" w:hanging="431"/>
        <w:spacing w:after="0" w:line="338" w:lineRule="auto"/>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We believe that the current credit market dislocation for middle-market companies improves the risk-adjusted returns on our investments. </w:t>
      </w:r>
      <w:r>
        <w:rPr>
          <w:rFonts w:ascii="Arial" w:cs="Arial" w:eastAsia="Arial" w:hAnsi="Arial"/>
          <w:sz w:val="15"/>
          <w:szCs w:val="15"/>
          <w:color w:val="auto"/>
        </w:rPr>
        <w:t>In the current credit environment, market participants have reduced lending to middle-market and non-investment grade</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borrowers. As a result, there is less competition in our market, more conservative capital structures, higher yields and stronger covenants.</w:t>
      </w:r>
    </w:p>
    <w:p>
      <w:pPr>
        <w:ind w:left="1060" w:right="40" w:hanging="431"/>
        <w:spacing w:after="0" w:line="296"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jc w:val="both"/>
        <w:ind w:left="1060" w:right="140" w:hanging="431"/>
        <w:spacing w:after="0" w:line="262"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years 2004 and 2007, which will mature in the next few years. This supply of opportunities coupled with a lack of demand offers attractive risk-adjusted returns to investors.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left="200" w:right="480" w:firstLine="443"/>
        <w:spacing w:after="0" w:line="268"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9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6299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spacing w:after="0" w:line="332" w:lineRule="auto"/>
        <w:rPr>
          <w:sz w:val="20"/>
          <w:szCs w:val="20"/>
          <w:color w:val="auto"/>
        </w:rPr>
      </w:pPr>
      <w:r>
        <w:rPr>
          <w:rFonts w:ascii="Arial" w:cs="Arial" w:eastAsia="Arial" w:hAnsi="Arial"/>
          <w:sz w:val="16"/>
          <w:szCs w:val="16"/>
          <w:color w:val="auto"/>
        </w:rPr>
        <w:t>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43" w:lineRule="exact"/>
        <w:rPr>
          <w:sz w:val="20"/>
          <w:szCs w:val="20"/>
          <w:color w:val="auto"/>
        </w:rPr>
      </w:pPr>
    </w:p>
    <w:p>
      <w:pPr>
        <w:ind w:left="200" w:right="140" w:firstLine="443"/>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in the accompanying prospectus for more information.</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640" w:hanging="222"/>
        <w:spacing w:after="0"/>
        <w:tabs>
          <w:tab w:leader="none" w:pos="640"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Research Capability and Established Network</w:t>
      </w:r>
    </w:p>
    <w:p>
      <w:pPr>
        <w:spacing w:after="0" w:line="113" w:lineRule="exact"/>
        <w:rPr>
          <w:rFonts w:ascii="Arial" w:cs="Arial" w:eastAsia="Arial" w:hAnsi="Arial"/>
          <w:sz w:val="16"/>
          <w:szCs w:val="16"/>
          <w:b w:val="1"/>
          <w:bCs w:val="1"/>
          <w:i w:val="1"/>
          <w:iCs w:val="1"/>
          <w:color w:val="auto"/>
        </w:rPr>
      </w:pPr>
    </w:p>
    <w:p>
      <w:pPr>
        <w:ind w:left="640"/>
        <w:spacing w:after="0"/>
        <w:rPr>
          <w:rFonts w:ascii="Arial" w:cs="Arial" w:eastAsia="Arial" w:hAnsi="Arial"/>
          <w:sz w:val="16"/>
          <w:szCs w:val="16"/>
          <w:b w:val="1"/>
          <w:bCs w:val="1"/>
          <w:i w:val="1"/>
          <w:iCs w:val="1"/>
          <w:color w:val="auto"/>
        </w:rPr>
      </w:pPr>
      <w:r>
        <w:rPr>
          <w:rFonts w:ascii="Arial" w:cs="Arial" w:eastAsia="Arial" w:hAnsi="Arial"/>
          <w:sz w:val="15"/>
          <w:szCs w:val="15"/>
          <w:color w:val="auto"/>
        </w:rPr>
        <w:t>The management team of the Investment Adviser has long-term relationships with financial sponsors, management consultants and management teams</w:t>
      </w:r>
    </w:p>
    <w:p>
      <w:pPr>
        <w:spacing w:after="0" w:line="50" w:lineRule="exact"/>
        <w:rPr>
          <w:sz w:val="20"/>
          <w:szCs w:val="20"/>
          <w:color w:val="auto"/>
        </w:rPr>
      </w:pPr>
    </w:p>
    <w:p>
      <w:pPr>
        <w:ind w:left="200" w:right="340"/>
        <w:spacing w:after="0" w:line="254" w:lineRule="auto"/>
        <w:rPr>
          <w:sz w:val="20"/>
          <w:szCs w:val="20"/>
          <w:color w:val="auto"/>
        </w:rPr>
      </w:pPr>
      <w:r>
        <w:rPr>
          <w:rFonts w:ascii="Arial" w:cs="Arial" w:eastAsia="Arial" w:hAnsi="Arial"/>
          <w:sz w:val="18"/>
          <w:szCs w:val="18"/>
          <w:color w:val="auto"/>
        </w:rPr>
        <w:t>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left="200" w:right="440" w:firstLine="443"/>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40" w:firstLine="443"/>
        <w:spacing w:after="0" w:line="332" w:lineRule="auto"/>
        <w:rPr>
          <w:sz w:val="20"/>
          <w:szCs w:val="20"/>
          <w:color w:val="auto"/>
        </w:rPr>
      </w:pPr>
      <w:r>
        <w:rPr>
          <w:rFonts w:ascii="Arial" w:cs="Arial" w:eastAsia="Arial" w:hAnsi="Arial"/>
          <w:sz w:val="16"/>
          <w:szCs w:val="16"/>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 Longer Investment Horizon with Attractive Publicly Traded Model</w:t>
      </w:r>
    </w:p>
    <w:p>
      <w:pPr>
        <w:spacing w:after="0" w:line="90"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120" w:firstLine="44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left="200" w:right="40" w:firstLine="443"/>
        <w:spacing w:after="0" w:line="254"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We maintain a multi-currency $315.0 million senior secured Credit Facility which matures on June 25, 2012 and is secured by substantially all of our investment portfolio assets (excluding the assets of SBIC LP). As of September 30, 2011, we had $240.9 million outstanding on the Credit Facility with a weighted average interest rate at the time of 1.27% and had $74.1 million of unused borrowing capacity. Pricing of borrowings under our Credit Facility is set at 100 basis points over LIBOR. We believe that our capital resources will provide us with the flexibility to take advantage of market opportunities when they arise. In addition, any future additional debt capital we incur, including refinancing the debt outstanding under our Credit Facility, to the extent it is available under current credit market conditions, may be issued at a higher cost and on less favorable terms and conditions than our current Credit Facility. See “Recent Developments” in this prospectus supplement and “Management’s Discussion and Analysis of Financial Condition and Results of Operations— Liquidity and Capital Resources” in the accompanying prospectus for more information.</w:t>
      </w:r>
    </w:p>
    <w:p>
      <w:pPr>
        <w:spacing w:after="0" w:line="118" w:lineRule="exact"/>
        <w:rPr>
          <w:sz w:val="20"/>
          <w:szCs w:val="20"/>
          <w:color w:val="auto"/>
        </w:rPr>
      </w:pPr>
    </w:p>
    <w:p>
      <w:pPr>
        <w:ind w:left="200" w:right="140" w:firstLine="443"/>
        <w:spacing w:after="0" w:line="298" w:lineRule="auto"/>
        <w:rPr>
          <w:sz w:val="20"/>
          <w:szCs w:val="20"/>
          <w:color w:val="auto"/>
        </w:rPr>
      </w:pPr>
      <w:r>
        <w:rPr>
          <w:rFonts w:ascii="Arial" w:cs="Arial" w:eastAsia="Arial" w:hAnsi="Arial"/>
          <w:sz w:val="16"/>
          <w:szCs w:val="16"/>
          <w:color w:val="auto"/>
        </w:rPr>
        <w:t>As of September 30, 2011, SBIC LP had drawn $150.0 million, with a weighted average interest rate of 3.70%, exclusive of 3.43% of upfront fees.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in the accompanying prospectus for more information.</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61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5613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300" w:firstLine="443"/>
        <w:spacing w:after="0" w:line="323" w:lineRule="auto"/>
        <w:rPr>
          <w:sz w:val="20"/>
          <w:szCs w:val="20"/>
          <w:color w:val="auto"/>
        </w:rPr>
      </w:pPr>
      <w:r>
        <w:rPr>
          <w:rFonts w:ascii="Arial" w:cs="Arial" w:eastAsia="Arial" w:hAnsi="Arial"/>
          <w:sz w:val="15"/>
          <w:szCs w:val="15"/>
          <w:color w:val="auto"/>
        </w:rPr>
        <w:t>Our investment activities are managed by PennantPark Investment Advisers and supervised by our board of directors, a majority of whom are independent of us. Under our investment management agreement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98" w:lineRule="exact"/>
        <w:rPr>
          <w:sz w:val="20"/>
          <w:szCs w:val="20"/>
          <w:color w:val="auto"/>
        </w:rPr>
      </w:pPr>
    </w:p>
    <w:p>
      <w:pPr>
        <w:ind w:left="200" w:right="100" w:firstLine="443"/>
        <w:spacing w:after="0" w:line="255" w:lineRule="auto"/>
        <w:rPr>
          <w:sz w:val="20"/>
          <w:szCs w:val="20"/>
          <w:color w:val="auto"/>
        </w:rPr>
      </w:pPr>
      <w:r>
        <w:rPr>
          <w:rFonts w:ascii="Arial" w:cs="Arial" w:eastAsia="Arial" w:hAnsi="Arial"/>
          <w:sz w:val="18"/>
          <w:szCs w:val="18"/>
          <w:color w:val="auto"/>
        </w:rPr>
        <w:t>We have also entered into an administration agreement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pacing w:after="0" w:line="143"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and intend to qualify annually, to be treated for federal income tax purposes under the Code as a RIC. See “Material U.S. Federal Income Tax Considerations” in the accompanying prospectus for more information.</w:t>
      </w:r>
    </w:p>
    <w:p>
      <w:pPr>
        <w:spacing w:after="0" w:line="143" w:lineRule="exact"/>
        <w:rPr>
          <w:sz w:val="20"/>
          <w:szCs w:val="20"/>
          <w:color w:val="auto"/>
        </w:rPr>
      </w:pPr>
    </w:p>
    <w:p>
      <w:pPr>
        <w:ind w:left="200" w:right="80" w:firstLine="443"/>
        <w:spacing w:after="0" w:line="306" w:lineRule="auto"/>
        <w:rPr>
          <w:sz w:val="20"/>
          <w:szCs w:val="20"/>
          <w:color w:val="auto"/>
        </w:rPr>
      </w:pPr>
      <w:r>
        <w:rPr>
          <w:rFonts w:ascii="Arial" w:cs="Arial" w:eastAsia="Arial" w:hAnsi="Arial"/>
          <w:sz w:val="16"/>
          <w:szCs w:val="16"/>
          <w:color w:val="auto"/>
        </w:rPr>
        <w:t>Our wholly-owned subsidiary, SBIC LP, received a license from the SBA to operate as an SBIC under Section 301(c) of the 1958 Act and is regulated by the SBA. The SBA regulates, among other matters, SBIC LP’s investing activities and periodically examines its operations. We serve as the investment adviser and administrator to SBIC LP. See “Regulation” in the accompanying prospectus for more information.</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jc w:val="both"/>
        <w:ind w:left="200" w:firstLine="443"/>
        <w:spacing w:after="0" w:line="298"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purposes. See “Use of Proceeds” in this prospectus supplement for information regarding our outstanding borrowings as of September 30, 2011, the corresponding interest rate charged on such borrowings as of that date and the length of time that it may take us to invest any proceeds in new or existing portfolio companies.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See “Distributions” in the accompanying prospectus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right="100" w:firstLine="44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in the accompanying prospectus for more information.</w:t>
      </w: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98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47980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Set forth below are certain preliminary estimates of our financial condition and results of operations for the three months ended December 31, 2011. These estimates are subject to the completion of our financial closing procedures and are not a comprehensive statement of our financial results for the three months ended December 31, 2011. We advise you that our actual results may differ materially from these estimates as a result of the completion of our financial closing procedures, final adjustments and other developments arising between now and the time that our financial results for the three months ended December 31, 2011 are finalized.</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investment income is estimated to have totaled between $0.31 and $0.33 per share for the three months ended December 31, 2011.</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asset value as of December 31, 2011 is estimated to be between $10.15 and $10.20 per share.</w:t>
      </w:r>
    </w:p>
    <w:p>
      <w:pPr>
        <w:spacing w:after="0" w:line="171"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color w:val="auto"/>
        </w:rPr>
        <w:t>We intend to announce final results of operations for the three months ended December 31, 2011 on February 8, 2012 after the close of the financial markets.</w:t>
      </w:r>
    </w:p>
    <w:p>
      <w:pPr>
        <w:spacing w:after="0" w:line="132" w:lineRule="exact"/>
        <w:rPr>
          <w:sz w:val="20"/>
          <w:szCs w:val="20"/>
          <w:color w:val="auto"/>
        </w:rPr>
      </w:pPr>
    </w:p>
    <w:p>
      <w:pPr>
        <w:ind w:left="200" w:right="40" w:firstLine="443"/>
        <w:spacing w:after="0" w:line="306" w:lineRule="auto"/>
        <w:rPr>
          <w:sz w:val="20"/>
          <w:szCs w:val="20"/>
          <w:color w:val="auto"/>
        </w:rPr>
      </w:pPr>
      <w:r>
        <w:rPr>
          <w:rFonts w:ascii="Arial" w:cs="Arial" w:eastAsia="Arial" w:hAnsi="Arial"/>
          <w:sz w:val="16"/>
          <w:szCs w:val="16"/>
          <w:color w:val="auto"/>
        </w:rPr>
        <w:t>The preliminary financial data included herein have been prepared by, and is the responsibility of, management. KPMG LLP, our independent registered public accounting firm, has not audited, reviewed, compiled or performed any procedures with respect to the accompanying preliminary financial data. Accordingly, KPMG LLP does not express an opinion or any other form of assurance with respect thereto.</w:t>
      </w:r>
    </w:p>
    <w:p>
      <w:pPr>
        <w:spacing w:after="0" w:line="107" w:lineRule="exact"/>
        <w:rPr>
          <w:sz w:val="20"/>
          <w:szCs w:val="20"/>
          <w:color w:val="auto"/>
        </w:rPr>
      </w:pPr>
    </w:p>
    <w:p>
      <w:pPr>
        <w:jc w:val="both"/>
        <w:ind w:left="200" w:right="40" w:firstLine="443"/>
        <w:spacing w:after="0" w:line="291" w:lineRule="auto"/>
        <w:rPr>
          <w:sz w:val="20"/>
          <w:szCs w:val="20"/>
          <w:color w:val="auto"/>
        </w:rPr>
      </w:pPr>
      <w:r>
        <w:rPr>
          <w:rFonts w:ascii="Arial" w:cs="Arial" w:eastAsia="Arial" w:hAnsi="Arial"/>
          <w:sz w:val="16"/>
          <w:szCs w:val="16"/>
          <w:color w:val="auto"/>
        </w:rPr>
        <w:t>We are currently in discussions with our existing lenders and others to amend and restate our existing $315.0 million senior secured revolving Credit Facility which is scheduled to mature in June of this year. We currently expect the amended and restated credit facility to be of a similar size to our existing Credit Facility, to have a four-year maturity, with a one-year term out period following its third year, to have the same security to the same extent as in place for our existing Credit Facility and to include customary covenants, including a minimum asset coverage and minimum equity covenant. The amended and restated credit facility is not fully committed and the size and terms of such credit facility remain subject to change. Further, no assurances can be given that we will successfully enter into such an amended and restated credit facility.</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the NASDAQ Global Select Market under the symbol “PNNT”.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supplement or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prospectus, and you should not consider information contained on our website to be part of this prospectus supplement or accompanying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material that we file with the SEC on the EDGAR Database.</w:t>
      </w:r>
    </w:p>
    <w:p>
      <w:pPr>
        <w:spacing w:after="0" w:line="3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Sales load</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3.22%</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0.48%</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 transaction expenses</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Management fees</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3.28%</w:t>
            </w:r>
            <w:r>
              <w:rPr>
                <w:rFonts w:ascii="Arial" w:cs="Arial" w:eastAsia="Arial" w:hAnsi="Arial"/>
                <w:sz w:val="11"/>
                <w:szCs w:val="11"/>
                <w:color w:val="auto"/>
                <w:w w:val="8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3.06%</w:t>
            </w:r>
            <w:r>
              <w:rPr>
                <w:rFonts w:ascii="Arial" w:cs="Arial" w:eastAsia="Arial" w:hAnsi="Arial"/>
                <w:sz w:val="11"/>
                <w:szCs w:val="11"/>
                <w:color w:val="auto"/>
                <w:w w:val="8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1.43%</w:t>
            </w:r>
            <w:r>
              <w:rPr>
                <w:rFonts w:ascii="Arial" w:cs="Arial" w:eastAsia="Arial" w:hAnsi="Arial"/>
                <w:sz w:val="11"/>
                <w:szCs w:val="11"/>
                <w:color w:val="auto"/>
                <w:w w:val="8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1.21%</w:t>
            </w:r>
            <w:r>
              <w:rPr>
                <w:rFonts w:ascii="Arial" w:cs="Arial" w:eastAsia="Arial" w:hAnsi="Arial"/>
                <w:sz w:val="11"/>
                <w:szCs w:val="11"/>
                <w:color w:val="auto"/>
                <w:w w:val="89"/>
              </w:rPr>
              <w:t>(7)</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8.98%</w:t>
            </w:r>
            <w:r>
              <w:rPr>
                <w:rFonts w:ascii="Arial" w:cs="Arial" w:eastAsia="Arial" w:hAnsi="Arial"/>
                <w:sz w:val="11"/>
                <w:szCs w:val="11"/>
                <w:color w:val="auto"/>
                <w:w w:val="89"/>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underwriting discounts and commissions with respect to the shares sold in this offering, which is a one-time fee, is the only sales load paid in connection with this offering.</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 reflects estimated offering expenses of approximately $460,000 and is based on the offering of 9,000,000 shares at the offering price of $10.55 per share.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at September 30, 2011 plus the anticipated net proceeds from this offering.</w:t>
      </w:r>
    </w:p>
    <w:p>
      <w:pPr>
        <w:spacing w:after="0" w:line="55" w:lineRule="exact"/>
        <w:rPr>
          <w:rFonts w:ascii="Arial" w:cs="Arial" w:eastAsia="Arial" w:hAnsi="Arial"/>
          <w:sz w:val="14"/>
          <w:szCs w:val="14"/>
          <w:color w:val="auto"/>
        </w:rPr>
      </w:pPr>
    </w:p>
    <w:p>
      <w:pPr>
        <w:ind w:left="340" w:right="140" w:hanging="332"/>
        <w:spacing w:after="0" w:line="239"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2.00% of our average adjusted gross total assets. See “Certain Relationships and Transactions—Investment Management Agreement” in the accompanying prospectus.</w:t>
      </w:r>
    </w:p>
    <w:p>
      <w:pPr>
        <w:spacing w:after="0" w:line="43" w:lineRule="exact"/>
        <w:rPr>
          <w:rFonts w:ascii="Arial" w:cs="Arial" w:eastAsia="Arial" w:hAnsi="Arial"/>
          <w:sz w:val="14"/>
          <w:szCs w:val="14"/>
          <w:color w:val="auto"/>
        </w:rPr>
      </w:pPr>
    </w:p>
    <w:p>
      <w:pPr>
        <w:ind w:left="340" w:right="20" w:hanging="332"/>
        <w:spacing w:after="0" w:line="266"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three months ended September 30, 2011,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2011,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2011. For more detailed information about the incentive fee, please see “Certain Relationships and Transactions-Investment Management Agreement” in the accompanying prospectus for more information.</w:t>
      </w:r>
    </w:p>
    <w:p>
      <w:pPr>
        <w:spacing w:after="0" w:line="32" w:lineRule="exact"/>
        <w:rPr>
          <w:rFonts w:ascii="Arial" w:cs="Arial" w:eastAsia="Arial" w:hAnsi="Arial"/>
          <w:sz w:val="12"/>
          <w:szCs w:val="12"/>
          <w:color w:val="auto"/>
        </w:rPr>
      </w:pPr>
    </w:p>
    <w:p>
      <w:pPr>
        <w:ind w:left="340" w:right="20" w:hanging="332"/>
        <w:spacing w:after="0" w:line="270"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of September 30, 2011, we had $74.1 million of unused borrowing capacity, subject to maintenance of the applicable total assets to debt ratio of 200%, and $240.9 million in borrowings outstanding under our $315.0 million Credit Facility. As of September 30, 2011, SBIC LP had $150.0 million outstanding with a weighted average interest rate of 3.70%, exclusive of the 3.43% of upfront fees, (4.04% inclusive of the 3.43%). We may use the net proceeds of this offering to repay outstanding obligations under our Credit Facility. After completing this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in the accompanying prospectus for more information.</w:t>
      </w:r>
    </w:p>
    <w:p>
      <w:pPr>
        <w:spacing w:after="0" w:line="27" w:lineRule="exact"/>
        <w:rPr>
          <w:rFonts w:ascii="Arial" w:cs="Arial" w:eastAsia="Arial" w:hAnsi="Arial"/>
          <w:sz w:val="12"/>
          <w:szCs w:val="12"/>
          <w:color w:val="auto"/>
        </w:rPr>
      </w:pPr>
    </w:p>
    <w:p>
      <w:pPr>
        <w:ind w:left="340" w:right="60" w:hanging="332"/>
        <w:spacing w:after="0" w:line="230"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2011 annualized for a full year. See the Consolidated Statement of Operations in our Consolidated Financial Statements in the accompanying prospectus for more information.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40" w:hanging="332"/>
        <w:spacing w:after="0" w:line="27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estimated annual expenses based on average total assets, see page 38 of the accompanying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3.22% sales load (underwriting discounts and commissions) and offering expenses totaling 0.48%, (2) total net annual expenses of 5.92%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94</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$ 206</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$ 316</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582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prospectus supplement contains statements that constitute forward-looking statements, which relate to us and our consolidated subsidiaries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preliminary estimates of our financial condition and results of operations for the three months ended December 31,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the accompanying prospectus entitled “Risk Factors” and elsewhere in this prospectus supplement.</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in the future that we may file with SEC including annual and quarterly reports on Form 10-K/Q and current reports on Form 8-K.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You should understand that, under Sections 27A(b)(2)(B) of the Securities Act of 1933, as amended (the “Securities Act”), and Section 21E(b)(2)(B) of the Securities Exchange Act of 1934, as amended (the “Exchange Act”), the “safe harbor” provisions of the Private Securities Litigation Reform Act of 1995, do not apply to statements made in connection with any offering of securities pursuant to this prospectus supplement or in periodic reports we file under the Exchange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We estimate that the net proceeds we will receive from the sale of 9,000,000 shares of our common stock in this offering will be approximately</w:t>
      </w:r>
    </w:p>
    <w:p>
      <w:pPr>
        <w:spacing w:after="0" w:line="38"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$91.4 million (or approximately $105.2 million if the underwriters fully exercise their overallotment option), in each case based on a public offering price of</w:t>
      </w:r>
    </w:p>
    <w:p>
      <w:pPr>
        <w:spacing w:after="0" w:line="32"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$10.55 per share, after deducting the underwriting discounts and commissions of approximately $3.1 million (or approximately $3.5 million if the underwriters fully exercise their overallotment option) payable by us and estimated offering expenses of approximately $460,000 payable by us.</w:t>
      </w:r>
    </w:p>
    <w:p>
      <w:pPr>
        <w:spacing w:after="0" w:line="9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purposes. Affiliates of certain of the underwriters serve as lenders under our Credit Facility and thereby may receive proceeds from this offering that are used to reduce our outstanding obligations under our Credit Facility.</w:t>
      </w:r>
    </w:p>
    <w:p>
      <w:pPr>
        <w:spacing w:after="0" w:line="107"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As of September 30, 2011, we had $74.1 million of unused borrowing capacity, subject to maintenance of the applicable total assets to debt ratio of 200%, and $240.9 million in borrowings outstanding under our $315.0 million Credit Facility. Borrowings under our Credit Facility bear interest at an annual rate equal to LIBOR plus 100 basis points per annum. At September 30, 2011, we had a weighted average interest rate on our Credit Facility at the time of 1.27%. The Credit Facility is a revolving facility with a stated maturity date of June 25, 2012 and is secured by substantially all of the assets in our investment portfolio, excluding assets of SBIC LP. Amounts repaid under our Credit Facility remain available for future borrowings. See “Recent Developments” in this prospectus supplement and “Management’s Discussion and Analysis of Financial Condition and Results of Operations” in the accompanying prospectus for more information.</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following table sets forth our cash and capitalization on September 30, 2011 (1) on an actual basis and (2) on an as-adjusted basis to reflect the effects of the sale of 9,000,000 shares of our common stock based on the public offering price of $10.55 per share ($10.21 per share net of the sales load) and $460,000 of offering expenses. The as-adjusted information is illustrative only; our capitalization following the completion of this offering is subject to further adjustments. You should read this table together with “Use of Proceeds” set forth in this prospectus supplement and in the accompanying prospectus. You should also read this table with our Consolidated Financial Statements and related notes thereto, in conjunction with “Recent Developments” in this prospectus supplement and “Management’s Discussion and Analysis of Financial Condition and Results of Operations” in the accompanying prospectus for more information.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As of September 30, 2011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w w:val="83"/>
              </w:rPr>
              <w:t>(unaudited)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6"/>
              <w:spacing w:after="0" w:line="115" w:lineRule="exact"/>
              <w:rPr>
                <w:sz w:val="20"/>
                <w:szCs w:val="20"/>
                <w:color w:val="auto"/>
              </w:rPr>
            </w:pPr>
            <w:r>
              <w:rPr>
                <w:rFonts w:ascii="Arial" w:cs="Arial" w:eastAsia="Arial" w:hAnsi="Arial"/>
                <w:sz w:val="12"/>
                <w:szCs w:val="12"/>
                <w:b w:val="1"/>
                <w:bCs w:val="1"/>
                <w:color w:val="auto"/>
              </w:rPr>
              <w:t>As adjusted for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792"/>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5"/>
                <w:szCs w:val="15"/>
                <w:color w:val="auto"/>
              </w:rPr>
            </w:pPr>
          </w:p>
        </w:tc>
        <w:tc>
          <w:tcPr>
            <w:tcW w:w="1120" w:type="dxa"/>
            <w:vAlign w:val="bottom"/>
            <w:gridSpan w:val="2"/>
          </w:tcPr>
          <w:p>
            <w:pPr>
              <w:jc w:val="right"/>
              <w:ind w:right="260"/>
              <w:spacing w:after="0" w:line="176" w:lineRule="exact"/>
              <w:rPr>
                <w:sz w:val="20"/>
                <w:szCs w:val="20"/>
                <w:color w:val="auto"/>
              </w:rPr>
            </w:pPr>
            <w:r>
              <w:rPr>
                <w:rFonts w:ascii="Arial" w:cs="Arial" w:eastAsia="Arial" w:hAnsi="Arial"/>
                <w:sz w:val="13"/>
                <w:szCs w:val="13"/>
                <w:b w:val="1"/>
                <w:bCs w:val="1"/>
                <w:color w:val="auto"/>
                <w:w w:val="95"/>
              </w:rPr>
              <w:t>the offering</w:t>
            </w:r>
            <w:r>
              <w:rPr>
                <w:rFonts w:ascii="Arial" w:cs="Arial" w:eastAsia="Arial" w:hAnsi="Arial"/>
                <w:sz w:val="20"/>
                <w:szCs w:val="20"/>
                <w:b w:val="1"/>
                <w:bCs w:val="1"/>
                <w:color w:val="auto"/>
                <w:w w:val="95"/>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71,604,519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163,034,519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w w:val="87"/>
              </w:rPr>
              <w:t>928,738,214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1,020,168,214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Credit Facility (cost – $240,900,000)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7"/>
              </w:rPr>
              <w:t>238,792,125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238,792,125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Borrowings under SBA debentures (cost – $150,000,000)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150,000,000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w w:val="89"/>
              </w:rPr>
              <w:t>Common stock, 45,689,781 and 54,689,781 shares, as-adjusted, are issued and outstanding, respectively. Par value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200"/>
              <w:spacing w:after="0"/>
              <w:rPr>
                <w:sz w:val="20"/>
                <w:szCs w:val="20"/>
                <w:color w:val="auto"/>
              </w:rPr>
            </w:pPr>
            <w:r>
              <w:rPr>
                <w:rFonts w:ascii="Arial" w:cs="Arial" w:eastAsia="Arial" w:hAnsi="Arial"/>
                <w:sz w:val="18"/>
                <w:szCs w:val="18"/>
                <w:color w:val="auto"/>
              </w:rPr>
              <w:t>is $0.001 per share and 100,000,000 shares are authorized.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rPr>
              <w:t>45,690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54,690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Paid in capital in excess of par value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7"/>
              </w:rPr>
              <w:t>540,603,020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632,024,020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rPr>
              <w:t>8,326,854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8,326,854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0"/>
              </w:rPr>
              <w:t>(49,651,922)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(49,651,922)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32"/>
              <w:spacing w:after="0"/>
              <w:rPr>
                <w:sz w:val="20"/>
                <w:szCs w:val="20"/>
                <w:color w:val="auto"/>
              </w:rPr>
            </w:pPr>
            <w:r>
              <w:rPr>
                <w:rFonts w:ascii="Arial" w:cs="Arial" w:eastAsia="Arial" w:hAnsi="Arial"/>
                <w:sz w:val="18"/>
                <w:szCs w:val="18"/>
                <w:color w:val="auto"/>
                <w:w w:val="90"/>
              </w:rPr>
              <w:t>(38,774,321)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(38,774,321)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72"/>
              <w:spacing w:after="0"/>
              <w:rPr>
                <w:sz w:val="20"/>
                <w:szCs w:val="20"/>
                <w:color w:val="auto"/>
              </w:rPr>
            </w:pPr>
            <w:r>
              <w:rPr>
                <w:rFonts w:ascii="Arial" w:cs="Arial" w:eastAsia="Arial" w:hAnsi="Arial"/>
                <w:sz w:val="18"/>
                <w:szCs w:val="18"/>
                <w:color w:val="auto"/>
                <w:w w:val="87"/>
              </w:rPr>
              <w:t>462,657,196</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554,087,196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7"/>
              </w:rPr>
              <w:t>851,449,321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942,879,321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Does not include the underwriters’ over-allotment option.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fiscal year end September 30, 2008. On January 23, 2012, the last reported closing price of our common stock was $10.78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w w:val="96"/>
              </w:rPr>
              <w:t>Closing Sales Price</w:t>
            </w: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High Sales</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00" w:type="dxa"/>
            <w:vAlign w:val="bottom"/>
          </w:tcPr>
          <w:p>
            <w:pPr>
              <w:spacing w:after="0"/>
              <w:rPr>
                <w:sz w:val="5"/>
                <w:szCs w:val="5"/>
                <w:color w:val="auto"/>
              </w:rPr>
            </w:pPr>
          </w:p>
        </w:tc>
        <w:tc>
          <w:tcPr>
            <w:tcW w:w="5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60" w:type="dxa"/>
            <w:vAlign w:val="bottom"/>
            <w:gridSpan w:val="5"/>
            <w:vMerge w:val="continue"/>
          </w:tcPr>
          <w:p>
            <w:pPr>
              <w:spacing w:after="0"/>
              <w:rPr>
                <w:sz w:val="5"/>
                <w:szCs w:val="5"/>
                <w:color w:val="auto"/>
              </w:rPr>
            </w:pPr>
          </w:p>
        </w:tc>
        <w:tc>
          <w:tcPr>
            <w:tcW w:w="1200" w:type="dxa"/>
            <w:vAlign w:val="bottom"/>
            <w:gridSpan w:val="2"/>
            <w:vMerge w:val="restart"/>
          </w:tcPr>
          <w:p>
            <w:pPr>
              <w:jc w:val="center"/>
              <w:ind w:right="600"/>
              <w:spacing w:after="0" w:line="135" w:lineRule="exact"/>
              <w:rPr>
                <w:sz w:val="20"/>
                <w:szCs w:val="20"/>
                <w:color w:val="auto"/>
              </w:rPr>
            </w:pPr>
            <w:r>
              <w:rPr>
                <w:rFonts w:ascii="Arial" w:cs="Arial" w:eastAsia="Arial" w:hAnsi="Arial"/>
                <w:sz w:val="14"/>
                <w:szCs w:val="14"/>
                <w:b w:val="1"/>
                <w:bCs w:val="1"/>
                <w:color w:val="auto"/>
                <w:w w:val="85"/>
              </w:rPr>
              <w:t>Price to</w:t>
            </w:r>
          </w:p>
        </w:tc>
        <w:tc>
          <w:tcPr>
            <w:tcW w:w="960" w:type="dxa"/>
            <w:vAlign w:val="bottom"/>
            <w:gridSpan w:val="2"/>
            <w:vMerge w:val="restart"/>
          </w:tcPr>
          <w:p>
            <w:pPr>
              <w:jc w:val="right"/>
              <w:ind w:right="440"/>
              <w:spacing w:after="0" w:line="135" w:lineRule="exact"/>
              <w:rPr>
                <w:sz w:val="20"/>
                <w:szCs w:val="20"/>
                <w:color w:val="auto"/>
              </w:rPr>
            </w:pPr>
            <w:r>
              <w:rPr>
                <w:rFonts w:ascii="Arial" w:cs="Arial" w:eastAsia="Arial" w:hAnsi="Arial"/>
                <w:sz w:val="14"/>
                <w:szCs w:val="14"/>
                <w:b w:val="1"/>
                <w:bCs w:val="1"/>
                <w:color w:val="auto"/>
                <w:w w:val="97"/>
              </w:rPr>
              <w:t>Price to</w:t>
            </w:r>
          </w:p>
        </w:tc>
        <w:tc>
          <w:tcPr>
            <w:tcW w:w="220" w:type="dxa"/>
            <w:vAlign w:val="bottom"/>
          </w:tcPr>
          <w:p>
            <w:pPr>
              <w:spacing w:after="0"/>
              <w:rPr>
                <w:sz w:val="5"/>
                <w:szCs w:val="5"/>
                <w:color w:val="auto"/>
              </w:rPr>
            </w:pPr>
          </w:p>
        </w:tc>
        <w:tc>
          <w:tcPr>
            <w:tcW w:w="680" w:type="dxa"/>
            <w:vAlign w:val="bottom"/>
            <w:gridSpan w:val="2"/>
            <w:vMerge w:val="restart"/>
          </w:tcPr>
          <w:p>
            <w:pPr>
              <w:jc w:val="right"/>
              <w:ind w:right="100"/>
              <w:spacing w:after="0" w:line="135" w:lineRule="exact"/>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48"/>
        </w:trPr>
        <w:tc>
          <w:tcPr>
            <w:tcW w:w="400" w:type="dxa"/>
            <w:vAlign w:val="bottom"/>
          </w:tcPr>
          <w:p>
            <w:pPr>
              <w:spacing w:after="0"/>
              <w:rPr>
                <w:sz w:val="4"/>
                <w:szCs w:val="4"/>
                <w:color w:val="auto"/>
              </w:rPr>
            </w:pPr>
          </w:p>
        </w:tc>
        <w:tc>
          <w:tcPr>
            <w:tcW w:w="5020" w:type="dxa"/>
            <w:vAlign w:val="bottom"/>
          </w:tcPr>
          <w:p>
            <w:pPr>
              <w:spacing w:after="0"/>
              <w:rPr>
                <w:sz w:val="4"/>
                <w:szCs w:val="4"/>
                <w:color w:val="auto"/>
              </w:rPr>
            </w:pPr>
          </w:p>
        </w:tc>
        <w:tc>
          <w:tcPr>
            <w:tcW w:w="740" w:type="dxa"/>
            <w:vAlign w:val="bottom"/>
            <w:gridSpan w:val="2"/>
            <w:vMerge w:val="restart"/>
          </w:tcPr>
          <w:p>
            <w:pPr>
              <w:jc w:val="right"/>
              <w:ind w:right="300"/>
              <w:spacing w:after="0" w:line="210" w:lineRule="exact"/>
              <w:rPr>
                <w:sz w:val="20"/>
                <w:szCs w:val="20"/>
                <w:color w:val="auto"/>
              </w:rPr>
            </w:pPr>
            <w:r>
              <w:rPr>
                <w:rFonts w:ascii="Arial" w:cs="Arial" w:eastAsia="Arial" w:hAnsi="Arial"/>
                <w:sz w:val="24"/>
                <w:szCs w:val="24"/>
                <w:b w:val="1"/>
                <w:bCs w:val="1"/>
                <w:color w:val="auto"/>
                <w:w w:val="91"/>
                <w:vertAlign w:val="subscript"/>
              </w:rPr>
              <w:t>NAV</w:t>
            </w:r>
            <w:r>
              <w:rPr>
                <w:rFonts w:ascii="Arial" w:cs="Arial" w:eastAsia="Arial" w:hAnsi="Arial"/>
                <w:sz w:val="10"/>
                <w:szCs w:val="10"/>
                <w:b w:val="1"/>
                <w:bCs w:val="1"/>
                <w:color w:val="auto"/>
                <w:w w:val="91"/>
              </w:rPr>
              <w:t>(1)</w:t>
            </w: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50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5"/>
                <w:szCs w:val="15"/>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Low</w:t>
            </w:r>
          </w:p>
        </w:tc>
        <w:tc>
          <w:tcPr>
            <w:tcW w:w="1200" w:type="dxa"/>
            <w:vAlign w:val="bottom"/>
            <w:gridSpan w:val="2"/>
          </w:tcPr>
          <w:p>
            <w:pPr>
              <w:jc w:val="center"/>
              <w:ind w:right="5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(2)</w:t>
            </w:r>
          </w:p>
        </w:tc>
        <w:tc>
          <w:tcPr>
            <w:tcW w:w="960" w:type="dxa"/>
            <w:vAlign w:val="bottom"/>
            <w:gridSpan w:val="2"/>
          </w:tcPr>
          <w:p>
            <w:pPr>
              <w:jc w:val="right"/>
              <w:ind w:right="44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(2)</w:t>
            </w:r>
          </w:p>
        </w:tc>
        <w:tc>
          <w:tcPr>
            <w:tcW w:w="2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90"/>
        </w:trPr>
        <w:tc>
          <w:tcPr>
            <w:tcW w:w="5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2012</w:t>
            </w: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Second quarter (as of January 23, 2012)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 N/A</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$ 11.06</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$10.31</w:t>
            </w: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N/A</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11.02</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8.57</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11.52</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8.89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11.08</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12.43</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10.97</w:t>
            </w: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13.05</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11.21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11.14</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12.75</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10.60</w:t>
            </w: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10.69</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10.69</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9.17</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11.84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9.02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11.07</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10.77</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8.88</w:t>
            </w: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9.15</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9.06</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11.72</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7.65</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3.85</w:t>
            </w: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4.05</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7.81</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2.35</w:t>
            </w: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8.50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5.92</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8.60</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10.26</w:t>
            </w:r>
          </w:p>
        </w:tc>
        <w:tc>
          <w:tcPr>
            <w:tcW w:w="2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11.31</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8.38</w:t>
            </w: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14.49</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quarter-end NAV.</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Shares of BDCs may trade at a market price that is less than the NAV that is attributable to those shares. Our shares have traded above and below our NAV. Our shares traded on the NASDAQ Global Select Market at $8.92 and $10.61 as of September 30, 2011 and September 30, 2010, respectively. Our NAV was $10.13 and $10.69 per share, as of September 30, 2011 and September 30, 2010,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years ended September 30, 2011, 2010, 2009, 2008 and for the period from January 11, 2007 (inception) through September 30, 2007 are derived from our Consolidated Financial Statements which have been audited by KPMG LLP, our independent registered public accounting firm. These selected financial data should be read in conjunction with our Consolidated Financial Statements and related notes thereto and “Management’s Discussion and Analysis of Financial Condition and Results of Operations” in the accompanying 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Year ended</w:t>
            </w:r>
          </w:p>
        </w:tc>
        <w:tc>
          <w:tcPr>
            <w:tcW w:w="240" w:type="dxa"/>
            <w:vAlign w:val="bottom"/>
          </w:tcPr>
          <w:p>
            <w:pPr>
              <w:spacing w:after="0"/>
              <w:rPr>
                <w:sz w:val="12"/>
                <w:szCs w:val="12"/>
                <w:color w:val="auto"/>
              </w:rPr>
            </w:pPr>
          </w:p>
        </w:tc>
        <w:tc>
          <w:tcPr>
            <w:tcW w:w="14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2"/>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12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(inception) through</w:t>
            </w:r>
          </w:p>
        </w:tc>
        <w:tc>
          <w:tcPr>
            <w:tcW w:w="0" w:type="dxa"/>
            <w:vAlign w:val="bottom"/>
          </w:tcPr>
          <w:p>
            <w:pPr>
              <w:spacing w:after="0"/>
              <w:rPr>
                <w:sz w:val="1"/>
                <w:szCs w:val="1"/>
                <w:color w:val="auto"/>
              </w:rPr>
            </w:pPr>
          </w:p>
        </w:tc>
      </w:t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060" w:type="dxa"/>
            <w:vAlign w:val="bottom"/>
            <w:gridSpan w:val="2"/>
          </w:tcPr>
          <w:p>
            <w:pPr>
              <w:jc w:val="center"/>
              <w:ind w:left="153"/>
              <w:spacing w:after="0"/>
              <w:rPr>
                <w:sz w:val="20"/>
                <w:szCs w:val="20"/>
                <w:color w:val="auto"/>
              </w:rPr>
            </w:pPr>
            <w:r>
              <w:rPr>
                <w:rFonts w:ascii="Arial" w:cs="Arial" w:eastAsia="Arial" w:hAnsi="Arial"/>
                <w:sz w:val="14"/>
                <w:szCs w:val="14"/>
                <w:b w:val="1"/>
                <w:bCs w:val="1"/>
                <w:color w:val="auto"/>
                <w:w w:val="83"/>
              </w:rPr>
              <w:t>2011</w:t>
            </w:r>
          </w:p>
        </w:tc>
        <w:tc>
          <w:tcPr>
            <w:tcW w:w="7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2009</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3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91,738</w:t>
            </w:r>
          </w:p>
        </w:tc>
        <w:tc>
          <w:tcPr>
            <w:tcW w:w="7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   60,140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45,119</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39,811</w:t>
            </w:r>
          </w:p>
        </w:tc>
        <w:tc>
          <w:tcPr>
            <w:tcW w:w="40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2"/>
              </w:rPr>
              <w:t>Net expenses before base management fee waiver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39,093</w:t>
            </w:r>
          </w:p>
        </w:tc>
        <w:tc>
          <w:tcPr>
            <w:tcW w:w="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28,065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3"/>
              </w:rPr>
              <w:t>Net expenses after base management fee waiver</w:t>
            </w:r>
            <w:r>
              <w:rPr>
                <w:rFonts w:ascii="Arial" w:cs="Arial" w:eastAsia="Arial" w:hAnsi="Arial"/>
                <w:sz w:val="11"/>
                <w:szCs w:val="11"/>
                <w:color w:val="auto"/>
                <w:w w:val="93"/>
              </w:rPr>
              <w:t>(1)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39,093</w:t>
            </w:r>
          </w:p>
        </w:tc>
        <w:tc>
          <w:tcPr>
            <w:tcW w:w="7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28,065</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22,400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21,255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52,645</w:t>
            </w:r>
          </w:p>
        </w:tc>
        <w:tc>
          <w:tcPr>
            <w:tcW w:w="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32,075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realized and unrealized (loss) gain</w:t>
            </w:r>
          </w:p>
        </w:tc>
        <w:tc>
          <w:tcPr>
            <w:tcW w:w="1800" w:type="dxa"/>
            <w:vAlign w:val="bottom"/>
            <w:gridSpan w:val="3"/>
          </w:tcPr>
          <w:p>
            <w:pPr>
              <w:jc w:val="right"/>
              <w:ind w:right="680"/>
              <w:spacing w:after="0"/>
              <w:rPr>
                <w:sz w:val="20"/>
                <w:szCs w:val="20"/>
                <w:color w:val="auto"/>
              </w:rPr>
            </w:pPr>
            <w:r>
              <w:rPr>
                <w:rFonts w:ascii="Arial" w:cs="Arial" w:eastAsia="Arial" w:hAnsi="Arial"/>
                <w:sz w:val="18"/>
                <w:szCs w:val="18"/>
                <w:color w:val="auto"/>
              </w:rPr>
              <w:t>(42,382)</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(15,539)</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13,083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(59,259)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1"/>
              </w:rPr>
              <w:t>Net increase (decrease) in net assets resulting from</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7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16,535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(40,703)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82"/>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10.69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7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18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(1.01)</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1"/>
              </w:rPr>
              <w:t>Net increase (decrease) in net assets resulting from</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operations</w:t>
            </w:r>
            <w:r>
              <w:rPr>
                <w:rFonts w:ascii="Arial" w:cs="Arial" w:eastAsia="Arial" w:hAnsi="Arial"/>
                <w:sz w:val="11"/>
                <w:szCs w:val="11"/>
                <w:color w:val="auto"/>
              </w:rPr>
              <w:t>(2)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740" w:type="dxa"/>
            <w:vAlign w:val="bottom"/>
          </w:tcPr>
          <w:p>
            <w:pPr>
              <w:spacing w:after="0"/>
              <w:rPr>
                <w:sz w:val="19"/>
                <w:szCs w:val="19"/>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18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(1.10)</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82"/>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w w:val="94"/>
              </w:rPr>
              <w:t>Consolidated Statement of Assets and Liabilities data (at period end):</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928,738</w:t>
            </w:r>
          </w:p>
        </w:tc>
        <w:tc>
          <w:tcPr>
            <w:tcW w:w="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711,494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827,549</w:t>
            </w:r>
          </w:p>
        </w:tc>
        <w:tc>
          <w:tcPr>
            <w:tcW w:w="7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664,724</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469,760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372,148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291,017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388,792</w:t>
            </w:r>
            <w:r>
              <w:rPr>
                <w:rFonts w:ascii="Arial" w:cs="Arial" w:eastAsia="Arial" w:hAnsi="Arial"/>
                <w:sz w:val="11"/>
                <w:szCs w:val="11"/>
                <w:color w:val="auto"/>
              </w:rPr>
              <w:t>(5)</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233,641</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5"/>
              </w:rPr>
              <w:t>Payable for investments purchased and unfunded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55,705</w:t>
            </w:r>
          </w:p>
        </w:tc>
        <w:tc>
          <w:tcPr>
            <w:tcW w:w="740" w:type="dxa"/>
            <w:vAlign w:val="bottom"/>
          </w:tcPr>
          <w:p>
            <w:pPr>
              <w:spacing w:after="0"/>
              <w:rPr>
                <w:sz w:val="19"/>
                <w:szCs w:val="19"/>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74,988</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273,334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462,657</w:t>
            </w:r>
          </w:p>
        </w:tc>
        <w:tc>
          <w:tcPr>
            <w:tcW w:w="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386,575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270,393</w:t>
            </w:r>
          </w:p>
        </w:tc>
        <w:tc>
          <w:tcPr>
            <w:tcW w:w="0" w:type="dxa"/>
            <w:vAlign w:val="bottom"/>
          </w:tcPr>
          <w:p>
            <w:pPr>
              <w:spacing w:after="0"/>
              <w:rPr>
                <w:sz w:val="1"/>
                <w:szCs w:val="1"/>
                <w:color w:val="auto"/>
              </w:rPr>
            </w:pPr>
          </w:p>
        </w:tc>
      </w:tr>
      <w:tr>
        <w:trPr>
          <w:trHeight w:val="282"/>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Other data:</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(7.37)%</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44.79%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(38.58)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9"/>
              </w:rPr>
              <w:t>Number of portfolio companies (at period end)</w:t>
            </w:r>
            <w:r>
              <w:rPr>
                <w:rFonts w:ascii="Arial" w:cs="Arial" w:eastAsia="Arial" w:hAnsi="Arial"/>
                <w:sz w:val="11"/>
                <w:szCs w:val="11"/>
                <w:color w:val="auto"/>
                <w:w w:val="99"/>
              </w:rPr>
              <w:t>(4)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74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(4)</w:t>
            </w:r>
          </w:p>
        </w:tc>
        <w:tc>
          <w:tcPr>
            <w:tcW w:w="1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13.3%</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base management fee waiver was in effect from inception through March 31, 2008.</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55"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Unaudited.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At fair value in the case of our Credit Facility.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Determined based on taxable income calculated in accordance with income tax regulations which may differ from amounts determined under U.S. generally accepted accounting principles.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Q4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5"/>
          </w:tcPr>
          <w:p>
            <w:pPr>
              <w:jc w:val="right"/>
              <w:ind w:right="44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210"/>
        </w:trPr>
        <w:tc>
          <w:tcPr>
            <w:tcW w:w="4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26,139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88"/>
              </w:rPr>
              <w:t>$ 22,908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3"/>
              </w:rPr>
              <w:t>22,712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$19,979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98"/>
              </w:rPr>
              <w:t>15,095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7"/>
          </w:tcPr>
          <w:p>
            <w:pPr>
              <w:ind w:left="60"/>
              <w:spacing w:after="0"/>
              <w:rPr>
                <w:sz w:val="20"/>
                <w:szCs w:val="20"/>
                <w:color w:val="auto"/>
              </w:rPr>
            </w:pPr>
            <w:r>
              <w:rPr>
                <w:rFonts w:ascii="Arial" w:cs="Arial" w:eastAsia="Arial" w:hAnsi="Arial"/>
                <w:sz w:val="18"/>
                <w:szCs w:val="18"/>
                <w:color w:val="auto"/>
              </w:rPr>
              <w:t>$ 13,220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5"/>
          </w:tcPr>
          <w:p>
            <w:pPr>
              <w:jc w:val="right"/>
              <w:ind w:right="200"/>
              <w:spacing w:after="0"/>
              <w:rPr>
                <w:sz w:val="20"/>
                <w:szCs w:val="20"/>
                <w:color w:val="auto"/>
              </w:rPr>
            </w:pPr>
            <w:r>
              <w:rPr>
                <w:rFonts w:ascii="Arial" w:cs="Arial" w:eastAsia="Arial" w:hAnsi="Arial"/>
                <w:sz w:val="18"/>
                <w:szCs w:val="18"/>
                <w:color w:val="auto"/>
                <w:w w:val="83"/>
              </w:rPr>
              <w:t>13,159</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$11,171</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9"/>
              </w:rPr>
              <w:t>(46,260)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7"/>
            <w:shd w:val="clear" w:color="auto" w:fill="CCEEFF"/>
          </w:tcPr>
          <w:p>
            <w:pPr>
              <w:ind w:left="60"/>
              <w:spacing w:after="0"/>
              <w:rPr>
                <w:sz w:val="20"/>
                <w:szCs w:val="20"/>
                <w:color w:val="auto"/>
              </w:rPr>
            </w:pPr>
            <w:r>
              <w:rPr>
                <w:rFonts w:ascii="Arial" w:cs="Arial" w:eastAsia="Arial" w:hAnsi="Arial"/>
                <w:sz w:val="18"/>
                <w:szCs w:val="18"/>
                <w:color w:val="auto"/>
                <w:w w:val="99"/>
              </w:rPr>
              <w:t>$ (10,901)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$14,351</w:t>
            </w:r>
          </w:p>
        </w:tc>
        <w:tc>
          <w:tcPr>
            <w:tcW w:w="8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3"/>
              </w:rPr>
              <w:t>Net (decrease) increase in net assets resulting from operations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ind w:right="20"/>
              <w:spacing w:after="0"/>
              <w:rPr>
                <w:sz w:val="20"/>
                <w:szCs w:val="20"/>
                <w:color w:val="auto"/>
              </w:rPr>
            </w:pPr>
            <w:r>
              <w:rPr>
                <w:rFonts w:ascii="Arial" w:cs="Arial" w:eastAsia="Arial" w:hAnsi="Arial"/>
                <w:sz w:val="18"/>
                <w:szCs w:val="18"/>
                <w:color w:val="auto"/>
                <w:w w:val="89"/>
              </w:rPr>
              <w:t>(31,165)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20" w:type="dxa"/>
            <w:vAlign w:val="bottom"/>
            <w:gridSpan w:val="5"/>
          </w:tcPr>
          <w:p>
            <w:pPr>
              <w:jc w:val="right"/>
              <w:ind w:right="200"/>
              <w:spacing w:after="0"/>
              <w:rPr>
                <w:sz w:val="20"/>
                <w:szCs w:val="20"/>
                <w:color w:val="auto"/>
              </w:rPr>
            </w:pPr>
            <w:r>
              <w:rPr>
                <w:rFonts w:ascii="Arial" w:cs="Arial" w:eastAsia="Arial" w:hAnsi="Arial"/>
                <w:sz w:val="18"/>
                <w:szCs w:val="18"/>
                <w:color w:val="auto"/>
              </w:rPr>
              <w:t>2,319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5"/>
          </w:tcPr>
          <w:p>
            <w:pPr>
              <w:jc w:val="right"/>
              <w:ind w:right="200"/>
              <w:spacing w:after="0"/>
              <w:rPr>
                <w:sz w:val="20"/>
                <w:szCs w:val="20"/>
                <w:color w:val="auto"/>
              </w:rPr>
            </w:pPr>
            <w:r>
              <w:rPr>
                <w:rFonts w:ascii="Arial" w:cs="Arial" w:eastAsia="Arial" w:hAnsi="Arial"/>
                <w:sz w:val="18"/>
                <w:szCs w:val="18"/>
                <w:color w:val="auto"/>
                <w:w w:val="83"/>
              </w:rPr>
              <w:t>13,587</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$25,522</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0.32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20" w:type="dxa"/>
            <w:vAlign w:val="bottom"/>
            <w:gridSpan w:val="5"/>
          </w:tcPr>
          <w:p>
            <w:pPr>
              <w:jc w:val="right"/>
              <w:ind w:right="200"/>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5"/>
          </w:tcPr>
          <w:p>
            <w:pPr>
              <w:jc w:val="right"/>
              <w:ind w:right="200"/>
              <w:spacing w:after="0"/>
              <w:rPr>
                <w:sz w:val="20"/>
                <w:szCs w:val="20"/>
                <w:color w:val="auto"/>
              </w:rPr>
            </w:pPr>
            <w:r>
              <w:rPr>
                <w:rFonts w:ascii="Arial" w:cs="Arial" w:eastAsia="Arial" w:hAnsi="Arial"/>
                <w:sz w:val="18"/>
                <w:szCs w:val="18"/>
                <w:color w:val="auto"/>
              </w:rPr>
              <w:t>11.30</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11.14</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11.21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11.92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12.25</w:t>
            </w:r>
          </w:p>
        </w:tc>
        <w:tc>
          <w:tcPr>
            <w:tcW w:w="80" w:type="dxa"/>
            <w:vAlign w:val="bottom"/>
            <w:shd w:val="clear" w:color="auto" w:fill="CCEEFF"/>
          </w:tcPr>
          <w:p>
            <w:pPr>
              <w:spacing w:after="0"/>
              <w:rPr>
                <w:sz w:val="18"/>
                <w:szCs w:val="18"/>
                <w:color w:val="auto"/>
              </w:rPr>
            </w:pPr>
          </w:p>
        </w:tc>
      </w:tr>
      <w:tr>
        <w:trPr>
          <w:trHeight w:val="351"/>
        </w:trPr>
        <w:tc>
          <w:tcPr>
            <w:tcW w:w="4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w w:val="96"/>
              </w:rPr>
              <w:t>Q4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w w:val="96"/>
              </w:rPr>
              <w:t>Q2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210"/>
        </w:trPr>
        <w:tc>
          <w:tcPr>
            <w:tcW w:w="4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w w:val="86"/>
              </w:rPr>
              <w:t>$16,681</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w w:val="86"/>
              </w:rPr>
              <w:t>$16,335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91"/>
              </w:rPr>
              <w:t>$ 13,525</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$13,599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6"/>
          </w:tcPr>
          <w:p>
            <w:pPr>
              <w:jc w:val="right"/>
              <w:ind w:right="240"/>
              <w:spacing w:after="0"/>
              <w:rPr>
                <w:sz w:val="20"/>
                <w:szCs w:val="20"/>
                <w:color w:val="auto"/>
              </w:rPr>
            </w:pPr>
            <w:r>
              <w:rPr>
                <w:rFonts w:ascii="Arial" w:cs="Arial" w:eastAsia="Arial" w:hAnsi="Arial"/>
                <w:sz w:val="18"/>
                <w:szCs w:val="18"/>
                <w:color w:val="auto"/>
              </w:rPr>
              <w:t>8,957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8,821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right"/>
              <w:ind w:right="40"/>
              <w:spacing w:after="0"/>
              <w:rPr>
                <w:sz w:val="20"/>
                <w:szCs w:val="20"/>
                <w:color w:val="auto"/>
              </w:rPr>
            </w:pPr>
            <w:r>
              <w:rPr>
                <w:rFonts w:ascii="Arial" w:cs="Arial" w:eastAsia="Arial" w:hAnsi="Arial"/>
                <w:sz w:val="18"/>
                <w:szCs w:val="18"/>
                <w:color w:val="auto"/>
                <w:w w:val="93"/>
              </w:rPr>
              <w:t>7,059</w:t>
            </w:r>
          </w:p>
        </w:tc>
        <w:tc>
          <w:tcPr>
            <w:tcW w:w="2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7,238</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8"/>
            <w:shd w:val="clear" w:color="auto" w:fill="CCEEFF"/>
          </w:tcPr>
          <w:p>
            <w:pPr>
              <w:ind w:left="60"/>
              <w:spacing w:after="0"/>
              <w:rPr>
                <w:sz w:val="20"/>
                <w:szCs w:val="20"/>
                <w:color w:val="auto"/>
              </w:rPr>
            </w:pPr>
            <w:r>
              <w:rPr>
                <w:rFonts w:ascii="Arial" w:cs="Arial" w:eastAsia="Arial" w:hAnsi="Arial"/>
                <w:sz w:val="18"/>
                <w:szCs w:val="18"/>
                <w:color w:val="auto"/>
              </w:rPr>
              <w:t>$ (2,326)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 (4,561)</w:t>
            </w:r>
          </w:p>
        </w:tc>
        <w:tc>
          <w:tcPr>
            <w:tcW w:w="200" w:type="dxa"/>
            <w:vAlign w:val="bottom"/>
            <w:shd w:val="clear" w:color="auto" w:fill="CCEEFF"/>
          </w:tcPr>
          <w:p>
            <w:pPr>
              <w:spacing w:after="0"/>
              <w:rPr>
                <w:sz w:val="18"/>
                <w:szCs w:val="18"/>
                <w:color w:val="auto"/>
              </w:rPr>
            </w:pPr>
          </w:p>
        </w:tc>
        <w:tc>
          <w:tcPr>
            <w:tcW w:w="1000" w:type="dxa"/>
            <w:vAlign w:val="bottom"/>
            <w:gridSpan w:val="10"/>
            <w:shd w:val="clear" w:color="auto" w:fill="CCEEFF"/>
          </w:tcPr>
          <w:p>
            <w:pPr>
              <w:jc w:val="right"/>
              <w:ind w:right="180"/>
              <w:spacing w:after="0"/>
              <w:rPr>
                <w:sz w:val="20"/>
                <w:szCs w:val="20"/>
                <w:color w:val="auto"/>
              </w:rPr>
            </w:pPr>
            <w:r>
              <w:rPr>
                <w:rFonts w:ascii="Arial" w:cs="Arial" w:eastAsia="Arial" w:hAnsi="Arial"/>
                <w:sz w:val="18"/>
                <w:szCs w:val="18"/>
                <w:color w:val="auto"/>
                <w:w w:val="97"/>
              </w:rPr>
              <w:t>$ (10,090)</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1,438</w:t>
            </w:r>
          </w:p>
        </w:tc>
        <w:tc>
          <w:tcPr>
            <w:tcW w:w="8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3"/>
              </w:rPr>
              <w:t>Net increase (decrease) in net assets resulting from operations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6"/>
          </w:tcPr>
          <w:p>
            <w:pPr>
              <w:jc w:val="right"/>
              <w:ind w:right="240"/>
              <w:spacing w:after="0"/>
              <w:rPr>
                <w:sz w:val="20"/>
                <w:szCs w:val="20"/>
                <w:color w:val="auto"/>
              </w:rPr>
            </w:pPr>
            <w:r>
              <w:rPr>
                <w:rFonts w:ascii="Arial" w:cs="Arial" w:eastAsia="Arial" w:hAnsi="Arial"/>
                <w:sz w:val="18"/>
                <w:szCs w:val="18"/>
                <w:color w:val="auto"/>
              </w:rPr>
              <w:t>6,630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4,260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7"/>
          </w:tcPr>
          <w:p>
            <w:pPr>
              <w:jc w:val="right"/>
              <w:ind w:right="180"/>
              <w:spacing w:after="0"/>
              <w:rPr>
                <w:sz w:val="20"/>
                <w:szCs w:val="20"/>
                <w:color w:val="auto"/>
              </w:rPr>
            </w:pPr>
            <w:r>
              <w:rPr>
                <w:rFonts w:ascii="Arial" w:cs="Arial" w:eastAsia="Arial" w:hAnsi="Arial"/>
                <w:sz w:val="18"/>
                <w:szCs w:val="18"/>
                <w:color w:val="auto"/>
              </w:rPr>
              <w:t>(3,031)</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8,676</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85"/>
              </w:rPr>
              <w:t>0.20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0.13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6"/>
          </w:tcPr>
          <w:p>
            <w:pPr>
              <w:jc w:val="right"/>
              <w:ind w:right="240"/>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right"/>
              <w:ind w:right="40"/>
              <w:spacing w:after="0"/>
              <w:rPr>
                <w:sz w:val="20"/>
                <w:szCs w:val="20"/>
                <w:color w:val="auto"/>
              </w:rPr>
            </w:pPr>
            <w:r>
              <w:rPr>
                <w:rFonts w:ascii="Arial" w:cs="Arial" w:eastAsia="Arial" w:hAnsi="Arial"/>
                <w:sz w:val="18"/>
                <w:szCs w:val="18"/>
                <w:color w:val="auto"/>
                <w:w w:val="93"/>
              </w:rPr>
              <w:t>11.07</w:t>
            </w:r>
          </w:p>
        </w:tc>
        <w:tc>
          <w:tcPr>
            <w:tcW w:w="2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11.86</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10.61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9.55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3"/>
              </w:rPr>
              <w:t>10.37</w:t>
            </w: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spacing w:after="0"/>
              <w:rPr>
                <w:sz w:val="18"/>
                <w:szCs w:val="18"/>
                <w:color w:val="auto"/>
              </w:rPr>
            </w:pPr>
          </w:p>
        </w:tc>
      </w:tr>
      <w:tr>
        <w:trPr>
          <w:trHeight w:val="351"/>
        </w:trPr>
        <w:tc>
          <w:tcPr>
            <w:tcW w:w="4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3"/>
          </w:tcPr>
          <w:p>
            <w:pPr>
              <w:jc w:val="right"/>
              <w:ind w:right="8"/>
              <w:spacing w:after="0" w:line="142" w:lineRule="exact"/>
              <w:rPr>
                <w:sz w:val="20"/>
                <w:szCs w:val="20"/>
                <w:color w:val="auto"/>
              </w:rPr>
            </w:pPr>
            <w:r>
              <w:rPr>
                <w:rFonts w:ascii="Arial" w:cs="Arial" w:eastAsia="Arial" w:hAnsi="Arial"/>
                <w:sz w:val="14"/>
                <w:szCs w:val="14"/>
                <w:b w:val="1"/>
                <w:bCs w:val="1"/>
                <w:color w:val="auto"/>
                <w:w w:val="85"/>
              </w:rPr>
              <w:t>Q4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Q3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7"/>
          </w:tcPr>
          <w:p>
            <w:pPr>
              <w:ind w:left="2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4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w w:val="86"/>
              </w:rPr>
              <w:t>$11,847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w w:val="86"/>
              </w:rPr>
              <w:t>$10,770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89"/>
              </w:rPr>
              <w:t>$10,425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$ 12,077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700" w:type="dxa"/>
            <w:vAlign w:val="bottom"/>
            <w:gridSpan w:val="4"/>
          </w:tcPr>
          <w:p>
            <w:pPr>
              <w:ind w:left="1560"/>
              <w:spacing w:after="0"/>
              <w:rPr>
                <w:sz w:val="20"/>
                <w:szCs w:val="20"/>
                <w:color w:val="auto"/>
              </w:rPr>
            </w:pPr>
            <w:r>
              <w:rPr>
                <w:rFonts w:ascii="Arial" w:cs="Arial" w:eastAsia="Arial" w:hAnsi="Arial"/>
                <w:sz w:val="18"/>
                <w:szCs w:val="18"/>
                <w:color w:val="auto"/>
              </w:rPr>
              <w:t>$</w:t>
            </w:r>
          </w:p>
        </w:tc>
        <w:tc>
          <w:tcPr>
            <w:tcW w:w="440" w:type="dxa"/>
            <w:vAlign w:val="bottom"/>
            <w:gridSpan w:val="5"/>
          </w:tcPr>
          <w:p>
            <w:pPr>
              <w:ind w:left="60"/>
              <w:spacing w:after="0"/>
              <w:rPr>
                <w:sz w:val="20"/>
                <w:szCs w:val="20"/>
                <w:color w:val="auto"/>
              </w:rPr>
            </w:pPr>
            <w:r>
              <w:rPr>
                <w:rFonts w:ascii="Arial" w:cs="Arial" w:eastAsia="Arial" w:hAnsi="Arial"/>
                <w:sz w:val="18"/>
                <w:szCs w:val="18"/>
                <w:color w:val="auto"/>
                <w:w w:val="79"/>
              </w:rPr>
              <w:t>6,018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460" w:type="dxa"/>
            <w:vAlign w:val="bottom"/>
            <w:gridSpan w:val="5"/>
          </w:tcPr>
          <w:p>
            <w:pPr>
              <w:jc w:val="right"/>
              <w:spacing w:after="0"/>
              <w:rPr>
                <w:sz w:val="20"/>
                <w:szCs w:val="20"/>
                <w:color w:val="auto"/>
              </w:rPr>
            </w:pPr>
            <w:r>
              <w:rPr>
                <w:rFonts w:ascii="Arial" w:cs="Arial" w:eastAsia="Arial" w:hAnsi="Arial"/>
                <w:sz w:val="18"/>
                <w:szCs w:val="18"/>
                <w:color w:val="auto"/>
                <w:w w:val="97"/>
              </w:rPr>
              <w:t>5,666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5,267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5,768</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2140" w:type="dxa"/>
            <w:vAlign w:val="bottom"/>
            <w:gridSpan w:val="9"/>
            <w:shd w:val="clear" w:color="auto" w:fill="CCEEFF"/>
          </w:tcPr>
          <w:p>
            <w:pPr>
              <w:ind w:left="1560"/>
              <w:spacing w:after="0"/>
              <w:rPr>
                <w:sz w:val="20"/>
                <w:szCs w:val="20"/>
                <w:color w:val="auto"/>
              </w:rPr>
            </w:pPr>
            <w:r>
              <w:rPr>
                <w:rFonts w:ascii="Arial" w:cs="Arial" w:eastAsia="Arial" w:hAnsi="Arial"/>
                <w:sz w:val="18"/>
                <w:szCs w:val="18"/>
                <w:color w:val="auto"/>
                <w:w w:val="86"/>
              </w:rPr>
              <w:t>$20,162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9"/>
            <w:shd w:val="clear" w:color="auto" w:fill="CCEEFF"/>
          </w:tcPr>
          <w:p>
            <w:pPr>
              <w:ind w:left="80"/>
              <w:spacing w:after="0"/>
              <w:rPr>
                <w:sz w:val="20"/>
                <w:szCs w:val="20"/>
                <w:color w:val="auto"/>
              </w:rPr>
            </w:pPr>
            <w:r>
              <w:rPr>
                <w:rFonts w:ascii="Arial" w:cs="Arial" w:eastAsia="Arial" w:hAnsi="Arial"/>
                <w:sz w:val="18"/>
                <w:szCs w:val="18"/>
                <w:color w:val="auto"/>
                <w:w w:val="94"/>
              </w:rPr>
              <w:t>$ (6,486)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89"/>
              </w:rPr>
              <w:t>$36,932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3"/>
              </w:rPr>
              <w:t>Net increase (decrease) in net assets resulting from operations</w:t>
            </w:r>
          </w:p>
        </w:tc>
        <w:tc>
          <w:tcPr>
            <w:tcW w:w="2140" w:type="dxa"/>
            <w:vAlign w:val="bottom"/>
            <w:gridSpan w:val="9"/>
          </w:tcPr>
          <w:p>
            <w:pPr>
              <w:ind w:left="1560"/>
              <w:spacing w:after="0"/>
              <w:rPr>
                <w:sz w:val="20"/>
                <w:szCs w:val="20"/>
                <w:color w:val="auto"/>
              </w:rPr>
            </w:pPr>
            <w:r>
              <w:rPr>
                <w:rFonts w:ascii="Arial" w:cs="Arial" w:eastAsia="Arial" w:hAnsi="Arial"/>
                <w:sz w:val="18"/>
                <w:szCs w:val="18"/>
                <w:color w:val="auto"/>
                <w:w w:val="86"/>
              </w:rPr>
              <w:t>$26,180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00" w:type="dxa"/>
            <w:vAlign w:val="bottom"/>
            <w:gridSpan w:val="5"/>
          </w:tcPr>
          <w:p>
            <w:pPr>
              <w:ind w:left="60"/>
              <w:spacing w:after="0"/>
              <w:rPr>
                <w:sz w:val="20"/>
                <w:szCs w:val="20"/>
                <w:color w:val="auto"/>
              </w:rPr>
            </w:pPr>
            <w:r>
              <w:rPr>
                <w:rFonts w:ascii="Arial" w:cs="Arial" w:eastAsia="Arial" w:hAnsi="Arial"/>
                <w:sz w:val="18"/>
                <w:szCs w:val="18"/>
                <w:color w:val="auto"/>
                <w:w w:val="99"/>
              </w:rPr>
              <w:t>(820)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6"/>
          </w:tcPr>
          <w:p>
            <w:pPr>
              <w:jc w:val="right"/>
              <w:spacing w:after="0"/>
              <w:rPr>
                <w:sz w:val="20"/>
                <w:szCs w:val="20"/>
                <w:color w:val="auto"/>
              </w:rPr>
            </w:pPr>
            <w:r>
              <w:rPr>
                <w:rFonts w:ascii="Arial" w:cs="Arial" w:eastAsia="Arial" w:hAnsi="Arial"/>
                <w:sz w:val="18"/>
                <w:szCs w:val="18"/>
                <w:color w:val="auto"/>
                <w:w w:val="89"/>
              </w:rPr>
              <w:t>$42,199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6"/>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700" w:type="dxa"/>
            <w:vAlign w:val="bottom"/>
            <w:gridSpan w:val="4"/>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4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w w:val="79"/>
              </w:rPr>
              <w:t>1.23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9"/>
              </w:rPr>
              <w:t>(0.04)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700" w:type="dxa"/>
            <w:vAlign w:val="bottom"/>
            <w:gridSpan w:val="4"/>
          </w:tcPr>
          <w:p>
            <w:pPr>
              <w:ind w:left="1560"/>
              <w:spacing w:after="0"/>
              <w:rPr>
                <w:sz w:val="20"/>
                <w:szCs w:val="20"/>
                <w:color w:val="auto"/>
              </w:rPr>
            </w:pPr>
            <w:r>
              <w:rPr>
                <w:rFonts w:ascii="Arial" w:cs="Arial" w:eastAsia="Arial" w:hAnsi="Arial"/>
                <w:sz w:val="18"/>
                <w:szCs w:val="18"/>
                <w:color w:val="auto"/>
              </w:rPr>
              <w:t>$</w:t>
            </w:r>
          </w:p>
        </w:tc>
        <w:tc>
          <w:tcPr>
            <w:tcW w:w="480" w:type="dxa"/>
            <w:vAlign w:val="bottom"/>
            <w:gridSpan w:val="6"/>
          </w:tcPr>
          <w:p>
            <w:pPr>
              <w:ind w:left="60"/>
              <w:spacing w:after="0"/>
              <w:rPr>
                <w:sz w:val="20"/>
                <w:szCs w:val="20"/>
                <w:color w:val="auto"/>
              </w:rPr>
            </w:pPr>
            <w:r>
              <w:rPr>
                <w:rFonts w:ascii="Arial" w:cs="Arial" w:eastAsia="Arial" w:hAnsi="Arial"/>
                <w:sz w:val="18"/>
                <w:szCs w:val="18"/>
                <w:color w:val="auto"/>
                <w:w w:val="88"/>
              </w:rPr>
              <w:t>11.85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460" w:type="dxa"/>
            <w:vAlign w:val="bottom"/>
            <w:gridSpan w:val="5"/>
          </w:tcPr>
          <w:p>
            <w:pPr>
              <w:jc w:val="right"/>
              <w:spacing w:after="0"/>
              <w:rPr>
                <w:sz w:val="20"/>
                <w:szCs w:val="20"/>
                <w:color w:val="auto"/>
              </w:rPr>
            </w:pPr>
            <w:r>
              <w:rPr>
                <w:rFonts w:ascii="Arial" w:cs="Arial" w:eastAsia="Arial" w:hAnsi="Arial"/>
                <w:sz w:val="18"/>
                <w:szCs w:val="18"/>
                <w:color w:val="auto"/>
                <w:w w:val="97"/>
              </w:rPr>
              <w:t>11.72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12.00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10.24</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700" w:type="dxa"/>
            <w:vAlign w:val="bottom"/>
            <w:gridSpan w:val="4"/>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1"/>
              </w:rPr>
              <w:t>8.11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r>
      <w:tr>
        <w:trPr>
          <w:trHeight w:val="351"/>
        </w:trPr>
        <w:tc>
          <w:tcPr>
            <w:tcW w:w="4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Q4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Q3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6"/>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4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7"/>
            <w:shd w:val="clear" w:color="auto" w:fill="CCEEFF"/>
          </w:tcPr>
          <w:p>
            <w:pPr>
              <w:jc w:val="right"/>
              <w:spacing w:after="0"/>
              <w:rPr>
                <w:sz w:val="20"/>
                <w:szCs w:val="20"/>
                <w:color w:val="auto"/>
              </w:rPr>
            </w:pPr>
            <w:r>
              <w:rPr>
                <w:rFonts w:ascii="Arial" w:cs="Arial" w:eastAsia="Arial" w:hAnsi="Arial"/>
                <w:sz w:val="18"/>
                <w:szCs w:val="18"/>
                <w:color w:val="auto"/>
                <w:w w:val="94"/>
              </w:rPr>
              <w:t>11,431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4"/>
              </w:rPr>
              <w:t>9,662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9,004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7"/>
          </w:tcPr>
          <w:p>
            <w:pPr>
              <w:jc w:val="right"/>
              <w:ind w:right="160"/>
              <w:spacing w:after="0"/>
              <w:rPr>
                <w:sz w:val="20"/>
                <w:szCs w:val="20"/>
                <w:color w:val="auto"/>
              </w:rPr>
            </w:pPr>
            <w:r>
              <w:rPr>
                <w:rFonts w:ascii="Arial" w:cs="Arial" w:eastAsia="Arial" w:hAnsi="Arial"/>
                <w:sz w:val="18"/>
                <w:szCs w:val="18"/>
                <w:color w:val="auto"/>
              </w:rPr>
              <w:t>5,434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84"/>
              </w:rPr>
              <w:t>3,941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4,732</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8"/>
            <w:shd w:val="clear" w:color="auto" w:fill="CCEEFF"/>
          </w:tcPr>
          <w:p>
            <w:pPr>
              <w:jc w:val="right"/>
              <w:ind w:right="100"/>
              <w:spacing w:after="0"/>
              <w:rPr>
                <w:sz w:val="20"/>
                <w:szCs w:val="20"/>
                <w:color w:val="auto"/>
              </w:rPr>
            </w:pPr>
            <w:r>
              <w:rPr>
                <w:rFonts w:ascii="Arial" w:cs="Arial" w:eastAsia="Arial" w:hAnsi="Arial"/>
                <w:sz w:val="18"/>
                <w:szCs w:val="18"/>
                <w:color w:val="auto"/>
                <w:w w:val="86"/>
              </w:rPr>
              <w:t>(16,475)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w w:val="89"/>
              </w:rPr>
              <w:t>$11,263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w w:val="85"/>
              </w:rPr>
              <w:t>$ (37,778)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3"/>
              </w:rPr>
              <w:t>Net increase (decrease) in net assets resulting from operations</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8"/>
          </w:tcPr>
          <w:p>
            <w:pPr>
              <w:jc w:val="right"/>
              <w:ind w:right="100"/>
              <w:spacing w:after="0"/>
              <w:rPr>
                <w:sz w:val="20"/>
                <w:szCs w:val="20"/>
                <w:color w:val="auto"/>
              </w:rPr>
            </w:pPr>
            <w:r>
              <w:rPr>
                <w:rFonts w:ascii="Arial" w:cs="Arial" w:eastAsia="Arial" w:hAnsi="Arial"/>
                <w:sz w:val="18"/>
                <w:szCs w:val="18"/>
                <w:color w:val="auto"/>
                <w:w w:val="86"/>
              </w:rPr>
              <w:t>(11,041)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7"/>
          </w:tcPr>
          <w:p>
            <w:pPr>
              <w:jc w:val="right"/>
              <w:spacing w:after="0"/>
              <w:rPr>
                <w:sz w:val="20"/>
                <w:szCs w:val="20"/>
                <w:color w:val="auto"/>
              </w:rPr>
            </w:pPr>
            <w:r>
              <w:rPr>
                <w:rFonts w:ascii="Arial" w:cs="Arial" w:eastAsia="Arial" w:hAnsi="Arial"/>
                <w:sz w:val="18"/>
                <w:szCs w:val="18"/>
                <w:color w:val="auto"/>
                <w:w w:val="89"/>
              </w:rPr>
              <w:t>$15,204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8"/>
          </w:tcPr>
          <w:p>
            <w:pPr>
              <w:jc w:val="right"/>
              <w:ind w:right="40"/>
              <w:spacing w:after="0"/>
              <w:rPr>
                <w:sz w:val="20"/>
                <w:szCs w:val="20"/>
                <w:color w:val="auto"/>
              </w:rPr>
            </w:pPr>
            <w:r>
              <w:rPr>
                <w:rFonts w:ascii="Arial" w:cs="Arial" w:eastAsia="Arial" w:hAnsi="Arial"/>
                <w:sz w:val="18"/>
                <w:szCs w:val="18"/>
                <w:color w:val="auto"/>
                <w:w w:val="85"/>
              </w:rPr>
              <w:t>$ (33,329)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6"/>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0.72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7"/>
          </w:tcPr>
          <w:p>
            <w:pPr>
              <w:jc w:val="right"/>
              <w:ind w:right="16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84"/>
              </w:rPr>
              <w:t>10.77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12.07</w:t>
            </w: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1"/>
              </w:rPr>
              <w:t>7.41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7.21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8.51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10.02</w:t>
            </w:r>
          </w:p>
        </w:tc>
        <w:tc>
          <w:tcPr>
            <w:tcW w:w="80" w:type="dxa"/>
            <w:vAlign w:val="bottom"/>
            <w:shd w:val="clear" w:color="auto" w:fill="CCEEFF"/>
          </w:tcPr>
          <w:p>
            <w:pPr>
              <w:spacing w:after="0"/>
              <w:rPr>
                <w:sz w:val="18"/>
                <w:szCs w:val="18"/>
                <w:color w:val="auto"/>
              </w:rPr>
            </w:pPr>
          </w:p>
        </w:tc>
      </w:tr>
      <w:tr>
        <w:trPr>
          <w:trHeight w:val="363"/>
        </w:trPr>
        <w:tc>
          <w:tcPr>
            <w:tcW w:w="4720" w:type="dxa"/>
            <w:vAlign w:val="bottom"/>
          </w:tcPr>
          <w:p>
            <w:pPr>
              <w:spacing w:after="0"/>
              <w:rPr>
                <w:sz w:val="24"/>
                <w:szCs w:val="24"/>
                <w:color w:val="auto"/>
              </w:rPr>
            </w:pPr>
          </w:p>
        </w:tc>
        <w:tc>
          <w:tcPr>
            <w:tcW w:w="1640" w:type="dxa"/>
            <w:vAlign w:val="bottom"/>
            <w:gridSpan w:val="3"/>
          </w:tcPr>
          <w:p>
            <w:pPr>
              <w:jc w:val="right"/>
              <w:ind w:right="852"/>
              <w:spacing w:after="0"/>
              <w:rPr>
                <w:sz w:val="20"/>
                <w:szCs w:val="20"/>
                <w:color w:val="auto"/>
              </w:rPr>
            </w:pPr>
            <w:r>
              <w:rPr>
                <w:rFonts w:ascii="Arial" w:cs="Arial" w:eastAsia="Arial" w:hAnsi="Arial"/>
                <w:sz w:val="18"/>
                <w:szCs w:val="18"/>
                <w:color w:val="auto"/>
              </w:rPr>
              <w:t>S-15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w w:val="96"/>
              </w:rPr>
              <w:t>2007</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6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80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5,425</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4,348</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3,208</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(18,870)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(5,152)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(14,522)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(1,944)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(234)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(0.01)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12.83</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13.74</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12.08</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From January 11, 2007 (inception of operations) through March 31, 2007.</w:t>
      </w:r>
    </w:p>
    <w:p>
      <w:pPr>
        <w:spacing w:after="0" w:line="1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0500"/>
          </w:cols>
          <w:pgMar w:left="240" w:top="459" w:right="11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intend to offer the shares through the underwriters named in the table below. Morgan Stanley &amp; Co. LLC, Goldman, Sachs &amp; Co., RBC Capital Markets, LLC, Credit Suisse Securities (USA) LLC, Stifel, Nicolaus &amp; Company, Incorporated and SunTrust Robinson Humphrey,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 Names</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8"/>
        </w:trPr>
        <w:tc>
          <w:tcPr>
            <w:tcW w:w="9540" w:type="dxa"/>
            <w:vAlign w:val="bottom"/>
            <w:gridSpan w:val="3"/>
            <w:vMerge w:val="continue"/>
          </w:tcPr>
          <w:p>
            <w:pPr>
              <w:spacing w:after="0"/>
              <w:rPr>
                <w:sz w:val="12"/>
                <w:szCs w:val="12"/>
                <w:color w:val="auto"/>
              </w:rPr>
            </w:pPr>
          </w:p>
        </w:tc>
        <w:tc>
          <w:tcPr>
            <w:tcW w:w="9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bottom w:val="single" w:sz="8" w:color="CCEEFF"/>
            </w:tcBorders>
            <w:shd w:val="clear" w:color="auto" w:fill="000000"/>
          </w:tcPr>
          <w:p>
            <w:pPr>
              <w:spacing w:after="0" w:line="20" w:lineRule="exact"/>
              <w:rPr>
                <w:sz w:val="1"/>
                <w:szCs w:val="1"/>
                <w:color w:val="auto"/>
              </w:rPr>
            </w:pPr>
          </w:p>
        </w:tc>
        <w:tc>
          <w:tcPr>
            <w:tcW w:w="8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Morgan Stanley &amp; Co. LLC</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3,060,000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over-allotment option described below, if they purchase any of the shares. The underwriters reserve the right to withdraw, cancel or modify offers to the public and to reject orders in whole or in part.</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underwriters have advised us that they propose initially to offer the shares to the public at the public offering price on the cover page of this prospectus supplement and to dealers at that price less a concession not in excess of $0.20 per share. The underwriters may allow, and the dealers may reallow, a discount not in excess of $0.07 per share to other dealers. After the public offering, the public offering price, concession and discount may be changed.</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1,350,000 shares.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5"/>
              </w:rPr>
              <w:t>Per Share</w:t>
            </w:r>
          </w:p>
        </w:tc>
        <w:tc>
          <w:tcPr>
            <w:tcW w:w="5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8"/>
              </w:rPr>
              <w:t>Without Option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7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94,950,000</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109,192,500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Underwriting discount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0.34</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3,060,000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3,519,000</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Investment Corporation (before offering expenses of $460,000)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10.21</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91,890,000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105,673,500</w:t>
            </w:r>
          </w:p>
        </w:tc>
        <w:tc>
          <w:tcPr>
            <w:tcW w:w="100" w:type="dxa"/>
            <w:vAlign w:val="bottom"/>
            <w:shd w:val="clear" w:color="auto" w:fill="CCEEFF"/>
          </w:tcPr>
          <w:p>
            <w:pPr>
              <w:spacing w:after="0"/>
              <w:rPr>
                <w:sz w:val="18"/>
                <w:szCs w:val="18"/>
                <w:color w:val="auto"/>
              </w:rPr>
            </w:pPr>
          </w:p>
        </w:tc>
      </w:tr>
      <w:tr>
        <w:trPr>
          <w:trHeight w:val="363"/>
        </w:trPr>
        <w:tc>
          <w:tcPr>
            <w:tcW w:w="7780" w:type="dxa"/>
            <w:vAlign w:val="bottom"/>
          </w:tcPr>
          <w:p>
            <w:pPr>
              <w:ind w:left="5540"/>
              <w:spacing w:after="0"/>
              <w:rPr>
                <w:sz w:val="20"/>
                <w:szCs w:val="20"/>
                <w:color w:val="auto"/>
              </w:rPr>
            </w:pPr>
            <w:r>
              <w:rPr>
                <w:rFonts w:ascii="Arial" w:cs="Arial" w:eastAsia="Arial" w:hAnsi="Arial"/>
                <w:sz w:val="18"/>
                <w:szCs w:val="18"/>
                <w:color w:val="auto"/>
              </w:rPr>
              <w:t>S-17</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granted an option to the underwriters to purchase up to 1,350,000 additional shares at the public offering price less the underwriting discount. The underwriters may exercise this option for 30 days from the date of this prospectus supplement solely to cover any overallotments. If the underwriters exercise this option, they will be obligated, subject to conditions contained in the underwriting agreement, to purchase the additional shares approximately proportionate to that underwriter’s initial purchase commitment.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90 days after the date of this prospectus without first obtaining the written consent of Morgan Stanley &amp; Co. LLC.</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executive officers and directors, PennantPark Investment Advisers, LLC, and Pennant Park Investment Administration, LLC have agreed, with exceptions, not to sell or transfer any common stock for 90 days after the date of this prospectus supplement without first obtaining the written consent of Morgan Stanley &amp; Co. LLC. Specifically, we and these other individuals and entities have agreed not to directly or indirectly:</w:t>
      </w:r>
    </w:p>
    <w:p>
      <w:pPr>
        <w:spacing w:after="0" w:line="2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“PNNT”.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overallotment option described above. In making this determination, the underwriters will consider, among other things, the price of shares available for purchase in the open market compared to the price at which the underwriters may purchase shares through the overallotment option. Purchases of the common stock to stabilize its price or to reduce a short position may cause the price of the common stock to be higher than it might be in the absence of such purchases.</w:t>
      </w:r>
    </w:p>
    <w:p>
      <w:pPr>
        <w:spacing w:after="0" w:line="144"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received or will receive customary fees and expenses.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Investment or any of the portfolio companies.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Affiliates of certain of the underwriters serve as lenders under our Credit Facility and may serve as lenders under any amended and restated credit facility. Some of the underwriters and their affiliates were underwriters in connection with our initial public offerings and follow-on public offering for which they received customary fees. Affiliates of the underwriters may receive part of the proceeds of the offering by reason of the repayment of certain amounts outstanding under our Credit Facility.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principal business addresses of Morgan Stanley &amp; Co. LLC, is 1585 Broadway, New York, NY 10036; Goldman, Sachs &amp; Co. is 200 West Street, New York, NY 10282; RBC Capital Markets, LLC is Three World Financial Center, New York, NY 10281; Credit Suisse Securities (USA) LLC is Eleven Madison Avenue, New York, NY 10010; Stifel, Nicolaus &amp; Company, Incorporated is 501 N. Broadway, St Louis, MO 63102 and SunTrust Robinson Humphrey, Inc is 3333 Peachtree Road, NE, Atlanta, GA 30326.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warrants and shares of common stock described in this prospectus may not be made to the public in that relevant member state prior to the publication of a prospectus in relation to the shares of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warrants may be made to the public in that relevant member state at any time:</w:t>
      </w:r>
    </w:p>
    <w:p>
      <w:pPr>
        <w:spacing w:after="0" w:line="6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Manager or Managers nominated by the Issuer for any such offer; or</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shares to the public” in any relevant member state means the communication in any form and by any means of sufficient information on the terms of the offer and the shares to be offered so as to enable an investor to decide to purchase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shares of common stock are only available to, and any invitation, offer or agreement to subscribe, purchase or otherwise acquire such shares of common stock will be engaged in only with, relevant persons.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This prospectus does not constitute an issue prospectus pursuant to Article 652a or Article 1156 of the Swiss Code of Obligations (“CO”) and the shares will not be listed on the SIX Swiss Exchange. Therefore, this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wholesale client.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Our securities may not be offered or sold in Hong Kong, by means of this prospectus or any document other than (i) to “professional investors” within the meaning of the Securities and Futures Ordinance (Cap.571, Laws of Hong Kong) and any rules made thereunder, or (ii) in circumstances which do not constitute an offer to the public within the meaning of the Companies Ordinance (Cap.32, Laws of Hong Kong), or (iii) in other circumstances which do not result in the document being a “prospectus” within the meaning of the Companies Ordinance (Cap.32, Laws of Hong Kong).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w:t>
      </w:r>
    </w:p>
    <w:p>
      <w:pPr>
        <w:ind w:right="560"/>
        <w:spacing w:after="0" w:line="261" w:lineRule="auto"/>
        <w:rPr>
          <w:sz w:val="20"/>
          <w:szCs w:val="20"/>
          <w:color w:val="auto"/>
        </w:rPr>
      </w:pPr>
      <w:r>
        <w:rPr>
          <w:rFonts w:ascii="Arial" w:cs="Arial" w:eastAsia="Arial" w:hAnsi="Arial"/>
          <w:sz w:val="18"/>
          <w:szCs w:val="18"/>
          <w:color w:val="auto"/>
        </w:rPr>
        <w:t>the securities which are or are intended to be disposed of only to persons outside Hong Kong or only to “professional investors” within the meaning of the Securities and Futures Ordinance (Cap. 571, Laws of Hong Kong) and any rules made thereunder.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This document has not been registered as a prospectus with the Monetary Authority of Singapore and in Singapore, the offer and sale of our securities is made pursuant to exemptions provided in sections 274 and 275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of the Securities and Futures Act, Chapter 289 of Singapore (“SFA”).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the conditions (if any) set forth in the SFA. Moreover, this document is not a prospectus as defined in the SFA. Accordingly, statutory liability under the SFA in relation to the content of prospectuses would not apply. Prospective investors in Singapore should consider carefully whether an investment in our securities is suitable for them.</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our securities are subscribed or purchased under Section 275 of the SFA by a relevant person which is:</w:t>
      </w:r>
    </w:p>
    <w:p>
      <w:pPr>
        <w:spacing w:after="0" w:line="90" w:lineRule="exact"/>
        <w:rPr>
          <w:sz w:val="20"/>
          <w:szCs w:val="20"/>
          <w:color w:val="auto"/>
        </w:rPr>
      </w:pPr>
    </w:p>
    <w:p>
      <w:pPr>
        <w:ind w:left="460" w:right="180" w:firstLine="443"/>
        <w:spacing w:after="0" w:line="268" w:lineRule="auto"/>
        <w:tabs>
          <w:tab w:leader="none" w:pos="11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 trust (where the trustee is not an accredited investor) whose sole purpose is to hold investments and each beneficiary of the trust is an individual who is an accredited investor,</w:t>
      </w:r>
    </w:p>
    <w:p>
      <w:pPr>
        <w:spacing w:after="0" w:line="51"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shares of that corporation or the beneficiaries’ rights and interest (howsoever described) in that trust shall not be transferable for six months after that corporation or that trust has acquired the shares under Section 275 of the SFA, except:</w:t>
      </w:r>
    </w:p>
    <w:p>
      <w:pPr>
        <w:spacing w:after="0" w:line="51" w:lineRule="exact"/>
        <w:rPr>
          <w:sz w:val="20"/>
          <w:szCs w:val="20"/>
          <w:color w:val="auto"/>
        </w:rPr>
      </w:pPr>
    </w:p>
    <w:p>
      <w:pPr>
        <w:ind w:left="460" w:right="120" w:firstLine="443"/>
        <w:spacing w:after="0" w:line="298" w:lineRule="auto"/>
        <w:tabs>
          <w:tab w:leader="none" w:pos="114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any person pursuant to an offer that is made on terms that such shares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investors in Singapore should note that the securities acquired by them are subject to resale and transfer restrictions specified under Section 276 of the SFA, and they, therefore, should seek their own legal advice before effecting any resale or transfer of their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Fried, Frank, Harris, Shriver &amp; Jacobson LLP, New York, NY.</w:t>
      </w:r>
    </w:p>
    <w:p>
      <w:pPr>
        <w:spacing w:after="0" w:line="9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0880"/>
          </w:cols>
          <w:pgMar w:left="240" w:top="459" w:right="7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DATED JANUARY 6, 2012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127000</wp:posOffset>
            </wp:positionV>
            <wp:extent cx="1414780"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7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or BDC, under the Investment Company Act of 1940, as amended (the “1940 Act”).</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senior secured loans, mezzanine debt, and equity investments. We can offer no assurances that we will achieve our investment objectives.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(the “SEC”) may permit. See “Risk Factors” on page 7 and “Sales of Common Stock Below Net Asset Value” on page 42 of this prospectus for more information.</w:t>
      </w:r>
    </w:p>
    <w:p>
      <w:pPr>
        <w:spacing w:after="0" w:line="12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common stock has been approved for quotation on the NASDAQ Global Select Market under the symbol “PNNT.” The last reported closing price for our common stock on December 16, 2011 was $10.16 per share, and our net asset value on September 30, 2011 was $10.13 per share.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28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37">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January 6, 2012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00" w:type="dxa"/>
            <w:vAlign w:val="bottom"/>
            <w:gridSpan w:val="33"/>
            <w:vMerge w:val="restart"/>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00" w:type="dxa"/>
            <w:vAlign w:val="bottom"/>
            <w:gridSpan w:val="33"/>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8"/>
                <w:szCs w:val="18"/>
                <w:color w:val="auto"/>
              </w:rPr>
            </w:pPr>
          </w:p>
        </w:tc>
        <w:tc>
          <w:tcPr>
            <w:tcW w:w="8960" w:type="dxa"/>
            <w:vAlign w:val="bottom"/>
            <w:gridSpan w:val="2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USE OF PROCEEDS</w:t>
              </w:r>
            </w:hyperlink>
          </w:p>
        </w:tc>
        <w:tc>
          <w:tcPr>
            <w:tcW w:w="81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63">
              <w:r>
                <w:rPr>
                  <w:rFonts w:ascii="Arial" w:cs="Arial" w:eastAsia="Arial" w:hAnsi="Arial"/>
                  <w:sz w:val="18"/>
                  <w:szCs w:val="18"/>
                  <w:color w:val="0000EE"/>
                  <w:w w:val="95"/>
                </w:rPr>
                <w:t>SELECTED FINANCIAL DATA</w:t>
              </w:r>
            </w:hyperlink>
          </w:p>
        </w:tc>
        <w:tc>
          <w:tcPr>
            <w:tcW w:w="862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SENIOR SECURITIES</w:t>
              </w:r>
            </w:hyperlink>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PRICE RANGE OF COMMON STOCK</w:t>
              </w:r>
            </w:hyperlink>
          </w:p>
        </w:tc>
        <w:tc>
          <w:tcPr>
            <w:tcW w:w="81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SALES OF COMMON STOCK BELOW NET ASSET VALUE</w:t>
              </w:r>
            </w:hyperlink>
          </w:p>
        </w:tc>
        <w:tc>
          <w:tcPr>
            <w:tcW w:w="64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87">
              <w:r>
                <w:rPr>
                  <w:rFonts w:ascii="Arial" w:cs="Arial" w:eastAsia="Arial" w:hAnsi="Arial"/>
                  <w:sz w:val="18"/>
                  <w:szCs w:val="18"/>
                  <w:color w:val="0000EE"/>
                  <w:w w:val="94"/>
                </w:rPr>
                <w:t>DISTRIBUTIONS</w:t>
              </w:r>
            </w:hyperlink>
          </w:p>
        </w:tc>
        <w:tc>
          <w:tcPr>
            <w:tcW w:w="9660" w:type="dxa"/>
            <w:vAlign w:val="bottom"/>
            <w:gridSpan w:val="2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BUSINESS</w:t>
              </w:r>
            </w:hyperlink>
          </w:p>
        </w:tc>
        <w:tc>
          <w:tcPr>
            <w:tcW w:w="10160" w:type="dxa"/>
            <w:vAlign w:val="bottom"/>
            <w:gridSpan w:val="3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INVESTMENT OBJECTIVES AND POLICIES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PORTFOLIO COMPANIES</w:t>
              </w:r>
            </w:hyperlink>
          </w:p>
        </w:tc>
        <w:tc>
          <w:tcPr>
            <w:tcW w:w="756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05">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900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112">
              <w:r>
                <w:rPr>
                  <w:rFonts w:ascii="Arial" w:cs="Arial" w:eastAsia="Arial" w:hAnsi="Arial"/>
                  <w:sz w:val="18"/>
                  <w:szCs w:val="18"/>
                  <w:color w:val="0000EE"/>
                  <w:w w:val="92"/>
                </w:rPr>
                <w:t>CONTROL PERSONS AND PRINCIPAL STOCKHOLDERS</w:t>
              </w:r>
            </w:hyperlink>
          </w:p>
        </w:tc>
        <w:tc>
          <w:tcPr>
            <w:tcW w:w="65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CERTAIN RELATIONSHIPS AND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17"/>
                <w:szCs w:val="17"/>
                <w:color w:val="auto"/>
              </w:rPr>
            </w:pPr>
          </w:p>
        </w:tc>
        <w:tc>
          <w:tcPr>
            <w:tcW w:w="70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DIVIDEND REINVESTMENT PLAN</w:t>
              </w:r>
            </w:hyperlink>
          </w:p>
        </w:tc>
        <w:tc>
          <w:tcPr>
            <w:tcW w:w="824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23">
              <w:r>
                <w:rPr>
                  <w:rFonts w:ascii="Arial" w:cs="Arial" w:eastAsia="Arial" w:hAnsi="Arial"/>
                  <w:sz w:val="18"/>
                  <w:szCs w:val="18"/>
                  <w:color w:val="0000EE"/>
                  <w:w w:val="92"/>
                </w:rPr>
                <w:t>DESCRIPTION OF OUR CAPITAL STOCK</w:t>
              </w:r>
            </w:hyperlink>
          </w:p>
        </w:tc>
        <w:tc>
          <w:tcPr>
            <w:tcW w:w="778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DESCRIPTION OF OUR WARRANTS</w:t>
              </w:r>
            </w:hyperlink>
          </w:p>
        </w:tc>
        <w:tc>
          <w:tcPr>
            <w:tcW w:w="75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DESCRIPTION OF OUR SUBSCRIPTION RIGHTS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w:anchor="page133">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146">
              <w:r>
                <w:rPr>
                  <w:rFonts w:ascii="Arial" w:cs="Arial" w:eastAsia="Arial" w:hAnsi="Arial"/>
                  <w:sz w:val="18"/>
                  <w:szCs w:val="18"/>
                  <w:color w:val="0000EE"/>
                  <w:w w:val="92"/>
                </w:rPr>
                <w:t>DESCRIPTION OF OUR UNITS</w:t>
              </w:r>
            </w:hyperlink>
          </w:p>
        </w:tc>
        <w:tc>
          <w:tcPr>
            <w:tcW w:w="860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REGULATION</w:t>
              </w:r>
            </w:hyperlink>
          </w:p>
        </w:tc>
        <w:tc>
          <w:tcPr>
            <w:tcW w:w="988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153">
              <w:r>
                <w:rPr>
                  <w:rFonts w:ascii="Arial" w:cs="Arial" w:eastAsia="Arial" w:hAnsi="Arial"/>
                  <w:sz w:val="18"/>
                  <w:szCs w:val="18"/>
                  <w:color w:val="0000EE"/>
                  <w:w w:val="93"/>
                </w:rPr>
                <w:t>BROKERAGE ALLOCATIONS AND OTHER PRACTICES</w:t>
              </w:r>
            </w:hyperlink>
          </w:p>
        </w:tc>
        <w:tc>
          <w:tcPr>
            <w:tcW w:w="66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154">
              <w:r>
                <w:rPr>
                  <w:rFonts w:ascii="Arial" w:cs="Arial" w:eastAsia="Arial" w:hAnsi="Arial"/>
                  <w:sz w:val="18"/>
                  <w:szCs w:val="18"/>
                  <w:color w:val="0000EE"/>
                  <w:w w:val="94"/>
                </w:rPr>
                <w:t>MATERIAL U.S. FEDERAL INCOME TAX CONSIDERATIONS</w:t>
              </w:r>
            </w:hyperlink>
          </w:p>
        </w:tc>
        <w:tc>
          <w:tcPr>
            <w:tcW w:w="62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PLAN OF DISTRIBUTION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SUB-ADMINISTRATOR, CUSTODIAN, TRANSFER AGENT AND TRUSTEE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LEGAL MATTERS</w:t>
              </w:r>
            </w:hyperlink>
          </w:p>
        </w:tc>
        <w:tc>
          <w:tcPr>
            <w:tcW w:w="52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9"/>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36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4"/>
              </w:rPr>
            </w:pPr>
            <w:hyperlink w:anchor="page163">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17"/>
                <w:szCs w:val="17"/>
                <w:color w:val="auto"/>
              </w:rPr>
            </w:pPr>
          </w:p>
        </w:tc>
        <w:tc>
          <w:tcPr>
            <w:tcW w:w="63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28"/>
        </w:trPr>
        <w:tc>
          <w:tcPr>
            <w:tcW w:w="11000" w:type="dxa"/>
            <w:vAlign w:val="bottom"/>
            <w:gridSpan w:val="33"/>
          </w:tcPr>
          <w:p>
            <w:pPr>
              <w:spacing w:after="0"/>
              <w:rPr>
                <w:sz w:val="20"/>
                <w:szCs w:val="20"/>
                <w:color w:val="auto"/>
              </w:rPr>
            </w:pPr>
            <w:r>
              <w:rPr>
                <w:rFonts w:ascii="Arial" w:cs="Arial" w:eastAsia="Arial" w:hAnsi="Arial"/>
                <w:sz w:val="18"/>
                <w:szCs w:val="18"/>
                <w:color w:val="auto"/>
              </w:rPr>
              <w:t>PART C OTHER INFORMATION</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0" w:type="dxa"/>
            <w:vAlign w:val="bottom"/>
            <w:gridSpan w:val="33"/>
          </w:tcPr>
          <w:p>
            <w:pPr>
              <w:spacing w:after="0"/>
              <w:rPr>
                <w:sz w:val="20"/>
                <w:szCs w:val="20"/>
                <w:color w:val="auto"/>
              </w:rPr>
            </w:pPr>
            <w:r>
              <w:rPr>
                <w:rFonts w:ascii="Arial" w:cs="Arial" w:eastAsia="Arial" w:hAnsi="Arial"/>
                <w:sz w:val="18"/>
                <w:szCs w:val="18"/>
                <w:color w:val="auto"/>
              </w:rPr>
              <w:t>SIGNATURES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debt securities, or units on the terms to be determined at the time of the offering.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“SBIC” subsidiary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Investment Corporation and its consolidated subsidiaries; “PennantPark Investment” refers to only PennantPark Investment Corporation; “SBIC LP”, “subsidiaries” or “our SBIC” refers to our consolidated subsidiary, PennantPark SBIC LP and its general partner PennantPark SBIC GP, LLC; “PennantPark Investment Advisers” or “Investment Adviser” refers to PennantPark Investment Advisers, LLC; and “PennantPark Investment Administration” or “Administrator” refers to PennantPark Investment Administration, LLC.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(“Credit Facility”) or any future credit facility, the Small Business Administration (“SBA”) debentures, proceeds from the rotation of our portfolio and proceeds from public and private offerings of securities to finance our investment objectives.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the fiscal year ended September 30, 2011, we purchased $479.7 million of investments issued by 17 new and 11 existing portfolio companies with an overall weighted average yield of 13.7% on debt investments. This compares to purchasing $309.5 million of investments issued by 17 new and 12 existing portfolio companies with an overall weighted average yield of 14.9% on debt investments and purchasing $112.7 million of investments issued by 11 new and 8 existing portfolio companies with an overall weighted average yield of 14.5% on debt investments for the fiscal years ended September 30, 2010 and 2009,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For the fiscal year ended September 30, 2011, sales and repayments generated proceeds of $304.0 million. This compares to sales and repayments that generated proceeds for the fiscal years ended September 30, 2010 and 2009 of $145.2 and $28.0 million, respectively.</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31% variable-rate with a London Interbank Offered Rate (“LIBOR”) or prime floor and 8% variable-rate investments.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26% variable-rate with a LIBOR or prime floor and 25% variable-rate investments.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organized on January 11, 2007, is a closed-end, externally managed, non-diversified investment company that has elected to be treated as a BDC, under the 1940 Act. In addition, for tax purposes we have elected to be treated, and intend to qualify annually, as a regulated investment company (“RIC”) under the Internal Revenue Code of 1986, as amended (the “Code”).</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Small Business Investment Act of 1958, as amended (the “1958 Act”), in July 2010. SBIC LP’s objective is to generate both current income and capital appreciation through debt and equity investments. SBIC LP, generally, co-invests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$1.2 billion in debt and equity capital and has invested over $1.5 billion in more than 150 companies with over 70 different financial sponsors through its managed funds.</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 See “Risk Factors—Risks Relating to our Business and Structure—We operate in a highly competitive market for investment opportunities” for more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maintain a multi-currency $315.0 million senior secured Credit Facility which matures on June 25, 2012 and is secured by substantially all of our investment portfolio assets (excluding the assets of SBIC LP). As of September 30, 2011, we had $240.9 million outstanding on the Credit Facility with a weighted average interest rate at the time of 1.27% and had $74.1 million of unused borrowing capacity. Pricing of borrowings under our Credit Facility is set at 100 basis points over LIBOR. We believe that our capital resources will provide us with the flexibility to take advantage of market opportunities when they arise. See “Management’s Discussion and Analysis of Financial Condition and Results of Operations—Liquidity and Capital Resources” for more information.</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September 30, 2011, SBIC LP had drawn $150.0 million, with a weighted average interest rate of 3.70%, exclusive of 3.43% of upfront fees. SBA debentures offer competitive terms such as being non-recourse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Under our investment management agreement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have also entered into an administration agreement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wholly-owned subsidiary, SBIC LP, received a license from the SBA to operate as an SBIC under Section 301(c) of the 1958 Act and is regulated by the SBA. The SBA regulates, among other matters, SBIC LP’s investing activities and periodically examines its operations. We serve as the investment adviser and administrator to SBIC LP.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 subsidiary or for other general corporate purposes. Any supplements to this prospectus relating to an offering will more fully identify the use of the proceeds from such offering. See “Use of Proceeds” for information regarding our outstanding borrowings as of September 30, 2011, the corresponding interest rate charged on such borrowings as of that date and the length of time that it may take us to invest any proceeds in new or existing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See “Distributions”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offer, from time to time, up to $1 billion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00"/>
          </w:cols>
          <w:pgMar w:left="240" w:top="459" w:right="25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Sales load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stockholder expenses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payable under the Investment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payments on borrowed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right"/>
        <w:ind w:right="2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2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740"/>
        <w:spacing w:after="0"/>
        <w:rPr>
          <w:sz w:val="20"/>
          <w:szCs w:val="20"/>
          <w:color w:val="auto"/>
        </w:rPr>
      </w:pPr>
      <w:r>
        <w:rPr>
          <w:rFonts w:ascii="Arial" w:cs="Arial" w:eastAsia="Arial" w:hAnsi="Arial"/>
          <w:sz w:val="14"/>
          <w:szCs w:val="14"/>
          <w:color w:val="auto"/>
        </w:rPr>
        <w:t>%</w:t>
      </w:r>
    </w:p>
    <w:p>
      <w:pPr>
        <w:spacing w:after="0" w:line="253"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3.34</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3.20</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1.50</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-17145</wp:posOffset>
            </wp:positionV>
            <wp:extent cx="1803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8"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9.31</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(8)</w:t>
      </w:r>
    </w:p>
    <w:p>
      <w:pPr>
        <w:spacing w:after="0" w:line="194" w:lineRule="exact"/>
        <w:rPr>
          <w:sz w:val="20"/>
          <w:szCs w:val="20"/>
          <w:color w:val="auto"/>
        </w:rPr>
      </w:pPr>
    </w:p>
    <w:p>
      <w:pPr>
        <w:sectPr>
          <w:pgSz w:w="11900" w:h="16838" w:orient="portrait"/>
          <w:cols w:equalWidth="0" w:num="2">
            <w:col w:w="9680" w:space="720"/>
            <w:col w:w="1000"/>
          </w:cols>
          <w:pgMar w:left="240" w:top="459" w:right="259" w:bottom="1440" w:gutter="0" w:footer="0" w:header="0"/>
          <w:type w:val="continuous"/>
        </w:sectPr>
      </w:pPr>
    </w:p>
    <w:p>
      <w:pPr>
        <w:ind w:left="460" w:right="24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ind w:left="460" w:right="24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September 30, 2011.</w:t>
      </w:r>
    </w:p>
    <w:p>
      <w:pPr>
        <w:spacing w:after="0" w:line="9"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on September 30, 2011. See “Certain Relationships and Transactions—Investment Management Agreement” for more information.</w:t>
      </w:r>
    </w:p>
    <w:p>
      <w:pPr>
        <w:ind w:left="46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September 30, 2011,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2011,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2011. For more detailed information about the incentive fee, please see “Certain Relationships and Transactions—Investment Management Agreement” for more information.</w:t>
      </w:r>
    </w:p>
    <w:p>
      <w:pPr>
        <w:spacing w:after="0" w:line="6" w:lineRule="exact"/>
        <w:rPr>
          <w:rFonts w:ascii="Arial" w:cs="Arial" w:eastAsia="Arial" w:hAnsi="Arial"/>
          <w:sz w:val="16"/>
          <w:szCs w:val="16"/>
          <w:color w:val="auto"/>
        </w:rPr>
      </w:pPr>
    </w:p>
    <w:p>
      <w:pPr>
        <w:ind w:left="460" w:hanging="452"/>
        <w:spacing w:after="0" w:line="290"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subject to maintenance of the applicable total assets to debt ratio of 200%, and $240.9 million in borrowings outstanding under our $315.0 million Credit Facility. As of September 30, 2011, SBIC LP had $150.0 million outstanding with a weighted average interest rate of 3.70%, exclusive of the 3.43% of upfront fees, (4.04% inclusive of the 3.43% upfront fee).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spacing w:after="0" w:line="253" w:lineRule="auto"/>
        <w:rPr>
          <w:sz w:val="20"/>
          <w:szCs w:val="20"/>
          <w:color w:val="auto"/>
        </w:rPr>
      </w:pPr>
      <w:r>
        <w:rPr>
          <w:rFonts w:ascii="Arial" w:cs="Arial" w:eastAsia="Arial" w:hAnsi="Arial"/>
          <w:sz w:val="18"/>
          <w:szCs w:val="18"/>
          <w:color w:val="auto"/>
        </w:rPr>
        <w:t>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ind w:left="460" w:right="44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2011 annualized for a full year. See the Consolidated Statement of Operations in our Consolidated Financial Statements.</w:t>
      </w:r>
    </w:p>
    <w:p>
      <w:pPr>
        <w:spacing w:after="0" w:line="2" w:lineRule="exact"/>
        <w:rPr>
          <w:rFonts w:ascii="Arial" w:cs="Arial" w:eastAsia="Arial" w:hAnsi="Arial"/>
          <w:sz w:val="16"/>
          <w:szCs w:val="16"/>
          <w:color w:val="auto"/>
        </w:rPr>
      </w:pPr>
    </w:p>
    <w:p>
      <w:pPr>
        <w:ind w:left="460" w:right="60" w:hanging="452"/>
        <w:spacing w:after="0" w:line="29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31 of this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4.75% sales load (underwriting discounts and commissions) and offering expenses totaling 0.28%, (2) total net annual expenses of 6.11%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$ 108</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$ 221</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$ 332</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599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debt securities, or units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jc w:val="both"/>
        <w:ind w:right="52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have a materially adverse affect on debt and equity capital markets in the United States, which could have a materially negative impact on our business, financial condition and results of operations.</w:t>
      </w:r>
    </w:p>
    <w:p>
      <w:pPr>
        <w:spacing w:after="0" w:line="5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could and may reoccur for a prolonged period of time again or materially worsen in the future. We may in the future have difficulty accessing debt and equity capital, and a severe disruption in the global financial markets or deterioration in credit and financing conditions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per share without first obtaining approval for such issuance from our stockholders and our independent directors. Additionally, our ability to incur indebtedness is limited by applicable regulations such that our asset coverage, as defined under the 1940 Act, must equal at least 200% of total indebtedness immediately after each time we incur indebtedness exclusive of the SBA debentures pursuant to our SEC exemptive relief. Declining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may be at a higher cost or on less favorable terms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and results of operations.</w:t>
      </w:r>
    </w:p>
    <w:p>
      <w:pPr>
        <w:spacing w:after="0" w:line="21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Market developments may adversely affect our business and results of operations by reducing availability under our Credit Facility and SBIC LP’s SBA debentures.</w:t>
      </w:r>
    </w:p>
    <w:p>
      <w:pPr>
        <w:spacing w:after="0" w:line="4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the applicable asset coverage test that restricts our ability to borrow under our Credit Facility, the Credit Facility contains various covenants which, if not complied with, could accelerate repayment under the Credit Facility, thereby materially and adversely affecting our liquidity, financial condition and results of operations. Our borrowings under our Credit Facility are collateralized by the assets in our investment portfolio, excluding those portfolio investments held by SBIC LP. The agreements governing the Credit Facility require us to comply with certain financial and operational covenants. These covenants include:</w:t>
      </w:r>
    </w:p>
    <w:p>
      <w:pPr>
        <w:spacing w:after="0" w:line="3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to the Credit Facility, SBIC LP has issued SBA debentures that require it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collateralized by the assets of SBIC LP.</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 and SBA debentures.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SBIC LP may be unable to make distributions to us that will enable us to meet or maintain RIC status.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order for us to continue to qualify for RIC tax treatment and to minimize corporate-level taxes, we will be required to distribute substantially all of our consolidated net ordinary income and net capital gain income, including income from SBIC LP. We will be partially dependent on SBIC LP for cash distributions to enable us to meet the RIC distribution requirements. SBIC LP may be limited by SBA regulations governing SBICs from making certain distributions to us that may be necessary to maintain our status as a RIC. We may have to request a waiver of the SBA’s restrictions for SBIC LP to make certain distributions to maintain our RIC status. We cannot assure you that the SBA will grant such waiver and if SBIC LP is unable to obtain a waiver, compliance with the SBA regulations may result in an entity-level tax on us.</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a BDC, we are required to carry our investments at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of our board of directors. Decreases in the market value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credit risk when we loan money or commit to loan money to a portfolio company.</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addition, current market conditions have affected consumer confidence levels which may harm the business of our portfolio companies and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182"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adverse effect on our financial condition and results of operations.</w:t>
      </w:r>
    </w:p>
    <w:p>
      <w:pPr>
        <w:spacing w:after="0" w:line="198" w:lineRule="exact"/>
        <w:rPr>
          <w:sz w:val="20"/>
          <w:szCs w:val="20"/>
          <w:color w:val="auto"/>
        </w:rPr>
      </w:pPr>
    </w:p>
    <w:p>
      <w:pPr>
        <w:ind w:right="4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60" w:firstLine="456"/>
        <w:spacing w:after="0" w:line="294"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including other BDCs,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have operated and continue to operate so as to qualify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 month period ending on October 31), we generally will be required to pay an excise tax on amounts carried over and distributed to shareholders in the next year equal to 4% of the undistributed amount.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10" w:lineRule="exact"/>
        <w:rPr>
          <w:sz w:val="20"/>
          <w:szCs w:val="20"/>
          <w:color w:val="auto"/>
        </w:rPr>
      </w:pPr>
    </w:p>
    <w:p>
      <w:pPr>
        <w:jc w:val="both"/>
        <w:ind w:right="48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100" w:firstLine="456"/>
        <w:spacing w:after="0" w:line="291"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 coverage ratio of total assets to total senior securities, which includes all of our borrowings, exclusive of the SBA debentures pursuant to SEC exemptive relief,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be partially dependent on SBIC LP for cash distributions to enable us to meet the RIC distribution requirements. SBIC LP may be limited by the SBA regulations governing SBICs, from making certain distributions to us that may be necessary to maintain our status as a RIC. We may have to request a waiver of the SBA’s restrictions for SBIC LP to make certain distributions to maintain our RIC status. We cannot assure you that the SBA will grant such waiver and if SBIC LP is unable to obtain a waiver, compliance with the SBA regulations may result in an entity-level tax on us.</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Credit Facility expires in June 2012. We utilize a revolving five-year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under current market conditions, we believe it may be unlikely that we could renew or refinance our Credit Facility on terms as favorable as those in our existing Credit Facility. In particular, market interest rates have increased for borrowers such as us since we entered into our Credit Facility in June 2007.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or through SBIC LP’s SBA debentures. However, we may not be able to raise additional capital in the future on favorable terms or at all. We may issue debt securities or preferred securities, which we refer to collectively as “senior securities,” and we may borrow money from banks, through SBIC LP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exclusive of the SBA debentures pursuant to our SEC exemptive relief.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60" w:hanging="446"/>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Senior Securities</w:t>
      </w:r>
      <w:r>
        <w:rPr>
          <w:rFonts w:ascii="Arial" w:cs="Arial" w:eastAsia="Arial" w:hAnsi="Arial"/>
          <w:sz w:val="18"/>
          <w:szCs w:val="18"/>
          <w:color w:val="auto"/>
        </w:rPr>
        <w:t>. As a result of issuing senior securities, we would also be exposed to typical risks associated with leverage, including an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price for our common stockholders or otherwise be in your best interest. Our senior securities may include conversion features that cause them to bear risks more closely associated with an investment in our common stock.</w:t>
      </w:r>
    </w:p>
    <w:p>
      <w:pPr>
        <w:spacing w:after="0" w:line="51" w:lineRule="exact"/>
        <w:rPr>
          <w:sz w:val="20"/>
          <w:szCs w:val="20"/>
          <w:color w:val="auto"/>
        </w:rPr>
      </w:pPr>
    </w:p>
    <w:p>
      <w:pPr>
        <w:ind w:left="900" w:right="100" w:hanging="446"/>
        <w:spacing w:after="0" w:line="28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Additional Common Stock</w:t>
      </w:r>
      <w:r>
        <w:rPr>
          <w:rFonts w:ascii="Arial" w:cs="Arial" w:eastAsia="Arial" w:hAnsi="Arial"/>
          <w:sz w:val="16"/>
          <w:szCs w:val="16"/>
          <w:color w:val="auto"/>
        </w:rPr>
        <w:t>. 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BDC, we are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9" w:lineRule="exact"/>
        <w:rPr>
          <w:rFonts w:ascii="Arial" w:cs="Arial" w:eastAsia="Arial" w:hAnsi="Arial"/>
          <w:sz w:val="16"/>
          <w:szCs w:val="16"/>
          <w:color w:val="auto"/>
        </w:rPr>
      </w:pPr>
    </w:p>
    <w:p>
      <w:pPr>
        <w:ind w:left="900" w:hanging="446"/>
        <w:spacing w:after="0" w:line="285"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40" w:lineRule="exact"/>
        <w:rPr>
          <w:rFonts w:ascii="Arial" w:cs="Arial" w:eastAsia="Arial" w:hAnsi="Arial"/>
          <w:sz w:val="16"/>
          <w:szCs w:val="16"/>
          <w:color w:val="auto"/>
        </w:rPr>
      </w:pPr>
    </w:p>
    <w:p>
      <w:pPr>
        <w:ind w:left="900" w:right="100" w:hanging="446"/>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SBA Debentures</w:t>
      </w:r>
      <w:r>
        <w:rPr>
          <w:rFonts w:ascii="Arial" w:cs="Arial" w:eastAsia="Arial" w:hAnsi="Arial"/>
          <w:sz w:val="16"/>
          <w:szCs w:val="16"/>
          <w:color w:val="auto"/>
        </w:rPr>
        <w:t>. In addition to issuing securities and using securitizations to raise capital as described above, we have issued and may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as permitted under SBA regulations and through our wholly owned subsidiary SBIC LP, SBA debentures to generate cash for funding new investments. To issue SBA debentures, we may request commitments for debt capital from the SBA. SBIC LP would be exposed to any losses on its portfolio of loans, however, such debentures are non-recourse to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SBIC LP is licensed by the SBA and is subject to SBA regulations.</w:t>
      </w:r>
    </w:p>
    <w:p>
      <w:pPr>
        <w:spacing w:after="0" w:line="9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In July 2010, our wholly-owned subsidiary, SBIC LP, received a license to operate as an SBIC under the 1958 Act and is regulated by the SBA. The SBA places certain limitations on the financing terms of investments by SBICs in portfolio companies and regulates the types of financings and prohibits investing in certain industries. Compliance with SBIC requirements may cause SBIC LP to invest at less competitive rates according to applicable SBA regulations.</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Further, SBA regulations require that a licensed SBIC be periodically examined and audited by the SBA to determine its compliance with the relevant SBA regulations. If SBIC LP fails to comply with applicable SBA regulations, the SBA could, depending on the severity of the violation, limit or prohibit SBIC LP’s use of debentures, declare outstanding debentures immediately due and payable, and/or limit it from making new investments. In addition, the SBA could revoke or suspend SBIC LP’s license for willful or repeated violation of, or willful or repeated failure to observe, any provision of the 1958 Act or any rule or regulation promulgated thereunder. These actions by the SBA would, in turn, negatively affect us because SBIC LP is our wholly-owned subsidiary.</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exclusive of the SBA debentures pursuant to SEC exemptive relief, and any amounts that we use to service our indebtedness are not available for distribution to our common stockholders.</w:t>
      </w:r>
    </w:p>
    <w:p>
      <w:pPr>
        <w:spacing w:after="0" w:line="113"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Our current debt is governed by the terms of our Credit Facility or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8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Additionally, our subsidiary, SBIC LP, has received borrowed funds from the SBA through its debenture program. In connection with the filing of its SBA license application, PennantPark Investment received exemptive relief, as of June 1, 2011, from the SEC to permit us to exclude the debt of SBIC LP from our consolidated asset coverage ratio. Our ratio of total assets on a consolidated basis to outstanding indebtedness may be less than 200%, which while providing increased investment flexibility, would also increase our exposure to risks associated with leverage.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excluding those of SBIC LP, in connection with our Credit Facility borrowings. In the case of a liquidation event, those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lenders would receive proceeds before our stockholders. Additionally, the SBA, as a lender and an administrative agent, has a superior claim over the assets of SBIC LP in relation to our lender. In addition, borrowings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September 30, 2011, we had outstanding borrowings of $240.9 million under our Credit Facility and $150.0 million outstanding under the SBA debentures. Our consolidated debt outstanding was $390.9 million and had a weighted average annual interest rate at the time of 2.20% exclusive of the fee on undrawn commitment of 0.20% and 3.43% upfront fees on the SBA debentures. Accordingly, to cover the annual interest on our borrowings outstanding at September 30, 2011, at the then current rate, we would have to receive an annual yield of at least 1.01%. This example is for illustrative purposes only, and actual interest rates on our Credit Facility borrowings and SBA debentures are likely to fluctuate. The costs associated with our borrowings, including any increase in the management fee payable to our Investment Adviser, will be borne by our common stockholders.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September 30, 2011 of 42% of total assets (including such borrowed funds), at a weighted average rate at the time of 2.20%,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660" w:type="dxa"/>
            <w:vAlign w:val="bottom"/>
          </w:tcPr>
          <w:p>
            <w:pPr>
              <w:jc w:val="right"/>
              <w:ind w:right="132"/>
              <w:spacing w:after="0"/>
              <w:rPr>
                <w:sz w:val="20"/>
                <w:szCs w:val="20"/>
                <w:color w:val="auto"/>
              </w:rPr>
            </w:pPr>
            <w:r>
              <w:rPr>
                <w:rFonts w:ascii="Arial" w:cs="Arial" w:eastAsia="Arial" w:hAnsi="Arial"/>
                <w:sz w:val="18"/>
                <w:szCs w:val="18"/>
                <w:color w:val="auto"/>
              </w:rPr>
              <w:t>(21.9)%</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(11.9)%</w:t>
            </w:r>
          </w:p>
        </w:tc>
        <w:tc>
          <w:tcPr>
            <w:tcW w:w="920" w:type="dxa"/>
            <w:vAlign w:val="bottom"/>
          </w:tcPr>
          <w:p>
            <w:pPr>
              <w:ind w:left="220"/>
              <w:spacing w:after="0"/>
              <w:rPr>
                <w:sz w:val="20"/>
                <w:szCs w:val="20"/>
                <w:color w:val="auto"/>
              </w:rPr>
            </w:pPr>
            <w:r>
              <w:rPr>
                <w:rFonts w:ascii="Arial" w:cs="Arial" w:eastAsia="Arial" w:hAnsi="Arial"/>
                <w:sz w:val="18"/>
                <w:szCs w:val="18"/>
                <w:color w:val="auto"/>
              </w:rPr>
              <w:t>(1.9)%</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8.2%</w:t>
            </w: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0890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38" w:lineRule="exact"/>
        <w:rPr>
          <w:rFonts w:ascii="Arial" w:cs="Arial" w:eastAsia="Arial" w:hAnsi="Arial"/>
          <w:sz w:val="16"/>
          <w:szCs w:val="16"/>
          <w:color w:val="auto"/>
        </w:rPr>
      </w:pPr>
    </w:p>
    <w:p>
      <w:pPr>
        <w:jc w:val="both"/>
        <w:ind w:left="460" w:right="60" w:hanging="452"/>
        <w:spacing w:after="0" w:line="29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September 30, 2011, the applicable LIBOR rate has decreased from 5.3% to 0.2%.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 for more information.</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including SBA debentures,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issue preferred stock, debt securities, convertible debt securities or units, the net asset value and market value of our common stock may become more volatile.</w:t>
      </w:r>
    </w:p>
    <w:p>
      <w:pPr>
        <w:spacing w:after="0" w:line="4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debt securities, convertible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debt or units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19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issue securities for which there is no public market and for which we expect no public market to develop.</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registered on this registration statement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professionals of our Investment Adviser and Administrator may serve as officers, directors or principals of entities that operate in the same or a related line of business as we do or of investment funds managed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affiliates of PennantPark Investment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 directors of our controlled affiliate and of PennantPark Floating Rate Capital Ltd., another BDC.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our controlled affiliate,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the License Agreement with PennantPark Investment Advisers, pursuant to which our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or convertible debt securities may be volatile.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materially adversely affect the trading market for, and market value of, our publicly issued debt or convertible debt securities. These factors include the following:</w:t>
      </w:r>
    </w:p>
    <w:p>
      <w:pPr>
        <w:spacing w:after="0" w:line="6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our Credit Facility will be classified as Level 3 under Accounting Standards Codification (“ASC”) 820, Fair Value Measurements.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 Any changes in fair value are recorded in the Consolidated Statement of Operations as net change in unrealized appreciation or depreciation.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each quarter-end, many of our portfolio assets are recorded at fair value as determined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We are susceptible to the risk of significant loss if we are forced to discount the value of our investments in order to provide liquidity to meet our liability maturities. Our borrowings under our Credit Facility and SBIC LP’s SBA debentures are collateralized by the assets in each entity’s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rely in part on our over-the-counter securities to provide us with adequate liquidity, but even these securities did face liquidity constraints under recent market conditions.</w:t>
      </w:r>
    </w:p>
    <w:p>
      <w:pPr>
        <w:spacing w:after="0" w:line="4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senior secured loans, mezzanine debt and selected equity investments issued by U.S. middle-market companies.</w:t>
      </w:r>
    </w:p>
    <w:p>
      <w:pPr>
        <w:spacing w:after="0" w:line="113" w:lineRule="exact"/>
        <w:rPr>
          <w:sz w:val="20"/>
          <w:szCs w:val="20"/>
          <w:color w:val="auto"/>
        </w:rPr>
      </w:pPr>
    </w:p>
    <w:p>
      <w:pPr>
        <w:ind w:left="900" w:right="60" w:hanging="446"/>
        <w:spacing w:after="0" w:line="28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which we define to include first lien debt, we will generally take a security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38" w:lineRule="exact"/>
        <w:rPr>
          <w:rFonts w:ascii="Arial" w:cs="Arial" w:eastAsia="Arial" w:hAnsi="Arial"/>
          <w:sz w:val="16"/>
          <w:szCs w:val="16"/>
          <w:color w:val="auto"/>
        </w:rPr>
      </w:pPr>
    </w:p>
    <w:p>
      <w:pPr>
        <w:ind w:left="900" w:right="20" w:hanging="446"/>
        <w:spacing w:after="0" w:line="290"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subordinated 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37" w:lineRule="exact"/>
        <w:rPr>
          <w:rFonts w:ascii="Arial" w:cs="Arial" w:eastAsia="Arial" w:hAnsi="Arial"/>
          <w:sz w:val="16"/>
          <w:szCs w:val="16"/>
          <w:color w:val="auto"/>
        </w:rPr>
      </w:pPr>
    </w:p>
    <w:p>
      <w:pPr>
        <w:ind w:left="900" w:right="80" w:hanging="446"/>
        <w:spacing w:after="0" w:line="294"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We have made and expect to continue to make select equity investments. In addition, when we invest in senior secured loans or</w:t>
      </w:r>
      <w:r>
        <w:rPr>
          <w:rFonts w:ascii="Arial" w:cs="Arial" w:eastAsia="Arial" w:hAnsi="Arial"/>
          <w:sz w:val="16"/>
          <w:szCs w:val="16"/>
          <w:i w:val="1"/>
          <w:iCs w:val="1"/>
          <w:color w:val="auto"/>
        </w:rPr>
        <w:t xml:space="preserve"> </w:t>
      </w:r>
      <w:r>
        <w:rPr>
          <w:rFonts w:ascii="Arial" w:cs="Arial" w:eastAsia="Arial" w:hAnsi="Arial"/>
          <w:sz w:val="16"/>
          <w:szCs w:val="16"/>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446"/>
        <w:spacing w:after="0" w:line="29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ind w:right="240" w:firstLine="456"/>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equivalents, government securities and high quality debt securities maturing in one year or less from the time of investment.</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19"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materially adverse affect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part of our incentive fee payable to PennantPark Investment Advisers that relates to net investment income is computed and paid on income that has been accrued but that may not have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to the extent permitted under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global climate change may impact the operations of our portfolio companies.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color w:val="auto"/>
        </w:rPr>
        <w:t>We may again obtain the approval of our stockholders to issue shares of our common stock at prices below the then current net asset value per share of our common stock. If we receive such approval from the stockholders,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again obtain the approval of our stockholders to issue shares of our common stock at prices below the then current net asset value per share of our common stock. Such approval has allowed, and may again allow, us to access the capital markets in a way that we typically are unable to do as a result of restrictions that, absent stockholder approval, apply to BDCs under the 1940 Act.</w:t>
      </w:r>
    </w:p>
    <w:p>
      <w:pPr>
        <w:spacing w:after="0" w:line="14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Any sale or other issuance of shares of our common stock at a price below net asset value per share has resulted and will continue to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Shares of BDCs may trade at a market price that is less than the net asset value that is attributable to those shares. Our shares have traded above and below our net asset value, or NAV. Our shares traded on the NASDAQ Global Select Market at $8.92 and $10.61 as of September 30, 2011 and 2010, respectively. Our NAV was $10.13 and $10.69 as of September 30, 2011 and 2010,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loss of BDC, RIC or SBIC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also limits an SBIC from investing idle funds in the following types of securities:</w:t>
      </w:r>
    </w:p>
    <w:p>
      <w:pPr>
        <w:spacing w:after="0" w:line="90" w:lineRule="exact"/>
        <w:rPr>
          <w:sz w:val="20"/>
          <w:szCs w:val="20"/>
          <w:color w:val="auto"/>
        </w:rPr>
      </w:pPr>
    </w:p>
    <w:p>
      <w:pPr>
        <w:ind w:left="900" w:right="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current tax liabilities on distributions you reinvest in our common stock.</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w:t>
      </w:r>
    </w:p>
    <w:p>
      <w:pPr>
        <w:spacing w:after="0" w:line="21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 in excess of the cash they receive.</w:t>
      </w:r>
    </w:p>
    <w:p>
      <w:pPr>
        <w:spacing w:after="0" w:line="4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distribute our common stock as a dividend of our taxable income,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significant costs as a result of being a publicly traded company.</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(the “Exchange Act”), as well as additional corporate governance requirements, including requirements under the Sarbanes-Oxley Act of 2002 (the “Sarbanes-Oxley Act”), and other rules implemented by the SEC and the listing standards of the NASDAQ.</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Corporation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our prospectus entitled “Risk Factors” and elsewhere.</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understand that, under Sections 27A(b)(2)(B) of the Securities Act of 1933, as amended (the “Securities Act”), and Section 21E(b)(2)(B) of the Exchange Act the “safe harbor” provisions of the Private Securities Litigation Reform Act of 1995, do not apply to statements made in connection with any offering of securities pursuant to this prospectus or in periodic reports we file under the Exchange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purposes. Any supplements to this prospectus relating to an offering may more fully identify the use of the proceeds from such offering.</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September 30, 2011, we had $74.1 million of unused borrowing capacity, subject to maintenance of the applicable total assets to debt ratio of 200%, and $240.9 million in borrowings outstanding under our $315.0 million Credit Facility. Borrowings under our Credit Facility bear interest at an annual rate equal to LIBOR plus 100 basis points per annum. At September 30, 2011, the interest rate at that time was 1.27%. The Credit Facility is a revolving facility with a stated maturity date of June 25, 2012 and is secured by substantially all of the assets in our investment portfolio, excluding assets of SBIC LP. Amounts repaid under our Credit Facility remain available for future borrowings. See “Management’s Discussion and Analysis of Financial Condition and Results of Operations” for more information.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assets.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years ended September 30, 2011, 2010, 2009, 2008 and for the period from January 11, 2007 (inception) through September 30, 2007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For the period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1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00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91,738</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60,140</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45,119</w:t>
            </w: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39,811</w:t>
            </w: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13,107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39,093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39,093</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28,065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52,645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realized and unrealized (loss) gain</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(42,382)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(15,539)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13,083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(59,259)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increase/(decrease) in net assets resulting from operations</w:t>
            </w:r>
            <w:r>
              <w:rPr>
                <w:rFonts w:ascii="Arial" w:cs="Arial" w:eastAsia="Arial" w:hAnsi="Arial"/>
                <w:sz w:val="11"/>
                <w:szCs w:val="11"/>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w w:val="89"/>
              </w:rPr>
              <w:t>Consolidated Statement of Assets and Liabilities data (at period end):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928,738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711,494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827,549</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664,724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469,760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372,148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291,017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388,792</w:t>
            </w:r>
            <w:r>
              <w:rPr>
                <w:rFonts w:ascii="Arial" w:cs="Arial" w:eastAsia="Arial" w:hAnsi="Arial"/>
                <w:sz w:val="11"/>
                <w:szCs w:val="11"/>
                <w:color w:val="auto"/>
              </w:rPr>
              <w:t>(5)</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233,641</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Payable for investments purchased and unfunded investments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55,705</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74,988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273,334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462,657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386,575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(4)</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fair value in the case of our Credit Facility.</w:t>
      </w:r>
    </w:p>
    <w:p>
      <w:pPr>
        <w:spacing w:after="0" w:line="9"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U.S. generally accepted accounting principles.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$ 26,139</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22,908</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$ 22,712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$ 19,979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rPr>
              <w:t>$ 15,095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13,220</w:t>
            </w:r>
          </w:p>
        </w:tc>
        <w:tc>
          <w:tcPr>
            <w:tcW w:w="60" w:type="dxa"/>
            <w:vAlign w:val="bottom"/>
          </w:tcPr>
          <w:p>
            <w:pPr>
              <w:spacing w:after="0"/>
              <w:rPr>
                <w:sz w:val="18"/>
                <w:szCs w:val="18"/>
                <w:color w:val="auto"/>
              </w:rPr>
            </w:pP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$ 13,159</w:t>
            </w:r>
          </w:p>
        </w:tc>
        <w:tc>
          <w:tcPr>
            <w:tcW w:w="12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$ 11,171</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w w:val="92"/>
              </w:rPr>
              <w:t>$ (46,260)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(10,901)</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$ 14,351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w w:val="92"/>
              </w:rPr>
              <w:t>$ (31,165)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2,319</w:t>
            </w:r>
          </w:p>
        </w:tc>
        <w:tc>
          <w:tcPr>
            <w:tcW w:w="60" w:type="dxa"/>
            <w:vAlign w:val="bottom"/>
          </w:tcPr>
          <w:p>
            <w:pPr>
              <w:spacing w:after="0"/>
              <w:rPr>
                <w:sz w:val="18"/>
                <w:szCs w:val="18"/>
                <w:color w:val="auto"/>
              </w:rPr>
            </w:pP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$ 13,587</w:t>
            </w:r>
          </w:p>
        </w:tc>
        <w:tc>
          <w:tcPr>
            <w:tcW w:w="12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$ 25,522</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11.08</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11.30</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11.92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$ 16,681</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16,335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$ 13,525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$ 13,599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8,957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8,821</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7,059</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7,238</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(2,326)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(10,090)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6,630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4,260</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(3,031)</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8,676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10.69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10.94</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11.07</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11.86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10.37</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$ 11,847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10,770</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$ 10,425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$ 12,077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6,018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5,666</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5,267</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5,768</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rPr>
              <w:t>$ 20,162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2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$ 36,932</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rPr>
              <w:t>$ 26,180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$ 42,199</w:t>
            </w:r>
          </w:p>
        </w:tc>
        <w:tc>
          <w:tcPr>
            <w:tcW w:w="12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11.85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11.72</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12.00</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$ 11,431</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9,714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5,434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3,941</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4,449</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w w:val="92"/>
              </w:rPr>
              <w:t>$ (16,475)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11,263</w:t>
            </w:r>
          </w:p>
        </w:tc>
        <w:tc>
          <w:tcPr>
            <w:tcW w:w="6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(37,778)</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w w:val="92"/>
              </w:rPr>
              <w:t>$ (11,041)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15,204</w:t>
            </w:r>
          </w:p>
        </w:tc>
        <w:tc>
          <w:tcPr>
            <w:tcW w:w="60" w:type="dxa"/>
            <w:vAlign w:val="bottom"/>
          </w:tcPr>
          <w:p>
            <w:pPr>
              <w:spacing w:after="0"/>
              <w:rPr>
                <w:sz w:val="18"/>
                <w:szCs w:val="18"/>
                <w:color w:val="auto"/>
              </w:rPr>
            </w:pPr>
          </w:p>
        </w:tc>
        <w:tc>
          <w:tcPr>
            <w:tcW w:w="1200" w:type="dxa"/>
            <w:vAlign w:val="bottom"/>
            <w:gridSpan w:val="6"/>
          </w:tcPr>
          <w:p>
            <w:pPr>
              <w:jc w:val="right"/>
              <w:ind w:right="60"/>
              <w:spacing w:after="0"/>
              <w:rPr>
                <w:sz w:val="20"/>
                <w:szCs w:val="20"/>
                <w:color w:val="auto"/>
              </w:rPr>
            </w:pPr>
            <w:r>
              <w:rPr>
                <w:rFonts w:ascii="Arial" w:cs="Arial" w:eastAsia="Arial" w:hAnsi="Arial"/>
                <w:sz w:val="18"/>
                <w:szCs w:val="18"/>
                <w:color w:val="auto"/>
              </w:rPr>
              <w:t>$ (33,329)</w:t>
            </w:r>
          </w:p>
        </w:tc>
        <w:tc>
          <w:tcPr>
            <w:tcW w:w="12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10.26</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351"/>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Q4</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Q3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6,909</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$ 5,425</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4,348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99"/>
              </w:rPr>
              <w:t>$ 3,208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37"/>
              <w:spacing w:after="0"/>
              <w:rPr>
                <w:sz w:val="20"/>
                <w:szCs w:val="20"/>
                <w:color w:val="auto"/>
              </w:rPr>
            </w:pPr>
            <w:r>
              <w:rPr>
                <w:rFonts w:ascii="Arial" w:cs="Arial" w:eastAsia="Arial" w:hAnsi="Arial"/>
                <w:sz w:val="18"/>
                <w:szCs w:val="18"/>
                <w:color w:val="auto"/>
                <w:w w:val="99"/>
              </w:rPr>
              <w:t>(251)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jc w:val="right"/>
              <w:ind w:right="415"/>
              <w:spacing w:after="0"/>
              <w:rPr>
                <w:sz w:val="20"/>
                <w:szCs w:val="20"/>
                <w:color w:val="auto"/>
              </w:rPr>
            </w:pPr>
            <w:r>
              <w:rPr>
                <w:rFonts w:ascii="Arial" w:cs="Arial" w:eastAsia="Arial" w:hAnsi="Arial"/>
                <w:sz w:val="18"/>
                <w:szCs w:val="18"/>
                <w:color w:val="auto"/>
              </w:rPr>
              <w:t>$ (18,870)</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89"/>
              </w:rPr>
              <w:t>$(5,152)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6"/>
          </w:tcPr>
          <w:p>
            <w:pPr>
              <w:jc w:val="right"/>
              <w:ind w:right="415"/>
              <w:spacing w:after="0"/>
              <w:rPr>
                <w:sz w:val="20"/>
                <w:szCs w:val="20"/>
                <w:color w:val="auto"/>
              </w:rPr>
            </w:pPr>
            <w:r>
              <w:rPr>
                <w:rFonts w:ascii="Arial" w:cs="Arial" w:eastAsia="Arial" w:hAnsi="Arial"/>
                <w:sz w:val="18"/>
                <w:szCs w:val="18"/>
                <w:color w:val="auto"/>
              </w:rPr>
              <w:t>$ (14,522)</w:t>
            </w: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89"/>
              </w:rPr>
              <w:t>$(1,944)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37"/>
              <w:spacing w:after="0"/>
              <w:rPr>
                <w:sz w:val="20"/>
                <w:szCs w:val="20"/>
                <w:color w:val="auto"/>
              </w:rPr>
            </w:pPr>
            <w:r>
              <w:rPr>
                <w:rFonts w:ascii="Arial" w:cs="Arial" w:eastAsia="Arial" w:hAnsi="Arial"/>
                <w:sz w:val="18"/>
                <w:szCs w:val="18"/>
                <w:color w:val="auto"/>
                <w:w w:val="99"/>
              </w:rPr>
              <w:t>(234)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15"/>
              <w:spacing w:after="0"/>
              <w:rPr>
                <w:sz w:val="20"/>
                <w:szCs w:val="20"/>
                <w:color w:val="auto"/>
              </w:rPr>
            </w:pPr>
            <w:r>
              <w:rPr>
                <w:rFonts w:ascii="Arial" w:cs="Arial" w:eastAsia="Arial" w:hAnsi="Arial"/>
                <w:sz w:val="18"/>
                <w:szCs w:val="18"/>
                <w:color w:val="auto"/>
              </w:rPr>
              <w:t>(0.70)</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6"/>
              </w:rPr>
              <w:t>$ (0.09)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37"/>
              <w:spacing w:after="0"/>
              <w:rPr>
                <w:sz w:val="20"/>
                <w:szCs w:val="20"/>
                <w:color w:val="auto"/>
              </w:rPr>
            </w:pPr>
            <w:r>
              <w:rPr>
                <w:rFonts w:ascii="Arial" w:cs="Arial" w:eastAsia="Arial" w:hAnsi="Arial"/>
                <w:sz w:val="18"/>
                <w:szCs w:val="18"/>
                <w:color w:val="auto"/>
                <w:w w:val="86"/>
              </w:rPr>
              <w:t>$ (0.01)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12.83</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99"/>
              </w:rPr>
              <w:t>$ 13.74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$12.08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13.40</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9"/>
              </w:rPr>
              <w:t>$ 14.04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From January 11, 2007 (inception of operations) through March 31, 2007.</w:t>
      </w:r>
    </w:p>
    <w:p>
      <w:pPr>
        <w:spacing w:after="0" w:line="1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240" w:top="459" w:right="6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believe the middle-market offers attractive risk-reward to investors due to the limited amount of capital available for such companies. We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may also invest in public middle-market U.S. companies that are thinly traded or have a small-market capitalization.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4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 In the future, we may also securitize a portion of our investments to raise investment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continue to be treated as a RIC and qualify annually under the Code.</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1958 Act in July 2010. SBIC LP’s objective is substantially similar to PennantPark Investment, generally co-investing in SBA eligible businesses that meet the investment criteria of PennantPark Investment.</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our average adjusted gross total assets as well as an incentive fee based on our investment performance. PennantPark Investment, through the Investment Adviser, provides similar services to SBIC LP under its investment management agreement. The SBIC LP investment management agreement does not affect the management and incentive fees on a consolidated basis.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We, through the Administrator, provide similar services to SBIC LP under its administration agreement with us. Our board of directors, a majority of whom are independent of us and PennantPark Investment Advisers, supervises our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5 of this prospectus rather than as a percentage of total assets. Total assets include assets that have been funded with borrowed money (leverage). For reference, the chart below illustrates our estimated “Total Annual Expenses” as a percentage of total assets:</w:t>
      </w: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ind w:left="1260"/>
              <w:spacing w:after="0"/>
              <w:rPr>
                <w:sz w:val="20"/>
                <w:szCs w:val="20"/>
                <w:color w:val="auto"/>
              </w:rPr>
            </w:pPr>
            <w:r>
              <w:rPr>
                <w:rFonts w:ascii="Arial" w:cs="Arial" w:eastAsia="Arial" w:hAnsi="Arial"/>
                <w:sz w:val="18"/>
                <w:szCs w:val="18"/>
                <w:b w:val="1"/>
                <w:bCs w:val="1"/>
                <w:color w:val="auto"/>
                <w:w w:val="95"/>
              </w:rPr>
              <w:t>Estimated Annual Expenses (as a Percentage of Average Total Assets)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1.92%</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0.90%</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expenses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0.76%</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annual expenses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5.58%</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See “Certain Relationships and Transactions —Investment Management Agreement” for more information.</w:t>
      </w:r>
    </w:p>
    <w:p>
      <w:pPr>
        <w:ind w:left="460" w:right="20" w:hanging="452"/>
        <w:spacing w:after="0" w:line="281"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fiscal year ended September 30, 2011.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2011, our unrealized capital gains did not exceed our cumulative realized and unrealized capital losses. As we cannot predict our future net investment income or capital gains, the incentive fee paid in future years, if any, may be substantially different than the fee earned during the fiscal year ended September 30, 2011. For more detailed information about the incentive fee, please see “Certain Relationships and Transactions—Investment Management Agreement” in this prospectus.</w:t>
      </w:r>
    </w:p>
    <w:p>
      <w:pPr>
        <w:spacing w:after="0" w:line="6" w:lineRule="exact"/>
        <w:rPr>
          <w:rFonts w:ascii="Arial" w:cs="Arial" w:eastAsia="Arial" w:hAnsi="Arial"/>
          <w:sz w:val="16"/>
          <w:szCs w:val="16"/>
          <w:color w:val="auto"/>
        </w:rPr>
      </w:pPr>
    </w:p>
    <w:p>
      <w:pPr>
        <w:ind w:left="460" w:right="120" w:hanging="452"/>
        <w:spacing w:after="0" w:line="30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subject to maintenance of the applicable total assets to debt ratio of 200%, and $240.9 million in borrowings outstanding under our $315.0 million Credit Facility. As of September 30, 2011, SBIC LP had SBA debentures in the amount of $150.0 million outstanding with a weighted average interest rate of 3.70%, exclusive of the 3.43% of</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3" w:lineRule="auto"/>
        <w:rPr>
          <w:sz w:val="20"/>
          <w:szCs w:val="20"/>
          <w:color w:val="auto"/>
        </w:rPr>
      </w:pPr>
      <w:r>
        <w:rPr>
          <w:rFonts w:ascii="Arial" w:cs="Arial" w:eastAsia="Arial" w:hAnsi="Arial"/>
          <w:sz w:val="16"/>
          <w:szCs w:val="16"/>
          <w:color w:val="auto"/>
        </w:rPr>
        <w:t>upfront fees (4.04% inclusive of the the 3.43% of upfront fees). We may use proceeds of an offering of securities under this registration statement to repay outstanding obligations under our Credit Facility. After completing any such offering, we may continue to borrow under our Credit Facility to finance our investment objectives under the terms of our Credit Facility.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1" w:lineRule="exact"/>
        <w:rPr>
          <w:sz w:val="20"/>
          <w:szCs w:val="20"/>
          <w:color w:val="auto"/>
        </w:rPr>
      </w:pPr>
    </w:p>
    <w:p>
      <w:pPr>
        <w:ind w:left="46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fiscal year ended September 30, 2011. See the Consolidated Statement of Operations in our Consolidated Financial Statements.</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as of September 30, 2011.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the fiscal year ended September 30, 2011, we purchased $479.7 million of investments issued by 17 new and 11 existing portfolio companies with an overall weighted average yield of 13.7% on debt investments. This compares to purchasing $309.5 million of investments issued by 17 new and 12 existing portfolio companies with an overall weighted average yield of 14.9% on debt investments and purchasing $112.7 million of investments issued by 11 new and 8 existing portfolio companies with an overall weighted average yield of 14.5% on debt investments for the fiscal years ended September 30, 2010 and 2009, respectively.</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For the fiscal year ended September 30, 2011 sales and repayments generated proceeds of $304.0 million. This compares to sales and repayments that generated proceeds for the fiscal years ended September 30, 2010 and 2009 of $145.2 and $28.0 million, respectively.</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31% variable-rate with a LIBOR or prime floor and 8% variable-rate investments.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26% variable-rate with a LIBOR or prime floor and 25% variable-rate investments.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our investments which are or will be in our portfolio.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0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37" w:lineRule="exact"/>
        <w:rPr>
          <w:sz w:val="20"/>
          <w:szCs w:val="20"/>
          <w:color w:val="auto"/>
        </w:rPr>
      </w:pPr>
    </w:p>
    <w:p>
      <w:pPr>
        <w:ind w:left="9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senior investment professionals of the Investment Adviser responsible for the portfolio investment;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76"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48"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us. Unobservable inputs are inputs that reflect the assumptions market participants would use in pricing an asset or liability based on the best information available to us at the reporting period date.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are available, such data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 for an investment. Ongoing reviews by the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its board of directors that is consistent with ASC 820. Consistent with our valuation policy, we evaluate the source of inputs, including any markets in which its investments are trading, in determining fair value.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Consolidated Statement of Assets and Liabilities and changes in fair value of our Credit Facility are recorded in Consolidated Statement of Operations. We elected not to apply ASC 825-10 to any other financial assets or liabilities including the SBA debentures. For the years ended September 30, 2011 and 2010, our Credit Facility had a new change in unrealized appreciation of $11.9 million and $35.7 million, respectively. As of September 30, 2011 and 2010, net unrealized depreciation on our Credit Facility totaled $2.1 million and $14.0 million, respectively. We use nationally recognized independent valuation services to measure the fair value of our Credit Facility in a manner consistent with the valuation process that the board of directors uses to value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prepayment premiums on loans and debt investments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the sum of our ordinary income and realized net short-term capital gains, if any, our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w:t>
      </w:r>
    </w:p>
    <w:p>
      <w:pPr>
        <w:spacing w:after="0" w:line="2" w:lineRule="exact"/>
        <w:rPr>
          <w:sz w:val="20"/>
          <w:szCs w:val="20"/>
          <w:color w:val="auto"/>
        </w:rPr>
      </w:pPr>
    </w:p>
    <w:p>
      <w:pPr>
        <w:ind w:right="20" w:firstLine="8"/>
        <w:spacing w:after="0" w:line="254" w:lineRule="auto"/>
        <w:tabs>
          <w:tab w:leader="none" w:pos="2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4"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fiscal years ended September 30, 2011, 2010 and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growth of our portfolio which was also driven by investment of the proceeds from our equity offering and rotation out of lower yielding assets.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2010 was $60.1 million and was attributable to $19.5 million from senior secured loan investments, $14.1 million from second lien secured debt investments, and $26.5 million from subordinated debt investments. The increase in investment income over the prior year was due to growth in our overall portfolio which was also driven by investment of the proceeds from our equity offering and rotation out of lower yielding assets.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2009 was $45.1 million and was attributable to $6.0 million from senior secured loan investments, $12.2 million from second lien secured debt investments, and $24.1 million from subordinated debt investments. For the same period remaining investment income was primarily attributed to interest income from net accretion of discount and amortization of premium. The increase in investment income over the prior year was due to growth in our overall portfolio.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Expenses for the fiscal year ended September 30, 2011 totaled $39.1 million. Base management fee for the same period totaled $14.9 million, performance-based incentive fee totaled $13.2 million, Credit Facility and SBA debentures related expenses totaled $5.3 million, general and administrative expenses totaled $5.5 million, and an excise tax of $0.2 million was incurred. The increase in expenses over the prior year was primarily due to the growth of our portfolio as well as increased borrowing costs.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Expenses for the fiscal year ended September 30, 2010 totaled $28.0 million. Base management fee for the same period totaled $11.6 million, performance-based incentive fee totaled $8.0 million, Credit Facility and SBA debentures related expenses totaled $3.7 million, general and administrative expenses totaled $4.6 million, and an excise tax of $0.1 million was incurred. The increase in expenses over the prior year was primarily due to the growth of our portfolio.</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expenses for the fiscal year ended September 30, 2009 totaled $22.4 million. Base management fee for the same period totaled $7.7 million, performance-based incentive fee totaled $5.7 million, Credit Facility and SBA debentures related expenses totaled $4.6 million, general and administrative expenses totaled $4.4 million. The increase in expenses over the prior year was due to the growth of our portfolio and offset by the reduced borrowing costs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Net investment income totaled $52.6 million or $1.25 per share, $32.1 million or $1.09 per share and $22.7 million or $1.08 per share for the fiscal years ended September 30, 2011, 2010 and 2009, respectively. The increase in per share net investment income from 2010 to 2011 was the result of the growth of our portfolio.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Sales and repayments of long-term investments for the fiscal years ended September 30, 2011, 2010 and 2009 totaled $304.0 million, $145.2 million and $28.0 million, respectively, and net realized gains (losses) totaled $16.3 million, $(15.4) million and $(39.2) million, respectively. Net realized gains increased over the prior year due to sales and repayments of our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 Facility</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change in unrealized (depreciation) appreciation on investments totaled $(46.8) million, $35.5 million and $44.5 million for the fiscal years ended September 30, 2011, 2010 and 2009, respectively. Net change in unrealized (appreciation) deprecation on our Credit Facility totaled $(11.9) million, $(35.7) million and $7.8 million for the same periods, respectively. Net change in unrealized depreciation on investments increased over the prior year due to the overall deterioration in the leveraged finance markets. Net change in unrealized (appreciation) on our Credit Facility over the prior year is the result of its approaching maturity.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increase in net assets resulting from operations totaled $10.3 million or $0.24 per share, $16.5 million or $0.56 per share, and $35.8 million or $1.70 per share for the fiscal years ended September 30, 2011, 2010, and 2009, respectively. The net increase in net assets from operations was lower than the prior year due to the continued growth in net investment income as a result of growing our portfolio and realized gains offset by the appreciation in the value of our credit facility as it approaches maturity and depreciation on our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SBA debentures, proceeds from the rotation of our portfolio and from public and private offerings of securities to finance our investment objectives.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raise additional equity or debt capital through both registered offerings off a shelf registration and private offerings of securities, by securitizing a portion of our investments or borrowing from the SBA through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SBIC LP, among other sources. Any future additional debt capital we incur, to the extent it is available under current credit market conditions, may be issued at a higher cost and on less favorable terms and conditions than our current Credit Facility. We continuously monitor conditions in the credit markets and seek opportunities to enhance our debt structure as our Credit Facility matures in June 2012. We are in discussions with lenders regarding a new credit facility to replace our existing facility, which matures in June 2012. Furthermore, our Credit Facility availability depends on various covenants and restrictions as discussed below. The primary uses of existing funds and any funds raised in the future is expected to be for repayment of indebtedness, investments in portfolio companies, cash distributions to our shareholders and for other general corporate purposes.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June 25, 2007, PennantPark Investment entered into the Credit Facility, with various lenders and SunTrust Bank, as administrative agent for the lenders. As of September 30, 2011 and 2010, we had outstanding borrowings of $240.9 million and $233.1 million (including a $5.2 million temporary draw) under the Credit Facility, with a weighted average interest rate of 1.27% and 1.34%, exclusive of the fee on undrawn commitment of 0.20%, and $74.1 million and $66.9 million of unused borrowing capacity,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$315.0 million outstanding at any one time. The Credit Facility is a five-year revolving facility (with a stated maturity date of June 25, 2012) and is secured by substantially all of our investment portfolio assets, except for those assets of SBIC LP. Pricing of borrowings under our Credit Facility is set at 100 basis points over LIBOR.</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credit facility contains affirmative and restrictive covenants, including but not limited to maintenance of a minimum shareholders’ equity of the greater of (i) 40% of the total assets of PennantPark Investment and its subsidiaries as of the last day of any fiscal quarter and (ii) the sum of (A) $120,000,000 plus</w:t>
      </w:r>
    </w:p>
    <w:p>
      <w:pPr>
        <w:ind w:right="120" w:firstLine="8"/>
        <w:spacing w:after="0" w:line="252" w:lineRule="auto"/>
        <w:tabs>
          <w:tab w:leader="none" w:pos="2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25% of the net proceeds from the sale of equity interests in PennantPark Investment and its subsidiaries after the closing date of the Credit Facility and maintenance of a ratio of total assets (less total liabilities other than indebtedness) to total indebtedness, in each case of PennantPark Investment, of not less than 2.0:1.0 (excluding any exemptive relief granted by the SEC with respect to the indebtedness of any SBIC subsidiary). In addition to the asset coverage ratio described in the preceding sentence, borrowings under our Credit Facility (and the incurrence of certain other permitted debt) are subject to compliance with a borrowing base that will apply different advance rates to different types of assets in PennantPark Investment’s portfolio. As of September 30, 2011, we were in compliance with the terms of our Credit Facility.</w:t>
      </w:r>
    </w:p>
    <w:p>
      <w:pPr>
        <w:spacing w:after="0" w:line="14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its asset coverage, as defined in the 1940 Act, is at least 200% after such borrowing. As of September 30, 2011, 2010, 2009, 2008 and 2007 our asset coverage for borrowed amounts was 294%, 266%, 271%, 204% and 2,804%. As of September 30, 2011, we have excluded the SBA debentures from our asset coverage ratio pursuant to SEC exemptive relief.</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fiscal year ended September 30, 2011, we sold 9.2 million shares of our common stock, inclusive of the underwriters’ over-allotment options, resulting in net proceeds of $108.3 million. This compares to selling 10.8 million shares of common stock, inclusive of the underwriters’ over-allotment option, resulting in net proceeds of $101.7 million, for the fiscal year ended September 30, 2010. Any decision to sell shares below the then current net asset value per share of our common stock in one or more offerings is subject to shareholder approval and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including, but not limited to, an examination by the SBA. As of September 30, 2011, we have contributed $75.0 million to SBIC LP and had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September 30, 2011, $150.0 million in debt commitments were fully drawn with a weighted average interest rate of 3.70% exclusive of the 3.43% in upfront fees (4.04% inclusive of the 3.43% upfront fees). The SBA debenture’s upfront fees of 3.43% consists of a commitment fee of 1% and an issuance at a 2.43% discount to face. Both fees are amortized over the life of the loans.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5"/>
          </w:tcPr>
          <w:p>
            <w:pPr>
              <w:jc w:val="right"/>
              <w:ind w:right="452"/>
              <w:spacing w:after="0"/>
              <w:rPr>
                <w:sz w:val="20"/>
                <w:szCs w:val="20"/>
                <w:color w:val="auto"/>
              </w:rPr>
            </w:pPr>
            <w:r>
              <w:rPr>
                <w:rFonts w:ascii="Arial" w:cs="Arial" w:eastAsia="Arial" w:hAnsi="Arial"/>
                <w:sz w:val="14"/>
                <w:szCs w:val="14"/>
                <w:b w:val="1"/>
                <w:bCs w:val="1"/>
                <w:color w:val="auto"/>
              </w:rPr>
              <w:t>As of September 30, 2011</w:t>
            </w:r>
          </w:p>
        </w:tc>
        <w:tc>
          <w:tcPr>
            <w:tcW w:w="520" w:type="dxa"/>
            <w:vAlign w:val="bottom"/>
          </w:tcPr>
          <w:p>
            <w:pPr>
              <w:spacing w:after="0"/>
              <w:rPr>
                <w:sz w:val="14"/>
                <w:szCs w:val="14"/>
                <w:color w:val="auto"/>
              </w:rPr>
            </w:pPr>
          </w:p>
        </w:tc>
        <w:tc>
          <w:tcPr>
            <w:tcW w:w="2600" w:type="dxa"/>
            <w:vAlign w:val="bottom"/>
            <w:gridSpan w:val="6"/>
          </w:tcPr>
          <w:p>
            <w:pPr>
              <w:ind w:left="520"/>
              <w:spacing w:after="0"/>
              <w:rPr>
                <w:sz w:val="20"/>
                <w:szCs w:val="20"/>
                <w:color w:val="auto"/>
              </w:rPr>
            </w:pPr>
            <w:r>
              <w:rPr>
                <w:rFonts w:ascii="Arial" w:cs="Arial" w:eastAsia="Arial" w:hAnsi="Arial"/>
                <w:sz w:val="14"/>
                <w:szCs w:val="14"/>
                <w:b w:val="1"/>
                <w:bCs w:val="1"/>
                <w:color w:val="auto"/>
              </w:rPr>
              <w:t>As of September 30, 2010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400"/>
              <w:spacing w:after="0" w:line="115" w:lineRule="exact"/>
              <w:rPr>
                <w:sz w:val="20"/>
                <w:szCs w:val="20"/>
                <w:color w:val="auto"/>
              </w:rPr>
            </w:pPr>
            <w:r>
              <w:rPr>
                <w:rFonts w:ascii="Arial" w:cs="Arial" w:eastAsia="Arial" w:hAnsi="Arial"/>
                <w:sz w:val="12"/>
                <w:szCs w:val="12"/>
                <w:b w:val="1"/>
                <w:bCs w:val="1"/>
                <w:color w:val="auto"/>
              </w:rPr>
              <w:t>All-in Coupon</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380"/>
              <w:spacing w:after="0" w:line="115" w:lineRule="exact"/>
              <w:rPr>
                <w:sz w:val="20"/>
                <w:szCs w:val="20"/>
                <w:color w:val="auto"/>
              </w:rPr>
            </w:pPr>
            <w:r>
              <w:rPr>
                <w:rFonts w:ascii="Arial" w:cs="Arial" w:eastAsia="Arial" w:hAnsi="Arial"/>
                <w:sz w:val="12"/>
                <w:szCs w:val="12"/>
                <w:b w:val="1"/>
                <w:bCs w:val="1"/>
                <w:color w:val="auto"/>
              </w:rPr>
              <w:t>All-in Coupon</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ind w:left="1180"/>
              <w:spacing w:after="0"/>
              <w:rPr>
                <w:sz w:val="20"/>
                <w:szCs w:val="20"/>
                <w:color w:val="auto"/>
              </w:rPr>
            </w:pPr>
            <w:r>
              <w:rPr>
                <w:rFonts w:ascii="Arial" w:cs="Arial" w:eastAsia="Arial" w:hAnsi="Arial"/>
                <w:sz w:val="14"/>
                <w:szCs w:val="14"/>
                <w:b w:val="1"/>
                <w:bCs w:val="1"/>
                <w:color w:val="auto"/>
              </w:rPr>
              <w:t>Issuance Dates</w:t>
            </w:r>
          </w:p>
        </w:tc>
        <w:tc>
          <w:tcPr>
            <w:tcW w:w="440" w:type="dxa"/>
            <w:vAlign w:val="bottom"/>
          </w:tcPr>
          <w:p>
            <w:pPr>
              <w:spacing w:after="0"/>
              <w:rPr>
                <w:sz w:val="15"/>
                <w:szCs w:val="15"/>
                <w:color w:val="auto"/>
              </w:rPr>
            </w:pPr>
          </w:p>
        </w:tc>
        <w:tc>
          <w:tcPr>
            <w:tcW w:w="2100" w:type="dxa"/>
            <w:vAlign w:val="bottom"/>
            <w:gridSpan w:val="2"/>
          </w:tcPr>
          <w:p>
            <w:pPr>
              <w:ind w:left="580"/>
              <w:spacing w:after="0"/>
              <w:rPr>
                <w:sz w:val="20"/>
                <w:szCs w:val="20"/>
                <w:color w:val="auto"/>
              </w:rPr>
            </w:pPr>
            <w:r>
              <w:rPr>
                <w:rFonts w:ascii="Arial" w:cs="Arial" w:eastAsia="Arial" w:hAnsi="Arial"/>
                <w:sz w:val="14"/>
                <w:szCs w:val="14"/>
                <w:b w:val="1"/>
                <w:bCs w:val="1"/>
                <w:color w:val="auto"/>
              </w:rPr>
              <w:t>Maturity</w:t>
            </w:r>
          </w:p>
        </w:tc>
        <w:tc>
          <w:tcPr>
            <w:tcW w:w="126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5"/>
              </w:rPr>
              <w:t>Principal Balance</w:t>
            </w:r>
          </w:p>
        </w:tc>
        <w:tc>
          <w:tcPr>
            <w:tcW w:w="520" w:type="dxa"/>
            <w:vAlign w:val="bottom"/>
          </w:tcPr>
          <w:p>
            <w:pPr>
              <w:spacing w:after="0"/>
              <w:rPr>
                <w:sz w:val="15"/>
                <w:szCs w:val="15"/>
                <w:color w:val="auto"/>
              </w:rPr>
            </w:pPr>
          </w:p>
        </w:tc>
        <w:tc>
          <w:tcPr>
            <w:tcW w:w="124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Fixed SBA Debentures</w:t>
            </w:r>
          </w:p>
        </w:tc>
        <w:tc>
          <w:tcPr>
            <w:tcW w:w="4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gridSpan w:val="2"/>
          </w:tcPr>
          <w:p>
            <w:pPr>
              <w:spacing w:after="0"/>
              <w:rPr>
                <w:sz w:val="20"/>
                <w:szCs w:val="20"/>
                <w:color w:val="auto"/>
              </w:rPr>
            </w:pPr>
            <w:r>
              <w:rPr>
                <w:rFonts w:ascii="Arial" w:cs="Arial" w:eastAsia="Arial" w:hAnsi="Arial"/>
                <w:sz w:val="18"/>
                <w:szCs w:val="18"/>
                <w:color w:val="auto"/>
              </w:rPr>
              <w:t>September 22, 2010</w:t>
            </w:r>
          </w:p>
        </w:tc>
        <w:tc>
          <w:tcPr>
            <w:tcW w:w="2540" w:type="dxa"/>
            <w:vAlign w:val="bottom"/>
            <w:gridSpan w:val="3"/>
          </w:tcPr>
          <w:p>
            <w:pPr>
              <w:ind w:left="440"/>
              <w:spacing w:after="0"/>
              <w:rPr>
                <w:sz w:val="20"/>
                <w:szCs w:val="20"/>
                <w:color w:val="auto"/>
              </w:rPr>
            </w:pPr>
            <w:r>
              <w:rPr>
                <w:rFonts w:ascii="Arial" w:cs="Arial" w:eastAsia="Arial" w:hAnsi="Arial"/>
                <w:sz w:val="18"/>
                <w:szCs w:val="18"/>
                <w:color w:val="auto"/>
              </w:rPr>
              <w:t>September 1, 2020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1760" w:type="dxa"/>
            <w:vAlign w:val="bottom"/>
            <w:gridSpan w:val="3"/>
          </w:tcPr>
          <w:p>
            <w:pPr>
              <w:jc w:val="right"/>
              <w:ind w:right="240"/>
              <w:spacing w:after="0"/>
              <w:rPr>
                <w:sz w:val="20"/>
                <w:szCs w:val="20"/>
                <w:color w:val="auto"/>
              </w:rPr>
            </w:pPr>
            <w:r>
              <w:rPr>
                <w:rFonts w:ascii="Arial" w:cs="Arial" w:eastAsia="Arial" w:hAnsi="Arial"/>
                <w:sz w:val="18"/>
                <w:szCs w:val="18"/>
                <w:color w:val="auto"/>
              </w:rPr>
              <w:t>3.50%</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March 29, 2011</w:t>
            </w:r>
          </w:p>
        </w:tc>
        <w:tc>
          <w:tcPr>
            <w:tcW w:w="2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March 1, 2021</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44,500,000</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September 21, 2011</w:t>
            </w:r>
          </w:p>
        </w:tc>
        <w:tc>
          <w:tcPr>
            <w:tcW w:w="2540" w:type="dxa"/>
            <w:vAlign w:val="bottom"/>
            <w:gridSpan w:val="3"/>
          </w:tcPr>
          <w:p>
            <w:pPr>
              <w:ind w:left="440"/>
              <w:spacing w:after="0"/>
              <w:rPr>
                <w:sz w:val="20"/>
                <w:szCs w:val="20"/>
                <w:color w:val="auto"/>
              </w:rPr>
            </w:pPr>
            <w:r>
              <w:rPr>
                <w:rFonts w:ascii="Arial" w:cs="Arial" w:eastAsia="Arial" w:hAnsi="Arial"/>
                <w:sz w:val="18"/>
                <w:szCs w:val="18"/>
                <w:color w:val="auto"/>
              </w:rPr>
              <w:t>September 1, 2021</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105,000,000</w:t>
            </w:r>
          </w:p>
        </w:tc>
        <w:tc>
          <w:tcPr>
            <w:tcW w:w="5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150,000,000</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Interim SBA Debentures</w:t>
            </w: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SBA Debentures</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150,000,000</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0.93%</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SBA Commitment</w:t>
            </w: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33,500,000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Available Undrawn SBA Commitment</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3.43% of upfront fees.</w:t>
      </w:r>
    </w:p>
    <w:p>
      <w:pPr>
        <w:spacing w:after="0" w:line="171"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requiring capitalization thresholds that limit distributions to us, and is subject to periodic audits and examinations. As of September 30, 2011, SBIC LP was in compliance with its regulatory requirements.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September 30, 2011, we had approximately $49 million of assets bearing a coupon of 9% or lower. We will look to rotate these assets into new higher yielding investments over time.</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operating activities used cash of $137.8 million for the fiscal year ended September 30, 2011, and our financing activities provided net cash proceeds of $207.6 million for the same period. Our operating activities used cash primarily for investing that was provided primarily from proceeds from our follow-on public offering of common stock and draws under our Credit Facility and SBA debentures.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Our operating activities used cash of $127.1 million for the fiscal year ended September 30, 2010, and our financing activities provided net cash proceeds of $95.6 million for the same period, primarily from proceeds from our follow-on public offerings of common stock. Our operating activities used cash primarily for investing, that was provided from proceeds from secondary public offerings and draws under our Credit Facility.</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operating activities used cash of $42.4 million for the fiscal year ended September 30, 2009, and our financing activities provided net cash proceeds of $35.4 million for the same period, primarily from borrowings under our Credit Facility. Our operating activities used cash primarily for investing, that was provided from proceeds from draws under the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including borrowings under our Credit Facility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center"/>
              <w:ind w:left="82"/>
              <w:spacing w:after="0"/>
              <w:rPr>
                <w:sz w:val="20"/>
                <w:szCs w:val="20"/>
                <w:color w:val="auto"/>
              </w:rPr>
            </w:pPr>
            <w:r>
              <w:rPr>
                <w:rFonts w:ascii="Arial" w:cs="Arial" w:eastAsia="Arial" w:hAnsi="Arial"/>
                <w:sz w:val="14"/>
                <w:szCs w:val="14"/>
                <w:b w:val="1"/>
                <w:bCs w:val="1"/>
                <w:color w:val="auto"/>
                <w:w w:val="86"/>
              </w:rPr>
              <w:t>Payments due by period (in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Less than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540" w:type="dxa"/>
            <w:vAlign w:val="bottom"/>
          </w:tcPr>
          <w:p>
            <w:pPr>
              <w:jc w:val="right"/>
              <w:ind w:right="2"/>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$240.9</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$ 240.9</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 debt outstanding</w:t>
            </w:r>
            <w:r>
              <w:rPr>
                <w:rFonts w:ascii="Arial" w:cs="Arial" w:eastAsia="Arial" w:hAnsi="Arial"/>
                <w:sz w:val="11"/>
                <w:szCs w:val="11"/>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5"/>
              </w:rPr>
              <w:t>18.6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under our Credit Facility, subject to various restrictions and covenants.</w:t>
      </w:r>
    </w:p>
    <w:p>
      <w:pPr>
        <w:spacing w:after="0" w:line="38"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September 30, 2011 was 2.20% exclusive of the fee on undrawn commitment of 0.20% on the Credit Facility and 3.43% of upfront fees on the SBA debentures.</w:t>
      </w:r>
    </w:p>
    <w:p>
      <w:pPr>
        <w:ind w:left="460" w:right="30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Unfunded debt investments described in the Consolidated Statements of Assets and Liabilities represent unfunded delayed draws on investments in first lien secured debt and subordinated debt investments.</w:t>
      </w:r>
    </w:p>
    <w:p>
      <w:pPr>
        <w:spacing w:after="0" w:line="13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2011, PennantPark Investment Advisers serves as our investment adviser in accordance with the terms of that Investment Management Agreement. PennantPark Investment, through the Investment Adviser, provides similar services to SBIC LP under its investment management agreement with SBIC LP. SBIC LP’s investment management agreement does not affect the management or incentive fees that we pay to the Investment Adviser on a consolidated basis. Payments under our Investment Management Agreement in each reporting period is equal to (1) a management fee equal to a percentage of the value of our gross assets and (2) an incentive fee based on our performance. See Note 3 to our Consolidated Financial Statements.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our Administration Agreement, which was renewed in February 2011, PennantPark Investment Administration furnishes us with office facilities and administrative services necessary to conduct our day-to-day operations. PennantPark Investment, through the Administrator, provides similar services to SBIC LP under an administration agreement with SBIC LP, which is intended to have no effect on the consolidated administration fee. We, through the Administrator, provide administrative and managerial assistance to our controlled affiliate, SPH. If requested to provide managerial assistance to our portfolio companies, we or PennantPark Investment Administration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 For the fiscal years ended September 30, 2011 and 2010, we have elected to retain a portion of our calendar year income and record an excise tax of $0.2 million and $0.1 million, respectively.</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fiscal years ended September 30, 2011, 2010 and 2009, we declared to stockholders distributions of $1.07, $1.03 and $0.96 per share, respectively, for total distributions of $46.3 million, $32.3 million and $20.2 million, respectively. We monitor available net investment income to determine if a tax return of capital may occur for the fiscal year. The specific tax characteristics of the distributions will be reported to stockholders on Form 1099-DIV after the end of the calendar year and in a periodic report filed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are determined by our board of directors.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40" w:firstLine="8"/>
        <w:spacing w:after="0" w:line="253"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2011, our portfolio consisted of 61% fixed-rate, 31% variable-rate with a LIBOR or prime floor and 8% variable-rate investments. The variable rate loans are usually based on a floating LIBOR rate and typically have durations of three months after which they reset to current market interest rates. Variable rate investments subject to a floor generally reset by reference to the current market index after one to six months only if the index exceeds the floor. In regards to variable rate instruments with a floor, we do not benefit from increases in interest rates until such rates exceed the floor and thereafter benefits from market rates above a floor.</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Assuming that the balance sheet as of September 30, 2011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the net change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increasing interest rates, our cost of funds would increase,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Information about our senior securities is shown in the following table as of September 30, 2011, 2010, 2009, 2008 and 2007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78"/>
              </w:rPr>
              <w:t>Asset</w:t>
            </w:r>
          </w:p>
        </w:tc>
        <w:tc>
          <w:tcPr>
            <w:tcW w:w="16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r>
      <w:tr>
        <w:trPr>
          <w:trHeight w:val="134"/>
        </w:trPr>
        <w:tc>
          <w:tcPr>
            <w:tcW w:w="9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6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Market</w:t>
            </w:r>
          </w:p>
        </w:tc>
      </w:tr>
      <w:tr>
        <w:trPr>
          <w:trHeight w:val="149"/>
        </w:trPr>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Total Amount</w:t>
            </w:r>
          </w:p>
        </w:tc>
        <w:tc>
          <w:tcPr>
            <w:tcW w:w="100" w:type="dxa"/>
            <w:vAlign w:val="bottom"/>
          </w:tcPr>
          <w:p>
            <w:pPr>
              <w:spacing w:after="0"/>
              <w:rPr>
                <w:sz w:val="12"/>
                <w:szCs w:val="12"/>
                <w:color w:val="auto"/>
              </w:rPr>
            </w:pPr>
          </w:p>
        </w:tc>
        <w:tc>
          <w:tcPr>
            <w:tcW w:w="1620" w:type="dxa"/>
            <w:vAlign w:val="bottom"/>
            <w:gridSpan w:val="2"/>
          </w:tcPr>
          <w:p>
            <w:pPr>
              <w:jc w:val="center"/>
              <w:ind w:right="1000"/>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(2)</w:t>
            </w:r>
          </w:p>
        </w:tc>
        <w:tc>
          <w:tcPr>
            <w:tcW w:w="16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Preference</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3640" w:type="dxa"/>
            <w:vAlign w:val="bottom"/>
          </w:tcPr>
          <w:p>
            <w:pPr>
              <w:spacing w:after="0"/>
              <w:rPr>
                <w:sz w:val="15"/>
                <w:szCs w:val="15"/>
                <w:color w:val="auto"/>
              </w:rPr>
            </w:pPr>
          </w:p>
        </w:tc>
        <w:tc>
          <w:tcPr>
            <w:tcW w:w="182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 xml:space="preserve">Outstanding </w:t>
            </w:r>
            <w:r>
              <w:rPr>
                <w:rFonts w:ascii="Arial" w:cs="Arial" w:eastAsia="Arial" w:hAnsi="Arial"/>
                <w:sz w:val="18"/>
                <w:szCs w:val="18"/>
                <w:b w:val="1"/>
                <w:bCs w:val="1"/>
                <w:color w:val="auto"/>
                <w:vertAlign w:val="superscript"/>
              </w:rPr>
              <w:t>(1)</w:t>
            </w:r>
          </w:p>
        </w:tc>
        <w:tc>
          <w:tcPr>
            <w:tcW w:w="17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9"/>
              </w:rPr>
              <w:t>(unaudited)</w:t>
            </w:r>
          </w:p>
        </w:tc>
        <w:tc>
          <w:tcPr>
            <w:tcW w:w="1660" w:type="dxa"/>
            <w:vAlign w:val="bottom"/>
            <w:gridSpan w:val="2"/>
          </w:tcPr>
          <w:p>
            <w:pPr>
              <w:jc w:val="center"/>
              <w:ind w:right="920"/>
              <w:spacing w:after="0" w:line="162" w:lineRule="exact"/>
              <w:rPr>
                <w:sz w:val="20"/>
                <w:szCs w:val="20"/>
                <w:color w:val="auto"/>
              </w:rPr>
            </w:pPr>
            <w:r>
              <w:rPr>
                <w:rFonts w:ascii="Arial" w:cs="Arial" w:eastAsia="Arial" w:hAnsi="Arial"/>
                <w:sz w:val="12"/>
                <w:szCs w:val="12"/>
                <w:b w:val="1"/>
                <w:bCs w:val="1"/>
                <w:color w:val="auto"/>
              </w:rPr>
              <w:t>Per Unit</w:t>
            </w:r>
            <w:r>
              <w:rPr>
                <w:rFonts w:ascii="Arial" w:cs="Arial" w:eastAsia="Arial" w:hAnsi="Arial"/>
                <w:sz w:val="18"/>
                <w:szCs w:val="18"/>
                <w:b w:val="1"/>
                <w:bCs w:val="1"/>
                <w:color w:val="auto"/>
                <w:vertAlign w:val="superscript"/>
              </w:rPr>
              <w:t>(3)</w:t>
            </w:r>
          </w:p>
        </w:tc>
        <w:tc>
          <w:tcPr>
            <w:tcW w:w="72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9"/>
              </w:rPr>
              <w:t>Unit</w:t>
            </w:r>
            <w:r>
              <w:rPr>
                <w:rFonts w:ascii="Arial" w:cs="Arial" w:eastAsia="Arial" w:hAnsi="Arial"/>
                <w:sz w:val="18"/>
                <w:szCs w:val="18"/>
                <w:b w:val="1"/>
                <w:bCs w:val="1"/>
                <w:color w:val="auto"/>
                <w:w w:val="99"/>
                <w:vertAlign w:val="superscript"/>
              </w:rPr>
              <w:t>(4)</w:t>
            </w:r>
          </w:p>
        </w:tc>
      </w:tr>
      <w:tr>
        <w:trPr>
          <w:trHeight w:val="190"/>
        </w:trPr>
        <w:tc>
          <w:tcPr>
            <w:tcW w:w="4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and SBA debentures</w:t>
            </w: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1"/>
                <w:szCs w:val="11"/>
                <w:color w:val="auto"/>
              </w:rPr>
              <w:t>(5)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240,900</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2,912</w:t>
            </w:r>
          </w:p>
        </w:tc>
        <w:tc>
          <w:tcPr>
            <w:tcW w:w="900" w:type="dxa"/>
            <w:vAlign w:val="bottom"/>
          </w:tcPr>
          <w:p>
            <w:pPr>
              <w:spacing w:after="0"/>
              <w:rPr>
                <w:sz w:val="18"/>
                <w:szCs w:val="18"/>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225,100</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2,115</w:t>
            </w:r>
          </w:p>
        </w:tc>
        <w:tc>
          <w:tcPr>
            <w:tcW w:w="900" w:type="dxa"/>
            <w:vAlign w:val="bottom"/>
          </w:tcPr>
          <w:p>
            <w:pPr>
              <w:spacing w:after="0"/>
              <w:rPr>
                <w:sz w:val="18"/>
                <w:szCs w:val="18"/>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Fiscal 2007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28,039</w:t>
            </w:r>
          </w:p>
        </w:tc>
        <w:tc>
          <w:tcPr>
            <w:tcW w:w="90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asset coverage per unit computation pursuant to an exemptive relief letter provided by the SEC on June 1, 2011.</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December 16, 2011, the last reported closing price of our common stock was $10.16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Closing Sales Price</w:t>
            </w: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High Sales</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1200" w:type="dxa"/>
            <w:vAlign w:val="bottom"/>
            <w:gridSpan w:val="2"/>
            <w:vMerge w:val="restart"/>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Price to</w:t>
            </w:r>
          </w:p>
        </w:tc>
        <w:tc>
          <w:tcPr>
            <w:tcW w:w="96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89"/>
              </w:rPr>
              <w:t>Price to</w:t>
            </w:r>
          </w:p>
        </w:tc>
        <w:tc>
          <w:tcPr>
            <w:tcW w:w="220" w:type="dxa"/>
            <w:vAlign w:val="bottom"/>
          </w:tcPr>
          <w:p>
            <w:pPr>
              <w:spacing w:after="0"/>
              <w:rPr>
                <w:sz w:val="5"/>
                <w:szCs w:val="5"/>
                <w:color w:val="auto"/>
              </w:rPr>
            </w:pPr>
          </w:p>
        </w:tc>
        <w:tc>
          <w:tcPr>
            <w:tcW w:w="68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48"/>
        </w:trPr>
        <w:tc>
          <w:tcPr>
            <w:tcW w:w="4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720" w:type="dxa"/>
            <w:vAlign w:val="bottom"/>
            <w:gridSpan w:val="2"/>
            <w:vMerge w:val="restart"/>
          </w:tcPr>
          <w:p>
            <w:pPr>
              <w:ind w:left="40"/>
              <w:spacing w:after="0" w:line="209"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3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High</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200" w:type="dxa"/>
            <w:vAlign w:val="bottom"/>
            <w:gridSpan w:val="2"/>
          </w:tcPr>
          <w:p>
            <w:pPr>
              <w:jc w:val="center"/>
              <w:ind w:right="560"/>
              <w:spacing w:after="0" w:line="162"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960" w:type="dxa"/>
            <w:vAlign w:val="bottom"/>
            <w:gridSpan w:val="2"/>
          </w:tcPr>
          <w:p>
            <w:pPr>
              <w:jc w:val="center"/>
              <w:ind w:right="340"/>
              <w:spacing w:after="0" w:line="162"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(2)</w:t>
            </w:r>
          </w:p>
        </w:tc>
        <w:tc>
          <w:tcPr>
            <w:tcW w:w="2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90"/>
        </w:trPr>
        <w:tc>
          <w:tcPr>
            <w:tcW w:w="4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2012</w:t>
            </w:r>
          </w:p>
        </w:tc>
        <w:tc>
          <w:tcPr>
            <w:tcW w:w="1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 (as of December 16, 2011)</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 N/A</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$ 11.02</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$ 8.57</w:t>
            </w:r>
          </w:p>
        </w:tc>
        <w:tc>
          <w:tcPr>
            <w:tcW w:w="46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10.13</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11.52</w:t>
            </w:r>
          </w:p>
        </w:tc>
        <w:tc>
          <w:tcPr>
            <w:tcW w:w="500" w:type="dxa"/>
            <w:vAlign w:val="bottom"/>
          </w:tcPr>
          <w:p>
            <w:pPr>
              <w:jc w:val="right"/>
              <w:spacing w:after="0"/>
              <w:rPr>
                <w:sz w:val="20"/>
                <w:szCs w:val="20"/>
                <w:color w:val="auto"/>
              </w:rPr>
            </w:pPr>
            <w:r>
              <w:rPr>
                <w:rFonts w:ascii="Arial" w:cs="Arial" w:eastAsia="Arial" w:hAnsi="Arial"/>
                <w:sz w:val="18"/>
                <w:szCs w:val="18"/>
                <w:color w:val="auto"/>
              </w:rPr>
              <w:t>8.89</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12.43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11.30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13.05</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11.21</w:t>
            </w: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10.69</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10.69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10.94</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11.84</w:t>
            </w:r>
          </w:p>
        </w:tc>
        <w:tc>
          <w:tcPr>
            <w:tcW w:w="500" w:type="dxa"/>
            <w:vAlign w:val="bottom"/>
          </w:tcPr>
          <w:p>
            <w:pPr>
              <w:jc w:val="right"/>
              <w:spacing w:after="0"/>
              <w:rPr>
                <w:sz w:val="20"/>
                <w:szCs w:val="20"/>
                <w:color w:val="auto"/>
              </w:rPr>
            </w:pPr>
            <w:r>
              <w:rPr>
                <w:rFonts w:ascii="Arial" w:cs="Arial" w:eastAsia="Arial" w:hAnsi="Arial"/>
                <w:sz w:val="18"/>
                <w:szCs w:val="18"/>
                <w:color w:val="auto"/>
              </w:rPr>
              <w:t>9.02</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11.07</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11.86</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9.15</w:t>
            </w:r>
          </w:p>
        </w:tc>
        <w:tc>
          <w:tcPr>
            <w:tcW w:w="500" w:type="dxa"/>
            <w:vAlign w:val="bottom"/>
          </w:tcPr>
          <w:p>
            <w:pPr>
              <w:jc w:val="right"/>
              <w:spacing w:after="0"/>
              <w:rPr>
                <w:sz w:val="20"/>
                <w:szCs w:val="20"/>
                <w:color w:val="auto"/>
              </w:rPr>
            </w:pPr>
            <w:r>
              <w:rPr>
                <w:rFonts w:ascii="Arial" w:cs="Arial" w:eastAsia="Arial" w:hAnsi="Arial"/>
                <w:sz w:val="18"/>
                <w:szCs w:val="18"/>
                <w:color w:val="auto"/>
              </w:rPr>
              <w:t>7.63</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11.85</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9.06</w:t>
            </w:r>
          </w:p>
        </w:tc>
        <w:tc>
          <w:tcPr>
            <w:tcW w:w="500" w:type="dxa"/>
            <w:vAlign w:val="bottom"/>
          </w:tcPr>
          <w:p>
            <w:pPr>
              <w:jc w:val="right"/>
              <w:spacing w:after="0"/>
              <w:rPr>
                <w:sz w:val="20"/>
                <w:szCs w:val="20"/>
                <w:color w:val="auto"/>
              </w:rPr>
            </w:pPr>
            <w:r>
              <w:rPr>
                <w:rFonts w:ascii="Arial" w:cs="Arial" w:eastAsia="Arial" w:hAnsi="Arial"/>
                <w:sz w:val="18"/>
                <w:szCs w:val="18"/>
                <w:color w:val="auto"/>
              </w:rPr>
              <w:t>6.28</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11.72</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12.00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4.05</w:t>
            </w: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10.77</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8.60</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10.26</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12.07</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14.49</w:t>
            </w: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12.83</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14.76</w:t>
            </w: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this prospectus for more information.</w:t>
      </w: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Shares of BDCs may trade at a market price that is less than the NAV that is attributable to those shares. Our shares have traded above and below our NAV.</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Our shares traded on the NASDAQ Global Select Market at $8.92 and $10.61 as of September 30, 2011 and September 30, 2010, respectively. Our NAV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$10.13 and $10.69, as of September 30, 2011 and September 30, 2010, respectively. The possibility that our shares of common stock will trade at a discount from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net asset value or at a premium that is unsustainable over the long term is separate and distinct from the risk that our net asset value will decrease. It is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possible to predict whether our shares will trade at, above or below net asset value in the future.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2" w:lineRule="exact"/>
        <w:rPr>
          <w:sz w:val="20"/>
          <w:szCs w:val="20"/>
          <w:color w:val="auto"/>
        </w:rPr>
      </w:pPr>
    </w:p>
    <w:p>
      <w:pPr>
        <w:ind w:left="9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leverage available to us and SBIC LP,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left="361"/>
              <w:spacing w:after="0"/>
              <w:rPr>
                <w:sz w:val="20"/>
                <w:szCs w:val="20"/>
                <w:color w:val="auto"/>
              </w:rPr>
            </w:pPr>
            <w:r>
              <w:rPr>
                <w:rFonts w:ascii="Arial" w:cs="Arial" w:eastAsia="Arial" w:hAnsi="Arial"/>
                <w:sz w:val="14"/>
                <w:szCs w:val="14"/>
                <w:b w:val="1"/>
                <w:bCs w:val="1"/>
                <w:color w:val="auto"/>
                <w:w w:val="89"/>
              </w:rPr>
              <w:t>Example 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86"/>
              </w:rPr>
              <w:t>Example 3</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left="361"/>
              <w:spacing w:after="0" w:line="149" w:lineRule="exact"/>
              <w:rPr>
                <w:sz w:val="20"/>
                <w:szCs w:val="20"/>
                <w:color w:val="auto"/>
              </w:rPr>
            </w:pPr>
            <w:r>
              <w:rPr>
                <w:rFonts w:ascii="Arial" w:cs="Arial" w:eastAsia="Arial" w:hAnsi="Arial"/>
                <w:sz w:val="14"/>
                <w:szCs w:val="14"/>
                <w:b w:val="1"/>
                <w:bCs w:val="1"/>
                <w:color w:val="auto"/>
                <w:w w:val="94"/>
              </w:rPr>
              <w:t>5% Offering</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left="281"/>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left="341"/>
              <w:spacing w:after="0" w:line="149" w:lineRule="exact"/>
              <w:rPr>
                <w:sz w:val="20"/>
                <w:szCs w:val="20"/>
                <w:color w:val="auto"/>
              </w:rPr>
            </w:pPr>
            <w:r>
              <w:rPr>
                <w:rFonts w:ascii="Arial" w:cs="Arial" w:eastAsia="Arial" w:hAnsi="Arial"/>
                <w:sz w:val="14"/>
                <w:szCs w:val="14"/>
                <w:b w:val="1"/>
                <w:bCs w:val="1"/>
                <w:color w:val="auto"/>
                <w:w w:val="92"/>
              </w:rPr>
              <w:t>20% Offering</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21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8"/>
              </w:rPr>
              <w:t>at 10% Discount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gridSpan w:val="2"/>
          </w:tcPr>
          <w:p>
            <w:pPr>
              <w:jc w:val="right"/>
              <w:ind w:right="57"/>
              <w:spacing w:after="0" w:line="129"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0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Below NAV</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10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2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Sale</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2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9.52</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7"/>
              </w:rPr>
              <w:t>Net offering proceeds per share to</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issuer</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9.00</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4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4"/>
              </w:rPr>
              <w:t>1,100,000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NAV per share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480" w:type="dxa"/>
            <w:vAlign w:val="bottom"/>
          </w:tcPr>
          <w:p>
            <w:pPr>
              <w:spacing w:after="0"/>
              <w:rPr>
                <w:sz w:val="18"/>
                <w:szCs w:val="18"/>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9.91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10,000</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6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8"/>
              </w:rPr>
              <w:t>Percentage held by stockholder 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0.95%</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(17.00)%</w:t>
            </w:r>
          </w:p>
        </w:tc>
        <w:tc>
          <w:tcPr>
            <w:tcW w:w="0" w:type="dxa"/>
            <w:vAlign w:val="bottom"/>
          </w:tcPr>
          <w:p>
            <w:pPr>
              <w:spacing w:after="0"/>
              <w:rPr>
                <w:sz w:val="1"/>
                <w:szCs w:val="1"/>
                <w:color w:val="auto"/>
              </w:rPr>
            </w:pPr>
          </w:p>
        </w:tc>
      </w:tr>
      <w:tr>
        <w:trPr>
          <w:trHeight w:val="363"/>
        </w:trPr>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gridSpan w:val="2"/>
          </w:tcPr>
          <w:p>
            <w:pPr>
              <w:jc w:val="right"/>
              <w:ind w:right="277"/>
              <w:spacing w:after="0"/>
              <w:rPr>
                <w:sz w:val="20"/>
                <w:szCs w:val="20"/>
                <w:color w:val="auto"/>
              </w:rPr>
            </w:pPr>
            <w:r>
              <w:rPr>
                <w:rFonts w:ascii="Arial" w:cs="Arial" w:eastAsia="Arial" w:hAnsi="Arial"/>
                <w:sz w:val="18"/>
                <w:szCs w:val="18"/>
                <w:color w:val="auto"/>
                <w:w w:val="79"/>
              </w:rPr>
              <w:t>53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left="260"/>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left="280"/>
              <w:spacing w:after="0"/>
              <w:rPr>
                <w:sz w:val="20"/>
                <w:szCs w:val="20"/>
                <w:color w:val="auto"/>
              </w:rPr>
            </w:pPr>
            <w:r>
              <w:rPr>
                <w:rFonts w:ascii="Arial" w:cs="Arial" w:eastAsia="Arial" w:hAnsi="Arial"/>
                <w:sz w:val="14"/>
                <w:szCs w:val="14"/>
                <w:b w:val="1"/>
                <w:bCs w:val="1"/>
                <w:color w:val="auto"/>
                <w:w w:val="89"/>
              </w:rPr>
              <w:t>Example 2</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left="260"/>
              <w:spacing w:after="0"/>
              <w:rPr>
                <w:sz w:val="20"/>
                <w:szCs w:val="20"/>
                <w:color w:val="auto"/>
              </w:rPr>
            </w:pPr>
            <w:r>
              <w:rPr>
                <w:rFonts w:ascii="Arial" w:cs="Arial" w:eastAsia="Arial" w:hAnsi="Arial"/>
                <w:sz w:val="14"/>
                <w:szCs w:val="14"/>
                <w:b w:val="1"/>
                <w:bCs w:val="1"/>
                <w:color w:val="auto"/>
                <w:w w:val="86"/>
              </w:rPr>
              <w:t>Example 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5% Offering</w:t>
            </w:r>
          </w:p>
        </w:tc>
        <w:tc>
          <w:tcPr>
            <w:tcW w:w="80" w:type="dxa"/>
            <w:vAlign w:val="bottom"/>
          </w:tcPr>
          <w:p>
            <w:pPr>
              <w:spacing w:after="0"/>
              <w:rPr>
                <w:sz w:val="12"/>
                <w:szCs w:val="12"/>
                <w:color w:val="auto"/>
              </w:rPr>
            </w:pPr>
          </w:p>
        </w:tc>
        <w:tc>
          <w:tcPr>
            <w:tcW w:w="18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9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18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at 10% Discount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46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top w:val="single" w:sz="8" w:color="auto"/>
            </w:tcBorders>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0"/>
              </w:rPr>
              <w:t>Below NAV</w:t>
            </w:r>
          </w:p>
        </w:tc>
        <w:tc>
          <w:tcPr>
            <w:tcW w:w="100" w:type="dxa"/>
            <w:vAlign w:val="bottom"/>
          </w:tcPr>
          <w:p>
            <w:pPr>
              <w:spacing w:after="0"/>
              <w:rPr>
                <w:sz w:val="14"/>
                <w:szCs w:val="14"/>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 Values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Total NAV held by stockholder A</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99,800</w:t>
            </w:r>
          </w:p>
        </w:tc>
        <w:tc>
          <w:tcPr>
            <w:tcW w:w="3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99,100</w:t>
            </w:r>
          </w:p>
        </w:tc>
        <w:tc>
          <w:tcPr>
            <w:tcW w:w="40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(0.90)%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96,700</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Total investment by stockholder A (assumed to be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$10.00 per share)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100,000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40" w:type="dxa"/>
            <w:vAlign w:val="bottom"/>
          </w:tcPr>
          <w:p>
            <w:pPr>
              <w:ind w:left="440"/>
              <w:spacing w:after="0"/>
              <w:rPr>
                <w:sz w:val="20"/>
                <w:szCs w:val="20"/>
                <w:color w:val="auto"/>
              </w:rPr>
            </w:pPr>
            <w:r>
              <w:rPr>
                <w:rFonts w:ascii="Arial" w:cs="Arial" w:eastAsia="Arial" w:hAnsi="Arial"/>
                <w:sz w:val="18"/>
                <w:szCs w:val="18"/>
                <w:color w:val="auto"/>
                <w:w w:val="94"/>
              </w:rPr>
              <w:t>Total dilution to stockholder A (total NAV less total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tcPr>
          <w:p>
            <w:pPr>
              <w:ind w:left="660"/>
              <w:spacing w:after="0"/>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(900)</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(3,300)</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9.98</w:t>
            </w:r>
          </w:p>
        </w:tc>
        <w:tc>
          <w:tcPr>
            <w:tcW w:w="38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9.67</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(assumed to be $10.00 per share on shares held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prior to sale)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40" w:type="dxa"/>
            <w:vAlign w:val="bottom"/>
          </w:tcPr>
          <w:p>
            <w:pPr>
              <w:ind w:left="440"/>
              <w:spacing w:after="0"/>
              <w:rPr>
                <w:sz w:val="20"/>
                <w:szCs w:val="20"/>
                <w:color w:val="auto"/>
              </w:rPr>
            </w:pPr>
            <w:r>
              <w:rPr>
                <w:rFonts w:ascii="Arial" w:cs="Arial" w:eastAsia="Arial" w:hAnsi="Arial"/>
                <w:sz w:val="18"/>
                <w:szCs w:val="18"/>
                <w:color w:val="auto"/>
                <w:w w:val="95"/>
              </w:rPr>
              <w:t>Dilution per share held by stockholder A (NAV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(0.09)</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(0.33)</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Percentage dilution to stockholder A (dilution per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divided by investment per share)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(0.90)%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20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Below NAV</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580" w:type="dxa"/>
            <w:vAlign w:val="bottom"/>
          </w:tcPr>
          <w:p>
            <w:pPr>
              <w:spacing w:after="0"/>
              <w:rPr>
                <w:sz w:val="18"/>
                <w:szCs w:val="18"/>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20.00%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5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11,000</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10.00%</w:t>
            </w: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13,000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125,710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25.71%</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w w:val="94"/>
              </w:rPr>
              <w:t>Total investment by stockholder A (assumed to be $10.00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color w:val="auto"/>
              </w:rPr>
              <w:t>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108,470</w:t>
            </w:r>
          </w:p>
        </w:tc>
        <w:tc>
          <w:tcPr>
            <w:tcW w:w="5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125,410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25.41%</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Total (dilution)/accretion to stockholder A (total NAV less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investment)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(2,100)</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NAV per share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9.67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w w:val="95"/>
              </w:rPr>
              <w:t>Investment per share held by stockholder A (assumed to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color w:val="auto"/>
              </w:rPr>
              <w:t>be $10.00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9.86</w:t>
            </w:r>
          </w:p>
        </w:tc>
        <w:tc>
          <w:tcPr>
            <w:tcW w:w="58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9.65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(Dilution)/accretion per share held by stockholder A (NAV</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per share less investment per share)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(0.19)</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rPr>
              <w:t>Percentage (dilution)/accretion to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080"/>
              <w:spacing w:after="0"/>
              <w:rPr>
                <w:sz w:val="20"/>
                <w:szCs w:val="20"/>
                <w:color w:val="auto"/>
              </w:rPr>
            </w:pPr>
            <w:r>
              <w:rPr>
                <w:rFonts w:ascii="Arial" w:cs="Arial" w:eastAsia="Arial" w:hAnsi="Arial"/>
                <w:sz w:val="18"/>
                <w:szCs w:val="18"/>
                <w:color w:val="auto"/>
                <w:w w:val="95"/>
              </w:rPr>
              <w:t>(dilution/accretion per share divided by investment per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08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NAV per share due to selling compensation and expenses paid by us will experience an immediate decrease, albeit small, in the NAV of their shares and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 per share compared to the price they pay for their shares. Investors who are not currently stockholders and who participate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5"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260" w:firstLine="8"/>
        <w:spacing w:after="0" w:line="302"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left="259"/>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left="299"/>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3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left="259"/>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3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left="259"/>
              <w:spacing w:after="0"/>
              <w:rPr>
                <w:sz w:val="20"/>
                <w:szCs w:val="20"/>
                <w:color w:val="auto"/>
              </w:rPr>
            </w:pPr>
            <w:r>
              <w:rPr>
                <w:rFonts w:ascii="Arial" w:cs="Arial" w:eastAsia="Arial" w:hAnsi="Arial"/>
                <w:sz w:val="14"/>
                <w:szCs w:val="14"/>
                <w:b w:val="1"/>
                <w:bCs w:val="1"/>
                <w:color w:val="auto"/>
                <w:w w:val="89"/>
              </w:rPr>
              <w:t>at 5% Discount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9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r>
      <w:tr>
        <w:trPr>
          <w:trHeight w:val="224"/>
        </w:trPr>
        <w:tc>
          <w:tcPr>
            <w:tcW w:w="34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7"/>
              </w:rPr>
              <w:t>Prior to Sale</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w w:val="85"/>
              </w:rPr>
              <w:t>Following</w:t>
            </w: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r>
      <w:tr>
        <w:trPr>
          <w:trHeight w:val="161"/>
        </w:trPr>
        <w:tc>
          <w:tcPr>
            <w:tcW w:w="34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w w:val="90"/>
              </w:rPr>
              <w:t>Below NAV</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3"/>
              </w:rPr>
              <w:t>Sale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2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r>
      <w:tr>
        <w:trPr>
          <w:trHeight w:val="196"/>
        </w:trPr>
        <w:tc>
          <w:tcPr>
            <w:tcW w:w="3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540" w:type="dxa"/>
            <w:vAlign w:val="bottom"/>
          </w:tcPr>
          <w:p>
            <w:pPr>
              <w:spacing w:after="0"/>
              <w:rPr>
                <w:sz w:val="18"/>
                <w:szCs w:val="18"/>
                <w:color w:val="auto"/>
              </w:rPr>
            </w:pP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9.52</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9.00</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1,100,000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NAV per share</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9.98</w:t>
            </w:r>
          </w:p>
        </w:tc>
        <w:tc>
          <w:tcPr>
            <w:tcW w:w="5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(0.20)%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9.91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(0.90)%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540" w:type="dxa"/>
            <w:vAlign w:val="bottom"/>
          </w:tcPr>
          <w:p>
            <w:pPr>
              <w:spacing w:after="0"/>
              <w:rPr>
                <w:sz w:val="18"/>
                <w:szCs w:val="18"/>
                <w:color w:val="auto"/>
              </w:rPr>
            </w:pP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2,000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5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9,910</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19,340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5,025</w:t>
            </w:r>
          </w:p>
        </w:tc>
        <w:tc>
          <w:tcPr>
            <w:tcW w:w="540" w:type="dxa"/>
            <w:vAlign w:val="bottom"/>
          </w:tcPr>
          <w:p>
            <w:pPr>
              <w:spacing w:after="0"/>
              <w:rPr>
                <w:sz w:val="18"/>
                <w:szCs w:val="18"/>
                <w:color w:val="auto"/>
              </w:rPr>
            </w:pP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9,952</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16,940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08"/>
        </w:trPr>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4"/>
        </w:trPr>
        <w:tc>
          <w:tcPr>
            <w:tcW w:w="3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less total investment)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390</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363"/>
        </w:trPr>
        <w:tc>
          <w:tcPr>
            <w:tcW w:w="3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9"/>
              </w:rPr>
              <w:t>Example 1</w:t>
            </w:r>
          </w:p>
        </w:tc>
        <w:tc>
          <w:tcPr>
            <w:tcW w:w="12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Example 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Example 3</w:t>
            </w:r>
          </w:p>
        </w:tc>
      </w:tr>
      <w:tr>
        <w:trPr>
          <w:trHeight w:val="149"/>
        </w:trPr>
        <w:tc>
          <w:tcPr>
            <w:tcW w:w="4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5"/>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20" w:type="dxa"/>
            <w:vAlign w:val="bottom"/>
          </w:tcPr>
          <w:p>
            <w:pPr>
              <w:spacing w:after="0"/>
              <w:rPr>
                <w:sz w:val="12"/>
                <w:szCs w:val="12"/>
                <w:color w:val="auto"/>
              </w:rPr>
            </w:pPr>
          </w:p>
        </w:tc>
        <w:tc>
          <w:tcPr>
            <w:tcW w:w="15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10% Offering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20% Offering</w:t>
            </w:r>
          </w:p>
        </w:tc>
      </w:tr>
      <w:tr>
        <w:trPr>
          <w:trHeight w:val="16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9"/>
              </w:rPr>
              <w:t>at 5% Discount</w:t>
            </w:r>
          </w:p>
        </w:tc>
        <w:tc>
          <w:tcPr>
            <w:tcW w:w="120" w:type="dxa"/>
            <w:vAlign w:val="bottom"/>
          </w:tcPr>
          <w:p>
            <w:pPr>
              <w:spacing w:after="0"/>
              <w:rPr>
                <w:sz w:val="14"/>
                <w:szCs w:val="14"/>
                <w:color w:val="auto"/>
              </w:rPr>
            </w:pP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at 10% Discount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at 20% Discount</w:t>
            </w:r>
          </w:p>
        </w:tc>
      </w:tr>
      <w:tr>
        <w:trPr>
          <w:trHeight w:val="224"/>
        </w:trPr>
        <w:tc>
          <w:tcPr>
            <w:tcW w:w="44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84"/>
              </w:rPr>
              <w:t>Prior to Sale</w:t>
            </w:r>
          </w:p>
        </w:tc>
        <w:tc>
          <w:tcPr>
            <w:tcW w:w="46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9"/>
                <w:szCs w:val="19"/>
                <w:color w:val="auto"/>
              </w:rPr>
            </w:pPr>
          </w:p>
        </w:tc>
      </w:tr>
      <w:tr>
        <w:trPr>
          <w:trHeight w:val="161"/>
        </w:trPr>
        <w:tc>
          <w:tcPr>
            <w:tcW w:w="448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88"/>
              </w:rPr>
              <w:t>Below NAV</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76"/>
              </w:rPr>
              <w:t>Sale</w:t>
            </w:r>
          </w:p>
        </w:tc>
        <w:tc>
          <w:tcPr>
            <w:tcW w:w="10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Amounts</w:t>
            </w: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9.98</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60"/>
              <w:spacing w:after="0"/>
              <w:rPr>
                <w:sz w:val="20"/>
                <w:szCs w:val="20"/>
                <w:color w:val="auto"/>
              </w:rPr>
            </w:pPr>
            <w:r>
              <w:rPr>
                <w:rFonts w:ascii="Arial" w:cs="Arial" w:eastAsia="Arial" w:hAnsi="Arial"/>
                <w:sz w:val="18"/>
                <w:szCs w:val="18"/>
                <w:color w:val="auto"/>
                <w:w w:val="79"/>
              </w:rPr>
              <w:t>9.91</w:t>
            </w:r>
          </w:p>
        </w:tc>
        <w:tc>
          <w:tcPr>
            <w:tcW w:w="44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9.67</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10.05</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9.52</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8.47</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08"/>
        </w:trPr>
        <w:tc>
          <w:tcPr>
            <w:tcW w:w="4480" w:type="dxa"/>
            <w:vAlign w:val="bottom"/>
          </w:tcPr>
          <w:p>
            <w:pPr>
              <w:ind w:left="440"/>
              <w:spacing w:after="0"/>
              <w:rPr>
                <w:sz w:val="20"/>
                <w:szCs w:val="20"/>
                <w:color w:val="auto"/>
              </w:rPr>
            </w:pPr>
            <w:r>
              <w:rPr>
                <w:rFonts w:ascii="Arial" w:cs="Arial" w:eastAsia="Arial" w:hAnsi="Arial"/>
                <w:sz w:val="18"/>
                <w:szCs w:val="18"/>
                <w:color w:val="auto"/>
              </w:rPr>
              <w:t>Dilution per share held by stockholder A (NAV per</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448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(0.07)</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60"/>
              <w:spacing w:after="0"/>
              <w:rPr>
                <w:sz w:val="20"/>
                <w:szCs w:val="20"/>
                <w:color w:val="auto"/>
              </w:rPr>
            </w:pPr>
            <w:r>
              <w:rPr>
                <w:rFonts w:ascii="Arial" w:cs="Arial" w:eastAsia="Arial" w:hAnsi="Arial"/>
                <w:sz w:val="18"/>
                <w:szCs w:val="18"/>
                <w:color w:val="auto"/>
                <w:w w:val="79"/>
              </w:rPr>
              <w:t>0.39</w:t>
            </w:r>
          </w:p>
        </w:tc>
        <w:tc>
          <w:tcPr>
            <w:tcW w:w="44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1.20</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09"/>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Percentage dilution to stockholder A (dilution per</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4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divided by investment per 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4.10%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14.17%</w:t>
            </w:r>
          </w:p>
        </w:tc>
      </w:tr>
      <w:tr>
        <w:trPr>
          <w:trHeight w:val="363"/>
        </w:trPr>
        <w:tc>
          <w:tcPr>
            <w:tcW w:w="4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8"/>
              </w:rPr>
              <w:t>Record Dates</w:t>
            </w:r>
          </w:p>
        </w:tc>
        <w:tc>
          <w:tcPr>
            <w:tcW w:w="350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60"/>
              <w:spacing w:after="0" w:line="148" w:lineRule="exact"/>
              <w:rPr>
                <w:sz w:val="20"/>
                <w:szCs w:val="20"/>
                <w:color w:val="auto"/>
              </w:rPr>
            </w:pPr>
            <w:r>
              <w:rPr>
                <w:rFonts w:ascii="Arial" w:cs="Arial" w:eastAsia="Arial" w:hAnsi="Arial"/>
                <w:sz w:val="14"/>
                <w:szCs w:val="14"/>
                <w:b w:val="1"/>
                <w:bCs w:val="1"/>
                <w:color w:val="auto"/>
              </w:rPr>
              <w:t>Payment Dates</w:t>
            </w:r>
          </w:p>
        </w:tc>
        <w:tc>
          <w:tcPr>
            <w:tcW w:w="600" w:type="dxa"/>
            <w:vAlign w:val="bottom"/>
          </w:tcPr>
          <w:p>
            <w:pPr>
              <w:spacing w:after="0"/>
              <w:rPr>
                <w:sz w:val="14"/>
                <w:szCs w:val="14"/>
                <w:color w:val="auto"/>
              </w:rPr>
            </w:pPr>
          </w:p>
        </w:tc>
        <w:tc>
          <w:tcPr>
            <w:tcW w:w="780" w:type="dxa"/>
            <w:vAlign w:val="bottom"/>
            <w:gridSpan w:val="3"/>
          </w:tcPr>
          <w:p>
            <w:pPr>
              <w:jc w:val="center"/>
              <w:ind w:right="140"/>
              <w:spacing w:after="0" w:line="148"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90"/>
        </w:trPr>
        <w:tc>
          <w:tcPr>
            <w:tcW w:w="4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2012</w:t>
            </w:r>
          </w:p>
        </w:tc>
        <w:tc>
          <w:tcPr>
            <w:tcW w:w="13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December 23,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January 3,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23,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3,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20, 2011</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2011</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15,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17, 2010</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3, 2011</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14, 2010</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2010</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2010</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2010</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25, 2010</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2010</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2009</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4, 2010</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8, 2009</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2009</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2009</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2009</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25, 2009</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2009</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23, 2008</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4, 2009</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24, 2008</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2008</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23, 2008</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June 30, 2008</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24, 2008</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March 31, 2008</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2007</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December 31, 2007</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See note 8 to our Consolidated Financial Statements as of September 30,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8"/>
        <w:spacing w:after="0" w:line="323" w:lineRule="auto"/>
        <w:tabs>
          <w:tab w:leader="none" w:pos="249" w:val="left"/>
        </w:tabs>
        <w:numPr>
          <w:ilvl w:val="0"/>
          <w:numId w:val="49"/>
        </w:numPr>
        <w:rPr>
          <w:rFonts w:ascii="Arial" w:cs="Arial" w:eastAsia="Arial" w:hAnsi="Arial"/>
          <w:sz w:val="15"/>
          <w:szCs w:val="15"/>
          <w:color w:val="auto"/>
        </w:rPr>
      </w:pPr>
      <w:r>
        <w:rPr>
          <w:rFonts w:ascii="Arial" w:cs="Arial" w:eastAsia="Arial" w:hAnsi="Arial"/>
          <w:sz w:val="15"/>
          <w:szCs w:val="15"/>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9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 See “Material U.S. Federal Income Tax Considerations” for more information.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BDC under the 1940 Act. In addition, for tax purposes we have elected to be treated as a RIC, under the Code.</w:t>
      </w:r>
    </w:p>
    <w:p>
      <w:pPr>
        <w:spacing w:after="0" w:line="14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1958 Act on July 30, 2010. SBIC LP’s objective is to generate both current income and capital appreciation through debt and equity investments. SBIC LP, generally, co-invests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utilize the investing experience and contacts of PennantPark Investment Advisers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capital preservation, diversification and active management. Since our Investment Adviser’s inception in 2007, it has raised about $1.2 billion in debt and equity capital and has invested over $1.5 billion in more than 150 companies with more than 70 different financial sponsors through its managed funds.</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900" w:hanging="446"/>
        <w:spacing w:after="0" w:line="25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160" w:hanging="446"/>
        <w:spacing w:after="0" w:line="334"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 CLO</w:t>
      </w:r>
      <w:r>
        <w:rPr>
          <w:rFonts w:ascii="Arial" w:cs="Arial" w:eastAsia="Arial" w:hAnsi="Arial"/>
          <w:sz w:val="16"/>
          <w:szCs w:val="16"/>
          <w:b w:val="1"/>
          <w:bCs w:val="1"/>
          <w:color w:val="auto"/>
        </w:rPr>
        <w:t xml:space="preserve"> </w:t>
      </w:r>
      <w:r>
        <w:rPr>
          <w:rFonts w:ascii="Arial" w:cs="Arial" w:eastAsia="Arial" w:hAnsi="Arial"/>
          <w:sz w:val="16"/>
          <w:szCs w:val="16"/>
          <w:color w:val="auto"/>
        </w:rPr>
        <w:t>funds have withdrawn capital from the middle-market resulting in opportunities for alternative funding sources.</w:t>
      </w:r>
    </w:p>
    <w:p>
      <w:pPr>
        <w:spacing w:after="0" w:line="1" w:lineRule="exact"/>
        <w:rPr>
          <w:rFonts w:ascii="Arial" w:cs="Arial" w:eastAsia="Arial" w:hAnsi="Arial"/>
          <w:sz w:val="16"/>
          <w:szCs w:val="16"/>
          <w:color w:val="auto"/>
        </w:rPr>
      </w:pPr>
    </w:p>
    <w:p>
      <w:pPr>
        <w:ind w:left="900" w:hanging="446"/>
        <w:spacing w:after="0" w:line="310"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446"/>
        <w:spacing w:after="0" w:line="29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260" w:hanging="446"/>
        <w:spacing w:after="0" w:line="262"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2004 and 2007, which will mature in the next few years.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hanging="184"/>
        <w:spacing w:after="0"/>
        <w:tabs>
          <w:tab w:leader="none" w:pos="42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Longer Investment Horizon with Attractive Publicly-Traded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maintain a multi-currency $315.0 million senior secured Credit Facility which matures on June 25, 2012 and is secured by substantially all of our investment portfolio assets (excluding the assets of SBIC LP). As of September 30, 2011, we had $240.9 million outstanding on the Credit Facility with a weighted average interest rate at the time of 1.27% and had $74.1 million of unused borrowing capacity. Pricing of borrowings under our Credit Facility is set at 100 basis points over LIBOR. We believe that our capital resources will provide us with the flexibility to take advantage of market opportunities when they arise. In addition, any future additional debt capital we incur, including refinancing the debt outstanding under our Credit Facility, to the extent it is available under current credit market conditions, may be issued at a higher cost and on less favorable terms and conditions than our current Credit Facility. See “Management’s Discussion and Analysis of Financial Condition and Results of Operations—Liquidity and Capital Resources” for more information.</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September 30, 2011, SBIC LP had drawn $150.0 million, with a weighted average interest rate of 3.70%, exclusive of 3.43% of upfront fees.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for more information.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seek to create a diversified portfolio that includes senior secured loans, mezzanine debt and equity by targeting an investment size of $10 million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senior secured loans, mezzanine debt and, to a lesser extent, equity investments in qualifying assets such as private or thinly traded or small market-capitalization, public U.S. companies. In addition, we may invest up to 30% of our portfolio in non-qualifying assets. See “Regulation—Qualifying Assets”. These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Structurally, mezzanine debt, which we define to include second lien secured debt and subordinated debt, usually ranks subordinate in priority of payment to senior secured loans and will generally be unsecured.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orientation and positive cash flow</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investment philosophy places a premium on fundamental analysis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and established financial sponsor relationship</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and defensible competitive market position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and periodically with a goal toward identifying early and, when able and appropriate, selling,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Investment Adviser seeks to achieve our investment objective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Mezzanine debt may have interest-only payments in the early years, payable in cash or PIK payments with amortization of principal deferred to the later years of the mezzanine debt. In some cases, we may enter into mezzanine debt that, by its terms, converts into equity or additional debt securities or defers payments of interest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first few years after our investment. Also, in some cases our mezzanine debt may be collateralized by a subordinated lien on some or all of the assets of the borrower. Typically, our mezzanine debt investments have maturities of three to ten years.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case of our senior secured loan and mezzanine debt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446"/>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Consolidated Portfolio</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We may invest in other industries if we are presented with attractive opportunities. The following is a list of the industries in which we have invested:</w:t>
      </w:r>
    </w:p>
    <w:p>
      <w:pPr>
        <w:sectPr>
          <w:pgSz w:w="11900" w:h="16838" w:orient="portrait"/>
          <w:cols w:equalWidth="0" w:num="1">
            <w:col w:w="11380"/>
          </w:cols>
          <w:pgMar w:left="240" w:top="459" w:right="279" w:bottom="1440" w:gutter="0" w:footer="0" w:header="0"/>
        </w:sectPr>
      </w:pPr>
    </w:p>
    <w:p>
      <w:pPr>
        <w:spacing w:after="0" w:line="147" w:lineRule="exact"/>
        <w:rPr>
          <w:sz w:val="20"/>
          <w:szCs w:val="20"/>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Aerospace and Defense</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Auto Sector</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Cable Television</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Cargo Transportation</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Chemicals, Plastics and Rubber</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Consumer Products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Diversified/Conglomerate Manufacturing</w:t>
      </w:r>
    </w:p>
    <w:p>
      <w:pPr>
        <w:spacing w:after="0" w:line="113" w:lineRule="exact"/>
        <w:rPr>
          <w:rFonts w:ascii="Arial" w:cs="Arial" w:eastAsia="Arial" w:hAnsi="Arial"/>
          <w:sz w:val="16"/>
          <w:szCs w:val="16"/>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Diversified/Conglomerate Services</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760" w:hanging="320"/>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Energy / Utilities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Grocery</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Healthcare, Education and Childcare</w:t>
      </w:r>
    </w:p>
    <w:p>
      <w:pPr>
        <w:spacing w:after="0" w:line="90" w:lineRule="exact"/>
        <w:rPr>
          <w:rFonts w:ascii="Arial" w:cs="Arial" w:eastAsia="Arial" w:hAnsi="Arial"/>
          <w:sz w:val="18"/>
          <w:szCs w:val="18"/>
          <w:color w:val="auto"/>
        </w:rPr>
      </w:pPr>
    </w:p>
    <w:p>
      <w:pPr>
        <w:ind w:left="1300" w:right="100" w:hanging="429"/>
        <w:spacing w:after="0" w:line="268" w:lineRule="auto"/>
        <w:tabs>
          <w:tab w:leader="none" w:pos="11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5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Hotels, Motels, Inns and Gaming</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Leisure, Amusement, Motion Picture, Entertainment</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Logistics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Manufacturing / Basic Industries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Media</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Personal, Food and Miscellaneous Services</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Printing and Publishing</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Retail Store</w:t>
      </w:r>
    </w:p>
    <w:p>
      <w:pPr>
        <w:spacing w:after="0" w:line="90" w:lineRule="exact"/>
        <w:rPr>
          <w:rFonts w:ascii="Arial" w:cs="Arial" w:eastAsia="Arial" w:hAnsi="Arial"/>
          <w:sz w:val="18"/>
          <w:szCs w:val="18"/>
          <w:color w:val="auto"/>
        </w:rPr>
      </w:pPr>
    </w:p>
    <w:p>
      <w:pPr>
        <w:ind w:left="1200" w:hanging="329"/>
        <w:spacing w:after="0"/>
        <w:tabs>
          <w:tab w:leader="none" w:pos="12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Telecommunications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4900" w:space="720"/>
            <w:col w:w="5760"/>
          </w:cols>
          <w:pgMar w:left="240" w:top="459" w:right="27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400" w:type="dxa"/>
            <w:vAlign w:val="bottom"/>
            <w:vMerge w:val="restart"/>
          </w:tcPr>
          <w:p>
            <w:pPr>
              <w:spacing w:after="0"/>
              <w:rPr>
                <w:sz w:val="14"/>
                <w:szCs w:val="14"/>
                <w:color w:val="auto"/>
              </w:rPr>
            </w:pPr>
          </w:p>
        </w:tc>
        <w:tc>
          <w:tcPr>
            <w:tcW w:w="15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3"/>
              </w:rPr>
              <w:t>September 30,</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240" w:type="dxa"/>
            <w:vAlign w:val="bottom"/>
            <w:vMerge w:val="restart"/>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8"/>
        </w:trPr>
        <w:tc>
          <w:tcPr>
            <w:tcW w:w="1180" w:type="dxa"/>
            <w:vAlign w:val="bottom"/>
            <w:tcBorders>
              <w:bottom w:val="single" w:sz="8" w:color="auto"/>
            </w:tcBorders>
            <w:gridSpan w:val="2"/>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840" w:type="dxa"/>
            <w:vAlign w:val="bottom"/>
            <w:gridSpan w:val="2"/>
          </w:tcPr>
          <w:p>
            <w:pPr>
              <w:jc w:val="right"/>
              <w:ind w:right="22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Eureka Hunter Pipeline, LLC (Magnum Hunter</w:t>
            </w: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3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Resources Corporation)</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9"/>
                <w:szCs w:val="19"/>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Last Mile Funding Corp. (3PD,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Veritext Corporation</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gridSpan w:val="3"/>
          </w:tcPr>
          <w:p>
            <w:pPr>
              <w:spacing w:after="0"/>
              <w:rPr>
                <w:sz w:val="20"/>
                <w:szCs w:val="20"/>
                <w:color w:val="auto"/>
              </w:rPr>
            </w:pPr>
            <w:r>
              <w:rPr>
                <w:rFonts w:ascii="Arial" w:cs="Arial" w:eastAsia="Arial" w:hAnsi="Arial"/>
                <w:sz w:val="18"/>
                <w:szCs w:val="18"/>
                <w:color w:val="auto"/>
              </w:rPr>
              <w:t>Kadmon Pharmaceuticals LLC (f/k/a Three River</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ind w:left="220"/>
              <w:spacing w:after="0"/>
              <w:rPr>
                <w:sz w:val="20"/>
                <w:szCs w:val="20"/>
                <w:color w:val="auto"/>
              </w:rPr>
            </w:pPr>
            <w:r>
              <w:rPr>
                <w:rFonts w:ascii="Arial" w:cs="Arial" w:eastAsia="Arial" w:hAnsi="Arial"/>
                <w:sz w:val="18"/>
                <w:szCs w:val="18"/>
                <w:color w:val="auto"/>
              </w:rPr>
              <w:t>Pharmaceuticals LLC)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Da-Lite Screen Company,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LTI Flexible Products,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Instant Web,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Veritext Corporation</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Saint Acquisition Corp.</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Instant Web,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Sugarhouse HSP Gaming Properties</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Three Rivers Pharmaceutical, L.L.C.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Prince Mineral Holdings Corp.</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Trizetto Group,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Industry</w:t>
            </w:r>
          </w:p>
        </w:tc>
        <w:tc>
          <w:tcPr>
            <w:tcW w:w="4040" w:type="dxa"/>
            <w:vAlign w:val="bottom"/>
            <w:gridSpan w:val="2"/>
            <w:vMerge w:val="restart"/>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Industry</w:t>
            </w:r>
          </w:p>
        </w:tc>
        <w:tc>
          <w:tcPr>
            <w:tcW w:w="3840" w:type="dxa"/>
            <w:vAlign w:val="bottom"/>
            <w:gridSpan w:val="2"/>
            <w:vMerge w:val="restart"/>
          </w:tcPr>
          <w:p>
            <w:pPr>
              <w:spacing w:after="0"/>
              <w:rPr>
                <w:sz w:val="24"/>
                <w:szCs w:val="2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4040" w:type="dxa"/>
            <w:vAlign w:val="bottom"/>
            <w:gridSpan w:val="2"/>
            <w:vMerge w:val="continue"/>
          </w:tcPr>
          <w:p>
            <w:pPr>
              <w:spacing w:after="0"/>
              <w:rPr>
                <w:sz w:val="14"/>
                <w:szCs w:val="14"/>
                <w:color w:val="auto"/>
              </w:rPr>
            </w:pPr>
          </w:p>
        </w:tc>
        <w:tc>
          <w:tcPr>
            <w:tcW w:w="840" w:type="dxa"/>
            <w:vAlign w:val="bottom"/>
            <w:gridSpan w:val="2"/>
          </w:tcPr>
          <w:p>
            <w:pPr>
              <w:jc w:val="right"/>
              <w:ind w:right="10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840" w:type="dxa"/>
            <w:vAlign w:val="bottom"/>
            <w:gridSpan w:val="2"/>
            <w:vMerge w:val="continue"/>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Services</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Services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Healthcare, Education &amp; Childcare</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Healthcare, Education and Childcare</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Cargo Transport</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Home and Office Furnishings, Housewares and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80" w:type="dxa"/>
            <w:vAlign w:val="bottom"/>
            <w:gridSpan w:val="3"/>
          </w:tcPr>
          <w:p>
            <w:pPr>
              <w:ind w:left="220"/>
              <w:spacing w:after="0"/>
              <w:rPr>
                <w:sz w:val="20"/>
                <w:szCs w:val="20"/>
                <w:color w:val="auto"/>
              </w:rPr>
            </w:pPr>
            <w:r>
              <w:rPr>
                <w:rFonts w:ascii="Arial" w:cs="Arial" w:eastAsia="Arial" w:hAnsi="Arial"/>
                <w:sz w:val="18"/>
                <w:szCs w:val="18"/>
                <w:color w:val="auto"/>
              </w:rPr>
              <w:t>Durable Consumer Products</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Oil and Gas</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Personal, Food and Miscellaneous Services</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Transportation</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Oil and Gas</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Accordingly, they may have obligations to investors in PennantPark Floating Rate Capital Ltd.,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September 30, 2011, our portfolio consisted of 48 companies and was invested 36% in senior secured loans, 20% in second lien secured debt, 37% in subordinated debt and 7% in preferred and common equity investments.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00"/>
          </w:cols>
          <w:pgMar w:left="240" w:top="459" w:right="3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2011.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2011 Consolidated Financial Statements included elsewhere in this prospectus.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5% or less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SBIC LP) are pledged as collateral under our credit facility. Unless otherwise noted, we held no voting board membership on any of our portfolio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Nature of Business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Companies 5% or Less Owned</w:t>
            </w:r>
          </w:p>
        </w:tc>
        <w:tc>
          <w:tcPr>
            <w:tcW w:w="200" w:type="dxa"/>
            <w:vAlign w:val="bottom"/>
            <w:tcBorders>
              <w:top w:val="single" w:sz="8" w:color="CCEEFF"/>
            </w:tcBorders>
            <w:shd w:val="clear" w:color="auto" w:fill="CCEEFF"/>
          </w:tcPr>
          <w:p>
            <w:pPr>
              <w:spacing w:after="0"/>
              <w:rPr>
                <w:sz w:val="12"/>
                <w:szCs w:val="12"/>
                <w:color w:val="auto"/>
              </w:rPr>
            </w:pPr>
          </w:p>
        </w:tc>
        <w:tc>
          <w:tcPr>
            <w:tcW w:w="3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Affinion Group Holdings,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100 Connecticut Avenue</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Norwalk, CT 06850</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AHC Mezzanine, LLC (Advanstar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Other Media</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Preferred Equity</w:t>
            </w:r>
          </w:p>
        </w:tc>
        <w:tc>
          <w:tcPr>
            <w:tcW w:w="7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 Park Avenue</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American Surgical Holdings, Inc. (AH Holdings, Inc.)</w:t>
            </w: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10039 Bissonnet Street, Suite 250</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7"/>
              </w:rPr>
              <w:t>Healthcare, Education and Childcare</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vMerge w:val="restart"/>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280" w:type="dxa"/>
            <w:vAlign w:val="bottom"/>
            <w:gridSpan w:val="3"/>
            <w:vMerge w:val="restart"/>
          </w:tcPr>
          <w:p>
            <w:pPr>
              <w:spacing w:after="0"/>
              <w:rPr>
                <w:sz w:val="20"/>
                <w:szCs w:val="20"/>
                <w:color w:val="auto"/>
              </w:rPr>
            </w:pPr>
            <w:r>
              <w:rPr>
                <w:rFonts w:ascii="Arial" w:cs="Arial" w:eastAsia="Arial" w:hAnsi="Arial"/>
                <w:sz w:val="14"/>
                <w:szCs w:val="14"/>
                <w:color w:val="auto"/>
              </w:rPr>
              <w:t>Houston, TX 77036-7852</w:t>
            </w:r>
          </w:p>
        </w:tc>
        <w:tc>
          <w:tcPr>
            <w:tcW w:w="3920" w:type="dxa"/>
            <w:vAlign w:val="bottom"/>
            <w:gridSpan w:val="2"/>
            <w:vMerge w:val="continue"/>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280" w:type="dxa"/>
            <w:vAlign w:val="bottom"/>
            <w:gridSpan w:val="3"/>
            <w:vMerge w:val="continue"/>
          </w:tcPr>
          <w:p>
            <w:pPr>
              <w:spacing w:after="0"/>
              <w:rPr>
                <w:sz w:val="10"/>
                <w:szCs w:val="10"/>
                <w:color w:val="auto"/>
              </w:rPr>
            </w:pPr>
          </w:p>
        </w:tc>
        <w:tc>
          <w:tcPr>
            <w:tcW w:w="3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86"/>
              </w:rPr>
              <w:t>Preferred Equity</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4"/>
              </w:rPr>
              <w:t>Warrants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Aquilex Holdings, LLC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Diversified / Conglomerate Services</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5"/>
              </w:rPr>
              <w:t>Subordinated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3344 Peachtree Roads NE, Suite 2100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30326</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Brand Energy and Infrastructure</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Energy / Utilities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Services, Inc.</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2502 South Main Street</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Kennesaw, GA 30144</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CEA Autumn Management, LLC</w:t>
            </w:r>
          </w:p>
        </w:tc>
        <w:tc>
          <w:tcPr>
            <w:tcW w:w="392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Broadcasting and Entertainment</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Common Equity</w:t>
            </w:r>
          </w:p>
        </w:tc>
        <w:tc>
          <w:tcPr>
            <w:tcW w:w="7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 Thompson St.</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CEVA Group PLC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Logistics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25 St. George Street</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London W1S 1FS</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United Kingdom</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280" w:type="dxa"/>
            <w:vAlign w:val="bottom"/>
            <w:gridSpan w:val="3"/>
          </w:tcPr>
          <w:p>
            <w:pPr>
              <w:spacing w:after="0"/>
              <w:rPr>
                <w:sz w:val="20"/>
                <w:szCs w:val="20"/>
                <w:color w:val="auto"/>
              </w:rPr>
            </w:pPr>
            <w:r>
              <w:rPr>
                <w:rFonts w:ascii="Arial" w:cs="Arial" w:eastAsia="Arial" w:hAnsi="Arial"/>
                <w:sz w:val="14"/>
                <w:szCs w:val="14"/>
                <w:color w:val="auto"/>
              </w:rPr>
              <w:t>Chester Downs and Marina, LLC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Hotels, Motels, Inns and Gaming</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777 Harrah’s Blvd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Chester, PA 19103</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Nature of Business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Columbus International, Inc.</w:t>
            </w:r>
          </w:p>
        </w:tc>
        <w:tc>
          <w:tcPr>
            <w:tcW w:w="200" w:type="dxa"/>
            <w:vAlign w:val="bottom"/>
            <w:tcBorders>
              <w:top w:val="single" w:sz="8" w:color="CCEEFF"/>
            </w:tcBorders>
            <w:shd w:val="clear" w:color="auto" w:fill="CCEEFF"/>
          </w:tcPr>
          <w:p>
            <w:pPr>
              <w:spacing w:after="0"/>
              <w:rPr>
                <w:sz w:val="11"/>
                <w:szCs w:val="11"/>
                <w:color w:val="auto"/>
              </w:rPr>
            </w:pPr>
          </w:p>
        </w:tc>
        <w:tc>
          <w:tcPr>
            <w:tcW w:w="37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Communications</w:t>
            </w:r>
          </w:p>
        </w:tc>
        <w:tc>
          <w:tcPr>
            <w:tcW w:w="200" w:type="dxa"/>
            <w:vAlign w:val="bottom"/>
            <w:tcBorders>
              <w:top w:val="single" w:sz="8" w:color="CCEEFF"/>
            </w:tcBorders>
            <w:shd w:val="clear" w:color="auto" w:fill="CCEEFF"/>
          </w:tcPr>
          <w:p>
            <w:pPr>
              <w:spacing w:after="0"/>
              <w:rPr>
                <w:sz w:val="11"/>
                <w:szCs w:val="11"/>
                <w:color w:val="auto"/>
              </w:rPr>
            </w:pPr>
          </w:p>
        </w:tc>
        <w:tc>
          <w:tcPr>
            <w:tcW w:w="22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First Lien Secured Debt</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293"/>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Suite 205-207 Dowell House Cr.</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Roebuck &amp; Palmetto Sts.</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Bridgetown, Barbados, West Indies</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Consolidated Foundries, Inc. (CFHC Holdings, Inc.)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5"/>
              </w:rPr>
              <w:t>Aerospace and Defense</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8"/>
              </w:rPr>
              <w:t>Subordinated Debt Preferred Equity</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2"/>
        </w:trPr>
        <w:tc>
          <w:tcPr>
            <w:tcW w:w="4280" w:type="dxa"/>
            <w:vAlign w:val="bottom"/>
            <w:gridSpan w:val="3"/>
          </w:tcPr>
          <w:p>
            <w:pPr>
              <w:spacing w:after="0" w:line="133" w:lineRule="exact"/>
              <w:rPr>
                <w:sz w:val="20"/>
                <w:szCs w:val="20"/>
                <w:color w:val="auto"/>
              </w:rPr>
            </w:pPr>
            <w:r>
              <w:rPr>
                <w:rFonts w:ascii="Arial" w:cs="Arial" w:eastAsia="Arial" w:hAnsi="Arial"/>
                <w:sz w:val="14"/>
                <w:szCs w:val="14"/>
                <w:color w:val="auto"/>
              </w:rPr>
              <w:t>4200 Valley Blvd.</w:t>
            </w:r>
          </w:p>
        </w:tc>
        <w:tc>
          <w:tcPr>
            <w:tcW w:w="3920" w:type="dxa"/>
            <w:vAlign w:val="bottom"/>
            <w:gridSpan w:val="2"/>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280" w:type="dxa"/>
            <w:vAlign w:val="bottom"/>
            <w:gridSpan w:val="3"/>
          </w:tcPr>
          <w:p>
            <w:pPr>
              <w:spacing w:after="0"/>
              <w:rPr>
                <w:sz w:val="20"/>
                <w:szCs w:val="20"/>
                <w:color w:val="auto"/>
              </w:rPr>
            </w:pPr>
            <w:r>
              <w:rPr>
                <w:rFonts w:ascii="Arial" w:cs="Arial" w:eastAsia="Arial" w:hAnsi="Arial"/>
                <w:sz w:val="14"/>
                <w:szCs w:val="14"/>
                <w:color w:val="auto"/>
              </w:rPr>
              <w:t>Pomona, CA 91766</w:t>
            </w: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Covad Communications Group,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Telecommunications</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2220 O’Toole Avenue</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Jose, CA 95131</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CT Technologies Intermediate Holdings,</w:t>
            </w: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LLC (CT Technologies Intermediate Holdings, Inc.)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3"/>
              </w:rPr>
              <w:t>Business Services</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875 North Michigan Avenue</w:t>
            </w:r>
          </w:p>
        </w:tc>
        <w:tc>
          <w:tcPr>
            <w:tcW w:w="392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Chicago, IL 60601</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DirectBuy Holdings, Inc. (DirectBuy Investors, L.P.)</w:t>
            </w:r>
          </w:p>
        </w:tc>
        <w:tc>
          <w:tcPr>
            <w:tcW w:w="39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8450 Broadway</w:t>
            </w:r>
          </w:p>
        </w:tc>
        <w:tc>
          <w:tcPr>
            <w:tcW w:w="3920" w:type="dxa"/>
            <w:vAlign w:val="bottom"/>
            <w:gridSpan w:val="2"/>
            <w:vMerge w:val="continue"/>
            <w:shd w:val="clear" w:color="auto" w:fill="CCEEFF"/>
          </w:tcPr>
          <w:p>
            <w:pPr>
              <w:spacing w:after="0"/>
              <w:rPr>
                <w:sz w:val="11"/>
                <w:szCs w:val="11"/>
                <w:color w:val="auto"/>
              </w:rPr>
            </w:pPr>
          </w:p>
        </w:tc>
        <w:tc>
          <w:tcPr>
            <w:tcW w:w="246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Merrillville, IN 46410</w:t>
            </w:r>
          </w:p>
        </w:tc>
        <w:tc>
          <w:tcPr>
            <w:tcW w:w="3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7"/>
              </w:rPr>
              <w:t>Common Stock</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Diversitech Corporation</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Manufacturing/Basic Industry</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6650 Sugarloaf Parkway, Suite 100,</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Duluth, GA 30097</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Eureka Hunter Pipeline, LLC (Magnum Hunter Resources Corporation)</w:t>
            </w:r>
          </w:p>
        </w:tc>
        <w:tc>
          <w:tcPr>
            <w:tcW w:w="392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9"/>
              </w:rPr>
              <w:t>Energy/Utilities Oil and Gas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777 Post Oak Blvd., Suite 650</w:t>
            </w:r>
          </w:p>
        </w:tc>
        <w:tc>
          <w:tcPr>
            <w:tcW w:w="3920" w:type="dxa"/>
            <w:vAlign w:val="bottom"/>
            <w:gridSpan w:val="2"/>
            <w:vMerge w:val="continue"/>
            <w:shd w:val="clear" w:color="auto" w:fill="CCEEFF"/>
          </w:tcPr>
          <w:p>
            <w:pPr>
              <w:spacing w:after="0"/>
              <w:rPr>
                <w:sz w:val="11"/>
                <w:szCs w:val="11"/>
                <w:color w:val="auto"/>
              </w:rPr>
            </w:pPr>
          </w:p>
        </w:tc>
        <w:tc>
          <w:tcPr>
            <w:tcW w:w="246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3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7"/>
              </w:rPr>
              <w:t>Common Equity Warrants</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Escort,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Electronics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5440 West Chester Road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West Chester, OH 45069-2950</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Good Sam Enterprises, LLC (f/k/a Affinity Group Holdings Inc.)</w:t>
            </w:r>
          </w:p>
        </w:tc>
        <w:tc>
          <w:tcPr>
            <w:tcW w:w="39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vMerge w:val="restart"/>
            <w:shd w:val="clear" w:color="auto" w:fill="CCEEFF"/>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2575 Vista Del Mar Drive</w:t>
            </w:r>
          </w:p>
        </w:tc>
        <w:tc>
          <w:tcPr>
            <w:tcW w:w="3920" w:type="dxa"/>
            <w:vAlign w:val="bottom"/>
            <w:gridSpan w:val="2"/>
            <w:vMerge w:val="continue"/>
            <w:shd w:val="clear" w:color="auto" w:fill="CCEEFF"/>
          </w:tcPr>
          <w:p>
            <w:pPr>
              <w:spacing w:after="0"/>
              <w:rPr>
                <w:sz w:val="12"/>
                <w:szCs w:val="12"/>
                <w:color w:val="auto"/>
              </w:rPr>
            </w:pPr>
          </w:p>
        </w:tc>
        <w:tc>
          <w:tcPr>
            <w:tcW w:w="2460" w:type="dxa"/>
            <w:vAlign w:val="bottom"/>
            <w:gridSpan w:val="2"/>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Ventura, CA 93001</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w w:val="96"/>
              </w:rPr>
              <w:t>Greatwide Logistics Services, L.L.C. (Transportation 100 HoldCo, LLC)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6"/>
              </w:rPr>
              <w:t>Cargo Transport</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2"/>
        </w:trPr>
        <w:tc>
          <w:tcPr>
            <w:tcW w:w="4280" w:type="dxa"/>
            <w:vAlign w:val="bottom"/>
            <w:gridSpan w:val="3"/>
          </w:tcPr>
          <w:p>
            <w:pPr>
              <w:spacing w:after="0" w:line="133" w:lineRule="exact"/>
              <w:rPr>
                <w:sz w:val="20"/>
                <w:szCs w:val="20"/>
                <w:color w:val="auto"/>
              </w:rPr>
            </w:pPr>
            <w:r>
              <w:rPr>
                <w:rFonts w:ascii="Arial" w:cs="Arial" w:eastAsia="Arial" w:hAnsi="Arial"/>
                <w:sz w:val="14"/>
                <w:szCs w:val="14"/>
                <w:color w:val="auto"/>
              </w:rPr>
              <w:t>12404 Park Central Dr., Ste. 300s</w:t>
            </w:r>
          </w:p>
        </w:tc>
        <w:tc>
          <w:tcPr>
            <w:tcW w:w="3920" w:type="dxa"/>
            <w:vAlign w:val="bottom"/>
            <w:gridSpan w:val="2"/>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280" w:type="dxa"/>
            <w:vAlign w:val="bottom"/>
            <w:gridSpan w:val="3"/>
          </w:tcPr>
          <w:p>
            <w:pPr>
              <w:spacing w:after="0"/>
              <w:rPr>
                <w:sz w:val="20"/>
                <w:szCs w:val="20"/>
                <w:color w:val="auto"/>
              </w:rPr>
            </w:pPr>
            <w:r>
              <w:rPr>
                <w:rFonts w:ascii="Arial" w:cs="Arial" w:eastAsia="Arial" w:hAnsi="Arial"/>
                <w:sz w:val="14"/>
                <w:szCs w:val="14"/>
                <w:color w:val="auto"/>
              </w:rPr>
              <w:t>Dallas, TX 75251</w:t>
            </w: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Hanley-Wood, L.L.C.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Other Media</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St 600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Instant Web,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Printing and Publishing</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7951 Powers Boulevard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Chanhassen, MN 55317</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Interactive Health Solutions,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Healthcare, Education and Childcare</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3800 North Wilke Road, Suite 155,</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Heights, IL 60004</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Jacuzzi Brands Corp.</w:t>
            </w:r>
          </w:p>
        </w:tc>
        <w:tc>
          <w:tcPr>
            <w:tcW w:w="39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Home and Office Furnishings, Housewares and Durable Consumer</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777 S. Flagler Drive, Suite 1100</w:t>
            </w:r>
          </w:p>
        </w:tc>
        <w:tc>
          <w:tcPr>
            <w:tcW w:w="3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Products</w:t>
            </w: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West Palm Beach, FL 33401</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K2 Pure Solutions NoCal, L.P.</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6"/>
              </w:rPr>
              <w:t>Chemicals, Plastics and Rubber</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Suite 290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Address of Portfolio Company</w:t>
      </w:r>
    </w:p>
    <w:p>
      <w:pPr>
        <w:spacing w:after="0" w:line="17" w:lineRule="exact"/>
        <w:rPr>
          <w:sz w:val="20"/>
          <w:szCs w:val="20"/>
          <w:color w:val="auto"/>
        </w:rPr>
      </w:pPr>
    </w:p>
    <w:p>
      <w:pPr>
        <w:ind w:left="220" w:right="580" w:hanging="215"/>
        <w:spacing w:after="0" w:line="230" w:lineRule="auto"/>
        <w:rPr>
          <w:sz w:val="20"/>
          <w:szCs w:val="20"/>
          <w:color w:val="auto"/>
        </w:rPr>
      </w:pPr>
      <w:r>
        <w:rPr>
          <w:rFonts w:ascii="Arial" w:cs="Arial" w:eastAsia="Arial" w:hAnsi="Arial"/>
          <w:sz w:val="14"/>
          <w:szCs w:val="14"/>
          <w:color w:val="auto"/>
        </w:rPr>
        <w:t>Kadmon Pharmaceuticals, L.L.C. (f/k/a Three Rivers Pharmaceuticals, L.L.C.)</w:t>
      </w:r>
    </w:p>
    <w:p>
      <w:pPr>
        <w:spacing w:after="0" w:line="222" w:lineRule="auto"/>
        <w:rPr>
          <w:sz w:val="20"/>
          <w:szCs w:val="20"/>
          <w:color w:val="auto"/>
        </w:rPr>
      </w:pPr>
      <w:r>
        <w:rPr>
          <w:rFonts w:ascii="Arial" w:cs="Arial" w:eastAsia="Arial" w:hAnsi="Arial"/>
          <w:sz w:val="14"/>
          <w:szCs w:val="14"/>
          <w:color w:val="auto"/>
        </w:rPr>
        <w:t>Alexandria Center for Life Sciences</w:t>
      </w:r>
    </w:p>
    <w:p>
      <w:pPr>
        <w:spacing w:after="0" w:line="182" w:lineRule="auto"/>
        <w:rPr>
          <w:sz w:val="20"/>
          <w:szCs w:val="20"/>
          <w:color w:val="auto"/>
        </w:rPr>
      </w:pPr>
      <w:r>
        <w:rPr>
          <w:rFonts w:ascii="Arial" w:cs="Arial" w:eastAsia="Arial" w:hAnsi="Arial"/>
          <w:sz w:val="11"/>
          <w:szCs w:val="11"/>
          <w:color w:val="auto"/>
        </w:rPr>
        <w:t>450 East 29</w:t>
      </w:r>
      <w:r>
        <w:rPr>
          <w:rFonts w:ascii="Arial" w:cs="Arial" w:eastAsia="Arial" w:hAnsi="Arial"/>
          <w:sz w:val="17"/>
          <w:szCs w:val="17"/>
          <w:color w:val="auto"/>
          <w:vertAlign w:val="superscript"/>
        </w:rPr>
        <w:t>th</w:t>
      </w:r>
      <w:r>
        <w:rPr>
          <w:rFonts w:ascii="Arial" w:cs="Arial" w:eastAsia="Arial" w:hAnsi="Arial"/>
          <w:sz w:val="11"/>
          <w:szCs w:val="11"/>
          <w:color w:val="auto"/>
        </w:rPr>
        <w:t xml:space="preserve"> Street, 5</w:t>
      </w:r>
      <w:r>
        <w:rPr>
          <w:rFonts w:ascii="Arial" w:cs="Arial" w:eastAsia="Arial" w:hAnsi="Arial"/>
          <w:sz w:val="17"/>
          <w:szCs w:val="17"/>
          <w:color w:val="auto"/>
          <w:vertAlign w:val="superscript"/>
        </w:rPr>
        <w:t>th</w:t>
      </w:r>
      <w:r>
        <w:rPr>
          <w:rFonts w:ascii="Arial" w:cs="Arial" w:eastAsia="Arial" w:hAnsi="Arial"/>
          <w:sz w:val="11"/>
          <w:szCs w:val="11"/>
          <w:color w:val="auto"/>
        </w:rPr>
        <w:t xml:space="preserve"> Floor</w:t>
      </w:r>
    </w:p>
    <w:p>
      <w:pPr>
        <w:spacing w:after="0"/>
        <w:rPr>
          <w:sz w:val="20"/>
          <w:szCs w:val="20"/>
          <w:color w:val="auto"/>
        </w:rPr>
      </w:pPr>
      <w:r>
        <w:rPr>
          <w:rFonts w:ascii="Arial" w:cs="Arial" w:eastAsia="Arial" w:hAnsi="Arial"/>
          <w:sz w:val="14"/>
          <w:szCs w:val="14"/>
          <w:color w:val="auto"/>
        </w:rPr>
        <w:t>New York, NY 10016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r>
      <w:tr>
        <w:trPr>
          <w:trHeight w:val="134"/>
        </w:trPr>
        <w:tc>
          <w:tcPr>
            <w:tcW w:w="3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r>
      <w:tr>
        <w:trPr>
          <w:trHeight w:val="176"/>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7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r>
      <w:tr>
        <w:trPr>
          <w:trHeight w:val="334"/>
        </w:trPr>
        <w:tc>
          <w:tcPr>
            <w:tcW w:w="4040" w:type="dxa"/>
            <w:vAlign w:val="bottom"/>
            <w:gridSpan w:val="2"/>
          </w:tcPr>
          <w:p>
            <w:pPr>
              <w:jc w:val="center"/>
              <w:ind w:right="420"/>
              <w:spacing w:after="0"/>
              <w:rPr>
                <w:sz w:val="20"/>
                <w:szCs w:val="20"/>
                <w:color w:val="auto"/>
              </w:rPr>
            </w:pPr>
            <w:r>
              <w:rPr>
                <w:rFonts w:ascii="Arial" w:cs="Arial" w:eastAsia="Arial" w:hAnsi="Arial"/>
                <w:sz w:val="14"/>
                <w:szCs w:val="14"/>
                <w:color w:val="auto"/>
                <w:w w:val="86"/>
              </w:rPr>
              <w:t>Healthcare, Education and Childcare</w:t>
            </w:r>
          </w:p>
        </w:tc>
        <w:tc>
          <w:tcPr>
            <w:tcW w:w="244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rPr>
                <w:sz w:val="20"/>
                <w:szCs w:val="20"/>
                <w:color w:val="auto"/>
              </w:rPr>
            </w:pPr>
            <w:r>
              <w:rPr>
                <w:rFonts w:ascii="Arial" w:cs="Arial" w:eastAsia="Arial" w:hAnsi="Arial"/>
                <w:sz w:val="14"/>
                <w:szCs w:val="14"/>
                <w:color w:val="auto"/>
                <w:w w:val="87"/>
              </w:rPr>
              <w:t>2.5%</w:t>
            </w:r>
          </w:p>
        </w:tc>
      </w:tr>
      <w:tr>
        <w:trPr>
          <w:trHeight w:val="172"/>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4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-333375</wp:posOffset>
            </wp:positionV>
            <wp:extent cx="7246620" cy="4889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48895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3460" w:space="720"/>
            <w:col w:w="72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Arial" w:cs="Arial" w:eastAsia="Arial" w:hAnsi="Arial"/>
                <w:sz w:val="14"/>
                <w:szCs w:val="14"/>
                <w:color w:val="auto"/>
              </w:rPr>
              <w:t>Last Mile Funding, Corp. (3PD, Inc.)</w:t>
            </w:r>
          </w:p>
        </w:tc>
        <w:tc>
          <w:tcPr>
            <w:tcW w:w="3800" w:type="dxa"/>
            <w:vAlign w:val="bottom"/>
          </w:tcPr>
          <w:p>
            <w:pPr>
              <w:jc w:val="center"/>
              <w:ind w:left="12"/>
              <w:spacing w:after="0"/>
              <w:rPr>
                <w:sz w:val="20"/>
                <w:szCs w:val="20"/>
                <w:color w:val="auto"/>
              </w:rPr>
            </w:pPr>
            <w:r>
              <w:rPr>
                <w:rFonts w:ascii="Arial" w:cs="Arial" w:eastAsia="Arial" w:hAnsi="Arial"/>
                <w:sz w:val="14"/>
                <w:szCs w:val="14"/>
                <w:color w:val="auto"/>
                <w:w w:val="86"/>
              </w:rPr>
              <w:t>Cargo Transport</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68 South Service Road, Suite 120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Melville, NY 11747</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Learning Care Group (US),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Education</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8"/>
              </w:rPr>
              <w:t>First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21333 Haggerty Road, Suite 300</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Novi, MI 48375</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jc w:val="center"/>
              <w:ind w:left="92"/>
              <w:spacing w:after="0"/>
              <w:rPr>
                <w:sz w:val="20"/>
                <w:szCs w:val="20"/>
                <w:color w:val="auto"/>
              </w:rPr>
            </w:pPr>
            <w:r>
              <w:rPr>
                <w:rFonts w:ascii="Arial" w:cs="Arial" w:eastAsia="Arial" w:hAnsi="Arial"/>
                <w:sz w:val="14"/>
                <w:szCs w:val="14"/>
                <w:color w:val="auto"/>
                <w:w w:val="84"/>
              </w:rPr>
              <w:t>Warrants</w:t>
            </w: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LTI Flexible Products,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7"/>
              </w:rPr>
              <w:t>Chemical, Plastic and Rubber</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600 S. McClure Road,</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Stanislaus County, CA 95357</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MailSouth,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Printing and Publishing</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MedQuist,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5"/>
              </w:rPr>
              <w:t>Business Services</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1000 Bishops Gate Blvd., Suite 300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Mt. Laurel, NJ 08054</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4"/>
                <w:szCs w:val="14"/>
                <w:color w:val="auto"/>
              </w:rPr>
              <w:t>PAS Technologies, Inc. (PAS Tech Holdings, Inc.)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1234 Atlantic Street</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83"/>
              </w:rPr>
              <w:t>Aerospace and Defense</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North Kansas City, MO 64116</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112"/>
              <w:spacing w:after="0" w:line="149" w:lineRule="exact"/>
              <w:rPr>
                <w:sz w:val="20"/>
                <w:szCs w:val="20"/>
                <w:color w:val="auto"/>
              </w:rPr>
            </w:pPr>
            <w:r>
              <w:rPr>
                <w:rFonts w:ascii="Arial" w:cs="Arial" w:eastAsia="Arial" w:hAnsi="Arial"/>
                <w:sz w:val="14"/>
                <w:szCs w:val="14"/>
                <w:color w:val="auto"/>
                <w:w w:val="88"/>
              </w:rPr>
              <w:t>Preferred Equity</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0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38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0"/>
              </w:rPr>
              <w:t>Other Media</w:t>
            </w:r>
          </w:p>
        </w:tc>
        <w:tc>
          <w:tcPr>
            <w:tcW w:w="2560" w:type="dxa"/>
            <w:vAlign w:val="bottom"/>
            <w:shd w:val="clear" w:color="auto" w:fill="CCEEFF"/>
          </w:tcPr>
          <w:p>
            <w:pPr>
              <w:jc w:val="center"/>
              <w:ind w:left="112"/>
              <w:spacing w:after="0" w:line="122" w:lineRule="exact"/>
              <w:rPr>
                <w:sz w:val="20"/>
                <w:szCs w:val="20"/>
                <w:color w:val="auto"/>
              </w:rPr>
            </w:pPr>
            <w:r>
              <w:rPr>
                <w:rFonts w:ascii="Arial" w:cs="Arial" w:eastAsia="Arial" w:hAnsi="Arial"/>
                <w:sz w:val="14"/>
                <w:szCs w:val="14"/>
                <w:color w:val="auto"/>
                <w:w w:val="88"/>
              </w:rPr>
              <w:t>First Lien Secured Debt</w:t>
            </w:r>
          </w:p>
        </w:tc>
        <w:tc>
          <w:tcPr>
            <w:tcW w:w="1000" w:type="dxa"/>
            <w:vAlign w:val="bottom"/>
            <w:shd w:val="clear" w:color="auto" w:fill="CCEEFF"/>
          </w:tcPr>
          <w:p>
            <w:pPr>
              <w:jc w:val="right"/>
              <w:ind w:right="292"/>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4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8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Pre-Paid Legal Services, Inc. (MidOcean PPL Holdings, Inc.)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One Pre-Paid Way</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85"/>
              </w:rPr>
              <w:t>Personal, Food and Miscellaneous Services</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8"/>
              </w:rPr>
              <w:t>First Lien Secured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Ada, OK 74820</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Prince Mineral Holdings Corp.</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Mining, Steel, Iron and Non-Precious Metals</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 East 44th Street</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10020</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Questex Media Group LLC (QMG HoldCo, LLC)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90"/>
              </w:rPr>
              <w:t>Other Media</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8"/>
              </w:rPr>
              <w:t>First Lien Secured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Newton, MA 02466</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92"/>
              <w:spacing w:after="0" w:line="149"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4"/>
                <w:szCs w:val="14"/>
                <w:color w:val="auto"/>
              </w:rPr>
              <w:t>RAM Energy Resources,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9"/>
              </w:rPr>
              <w:t>Oil and Gas</w:t>
            </w:r>
          </w:p>
        </w:tc>
        <w:tc>
          <w:tcPr>
            <w:tcW w:w="2560" w:type="dxa"/>
            <w:vAlign w:val="bottom"/>
          </w:tcPr>
          <w:p>
            <w:pPr>
              <w:jc w:val="center"/>
              <w:ind w:left="92"/>
              <w:spacing w:after="0"/>
              <w:rPr>
                <w:sz w:val="20"/>
                <w:szCs w:val="20"/>
                <w:color w:val="auto"/>
              </w:rPr>
            </w:pPr>
            <w:r>
              <w:rPr>
                <w:rFonts w:ascii="Arial" w:cs="Arial" w:eastAsia="Arial" w:hAnsi="Arial"/>
                <w:sz w:val="14"/>
                <w:szCs w:val="14"/>
                <w:color w:val="auto"/>
                <w:w w:val="86"/>
              </w:rPr>
              <w:t>Second Lien Secured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5100 East Skelly Drive, Suite 650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Tulsa, OK 74135</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Realogy Corp.</w:t>
            </w:r>
          </w:p>
        </w:tc>
        <w:tc>
          <w:tcPr>
            <w:tcW w:w="3800" w:type="dxa"/>
            <w:vAlign w:val="bottom"/>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87"/>
              </w:rPr>
              <w:t>Buildings and Real Estate</w:t>
            </w:r>
          </w:p>
        </w:tc>
        <w:tc>
          <w:tcPr>
            <w:tcW w:w="2560" w:type="dxa"/>
            <w:vAlign w:val="bottom"/>
            <w:shd w:val="clear" w:color="auto" w:fill="CCEEFF"/>
          </w:tcPr>
          <w:p>
            <w:pPr>
              <w:jc w:val="center"/>
              <w:ind w:left="92"/>
              <w:spacing w:after="0" w:line="138"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Campus Drive</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Parsippany, NJ 07054</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ROC Finance LLC and ROC Finance 1</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ind w:left="120"/>
              <w:spacing w:after="0" w:line="149" w:lineRule="exact"/>
              <w:rPr>
                <w:sz w:val="20"/>
                <w:szCs w:val="20"/>
                <w:color w:val="auto"/>
              </w:rPr>
            </w:pPr>
            <w:r>
              <w:rPr>
                <w:rFonts w:ascii="Arial" w:cs="Arial" w:eastAsia="Arial" w:hAnsi="Arial"/>
                <w:sz w:val="14"/>
                <w:szCs w:val="14"/>
                <w:color w:val="auto"/>
              </w:rPr>
              <w:t>Corp.</w:t>
            </w:r>
          </w:p>
        </w:tc>
        <w:tc>
          <w:tcPr>
            <w:tcW w:w="380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2560" w:type="dxa"/>
            <w:vAlign w:val="bottom"/>
          </w:tcPr>
          <w:p>
            <w:pPr>
              <w:jc w:val="center"/>
              <w:ind w:left="92"/>
              <w:spacing w:after="0" w:line="149"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One Campus Maritus, 1086 Woodward Avenue,</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Detroit, MI 48226</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 Childcare</w:t>
            </w:r>
          </w:p>
        </w:tc>
        <w:tc>
          <w:tcPr>
            <w:tcW w:w="2560" w:type="dxa"/>
            <w:vAlign w:val="bottom"/>
            <w:shd w:val="clear" w:color="auto" w:fill="CCEEFF"/>
          </w:tcPr>
          <w:p>
            <w:pPr>
              <w:jc w:val="center"/>
              <w:ind w:left="92"/>
              <w:spacing w:after="0" w:line="138"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1613 N. Harrison Parkway, Suite 200</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Sunrise, FL 33323</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Nature of Business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2"/>
                <w:szCs w:val="12"/>
                <w:color w:val="auto"/>
              </w:rPr>
              <w:t>TRAK Acquisition Corp.</w:t>
            </w:r>
          </w:p>
        </w:tc>
        <w:tc>
          <w:tcPr>
            <w:tcW w:w="300" w:type="dxa"/>
            <w:vAlign w:val="bottom"/>
            <w:tcBorders>
              <w:top w:val="single" w:sz="8" w:color="CCEEFF"/>
            </w:tcBorders>
            <w:shd w:val="clear" w:color="auto" w:fill="CCEEFF"/>
          </w:tcPr>
          <w:p>
            <w:pPr>
              <w:spacing w:after="0"/>
              <w:rPr>
                <w:sz w:val="10"/>
                <w:szCs w:val="10"/>
                <w:color w:val="auto"/>
              </w:rPr>
            </w:pPr>
          </w:p>
        </w:tc>
        <w:tc>
          <w:tcPr>
            <w:tcW w:w="36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w w:val="97"/>
              </w:rPr>
              <w:t>Business Services</w:t>
            </w:r>
          </w:p>
        </w:tc>
        <w:tc>
          <w:tcPr>
            <w:tcW w:w="300" w:type="dxa"/>
            <w:vAlign w:val="bottom"/>
            <w:tcBorders>
              <w:top w:val="single" w:sz="8" w:color="CCEEFF"/>
            </w:tcBorders>
            <w:shd w:val="clear" w:color="auto" w:fill="CCEEFF"/>
          </w:tcPr>
          <w:p>
            <w:pPr>
              <w:spacing w:after="0"/>
              <w:rPr>
                <w:sz w:val="10"/>
                <w:szCs w:val="10"/>
                <w:color w:val="auto"/>
              </w:rPr>
            </w:pPr>
          </w:p>
        </w:tc>
        <w:tc>
          <w:tcPr>
            <w:tcW w:w="21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rPr>
              <w:t>Subordinated Debt</w:t>
            </w:r>
          </w:p>
        </w:tc>
        <w:tc>
          <w:tcPr>
            <w:tcW w:w="3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ind w:right="296"/>
              <w:spacing w:after="0" w:line="11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1001 Brickell Bay Drive, 27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84"/>
              </w:rPr>
              <w:t>Warrants</w:t>
            </w: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Miami, FL 33131</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340" w:type="dxa"/>
            <w:vAlign w:val="bottom"/>
            <w:gridSpan w:val="3"/>
          </w:tcPr>
          <w:p>
            <w:pPr>
              <w:spacing w:after="0"/>
              <w:rPr>
                <w:sz w:val="20"/>
                <w:szCs w:val="20"/>
                <w:color w:val="auto"/>
              </w:rPr>
            </w:pPr>
            <w:r>
              <w:rPr>
                <w:rFonts w:ascii="Arial" w:cs="Arial" w:eastAsia="Arial" w:hAnsi="Arial"/>
                <w:sz w:val="14"/>
                <w:szCs w:val="14"/>
                <w:color w:val="auto"/>
              </w:rPr>
              <w:t>TransFirst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Financial Services</w:t>
            </w: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jc w:val="right"/>
              <w:ind w:right="29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5950 Berkshire Lane, Suite 1100</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Dallas, TX 75225</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(Trizetto Group, Inc.)</w:t>
            </w:r>
          </w:p>
        </w:tc>
        <w:tc>
          <w:tcPr>
            <w:tcW w:w="3900" w:type="dxa"/>
            <w:vAlign w:val="bottom"/>
            <w:gridSpan w:val="2"/>
            <w:shd w:val="clear" w:color="auto" w:fill="CCEEFF"/>
          </w:tcPr>
          <w:p>
            <w:pPr>
              <w:jc w:val="center"/>
              <w:ind w:right="300"/>
              <w:spacing w:after="0" w:line="138" w:lineRule="exact"/>
              <w:rPr>
                <w:sz w:val="20"/>
                <w:szCs w:val="20"/>
                <w:color w:val="auto"/>
              </w:rPr>
            </w:pPr>
            <w:r>
              <w:rPr>
                <w:rFonts w:ascii="Arial" w:cs="Arial" w:eastAsia="Arial" w:hAnsi="Arial"/>
                <w:sz w:val="14"/>
                <w:szCs w:val="14"/>
                <w:color w:val="auto"/>
                <w:w w:val="84"/>
              </w:rPr>
              <w:t>Insurance</w:t>
            </w:r>
          </w:p>
        </w:tc>
        <w:tc>
          <w:tcPr>
            <w:tcW w:w="2420" w:type="dxa"/>
            <w:vAlign w:val="bottom"/>
            <w:gridSpan w:val="2"/>
            <w:shd w:val="clear" w:color="auto" w:fill="CCEEFF"/>
          </w:tcPr>
          <w:p>
            <w:pPr>
              <w:jc w:val="center"/>
              <w:ind w:right="320"/>
              <w:spacing w:after="0" w:line="138" w:lineRule="exact"/>
              <w:rPr>
                <w:sz w:val="20"/>
                <w:szCs w:val="20"/>
                <w:color w:val="auto"/>
              </w:rPr>
            </w:pPr>
            <w:r>
              <w:rPr>
                <w:rFonts w:ascii="Arial" w:cs="Arial" w:eastAsia="Arial" w:hAnsi="Arial"/>
                <w:sz w:val="14"/>
                <w:szCs w:val="14"/>
                <w:color w:val="auto"/>
                <w:w w:val="88"/>
              </w:rPr>
              <w:t>Preferred Equity</w:t>
            </w:r>
          </w:p>
        </w:tc>
        <w:tc>
          <w:tcPr>
            <w:tcW w:w="760" w:type="dxa"/>
            <w:vAlign w:val="bottom"/>
            <w:shd w:val="clear" w:color="auto" w:fill="CCEEFF"/>
          </w:tcPr>
          <w:p>
            <w:pPr>
              <w:jc w:val="right"/>
              <w:ind w:right="176"/>
              <w:spacing w:after="0" w:line="138"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567 San Nicolas Drive, Suite 360</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0"/>
              </w:rPr>
              <w:t>Common Equity</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Newport Beach, CA 92660</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UP Support Services, Inc. (Universal Pegasus International, Inc.)</w:t>
            </w: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4848 Loop Central Drive</w:t>
            </w:r>
          </w:p>
        </w:tc>
        <w:tc>
          <w:tcPr>
            <w:tcW w:w="39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6"/>
              </w:rPr>
              <w:t>Oil and Gas</w:t>
            </w:r>
          </w:p>
        </w:tc>
        <w:tc>
          <w:tcPr>
            <w:tcW w:w="242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87"/>
              </w:rPr>
              <w:t>Subordinated Debt</w:t>
            </w:r>
          </w:p>
        </w:tc>
        <w:tc>
          <w:tcPr>
            <w:tcW w:w="760" w:type="dxa"/>
            <w:vAlign w:val="bottom"/>
            <w:vMerge w:val="restart"/>
          </w:tcPr>
          <w:p>
            <w:pPr>
              <w:jc w:val="right"/>
              <w:ind w:right="176"/>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4340" w:type="dxa"/>
            <w:vAlign w:val="bottom"/>
            <w:gridSpan w:val="3"/>
            <w:vMerge w:val="restart"/>
          </w:tcPr>
          <w:p>
            <w:pPr>
              <w:spacing w:after="0"/>
              <w:rPr>
                <w:sz w:val="20"/>
                <w:szCs w:val="20"/>
                <w:color w:val="auto"/>
              </w:rPr>
            </w:pPr>
            <w:r>
              <w:rPr>
                <w:rFonts w:ascii="Arial" w:cs="Arial" w:eastAsia="Arial" w:hAnsi="Arial"/>
                <w:sz w:val="14"/>
                <w:szCs w:val="14"/>
                <w:color w:val="auto"/>
              </w:rPr>
              <w:t>Houston, TX 77081</w:t>
            </w:r>
          </w:p>
        </w:tc>
        <w:tc>
          <w:tcPr>
            <w:tcW w:w="3900" w:type="dxa"/>
            <w:vAlign w:val="bottom"/>
            <w:gridSpan w:val="2"/>
            <w:vMerge w:val="continue"/>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340" w:type="dxa"/>
            <w:vAlign w:val="bottom"/>
            <w:gridSpan w:val="3"/>
            <w:vMerge w:val="continue"/>
          </w:tcPr>
          <w:p>
            <w:pPr>
              <w:spacing w:after="0"/>
              <w:rPr>
                <w:sz w:val="10"/>
                <w:szCs w:val="10"/>
                <w:color w:val="auto"/>
              </w:rPr>
            </w:pPr>
          </w:p>
        </w:tc>
        <w:tc>
          <w:tcPr>
            <w:tcW w:w="3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3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Veritext Corp. (VText Holdings, Inc.)</w:t>
            </w:r>
          </w:p>
        </w:tc>
        <w:tc>
          <w:tcPr>
            <w:tcW w:w="3900" w:type="dxa"/>
            <w:vAlign w:val="bottom"/>
            <w:gridSpan w:val="2"/>
            <w:shd w:val="clear" w:color="auto" w:fill="CCEEFF"/>
          </w:tcPr>
          <w:p>
            <w:pPr>
              <w:jc w:val="center"/>
              <w:ind w:right="300"/>
              <w:spacing w:after="0" w:line="122" w:lineRule="exact"/>
              <w:rPr>
                <w:sz w:val="20"/>
                <w:szCs w:val="20"/>
                <w:color w:val="auto"/>
              </w:rPr>
            </w:pPr>
            <w:r>
              <w:rPr>
                <w:rFonts w:ascii="Arial" w:cs="Arial" w:eastAsia="Arial" w:hAnsi="Arial"/>
                <w:sz w:val="14"/>
                <w:szCs w:val="14"/>
                <w:color w:val="auto"/>
                <w:w w:val="83"/>
              </w:rPr>
              <w:t>Business Services</w:t>
            </w:r>
          </w:p>
        </w:tc>
        <w:tc>
          <w:tcPr>
            <w:tcW w:w="2420" w:type="dxa"/>
            <w:vAlign w:val="bottom"/>
            <w:gridSpan w:val="2"/>
            <w:shd w:val="clear" w:color="auto" w:fill="CCEEFF"/>
          </w:tcPr>
          <w:p>
            <w:pPr>
              <w:jc w:val="center"/>
              <w:ind w:right="320"/>
              <w:spacing w:after="0" w:line="122" w:lineRule="exact"/>
              <w:rPr>
                <w:sz w:val="20"/>
                <w:szCs w:val="20"/>
                <w:color w:val="auto"/>
              </w:rPr>
            </w:pPr>
            <w:r>
              <w:rPr>
                <w:rFonts w:ascii="Arial" w:cs="Arial" w:eastAsia="Arial" w:hAnsi="Arial"/>
                <w:sz w:val="14"/>
                <w:szCs w:val="14"/>
                <w:color w:val="auto"/>
                <w:w w:val="87"/>
              </w:rPr>
              <w:t>Subordinated Debt</w:t>
            </w:r>
          </w:p>
        </w:tc>
        <w:tc>
          <w:tcPr>
            <w:tcW w:w="760" w:type="dxa"/>
            <w:vAlign w:val="bottom"/>
            <w:shd w:val="clear" w:color="auto" w:fill="CCEEFF"/>
          </w:tcPr>
          <w:p>
            <w:pPr>
              <w:jc w:val="right"/>
              <w:ind w:right="176"/>
              <w:spacing w:after="0" w:line="122"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50 Public Square, 29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Cleveland, OH 44113</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VPSI, Inc. (Verde Parent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Personal Transportation</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176"/>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1220 Rankin Drive</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Troy, MI 48083</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40" w:type="dxa"/>
            <w:vAlign w:val="bottom"/>
            <w:gridSpan w:val="3"/>
          </w:tcPr>
          <w:p>
            <w:pPr>
              <w:spacing w:after="0"/>
              <w:rPr>
                <w:sz w:val="20"/>
                <w:szCs w:val="20"/>
                <w:color w:val="auto"/>
              </w:rPr>
            </w:pPr>
            <w:r>
              <w:rPr>
                <w:rFonts w:ascii="Arial" w:cs="Arial" w:eastAsia="Arial" w:hAnsi="Arial"/>
                <w:sz w:val="14"/>
                <w:szCs w:val="14"/>
                <w:color w:val="auto"/>
              </w:rPr>
              <w:t>Yonkers Racing Corp.</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Hotels, Motels, Inns and Gaming</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29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810 Yonkers Avenue</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New York, NY 10704</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EnviroSolutions,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Environmental Services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line="205" w:lineRule="exact"/>
              <w:rPr>
                <w:sz w:val="20"/>
                <w:szCs w:val="20"/>
                <w:color w:val="auto"/>
              </w:rPr>
            </w:pPr>
            <w:r>
              <w:rPr>
                <w:rFonts w:ascii="Arial" w:cs="Arial" w:eastAsia="Arial" w:hAnsi="Arial"/>
                <w:sz w:val="23"/>
                <w:szCs w:val="23"/>
                <w:color w:val="auto"/>
                <w:vertAlign w:val="subscript"/>
              </w:rPr>
              <w:t>6.9%</w:t>
            </w:r>
            <w:r>
              <w:rPr>
                <w:rFonts w:ascii="Arial" w:cs="Arial" w:eastAsia="Arial" w:hAnsi="Arial"/>
                <w:sz w:val="10"/>
                <w:szCs w:val="10"/>
                <w:color w:val="auto"/>
              </w:rPr>
              <w:t>(2), (3)</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11220 Asset Loop, Suite 201</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Second Lien Secured Debt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Manassas, VA 20109</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color w:val="auto"/>
                <w:w w:val="84"/>
              </w:rPr>
              <w:t>Warrants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40" w:type="dxa"/>
            <w:vAlign w:val="bottom"/>
            <w:gridSpan w:val="3"/>
          </w:tcPr>
          <w:p>
            <w:pPr>
              <w:spacing w:after="0"/>
              <w:rPr>
                <w:sz w:val="20"/>
                <w:szCs w:val="20"/>
                <w:color w:val="auto"/>
              </w:rPr>
            </w:pPr>
            <w:r>
              <w:rPr>
                <w:rFonts w:ascii="Arial" w:cs="Arial" w:eastAsia="Arial" w:hAnsi="Arial"/>
                <w:sz w:val="14"/>
                <w:szCs w:val="14"/>
                <w:color w:val="auto"/>
              </w:rPr>
              <w:t>Performance Holdings, Inc. (NCP-Performance)</w:t>
            </w: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One Performance Way</w:t>
            </w:r>
          </w:p>
        </w:tc>
        <w:tc>
          <w:tcPr>
            <w:tcW w:w="39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7"/>
              </w:rPr>
              <w:t>Leisure, Amusement, Motion Pictures, Entertainment</w:t>
            </w:r>
          </w:p>
        </w:tc>
        <w:tc>
          <w:tcPr>
            <w:tcW w:w="24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tcPr>
          <w:p>
            <w:pPr>
              <w:jc w:val="right"/>
              <w:ind w:right="176"/>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54"/>
        </w:trPr>
        <w:tc>
          <w:tcPr>
            <w:tcW w:w="4340" w:type="dxa"/>
            <w:vAlign w:val="bottom"/>
            <w:gridSpan w:val="3"/>
            <w:vMerge w:val="restart"/>
          </w:tcPr>
          <w:p>
            <w:pPr>
              <w:spacing w:after="0"/>
              <w:rPr>
                <w:sz w:val="20"/>
                <w:szCs w:val="20"/>
                <w:color w:val="auto"/>
              </w:rPr>
            </w:pPr>
            <w:r>
              <w:rPr>
                <w:rFonts w:ascii="Arial" w:cs="Arial" w:eastAsia="Arial" w:hAnsi="Arial"/>
                <w:sz w:val="14"/>
                <w:szCs w:val="14"/>
                <w:color w:val="auto"/>
              </w:rPr>
              <w:t>Chapel Hill, NC 27514</w:t>
            </w:r>
          </w:p>
        </w:tc>
        <w:tc>
          <w:tcPr>
            <w:tcW w:w="3900" w:type="dxa"/>
            <w:vAlign w:val="bottom"/>
            <w:gridSpan w:val="2"/>
            <w:vMerge w:val="continue"/>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340" w:type="dxa"/>
            <w:vAlign w:val="bottom"/>
            <w:gridSpan w:val="3"/>
            <w:vMerge w:val="continue"/>
          </w:tcPr>
          <w:p>
            <w:pPr>
              <w:spacing w:after="0"/>
              <w:rPr>
                <w:sz w:val="10"/>
                <w:szCs w:val="10"/>
                <w:color w:val="auto"/>
              </w:rPr>
            </w:pPr>
          </w:p>
        </w:tc>
        <w:tc>
          <w:tcPr>
            <w:tcW w:w="3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87"/>
              </w:rPr>
              <w:t>Subordinated Debt</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spacing w:after="0"/>
              <w:rPr>
                <w:sz w:val="20"/>
                <w:szCs w:val="20"/>
                <w:color w:val="auto"/>
              </w:rPr>
            </w:pPr>
            <w:r>
              <w:rPr>
                <w:rFonts w:ascii="Arial" w:cs="Arial" w:eastAsia="Arial" w:hAnsi="Arial"/>
                <w:sz w:val="14"/>
                <w:szCs w:val="14"/>
                <w:color w:val="auto"/>
              </w:rPr>
              <w:t>SuttonPark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3"/>
              </w:rPr>
              <w:t>Business Services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line="189" w:lineRule="exact"/>
              <w:rPr>
                <w:sz w:val="20"/>
                <w:szCs w:val="20"/>
                <w:color w:val="auto"/>
              </w:rPr>
            </w:pPr>
            <w:r>
              <w:rPr>
                <w:rFonts w:ascii="Arial" w:cs="Arial" w:eastAsia="Arial" w:hAnsi="Arial"/>
                <w:sz w:val="21"/>
                <w:szCs w:val="21"/>
                <w:color w:val="auto"/>
                <w:vertAlign w:val="subscript"/>
              </w:rPr>
              <w:t>100%</w:t>
            </w:r>
            <w:r>
              <w:rPr>
                <w:rFonts w:ascii="Arial" w:cs="Arial" w:eastAsia="Arial" w:hAnsi="Arial"/>
                <w:sz w:val="10"/>
                <w:szCs w:val="10"/>
                <w:color w:val="auto"/>
              </w:rPr>
              <w:t>(3), (4)</w:t>
            </w:r>
          </w:p>
        </w:tc>
        <w:tc>
          <w:tcPr>
            <w:tcW w:w="0" w:type="dxa"/>
            <w:vAlign w:val="bottom"/>
          </w:tcPr>
          <w:p>
            <w:pPr>
              <w:spacing w:after="0"/>
              <w:rPr>
                <w:sz w:val="1"/>
                <w:szCs w:val="1"/>
                <w:color w:val="auto"/>
              </w:rPr>
            </w:pPr>
          </w:p>
        </w:tc>
      </w:tr>
      <w:tr>
        <w:trPr>
          <w:trHeight w:val="165"/>
        </w:trPr>
        <w:tc>
          <w:tcPr>
            <w:tcW w:w="4340" w:type="dxa"/>
            <w:vAlign w:val="bottom"/>
            <w:gridSpan w:val="3"/>
          </w:tcPr>
          <w:p>
            <w:pPr>
              <w:spacing w:after="0" w:line="165" w:lineRule="exact"/>
              <w:rPr>
                <w:sz w:val="20"/>
                <w:szCs w:val="20"/>
                <w:color w:val="auto"/>
              </w:rPr>
            </w:pPr>
            <w:r>
              <w:rPr>
                <w:rFonts w:ascii="Arial" w:cs="Arial" w:eastAsia="Arial" w:hAnsi="Arial"/>
                <w:sz w:val="12"/>
                <w:szCs w:val="12"/>
                <w:color w:val="auto"/>
              </w:rPr>
              <w:t>590 Madison Avenue, 15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Subordinated Debt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New York, NY 10022</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w:t>
      </w:r>
    </w:p>
    <w:p>
      <w:pPr>
        <w:ind w:left="340" w:hanging="332"/>
        <w:spacing w:after="0" w:line="22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 a fully diluted basis, our percentage ownership is 7.6%.</w:t>
      </w:r>
    </w:p>
    <w:p>
      <w:pPr>
        <w:ind w:left="340" w:hanging="332"/>
        <w:spacing w:after="0" w:line="22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Indicates that we hold voting seats on portfolio companies’ board of directors.</w:t>
      </w: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Indicates that we provide managerial assistance. See “Certain Relationships and Transactions” for more information.</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September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Eureka Hunter Pipeline, LLC (Magnum Hunter Resources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Eureka Hunter Pipeline, LLC is a wholly-owned subsidiary of Magnum Hunter Resources and a pipeline gathering system in the Marcellus Shale region.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2011 and September 30,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900" w:type="dxa"/>
            <w:vAlign w:val="bottom"/>
          </w:tcPr>
          <w:p>
            <w:pPr>
              <w:spacing w:after="0"/>
              <w:rPr>
                <w:sz w:val="14"/>
                <w:szCs w:val="14"/>
                <w:color w:val="auto"/>
              </w:rPr>
            </w:pPr>
          </w:p>
        </w:tc>
        <w:tc>
          <w:tcPr>
            <w:tcW w:w="206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83"/>
              </w:rPr>
              <w:t>September 30,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48"/>
        </w:trPr>
        <w:tc>
          <w:tcPr>
            <w:tcW w:w="5440" w:type="dxa"/>
            <w:vAlign w:val="bottom"/>
            <w:gridSpan w:val="3"/>
            <w:vMerge w:val="continue"/>
          </w:tcPr>
          <w:p>
            <w:pPr>
              <w:spacing w:after="0"/>
              <w:rPr>
                <w:sz w:val="12"/>
                <w:szCs w:val="12"/>
                <w:color w:val="auto"/>
              </w:rPr>
            </w:pPr>
          </w:p>
        </w:tc>
        <w:tc>
          <w:tcPr>
            <w:tcW w:w="3720" w:type="dxa"/>
            <w:vAlign w:val="bottom"/>
            <w:gridSpan w:val="2"/>
          </w:tcPr>
          <w:p>
            <w:pPr>
              <w:jc w:val="right"/>
              <w:ind w:right="195"/>
              <w:spacing w:after="0" w:line="148" w:lineRule="exact"/>
              <w:rPr>
                <w:sz w:val="20"/>
                <w:szCs w:val="20"/>
                <w:color w:val="auto"/>
              </w:rPr>
            </w:pPr>
            <w:r>
              <w:rPr>
                <w:rFonts w:ascii="Arial" w:cs="Arial" w:eastAsia="Arial" w:hAnsi="Arial"/>
                <w:sz w:val="14"/>
                <w:szCs w:val="14"/>
                <w:b w:val="1"/>
                <w:bCs w:val="1"/>
                <w:color w:val="auto"/>
              </w:rPr>
              <w:t>2011</w:t>
            </w:r>
          </w:p>
        </w:tc>
        <w:tc>
          <w:tcPr>
            <w:tcW w:w="1240" w:type="dxa"/>
            <w:vAlign w:val="bottom"/>
          </w:tcPr>
          <w:p>
            <w:pPr>
              <w:spacing w:after="0"/>
              <w:rPr>
                <w:sz w:val="12"/>
                <w:szCs w:val="12"/>
                <w:color w:val="auto"/>
              </w:rPr>
            </w:pPr>
          </w:p>
        </w:tc>
        <w:tc>
          <w:tcPr>
            <w:tcW w:w="820" w:type="dxa"/>
            <w:vAlign w:val="bottom"/>
          </w:tcPr>
          <w:p>
            <w:pPr>
              <w:jc w:val="right"/>
              <w:ind w:right="194"/>
              <w:spacing w:after="0" w:line="148"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040" w:type="dxa"/>
            <w:vAlign w:val="bottom"/>
            <w:vMerge w:val="restart"/>
            <w:shd w:val="clear" w:color="auto" w:fill="CCEEFF"/>
          </w:tcPr>
          <w:p>
            <w:pPr>
              <w:spacing w:after="0" w:line="20" w:lineRule="exact"/>
              <w:rPr>
                <w:sz w:val="1"/>
                <w:szCs w:val="1"/>
                <w:color w:val="auto"/>
              </w:rPr>
            </w:pPr>
          </w:p>
        </w:tc>
        <w:tc>
          <w:tcPr>
            <w:tcW w:w="29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4040" w:type="dxa"/>
            <w:vAlign w:val="bottom"/>
            <w:vMerge w:val="continue"/>
            <w:shd w:val="clear" w:color="auto" w:fill="CCEEFF"/>
          </w:tcPr>
          <w:p>
            <w:pPr>
              <w:spacing w:after="0"/>
              <w:rPr>
                <w:sz w:val="17"/>
                <w:szCs w:val="17"/>
                <w:color w:val="auto"/>
              </w:rPr>
            </w:pPr>
          </w:p>
        </w:tc>
        <w:tc>
          <w:tcPr>
            <w:tcW w:w="2900" w:type="dxa"/>
            <w:vAlign w:val="bottom"/>
            <w:vMerge w:val="continue"/>
            <w:shd w:val="clear" w:color="auto" w:fill="CCEEFF"/>
          </w:tcPr>
          <w:p>
            <w:pPr>
              <w:spacing w:after="0"/>
              <w:rPr>
                <w:sz w:val="17"/>
                <w:szCs w:val="17"/>
                <w:color w:val="auto"/>
              </w:rPr>
            </w:pPr>
          </w:p>
        </w:tc>
        <w:tc>
          <w:tcPr>
            <w:tcW w:w="2060" w:type="dxa"/>
            <w:vAlign w:val="bottom"/>
            <w:gridSpan w:val="2"/>
            <w:shd w:val="clear" w:color="auto" w:fill="CCEEFF"/>
          </w:tcPr>
          <w:p>
            <w:pPr>
              <w:jc w:val="right"/>
              <w:ind w:right="1080"/>
              <w:spacing w:after="0" w:line="203" w:lineRule="exact"/>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Transportation</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Diversified / Conglomerate Services</w:t>
            </w:r>
          </w:p>
        </w:tc>
        <w:tc>
          <w:tcPr>
            <w:tcW w:w="2900" w:type="dxa"/>
            <w:vAlign w:val="bottom"/>
          </w:tcPr>
          <w:p>
            <w:pPr>
              <w:spacing w:after="0"/>
              <w:rPr>
                <w:sz w:val="18"/>
                <w:szCs w:val="18"/>
                <w:color w:val="auto"/>
              </w:rPr>
            </w:pPr>
          </w:p>
        </w:tc>
        <w:tc>
          <w:tcPr>
            <w:tcW w:w="206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Home and Office Furnishings, Housewares &amp; Durable Consumer Products</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2900" w:type="dxa"/>
            <w:vAlign w:val="bottom"/>
          </w:tcPr>
          <w:p>
            <w:pPr>
              <w:spacing w:after="0"/>
              <w:rPr>
                <w:sz w:val="18"/>
                <w:szCs w:val="18"/>
                <w:color w:val="auto"/>
              </w:rPr>
            </w:pPr>
          </w:p>
        </w:tc>
        <w:tc>
          <w:tcPr>
            <w:tcW w:w="206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900" w:type="dxa"/>
            <w:vAlign w:val="bottom"/>
          </w:tcPr>
          <w:p>
            <w:pPr>
              <w:spacing w:after="0"/>
              <w:rPr>
                <w:sz w:val="18"/>
                <w:szCs w:val="18"/>
                <w:color w:val="auto"/>
              </w:rPr>
            </w:pPr>
          </w:p>
        </w:tc>
        <w:tc>
          <w:tcPr>
            <w:tcW w:w="2060" w:type="dxa"/>
            <w:vAlign w:val="bottom"/>
            <w:gridSpan w:val="2"/>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900" w:type="dxa"/>
            <w:vAlign w:val="bottom"/>
          </w:tcPr>
          <w:p>
            <w:pPr>
              <w:jc w:val="right"/>
              <w:ind w:right="2453"/>
              <w:spacing w:after="0"/>
              <w:rPr>
                <w:sz w:val="20"/>
                <w:szCs w:val="20"/>
                <w:color w:val="auto"/>
              </w:rPr>
            </w:pPr>
            <w:r>
              <w:rPr>
                <w:rFonts w:ascii="Arial" w:cs="Arial" w:eastAsia="Arial" w:hAnsi="Arial"/>
                <w:sz w:val="18"/>
                <w:szCs w:val="18"/>
                <w:color w:val="auto"/>
              </w:rPr>
              <w:t>75</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3"/>
              </w:rPr>
              <w:t>Position</w:t>
            </w:r>
          </w:p>
        </w:tc>
        <w:tc>
          <w:tcPr>
            <w:tcW w:w="3980" w:type="dxa"/>
            <w:vAlign w:val="bottom"/>
            <w:vMerge w:val="restart"/>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Director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5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Age</w:t>
            </w:r>
          </w:p>
        </w:tc>
        <w:tc>
          <w:tcPr>
            <w:tcW w:w="48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8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0"/>
              </w:rPr>
              <w:t>Since</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of Term</w:t>
            </w:r>
          </w:p>
        </w:tc>
        <w:tc>
          <w:tcPr>
            <w:tcW w:w="0" w:type="dxa"/>
            <w:vAlign w:val="bottom"/>
          </w:tcPr>
          <w:p>
            <w:pPr>
              <w:spacing w:after="0"/>
              <w:rPr>
                <w:sz w:val="1"/>
                <w:szCs w:val="1"/>
                <w:color w:val="auto"/>
              </w:rPr>
            </w:pPr>
          </w:p>
        </w:tc>
      </w:tr>
      <w:tr>
        <w:trPr>
          <w:trHeight w:val="190"/>
        </w:trPr>
        <w:tc>
          <w:tcPr>
            <w:tcW w:w="4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48</w:t>
            </w: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44</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49</w:t>
            </w: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46</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48</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5300" w:type="dxa"/>
            <w:vAlign w:val="bottom"/>
          </w:tcPr>
          <w:p>
            <w:pPr>
              <w:spacing w:after="0"/>
              <w:rPr>
                <w:sz w:val="15"/>
                <w:szCs w:val="15"/>
                <w:color w:val="auto"/>
              </w:rPr>
            </w:pPr>
          </w:p>
        </w:tc>
      </w:tr>
      <w:tr>
        <w:trPr>
          <w:trHeight w:val="203"/>
        </w:trPr>
        <w:tc>
          <w:tcPr>
            <w:tcW w:w="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Aviv Efrat</w:t>
            </w:r>
          </w:p>
        </w:tc>
        <w:tc>
          <w:tcPr>
            <w:tcW w:w="4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6000" w:type="dxa"/>
            <w:vAlign w:val="bottom"/>
            <w:tcBorders>
              <w:top w:val="single" w:sz="8" w:color="CCEEFF"/>
            </w:tcBorders>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Chief Financial Officer and 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5300" w:type="dxa"/>
            <w:vAlign w:val="bottom"/>
          </w:tcPr>
          <w:p>
            <w:pPr>
              <w:spacing w:after="0"/>
              <w:rPr>
                <w:sz w:val="15"/>
                <w:szCs w:val="15"/>
                <w:color w:val="auto"/>
              </w:rPr>
            </w:pPr>
          </w:p>
        </w:tc>
      </w:tr>
      <w:tr>
        <w:trPr>
          <w:trHeight w:val="203"/>
        </w:trPr>
        <w:tc>
          <w:tcPr>
            <w:tcW w:w="5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Guy F. Talarico</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6000" w:type="dxa"/>
            <w:vAlign w:val="bottom"/>
            <w:tcBorders>
              <w:top w:val="single" w:sz="8" w:color="CCEEFF"/>
            </w:tcBorders>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Chief Compliance Officer</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however the Chairman of our board of directors is our Chief Executive Officer and therefore an interested person of us. The Independent Directors believe that the combined positions of our Chief Executive Officer and Chairman of the board of directors results in greater efficiencies in managing us by eliminating the need to transfer substantial information quickly and repeatedly between the Chief Executive Officer and the Chairman and offering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board of director’s Audit Committee and Nominating and Corporate Governance Committee assist the board of director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its business and operations. For example, our ability to incur indebtedness is limited such that its asset coverage must equal at least 200% immediately after each time we incur indebtedness,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of ensure that they meet our needs.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Adam K. Bernstein (48), Director. Mr. Bernstein became a Director of PennantPark Investment and PennantPark Floating Rate Capital Ltd. in February 2007 and March 2011,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Marshall Brozost (44), Director. Mr. Brozost became a Director of PennantPark Investment and PennantPark Floating Rate Capital Ltd. in February 2007 and March 2011, respectively.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Jeffrey Flug (49), Director. Mr. Flug became a Director of PennantPark Investment and PennantPark Floating Rate Capital Ltd. in February 2007 and March 2011, respectively. Since 2009, Mr. Flug is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Samuel L. Katz (46), Director. Mr. Katz became a Director of PennantPark Investment and PennantPark Floating Rate Capital Ltd. in February 2007 and March 2011, respectively.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Arthur H. Penn (48) Founder, Chief Executive Officer and Chairman of the board of directors. Mr. Penn became the Chief Executive Officer and a Director of PennantPark Investment and PennantPark Floating Rate Capital Ltd. at their inception in January 2007 and March 2011, respectively. He also founded and became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Aviv Efrat (47), Chief Financial Officer and Treasurer. Mr. Efrat became PennantPark Investment’s and PennantPark Floating Rate Capital Ltd.’s Chief Financial Officer and Treasurer in February 2007 and March 2011,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1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Guy F. Talarico (56), Chief Compliance Officer. Mr. Talarico became PennantPark Investment’s and PennantPark Floating Rate Capital Ltd.’s Chief Compliance Officer in 2008 and 2011,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fiscal year ended September 30, 2011,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 xml:space="preserve">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5"/>
          <w:szCs w:val="15"/>
          <w:i w:val="1"/>
          <w:iCs w:val="1"/>
          <w:u w:val="single" w:color="auto"/>
          <w:color w:val="auto"/>
        </w:rPr>
        <w:t>www.pennantpark.com</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2011. No compensation is paid directly by us to any interested director or executive officer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00" w:type="dxa"/>
            <w:vAlign w:val="bottom"/>
          </w:tcPr>
          <w:p>
            <w:pPr>
              <w:jc w:val="center"/>
              <w:ind w:right="420"/>
              <w:spacing w:after="0"/>
              <w:rPr>
                <w:sz w:val="20"/>
                <w:szCs w:val="20"/>
                <w:color w:val="auto"/>
              </w:rPr>
            </w:pPr>
            <w:r>
              <w:rPr>
                <w:rFonts w:ascii="Arial" w:cs="Arial" w:eastAsia="Arial" w:hAnsi="Arial"/>
                <w:sz w:val="14"/>
                <w:szCs w:val="14"/>
                <w:b w:val="1"/>
                <w:bCs w:val="1"/>
                <w:color w:val="auto"/>
                <w:w w:val="88"/>
              </w:rPr>
              <w:t>Pension or retirement</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38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860" w:type="dxa"/>
            <w:vAlign w:val="bottom"/>
            <w:gridSpan w:val="3"/>
          </w:tcPr>
          <w:p>
            <w:pPr>
              <w:jc w:val="center"/>
              <w:ind w:right="980"/>
              <w:spacing w:after="0" w:line="135" w:lineRule="exact"/>
              <w:rPr>
                <w:sz w:val="20"/>
                <w:szCs w:val="20"/>
                <w:color w:val="auto"/>
              </w:rPr>
            </w:pPr>
            <w:r>
              <w:rPr>
                <w:rFonts w:ascii="Arial" w:cs="Arial" w:eastAsia="Arial" w:hAnsi="Arial"/>
                <w:sz w:val="14"/>
                <w:szCs w:val="14"/>
                <w:b w:val="1"/>
                <w:bCs w:val="1"/>
                <w:color w:val="auto"/>
                <w:w w:val="86"/>
              </w:rPr>
              <w:t>Aggregate</w:t>
            </w:r>
          </w:p>
        </w:tc>
        <w:tc>
          <w:tcPr>
            <w:tcW w:w="1900" w:type="dxa"/>
            <w:vAlign w:val="bottom"/>
          </w:tcPr>
          <w:p>
            <w:pPr>
              <w:jc w:val="center"/>
              <w:ind w:right="400"/>
              <w:spacing w:after="0" w:line="135" w:lineRule="exact"/>
              <w:rPr>
                <w:sz w:val="20"/>
                <w:szCs w:val="20"/>
                <w:color w:val="auto"/>
              </w:rPr>
            </w:pPr>
            <w:r>
              <w:rPr>
                <w:rFonts w:ascii="Arial" w:cs="Arial" w:eastAsia="Arial" w:hAnsi="Arial"/>
                <w:sz w:val="14"/>
                <w:szCs w:val="14"/>
                <w:b w:val="1"/>
                <w:bCs w:val="1"/>
                <w:color w:val="auto"/>
                <w:w w:val="84"/>
              </w:rPr>
              <w:t>benefits accrued as</w:t>
            </w:r>
          </w:p>
        </w:tc>
        <w:tc>
          <w:tcPr>
            <w:tcW w:w="1540" w:type="dxa"/>
            <w:vAlign w:val="bottom"/>
            <w:gridSpan w:val="3"/>
          </w:tcPr>
          <w:p>
            <w:pPr>
              <w:ind w:left="60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740" w:type="dxa"/>
            <w:vAlign w:val="bottom"/>
          </w:tcPr>
          <w:p>
            <w:pPr>
              <w:spacing w:after="0"/>
              <w:rPr>
                <w:sz w:val="15"/>
                <w:szCs w:val="15"/>
                <w:color w:val="auto"/>
              </w:rPr>
            </w:pPr>
          </w:p>
        </w:tc>
        <w:tc>
          <w:tcPr>
            <w:tcW w:w="18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4"/>
              </w:rPr>
              <w:t>compensation</w:t>
            </w:r>
          </w:p>
        </w:tc>
        <w:tc>
          <w:tcPr>
            <w:tcW w:w="1900" w:type="dxa"/>
            <w:vAlign w:val="bottom"/>
          </w:tcPr>
          <w:p>
            <w:pPr>
              <w:jc w:val="center"/>
              <w:ind w:right="420"/>
              <w:spacing w:after="0" w:line="162" w:lineRule="exact"/>
              <w:rPr>
                <w:sz w:val="20"/>
                <w:szCs w:val="20"/>
                <w:color w:val="auto"/>
              </w:rPr>
            </w:pPr>
            <w:r>
              <w:rPr>
                <w:rFonts w:ascii="Arial" w:cs="Arial" w:eastAsia="Arial" w:hAnsi="Arial"/>
                <w:sz w:val="12"/>
                <w:szCs w:val="12"/>
                <w:b w:val="1"/>
                <w:bCs w:val="1"/>
                <w:color w:val="auto"/>
                <w:w w:val="98"/>
              </w:rPr>
              <w:t>part of our expense</w:t>
            </w:r>
            <w:r>
              <w:rPr>
                <w:rFonts w:ascii="Arial" w:cs="Arial" w:eastAsia="Arial" w:hAnsi="Arial"/>
                <w:sz w:val="18"/>
                <w:szCs w:val="18"/>
                <w:b w:val="1"/>
                <w:bCs w:val="1"/>
                <w:color w:val="auto"/>
                <w:w w:val="98"/>
                <w:vertAlign w:val="superscript"/>
              </w:rPr>
              <w:t>(1)</w:t>
            </w:r>
          </w:p>
        </w:tc>
        <w:tc>
          <w:tcPr>
            <w:tcW w:w="15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director / officer</w:t>
            </w:r>
          </w:p>
        </w:tc>
      </w:tr>
      <w:tr>
        <w:trPr>
          <w:trHeight w:val="190"/>
        </w:trPr>
        <w:tc>
          <w:tcPr>
            <w:tcW w:w="6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105,000</w:t>
            </w:r>
          </w:p>
        </w:tc>
        <w:tc>
          <w:tcPr>
            <w:tcW w:w="980" w:type="dxa"/>
            <w:vAlign w:val="bottom"/>
          </w:tcPr>
          <w:p>
            <w:pPr>
              <w:spacing w:after="0"/>
              <w:rPr>
                <w:sz w:val="18"/>
                <w:szCs w:val="18"/>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105,000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105,000</w:t>
            </w:r>
          </w:p>
        </w:tc>
        <w:tc>
          <w:tcPr>
            <w:tcW w:w="980" w:type="dxa"/>
            <w:vAlign w:val="bottom"/>
            <w:shd w:val="clear" w:color="auto" w:fill="CCEEFF"/>
          </w:tcPr>
          <w:p>
            <w:pPr>
              <w:spacing w:after="0"/>
              <w:rPr>
                <w:sz w:val="18"/>
                <w:szCs w:val="18"/>
                <w:color w:val="auto"/>
              </w:rPr>
            </w:pP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105,000</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115,000</w:t>
            </w:r>
          </w:p>
        </w:tc>
        <w:tc>
          <w:tcPr>
            <w:tcW w:w="980" w:type="dxa"/>
            <w:vAlign w:val="bottom"/>
          </w:tcPr>
          <w:p>
            <w:pPr>
              <w:spacing w:after="0"/>
              <w:rPr>
                <w:sz w:val="18"/>
                <w:szCs w:val="18"/>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115,000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112,500</w:t>
            </w:r>
          </w:p>
        </w:tc>
        <w:tc>
          <w:tcPr>
            <w:tcW w:w="980" w:type="dxa"/>
            <w:vAlign w:val="bottom"/>
            <w:shd w:val="clear" w:color="auto" w:fill="CCEEFF"/>
          </w:tcPr>
          <w:p>
            <w:pPr>
              <w:spacing w:after="0"/>
              <w:rPr>
                <w:sz w:val="18"/>
                <w:szCs w:val="18"/>
                <w:color w:val="auto"/>
              </w:rPr>
            </w:pP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112,500</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None</w:t>
            </w: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None</w:t>
            </w: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Independent Director receives an annual payment of $90,000 for services performed on behalf of us as a director. The Independent Directors also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receive $2,500 plus reimbursement of reasonable out-of-pocket expenses incurred in connection with attending each board of directors meeting and receive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 plus reimbursement of reasonable out-of-pocket expenses incurred in connection with attending each committee meeting (unless combined with a board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directors meeting). In addition, each Co-Chairman of the Audit Committee receives an annual fee of $12,500 and each Co-Chairman of any other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receives an annual fee of $2,500 for his additional services in these capacities. Also, we have purchased directors’ and officers’ liability insurance on behalf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and officers. Independent Directors have the option to receive their directors’ fees paid in shares of our common stock issued at a price per share equal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greater of net asset value or the market price at the time of payment. No compensation is expected to be paid to directors who are “interested persons.”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Securities and BT Alex Brown Inc.). From 1986 to 1997, Mr. Giannetti worked in the Investment Banking, Syndicated Loan &amp; Private Equity groups at Chase Securities Inc. and its predecessor firms, Chemical Securities and Manufacturers Hanover.</w:t>
      </w:r>
    </w:p>
    <w:p>
      <w:pPr>
        <w:spacing w:after="0" w:line="13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September 30, 2011 our portfolio managers also managed investments on behalf of the following entity: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79"/>
              </w:rPr>
              <w:t>Gross Assets</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20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Entity</w:t>
            </w:r>
          </w:p>
        </w:tc>
        <w:tc>
          <w:tcPr>
            <w:tcW w:w="440" w:type="dxa"/>
            <w:vAlign w:val="bottom"/>
          </w:tcPr>
          <w:p>
            <w:pPr>
              <w:spacing w:after="0"/>
              <w:rPr>
                <w:sz w:val="12"/>
                <w:szCs w:val="12"/>
                <w:color w:val="auto"/>
              </w:rPr>
            </w:pPr>
          </w:p>
        </w:tc>
        <w:tc>
          <w:tcPr>
            <w:tcW w:w="420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Investment Focus</w:t>
            </w: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 in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millions)</w:t>
            </w:r>
          </w:p>
        </w:tc>
        <w:tc>
          <w:tcPr>
            <w:tcW w:w="0" w:type="dxa"/>
            <w:vAlign w:val="bottom"/>
          </w:tcPr>
          <w:p>
            <w:pPr>
              <w:spacing w:after="0"/>
              <w:rPr>
                <w:sz w:val="1"/>
                <w:szCs w:val="1"/>
                <w:color w:val="auto"/>
              </w:rPr>
            </w:pPr>
          </w:p>
        </w:tc>
      </w:tr>
      <w:tr>
        <w:trPr>
          <w:trHeight w:val="190"/>
        </w:trPr>
        <w:tc>
          <w:tcPr>
            <w:tcW w:w="2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PennantPark Floating Rate</w:t>
            </w:r>
          </w:p>
        </w:tc>
        <w:tc>
          <w:tcPr>
            <w:tcW w:w="100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Capital Ltd.</w:t>
            </w:r>
          </w:p>
        </w:tc>
        <w:tc>
          <w:tcPr>
            <w:tcW w:w="3080" w:type="dxa"/>
            <w:vAlign w:val="bottom"/>
            <w:gridSpan w:val="2"/>
          </w:tcPr>
          <w:p>
            <w:pPr>
              <w:ind w:left="1000"/>
              <w:spacing w:after="0"/>
              <w:rPr>
                <w:sz w:val="20"/>
                <w:szCs w:val="20"/>
                <w:color w:val="auto"/>
              </w:rPr>
            </w:pPr>
            <w:r>
              <w:rPr>
                <w:rFonts w:ascii="Arial" w:cs="Arial" w:eastAsia="Arial" w:hAnsi="Arial"/>
                <w:sz w:val="18"/>
                <w:szCs w:val="18"/>
                <w:color w:val="auto"/>
              </w:rPr>
              <w:t>Business development</w:t>
            </w: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Primarily floating rate loans, with an emphasis on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80" w:type="dxa"/>
            <w:vAlign w:val="bottom"/>
            <w:gridSpan w:val="2"/>
          </w:tcPr>
          <w:p>
            <w:pPr>
              <w:ind w:left="1000"/>
              <w:spacing w:after="0"/>
              <w:rPr>
                <w:sz w:val="20"/>
                <w:szCs w:val="20"/>
                <w:color w:val="auto"/>
              </w:rPr>
            </w:pPr>
            <w:r>
              <w:rPr>
                <w:rFonts w:ascii="Arial" w:cs="Arial" w:eastAsia="Arial" w:hAnsi="Arial"/>
                <w:sz w:val="18"/>
                <w:szCs w:val="18"/>
                <w:color w:val="auto"/>
              </w:rPr>
              <w:t>company</w:t>
            </w: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senior secured loans, in middle-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market leveraged companies.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the December 2, 2011, to our knowledge, no person would be deemed to control us, as such term is defined in the 1940 Act. Our directors consist of an interested director and Independent Directors.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sets forth, as of December 2, 2011,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and address</w:t>
            </w:r>
            <w:r>
              <w:rPr>
                <w:rFonts w:ascii="Arial" w:cs="Arial" w:eastAsia="Arial" w:hAnsi="Arial"/>
                <w:sz w:val="22"/>
                <w:szCs w:val="22"/>
                <w:b w:val="1"/>
                <w:bCs w:val="1"/>
                <w:color w:val="auto"/>
                <w:w w:val="87"/>
                <w:vertAlign w:val="superscript"/>
              </w:rPr>
              <w:t>(1)</w:t>
            </w:r>
          </w:p>
        </w:tc>
        <w:tc>
          <w:tcPr>
            <w:tcW w:w="5940" w:type="dxa"/>
            <w:vAlign w:val="bottom"/>
            <w:vMerge w:val="restart"/>
          </w:tcPr>
          <w:p>
            <w:pPr>
              <w:spacing w:after="0"/>
              <w:rPr>
                <w:sz w:val="12"/>
                <w:szCs w:val="12"/>
                <w:color w:val="auto"/>
              </w:rPr>
            </w:pPr>
          </w:p>
        </w:tc>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(4)</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594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2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owned</w:t>
            </w:r>
          </w:p>
        </w:tc>
        <w:tc>
          <w:tcPr>
            <w:tcW w:w="9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90"/>
        </w:trPr>
        <w:tc>
          <w:tcPr>
            <w:tcW w:w="7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1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88,971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11,043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102,358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113,482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499,475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40,294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855,623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38"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68,235 shares held by JAM Investments, LLC.</w:t>
      </w:r>
    </w:p>
    <w:p>
      <w:pPr>
        <w:ind w:left="460" w:right="4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309,791 shares held by PennantPark Investment Advisers, LLC.</w:t>
      </w: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December 2, 2011. Information as to the beneficial ownerships is based on information furnished to us by such persons. We are not part of a “family of investment companies,” as that term is defined in the 1940 Act.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1480" w:type="dxa"/>
            <w:vAlign w:val="bottom"/>
          </w:tcPr>
          <w:p>
            <w:pPr>
              <w:spacing w:after="0"/>
              <w:rPr>
                <w:sz w:val="22"/>
                <w:szCs w:val="22"/>
                <w:color w:val="auto"/>
              </w:rPr>
            </w:pPr>
          </w:p>
        </w:tc>
        <w:tc>
          <w:tcPr>
            <w:tcW w:w="3780" w:type="dxa"/>
            <w:vAlign w:val="bottom"/>
            <w:gridSpan w:val="6"/>
          </w:tcPr>
          <w:p>
            <w:pPr>
              <w:jc w:val="center"/>
              <w:ind w:left="154"/>
              <w:spacing w:after="0"/>
              <w:rPr>
                <w:sz w:val="20"/>
                <w:szCs w:val="20"/>
                <w:color w:val="auto"/>
              </w:rPr>
            </w:pPr>
            <w:r>
              <w:rPr>
                <w:rFonts w:ascii="Arial" w:cs="Arial" w:eastAsia="Arial" w:hAnsi="Arial"/>
                <w:sz w:val="14"/>
                <w:szCs w:val="14"/>
                <w:b w:val="1"/>
                <w:bCs w:val="1"/>
                <w:color w:val="auto"/>
                <w:w w:val="86"/>
              </w:rPr>
              <w:t>Dollar Range of the Common Stock of the Companies</w:t>
            </w:r>
            <w:r>
              <w:rPr>
                <w:rFonts w:ascii="Arial" w:cs="Arial" w:eastAsia="Arial" w:hAnsi="Arial"/>
                <w:sz w:val="22"/>
                <w:szCs w:val="22"/>
                <w:b w:val="1"/>
                <w:bCs w:val="1"/>
                <w:color w:val="auto"/>
                <w:w w:val="86"/>
                <w:vertAlign w:val="superscript"/>
              </w:rPr>
              <w:t>(1)</w:t>
            </w: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36"/>
        </w:trPr>
        <w:tc>
          <w:tcPr>
            <w:tcW w:w="560" w:type="dxa"/>
            <w:vAlign w:val="bottom"/>
            <w:tcBorders>
              <w:top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2400" w:type="dxa"/>
            <w:vAlign w:val="bottom"/>
            <w:tcBorders>
              <w:top w:val="single" w:sz="8" w:color="auto"/>
            </w:tcBorders>
            <w:gridSpan w:val="3"/>
          </w:tcPr>
          <w:p>
            <w:pPr>
              <w:ind w:left="360"/>
              <w:spacing w:after="0" w:line="136" w:lineRule="exact"/>
              <w:rPr>
                <w:sz w:val="20"/>
                <w:szCs w:val="20"/>
                <w:color w:val="auto"/>
              </w:rPr>
            </w:pPr>
            <w:r>
              <w:rPr>
                <w:rFonts w:ascii="Arial" w:cs="Arial" w:eastAsia="Arial" w:hAnsi="Arial"/>
                <w:sz w:val="14"/>
                <w:szCs w:val="14"/>
                <w:b w:val="1"/>
                <w:bCs w:val="1"/>
                <w:color w:val="auto"/>
              </w:rPr>
              <w:t>PennantPark Investment</w:t>
            </w:r>
          </w:p>
        </w:tc>
        <w:tc>
          <w:tcPr>
            <w:tcW w:w="2860" w:type="dxa"/>
            <w:vAlign w:val="bottom"/>
            <w:tcBorders>
              <w:top w:val="single" w:sz="8" w:color="auto"/>
            </w:tcBorders>
            <w:gridSpan w:val="4"/>
          </w:tcPr>
          <w:p>
            <w:pPr>
              <w:jc w:val="center"/>
              <w:ind w:right="660"/>
              <w:spacing w:after="0" w:line="136" w:lineRule="exact"/>
              <w:rPr>
                <w:sz w:val="20"/>
                <w:szCs w:val="20"/>
                <w:color w:val="auto"/>
              </w:rPr>
            </w:pPr>
            <w:r>
              <w:rPr>
                <w:rFonts w:ascii="Arial" w:cs="Arial" w:eastAsia="Arial" w:hAnsi="Arial"/>
                <w:sz w:val="14"/>
                <w:szCs w:val="14"/>
                <w:b w:val="1"/>
                <w:bCs w:val="1"/>
                <w:color w:val="auto"/>
                <w:w w:val="88"/>
              </w:rPr>
              <w:t>PennantPark Floating</w:t>
            </w:r>
          </w:p>
        </w:tc>
        <w:tc>
          <w:tcPr>
            <w:tcW w:w="10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r>
      <w:tr>
        <w:trPr>
          <w:trHeight w:val="174"/>
        </w:trPr>
        <w:tc>
          <w:tcPr>
            <w:tcW w:w="5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Corporation</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0"/>
              </w:rPr>
              <w:t>Rate Capital Ltd.</w:t>
            </w:r>
          </w:p>
        </w:tc>
        <w:tc>
          <w:tcPr>
            <w:tcW w:w="100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5"/>
                <w:szCs w:val="15"/>
                <w:color w:val="auto"/>
              </w:rPr>
            </w:pPr>
          </w:p>
        </w:tc>
      </w:tr>
      <w:tr>
        <w:trPr>
          <w:trHeight w:val="197"/>
        </w:trPr>
        <w:tc>
          <w:tcPr>
            <w:tcW w:w="4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480" w:type="dxa"/>
            <w:vAlign w:val="bottom"/>
          </w:tcPr>
          <w:p>
            <w:pPr>
              <w:jc w:val="right"/>
              <w:spacing w:after="0"/>
              <w:rPr>
                <w:sz w:val="20"/>
                <w:szCs w:val="20"/>
                <w:color w:val="auto"/>
              </w:rPr>
            </w:pPr>
            <w:r>
              <w:rPr>
                <w:rFonts w:ascii="Arial" w:cs="Arial" w:eastAsia="Arial" w:hAnsi="Arial"/>
                <w:sz w:val="18"/>
                <w:szCs w:val="18"/>
                <w:color w:val="auto"/>
              </w:rPr>
              <w:t>$500,001–$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1,000,000</w:t>
            </w:r>
          </w:p>
        </w:tc>
        <w:tc>
          <w:tcPr>
            <w:tcW w:w="2860" w:type="dxa"/>
            <w:vAlign w:val="bottom"/>
            <w:gridSpan w:val="4"/>
          </w:tcPr>
          <w:p>
            <w:pPr>
              <w:jc w:val="right"/>
              <w:ind w:right="680"/>
              <w:spacing w:after="0"/>
              <w:rPr>
                <w:sz w:val="20"/>
                <w:szCs w:val="20"/>
                <w:color w:val="auto"/>
              </w:rPr>
            </w:pPr>
            <w:r>
              <w:rPr>
                <w:rFonts w:ascii="Arial" w:cs="Arial" w:eastAsia="Arial" w:hAnsi="Arial"/>
                <w:sz w:val="18"/>
                <w:szCs w:val="18"/>
                <w:color w:val="auto"/>
              </w:rPr>
              <w:t>$ 50,001–$100,000</w:t>
            </w:r>
          </w:p>
        </w:tc>
        <w:tc>
          <w:tcPr>
            <w:tcW w:w="1000" w:type="dxa"/>
            <w:vAlign w:val="bottom"/>
          </w:tcPr>
          <w:p>
            <w:pPr>
              <w:jc w:val="right"/>
              <w:spacing w:after="0"/>
              <w:rPr>
                <w:sz w:val="20"/>
                <w:szCs w:val="20"/>
                <w:color w:val="auto"/>
              </w:rPr>
            </w:pPr>
            <w:r>
              <w:rPr>
                <w:rFonts w:ascii="Arial" w:cs="Arial" w:eastAsia="Arial" w:hAnsi="Arial"/>
                <w:sz w:val="18"/>
                <w:szCs w:val="18"/>
                <w:color w:val="auto"/>
              </w:rPr>
              <w:t>$500,001–$</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480" w:type="dxa"/>
            <w:vAlign w:val="bottom"/>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tcPr>
          <w:p>
            <w:pPr>
              <w:spacing w:after="0"/>
              <w:rPr>
                <w:sz w:val="18"/>
                <w:szCs w:val="18"/>
                <w:color w:val="auto"/>
              </w:rPr>
            </w:pPr>
          </w:p>
        </w:tc>
        <w:tc>
          <w:tcPr>
            <w:tcW w:w="1920" w:type="dxa"/>
            <w:vAlign w:val="bottom"/>
            <w:gridSpan w:val="3"/>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28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$100,001–$500,000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1–$ 10,000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Jose A. Briones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Salvatore Giannetti III</w:t>
            </w:r>
          </w:p>
        </w:tc>
        <w:tc>
          <w:tcPr>
            <w:tcW w:w="1480" w:type="dxa"/>
            <w:vAlign w:val="bottom"/>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w w:val="90"/>
              </w:rPr>
              <w:t>10,001–$ 50,000</w:t>
            </w:r>
          </w:p>
        </w:tc>
        <w:tc>
          <w:tcPr>
            <w:tcW w:w="1000" w:type="dxa"/>
            <w:vAlign w:val="bottom"/>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 Whitridge Williams, Jr.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0"/>
              </w:rPr>
              <w:t>10,001–$ 50,000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00" w:hanging="452"/>
        <w:spacing w:after="0" w:line="25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Dollar ranges are as follows: None; $1 – $10,000; $10,001 – $50,000; $50,001 – $100,000; $100,001 – $500,000; $500,001 – $1,000,000; or over $1,000,000.</w:t>
      </w: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Mr. Penn, our Chairman and Chief Executive Officer, is the managing member and a senior investment professional of, and has a financial and controlling interests in PennantPark Investment Advisers. PennantPark Investment, through the Investment Adviser, manages day-to-day operations of and provides investment advisory services to SBIC LP under its investment management agreement. The SBIC LP investment management agreement does not affect the management or incentive fees that we pay to the Investment Adviser on a consolidated basis. Under the terms of our Investment Management Agreement, PennantPark Investment Advisers:</w:t>
      </w:r>
    </w:p>
    <w:p>
      <w:pPr>
        <w:spacing w:after="0" w:line="37"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or “average adjusted gross assets,” if any). Our base management fee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fiscal years ended September 30, 2011, 2010 and 2009, the Investment Adviser earned base management fees, after fee waivers, if any, of $14.9 million, $11.6 million and $7.7 million, respectively,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 our net assets at the end of the immediately preceding calendar quarter, will be compared to a hurdle of 1.75% per quarter (7.00% annualized). We have agreed to pay PennantPark Investment Advisers an incentive fee with respect to our Pre-Incentive Fee Net Investment Income in each calendar quarter as follows: (1) no incentive fee in any calendar quarter in which PennantPark Investment’s Pre-Incentive Fee Net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prorated and adjusted for any share issuances or repurchases during the current quarter.</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color w:val="auto"/>
        </w:rPr>
        <w:t>Pre-incentive fee net investment income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109855</wp:posOffset>
            </wp:positionV>
            <wp:extent cx="2470150" cy="4718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701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2011, 2010 and 2009, the Investment Adviser earned incentive fees of $13.2 million, $8.0 million and $5.7 million, respectively. For the fiscal years ended September 30, 2011, 2010 and 2009 our unrealized capital gains did not exceed our cumulative realized and unrealized capital losses.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right="4220"/>
        <w:spacing w:after="0" w:line="431" w:lineRule="auto"/>
        <w:rPr>
          <w:sz w:val="20"/>
          <w:szCs w:val="20"/>
          <w:color w:val="auto"/>
        </w:rPr>
      </w:pPr>
      <w:r>
        <w:rPr>
          <w:rFonts w:ascii="Arial" w:cs="Arial" w:eastAsia="Arial" w:hAnsi="Arial"/>
          <w:sz w:val="16"/>
          <w:szCs w:val="16"/>
          <w:color w:val="auto"/>
        </w:rPr>
        <w:t>(investment income—(base management fee + other expenses)) = 0.55% Pre-incentive net investment income does not exceed hurdle; therefore there is no incentive fee.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jc w:val="right"/>
        <w:ind w:right="2559"/>
        <w:spacing w:after="0"/>
        <w:tabs>
          <w:tab w:leader="none" w:pos="608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600" w:hanging="134"/>
        <w:spacing w:after="0"/>
        <w:tabs>
          <w:tab w:leader="none" w:pos="2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0.25%</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20% X Pre-Incentive Fee Net Investment Income, subject to “catch-up”</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w w:val="89"/>
              </w:rPr>
              <w:t>= 100% x “catch-up” + (20% x (Pre-Incentive Fee Net Investment Income – 21875%))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Catch-up</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21875% - 1.75%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(100% x 0.4375%) + (20% x (2.30% - 2.1875%))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ind w:left="20"/>
              <w:spacing w:after="0"/>
              <w:rPr>
                <w:sz w:val="20"/>
                <w:szCs w:val="20"/>
                <w:color w:val="auto"/>
              </w:rPr>
            </w:pPr>
            <w:r>
              <w:rPr>
                <w:rFonts w:ascii="Arial" w:cs="Arial" w:eastAsia="Arial" w:hAnsi="Arial"/>
                <w:sz w:val="18"/>
                <w:szCs w:val="18"/>
                <w:color w:val="auto"/>
              </w:rPr>
              <w:t>+ (20% x 0.1125%)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ind w:left="20"/>
              <w:spacing w:after="0"/>
              <w:rPr>
                <w:sz w:val="20"/>
                <w:szCs w:val="20"/>
                <w:color w:val="auto"/>
              </w:rPr>
            </w:pPr>
            <w:r>
              <w:rPr>
                <w:rFonts w:ascii="Arial" w:cs="Arial" w:eastAsia="Arial" w:hAnsi="Arial"/>
                <w:sz w:val="18"/>
                <w:szCs w:val="18"/>
                <w:color w:val="auto"/>
              </w:rPr>
              <w:t>+ 0.0225%</w:t>
            </w:r>
          </w:p>
        </w:tc>
      </w:tr>
      <w:tr>
        <w:trPr>
          <w:trHeight w:val="222"/>
        </w:trPr>
        <w:tc>
          <w:tcPr>
            <w:tcW w:w="1240" w:type="dxa"/>
            <w:vAlign w:val="bottom"/>
          </w:tcPr>
          <w:p>
            <w:pPr>
              <w:spacing w:after="0"/>
              <w:rPr>
                <w:sz w:val="19"/>
                <w:szCs w:val="19"/>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 0.46%</w:t>
            </w:r>
          </w:p>
        </w:tc>
        <w:tc>
          <w:tcPr>
            <w:tcW w:w="5300" w:type="dxa"/>
            <w:vAlign w:val="bottom"/>
          </w:tcPr>
          <w:p>
            <w:pPr>
              <w:spacing w:after="0"/>
              <w:rPr>
                <w:sz w:val="19"/>
                <w:szCs w:val="19"/>
                <w:color w:val="auto"/>
              </w:rPr>
            </w:pPr>
          </w:p>
        </w:tc>
      </w:tr>
      <w:tr>
        <w:trPr>
          <w:trHeight w:val="365"/>
        </w:trPr>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300" w:type="dxa"/>
            <w:vAlign w:val="bottom"/>
          </w:tcPr>
          <w:p>
            <w:pPr>
              <w:jc w:val="right"/>
              <w:ind w:right="2672"/>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0219"/>
          </w:cols>
          <w:pgMar w:left="240" w:top="459" w:right="1440"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20% x (0)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no 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20% x (6% -1%)</w:t>
      </w:r>
    </w:p>
    <w:p>
      <w:pPr>
        <w:spacing w:after="0" w:line="32" w:lineRule="exact"/>
        <w:rPr>
          <w:sz w:val="20"/>
          <w:szCs w:val="20"/>
          <w:color w:val="auto"/>
        </w:rPr>
      </w:pPr>
    </w:p>
    <w:p>
      <w:pPr>
        <w:sectPr>
          <w:pgSz w:w="11900" w:h="16838" w:orient="portrait"/>
          <w:cols w:equalWidth="0" w:num="2">
            <w:col w:w="2160" w:space="720"/>
            <w:col w:w="8520"/>
          </w:cols>
          <w:pgMar w:left="240" w:top="459" w:right="259" w:bottom="1440" w:gutter="0" w:footer="0" w:header="0"/>
          <w:type w:val="continuous"/>
        </w:sectPr>
      </w:pPr>
    </w:p>
    <w:p>
      <w:pPr>
        <w:ind w:left="3020" w:hanging="135"/>
        <w:spacing w:after="0"/>
        <w:tabs>
          <w:tab w:leader="none" w:pos="3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020" w:hanging="135"/>
        <w:spacing w:after="0"/>
        <w:tabs>
          <w:tab w:leader="none" w:pos="3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right="260" w:hanging="452"/>
        <w:spacing w:after="0" w:line="281"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15th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PennantPark Investment, through the Administrator, provides similar services to SBIC LP under its administration agreement.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fiscal years ended September 30, 2011, 2010 and 2009, the Investment Adviser and Administrator were reimbursed $2.6 million, $2.1 million and $1.7 million, respectively.</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PennantPark Investment entered into an administration agreement with its controlled affiliate, SuttonPark Holdings, Inc. and its subsidiaries (“SPH”). Under the administration agreement with SPH, or the SPH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respective staff. For the fiscal years ended September 30, 2011 and 2010, PennantPark Investment was reimbursed $0.5 million and $0.1 million, respectively, from SPH expenses it incurred on behalf of the Administrator for the services described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2011. Unless terminated earlier as described below, our Investment Management Agreement will continue in effect for a period of one year through February 2012. It will remain in effect if approved annually by our board of directors, or by the affirmative vote of the holders of a majority of our outstanding voting securities, including, in either case, approval by a majority of our directors who are not interested persons. In considering whether to re-approve the Investment Management Agreement, the board requests information from the Investment Adviser that enables it to evaluate a number of factors relevant to its determination. These factors include the nature, quality and extent of services performed by the Investment Adviser, our ability to effectively manage conflicts of interest, our short and long-term performance, our costs and profitability and any economies of scale.</w:t>
      </w:r>
    </w:p>
    <w:p>
      <w:pPr>
        <w:spacing w:after="0" w:line="118"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 for more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at the reporting period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446"/>
        <w:spacing w:after="0" w:line="306"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and we may undertake such an offering. See “Sales Of Common Stock Below Net Asset Value” for more information.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4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September 30, 2011,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December 16, 2011 was $10.16 per share. As of September 30, 2011, we had 13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September 30,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Amount Held by</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6400" w:type="dxa"/>
            <w:vAlign w:val="bottom"/>
            <w:vMerge w:val="restart"/>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Amount</w:t>
            </w:r>
          </w:p>
        </w:tc>
        <w:tc>
          <w:tcPr>
            <w:tcW w:w="16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Us or for Our</w:t>
            </w: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6400" w:type="dxa"/>
            <w:vAlign w:val="bottom"/>
            <w:vMerge w:val="continue"/>
          </w:tcPr>
          <w:p>
            <w:pPr>
              <w:spacing w:after="0"/>
              <w:rPr>
                <w:sz w:val="14"/>
                <w:szCs w:val="14"/>
                <w:color w:val="auto"/>
              </w:rPr>
            </w:pPr>
          </w:p>
        </w:tc>
        <w:tc>
          <w:tcPr>
            <w:tcW w:w="166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7"/>
              </w:rPr>
              <w:t>Authorized</w:t>
            </w:r>
          </w:p>
        </w:tc>
        <w:tc>
          <w:tcPr>
            <w:tcW w:w="162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5"/>
              </w:rPr>
              <w:t>Account</w:t>
            </w:r>
          </w:p>
        </w:tc>
        <w:tc>
          <w:tcPr>
            <w:tcW w:w="9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 par value $0.001 per share</w:t>
            </w: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100,000,000</w:t>
            </w:r>
          </w:p>
        </w:tc>
        <w:tc>
          <w:tcPr>
            <w:tcW w:w="6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800"/>
              <w:spacing w:after="0" w:line="203" w:lineRule="exact"/>
              <w:rPr>
                <w:sz w:val="20"/>
                <w:szCs w:val="20"/>
                <w:color w:val="auto"/>
              </w:rPr>
            </w:pPr>
            <w:r>
              <w:rPr>
                <w:rFonts w:ascii="Arial" w:cs="Arial" w:eastAsia="Arial" w:hAnsi="Arial"/>
                <w:sz w:val="18"/>
                <w:szCs w:val="18"/>
                <w:color w:val="auto"/>
                <w:w w:val="88"/>
              </w:rPr>
              <w:t>—</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45,689,781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benefits of these provisions outweigh the potential disadvantages of discouraging any such acquisition proposals because, among other things, the negotiation of such proposals may improve their terms.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2014, 2012, and 2013,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5620" w:right="3580" w:hanging="5166"/>
        <w:spacing w:after="0" w:line="440" w:lineRule="auto"/>
        <w:tabs>
          <w:tab w:leader="none" w:pos="89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 98</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20"/>
          </w:cols>
          <w:pgMar w:left="24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our asset coverage, as defined in the 1940 Act, equals at least 200% after each issuance of debt, excluding the SBA debentures due to SEC exemptive relief granted June 1, 2011. Unless the prospectus supplement states otherwise, principal (and premium, if any) and interest, if any, will be paid by us in immediately available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59" w:right="2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446"/>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 w:lineRule="exact"/>
        <w:rPr>
          <w:rFonts w:ascii="Arial" w:cs="Arial" w:eastAsia="Arial" w:hAnsi="Arial"/>
          <w:sz w:val="16"/>
          <w:szCs w:val="16"/>
          <w:color w:val="auto"/>
        </w:rPr>
      </w:pPr>
    </w:p>
    <w:p>
      <w:pPr>
        <w:ind w:left="900" w:right="120" w:hanging="446"/>
        <w:spacing w:after="0" w:line="306"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446"/>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446"/>
        <w:spacing w:after="0" w:line="357" w:lineRule="auto"/>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446"/>
        <w:spacing w:after="0" w:line="294"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13" w:lineRule="exact"/>
        <w:rPr>
          <w:rFonts w:ascii="Arial" w:cs="Arial" w:eastAsia="Arial" w:hAnsi="Arial"/>
          <w:sz w:val="16"/>
          <w:szCs w:val="16"/>
          <w:color w:val="auto"/>
        </w:rPr>
      </w:pPr>
    </w:p>
    <w:p>
      <w:pPr>
        <w:ind w:left="900" w:right="400" w:hanging="446"/>
        <w:spacing w:after="0" w:line="33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10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hanging="446"/>
        <w:spacing w:after="0" w:line="318" w:lineRule="auto"/>
        <w:tabs>
          <w:tab w:leader="none" w:pos="9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60" w:right="2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446"/>
        <w:spacing w:after="0" w:line="256"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62" w:lineRule="exact"/>
        <w:rPr>
          <w:sz w:val="20"/>
          <w:szCs w:val="20"/>
          <w:color w:val="auto"/>
        </w:rPr>
      </w:pPr>
    </w:p>
    <w:p>
      <w:pPr>
        <w:ind w:left="900" w:right="44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unit includes a share of common stock, the public offering price for the unit will reflect a price per share of common stock that equals or exceeds our then current net asset value per share, unless the requirements of Section 63 of the 1940 Act have been satisfied. Section 63 permits us to sell shares of common stock below our then current net asset value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net asset value per share in the 12 months preceding the offering and (3) the offering price closely approximates the market value of the common stock. If the Section 63 requirements are met, the price per share of common stock included in a unit may be below the Company’s then current net asset value per share. See “Sales of Common Stock Below Net Asset Value” for more information.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net asset value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Units may also include subscription rights to purchase shares of our common stock. We will not offer transferable subscription rights in a unit providing for subscription at a price below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net asset value per share of our common stock at the time of issuance of the unit (unless the Section 63 requirements are met).</w:t>
      </w:r>
    </w:p>
    <w:p>
      <w:pPr>
        <w:spacing w:after="0" w:line="85"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40" w:hanging="567"/>
        <w:spacing w:after="0" w:line="332" w:lineRule="auto"/>
        <w:tabs>
          <w:tab w:leader="none" w:pos="14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 w:lineRule="exact"/>
        <w:rPr>
          <w:rFonts w:ascii="Arial" w:cs="Arial" w:eastAsia="Arial" w:hAnsi="Arial"/>
          <w:sz w:val="16"/>
          <w:szCs w:val="16"/>
          <w:color w:val="auto"/>
        </w:rPr>
      </w:pPr>
    </w:p>
    <w:p>
      <w:pPr>
        <w:ind w:left="1480" w:right="540" w:hanging="567"/>
        <w:spacing w:after="0" w:line="259" w:lineRule="auto"/>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160" w:hanging="446"/>
        <w:spacing w:after="0" w:line="306"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We received exemptive relief from the SEC allowing us to modify the asset coverage requirement to exclude the SBA debentures from the calculation. For a discussion of the risks associated with leverage, see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“Risk Factors—Risks Relating to our Business and Structure—Regulations governing our operation as a business development company will affect our ability to, and the way in which we, raise additional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You may also obtain a copy of our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You may obtain information about how we voted proxies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filed as an exhibit to our annual report on Form 10-K (File No. 814-00736), filed on November 16, 2011.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459" w:right="2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8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37"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SBIC LP is licensed under the SBA as a SBIC under Section 301(c) of the 1958 Act. SBIC LP received its license in July 2010.</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Small Business Investment Companies are designed to stimulate the flow of capital to businesses that meet specified eligibility requirements discussed below. Under SBA regulations, SBIC LP is subject to regulatory requirements including making investments in SBA eligible businesses, investing at least 25% of regulatory capital in eligible smaller businesses, placing certain limitations on the financing terms of investments, prohibiting investing in certain industries, required capitalization thresholds, and is subject to periodic audits and examinations among other regulations. If SBIC LP subsidiary fails to comply with applicable SBA regulations, the SBA could, depending on the severity of the violation, limit or prohibit its use of debentures, declare outstanding debentures immediately due and payable, and/or limit SBIC LP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SBIC LP subsidiary is our wholly owned subsidiary.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SBIC LP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LP has invested in a company, it may continue to make follow-on investments in the company, regardless of the size of the business, up and until the time a business offers its securities in a public market.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SBA prohibits an SBIC from financing small businesses in certain industries such as relending, gambling, oil and gas exploration and other passive businesses. Additional SBA prohibitions include investing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outside the United States, investing more than 20% of regulatory capital in one company and lending money to any officer, director or employee or to invest in any affiliate thereof. The SBA places certain limits on the financing terms of investments by SBIC LP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SBA also prohibits, without prior written approval, a “change in control” of an SBIC LP or transfers that would result in any person or group owning 10% or more of a class of capital stock (or its equivalent in the case of a partnership) of a licensed Small Business Investment Company. A “change of control” is any event which would result in the transfer of power, direct or indirect, to direct management and policies of a Small Business Investment Company, whether through ownership, contractual arrangements or otherwise.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90" w:lineRule="exact"/>
        <w:rPr>
          <w:sz w:val="20"/>
          <w:szCs w:val="20"/>
          <w:color w:val="auto"/>
        </w:rPr>
      </w:pPr>
    </w:p>
    <w:p>
      <w:pPr>
        <w:ind w:left="900" w:right="240" w:hanging="446"/>
        <w:spacing w:after="0" w:line="26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right="20" w:firstLine="8"/>
        <w:spacing w:after="0" w:line="253" w:lineRule="auto"/>
        <w:tabs>
          <w:tab w:leader="none" w:pos="249" w:val="left"/>
        </w:tabs>
        <w:numPr>
          <w:ilvl w:val="0"/>
          <w:numId w:val="99"/>
        </w:numPr>
        <w:rPr>
          <w:rFonts w:ascii="Arial" w:cs="Arial" w:eastAsia="Arial" w:hAnsi="Arial"/>
          <w:sz w:val="18"/>
          <w:szCs w:val="18"/>
          <w:color w:val="auto"/>
        </w:rPr>
      </w:pPr>
      <w:r>
        <w:rPr>
          <w:rFonts w:ascii="Arial" w:cs="Arial" w:eastAsia="Arial" w:hAnsi="Arial"/>
          <w:sz w:val="18"/>
          <w:szCs w:val="18"/>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80" w:hanging="567"/>
        <w:spacing w:after="0" w:line="259" w:lineRule="auto"/>
        <w:tabs>
          <w:tab w:leader="none" w:pos="14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20" w:firstLine="8"/>
        <w:spacing w:after="0" w:line="253" w:lineRule="auto"/>
        <w:tabs>
          <w:tab w:leader="none" w:pos="24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62"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A Non-U.S. stockholder will also be subject to backup withholding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60" w:right="2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BNY Mellon Investment Servicing (US) Inc. (formerly PNC Global Investment Servicing, Inc.), a subsidiary of The Bank of New York Mellon, provides administrative and accounting services to us under a sub-administration and accounting services agreement. The Bank of New York Mellon (successor in interest of PFPC Trust Company) provides custodian services to us pursuant to a custodian services agreement. The principal business address of The Bank of New York Mellon is One Wall Street, New York, NY 10286. American Stock Transfer &amp; Trust Company acts as our transfer agent, distribution paying agent and registrar.</w:t>
      </w:r>
    </w:p>
    <w:p>
      <w:pPr>
        <w:spacing w:after="0" w:line="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 principal business address of American Stock Transfer &amp; Trust Company, LLC is P.O. Box 922, Wall Street Station, New York, New York 10269, telephone number: (800) 937-5449. American Stock Transfer &amp; Trust Company may also serve as trustee for offerings of our debt securities.</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Investment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40" w:top="459" w:right="3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6160" w:type="dxa"/>
            <w:vAlign w:val="bottom"/>
            <w:gridSpan w:val="9"/>
          </w:tcPr>
          <w:p>
            <w:pPr>
              <w:jc w:val="center"/>
              <w:ind w:right="14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20" w:type="dxa"/>
            <w:vAlign w:val="bottom"/>
          </w:tcPr>
          <w:p>
            <w:pPr>
              <w:spacing w:after="0"/>
              <w:rPr>
                <w:sz w:val="19"/>
                <w:szCs w:val="19"/>
                <w:color w:val="auto"/>
              </w:rPr>
            </w:pPr>
          </w:p>
        </w:tc>
      </w:tr>
      <w:tr>
        <w:trPr>
          <w:trHeight w:val="419"/>
        </w:trPr>
        <w:tc>
          <w:tcPr>
            <w:tcW w:w="9500" w:type="dxa"/>
            <w:vAlign w:val="bottom"/>
            <w:gridSpan w:val="10"/>
          </w:tcPr>
          <w:p>
            <w:pPr>
              <w:spacing w:after="0"/>
              <w:rPr>
                <w:sz w:val="20"/>
                <w:szCs w:val="20"/>
                <w:color w:val="auto"/>
              </w:rPr>
            </w:pPr>
            <w:r>
              <w:rPr>
                <w:rFonts w:ascii="Arial" w:cs="Arial" w:eastAsia="Arial" w:hAnsi="Arial"/>
                <w:sz w:val="18"/>
                <w:szCs w:val="18"/>
                <w:b w:val="1"/>
                <w:bCs w:val="1"/>
                <w:color w:val="auto"/>
              </w:rPr>
              <w:t>PennantPark Investment Corporation and subsidiaries</w:t>
            </w:r>
          </w:p>
        </w:tc>
        <w:tc>
          <w:tcPr>
            <w:tcW w:w="1820" w:type="dxa"/>
            <w:vAlign w:val="bottom"/>
          </w:tcPr>
          <w:p>
            <w:pPr>
              <w:spacing w:after="0"/>
              <w:rPr>
                <w:sz w:val="24"/>
                <w:szCs w:val="24"/>
                <w:color w:val="auto"/>
              </w:rPr>
            </w:pPr>
          </w:p>
        </w:tc>
      </w:tr>
      <w:tr>
        <w:trPr>
          <w:trHeight w:val="324"/>
        </w:trPr>
        <w:tc>
          <w:tcPr>
            <w:tcW w:w="9500" w:type="dxa"/>
            <w:vAlign w:val="bottom"/>
            <w:gridSpan w:val="10"/>
          </w:tcPr>
          <w:p>
            <w:pPr>
              <w:spacing w:after="0"/>
              <w:rPr>
                <w:sz w:val="20"/>
                <w:szCs w:val="20"/>
                <w:color w:val="auto"/>
              </w:rPr>
            </w:pPr>
            <w:r>
              <w:rPr>
                <w:rFonts w:ascii="Arial" w:cs="Arial" w:eastAsia="Arial" w:hAnsi="Arial"/>
                <w:sz w:val="18"/>
                <w:szCs w:val="18"/>
                <w:b w:val="1"/>
                <w:bCs w:val="1"/>
                <w:color w:val="auto"/>
              </w:rPr>
              <w:t>Annual Financial Statements</w:t>
            </w:r>
          </w:p>
        </w:tc>
        <w:tc>
          <w:tcPr>
            <w:tcW w:w="1820" w:type="dxa"/>
            <w:vAlign w:val="bottom"/>
          </w:tcPr>
          <w:p>
            <w:pPr>
              <w:spacing w:after="0"/>
              <w:rPr>
                <w:sz w:val="24"/>
                <w:szCs w:val="24"/>
                <w:color w:val="auto"/>
              </w:rPr>
            </w:pPr>
          </w:p>
        </w:tc>
      </w:tr>
      <w:tr>
        <w:trPr>
          <w:trHeight w:val="286"/>
        </w:trPr>
        <w:tc>
          <w:tcPr>
            <w:tcW w:w="47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64">
              <w:r>
                <w:rPr>
                  <w:rFonts w:ascii="Arial" w:cs="Arial" w:eastAsia="Arial" w:hAnsi="Arial"/>
                  <w:sz w:val="18"/>
                  <w:szCs w:val="18"/>
                  <w:color w:val="0000EE"/>
                  <w:w w:val="89"/>
                </w:rPr>
                <w:t>Management’s Report on Internal Control over Financial Reporting</w:t>
              </w:r>
            </w:hyperlink>
          </w:p>
        </w:tc>
        <w:tc>
          <w:tcPr>
            <w:tcW w:w="4740" w:type="dxa"/>
            <w:vAlign w:val="bottom"/>
            <w:gridSpan w:val="7"/>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Report of Independent Registered Public Accounting Firm</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Report of Independent Registered Public Accounting Firm On Internal Control Over Financial Reporting</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60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67">
              <w:r>
                <w:rPr>
                  <w:rFonts w:ascii="Arial" w:cs="Arial" w:eastAsia="Arial" w:hAnsi="Arial"/>
                  <w:sz w:val="18"/>
                  <w:szCs w:val="18"/>
                  <w:color w:val="0000EE"/>
                  <w:w w:val="87"/>
                </w:rPr>
                <w:t>Consolidated Statements of Assets and Liabilities as of September 30, 2011 and 2010</w:t>
              </w:r>
            </w:hyperlink>
          </w:p>
        </w:tc>
        <w:tc>
          <w:tcPr>
            <w:tcW w:w="1360" w:type="dxa"/>
            <w:vAlign w:val="bottom"/>
            <w:tcBorders>
              <w:top w:val="single" w:sz="8" w:color="0000EE"/>
            </w:tcBorders>
            <w:gridSpan w:val="3"/>
          </w:tcPr>
          <w:p>
            <w:pPr>
              <w:spacing w:after="0"/>
              <w:rPr>
                <w:sz w:val="24"/>
                <w:szCs w:val="24"/>
                <w:color w:val="auto"/>
              </w:rPr>
            </w:pPr>
          </w:p>
        </w:tc>
        <w:tc>
          <w:tcPr>
            <w:tcW w:w="2120" w:type="dxa"/>
            <w:vAlign w:val="bottom"/>
            <w:gridSpan w:val="2"/>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67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168">
              <w:r>
                <w:rPr>
                  <w:rFonts w:ascii="Arial" w:cs="Arial" w:eastAsia="Arial" w:hAnsi="Arial"/>
                  <w:sz w:val="18"/>
                  <w:szCs w:val="18"/>
                  <w:color w:val="0000EE"/>
                  <w:w w:val="86"/>
                </w:rPr>
                <w:t>Consolidated Statements of Operations for the years ended September 30, 2011, 2010 and 2009</w:t>
              </w:r>
            </w:hyperlink>
          </w:p>
        </w:tc>
        <w:tc>
          <w:tcPr>
            <w:tcW w:w="2780" w:type="dxa"/>
            <w:vAlign w:val="bottom"/>
            <w:gridSpan w:val="4"/>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75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169">
              <w:r>
                <w:rPr>
                  <w:rFonts w:ascii="Arial" w:cs="Arial" w:eastAsia="Arial" w:hAnsi="Arial"/>
                  <w:sz w:val="18"/>
                  <w:szCs w:val="18"/>
                  <w:color w:val="0000EE"/>
                  <w:w w:val="87"/>
                </w:rPr>
                <w:t>Consolidated Statements of Changes in Net Assets for the years ended September 30, 2011, 2010 and 2009</w:t>
              </w:r>
            </w:hyperlink>
          </w:p>
        </w:tc>
        <w:tc>
          <w:tcPr>
            <w:tcW w:w="19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Consolidated Statements of Cash Flows for the years ended September 30, 2011, 2010 and 2009</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5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175">
              <w:r>
                <w:rPr>
                  <w:rFonts w:ascii="Arial" w:cs="Arial" w:eastAsia="Arial" w:hAnsi="Arial"/>
                  <w:sz w:val="18"/>
                  <w:szCs w:val="18"/>
                  <w:color w:val="0000EE"/>
                  <w:w w:val="86"/>
                </w:rPr>
                <w:t>Consolidated Schedules of Investments as of September 30, 2011 and 2010</w:t>
              </w:r>
            </w:hyperlink>
          </w:p>
        </w:tc>
        <w:tc>
          <w:tcPr>
            <w:tcW w:w="1460" w:type="dxa"/>
            <w:vAlign w:val="bottom"/>
            <w:tcBorders>
              <w:top w:val="single" w:sz="8" w:color="0000EE"/>
            </w:tcBorders>
            <w:gridSpan w:val="3"/>
          </w:tcPr>
          <w:p>
            <w:pPr>
              <w:spacing w:after="0"/>
              <w:rPr>
                <w:sz w:val="24"/>
                <w:szCs w:val="24"/>
                <w:color w:val="auto"/>
              </w:rPr>
            </w:pPr>
          </w:p>
        </w:tc>
        <w:tc>
          <w:tcPr>
            <w:tcW w:w="2740" w:type="dxa"/>
            <w:vAlign w:val="bottom"/>
            <w:gridSpan w:val="3"/>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Notes to the Consolidated Financial Statements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F-17</w:t>
            </w:r>
          </w:p>
        </w:tc>
      </w:tr>
      <w:tr>
        <w:trPr>
          <w:trHeight w:val="383"/>
        </w:trPr>
        <w:tc>
          <w:tcPr>
            <w:tcW w:w="3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0" w:type="dxa"/>
            <w:vAlign w:val="bottom"/>
            <w:gridSpan w:val="6"/>
          </w:tcPr>
          <w:p>
            <w:pPr>
              <w:jc w:val="center"/>
              <w:ind w:right="3360"/>
              <w:spacing w:after="0"/>
              <w:rPr>
                <w:sz w:val="20"/>
                <w:szCs w:val="20"/>
                <w:color w:val="auto"/>
              </w:rPr>
            </w:pPr>
            <w:r>
              <w:rPr>
                <w:rFonts w:ascii="Arial" w:cs="Arial" w:eastAsia="Arial" w:hAnsi="Arial"/>
                <w:sz w:val="18"/>
                <w:szCs w:val="18"/>
                <w:color w:val="auto"/>
                <w:w w:val="88"/>
              </w:rPr>
              <w:t>F-1</w:t>
            </w:r>
          </w:p>
        </w:tc>
        <w:tc>
          <w:tcPr>
            <w:tcW w:w="182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management of PennantPark Investment Corporation and its Subsidiaries, (except where the context suggests otherwise, the terms “we,” “us,” “our” and “PennantPark Investment” refer to PennantPark Investment Corporation and its Subsidiaries), are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2011.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2011,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PennantPark Investment’s independent registered public accounting firm that audited the financial statements has issued an audit report on the effectiveness of our internal control over financial reporting as of September 30, 2011. This report appears on page F-3.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2011 and 2010, and the related consolidated statements of operations, changes in net assets, and cash flows for the years ended September 30, 2011, 2010 and 2009.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Investment Corporation and its Subsidiaries as of September 30, 2011 and 2010, and the results of their operations and their cash flows for the years ended September 30, 2011, 2010 and 2009, in conformity with U.S. generally accepted accounting principles.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and our report dated November 16, 2011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2011,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63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In our opinion, PennantPark Investment Corporation and its Subsidiaries maintained, in all material respects, effective internal control over financial reporting as of September 30,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2011 and 2010, and the related statements of operations, changes in net assets, and cash flows for the years ended September 30, 2011, 2010 and 2009, and our report dated November 16, 2011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773,375,381</w:t>
            </w:r>
          </w:p>
        </w:tc>
        <w:tc>
          <w:tcPr>
            <w:tcW w:w="44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641,290,626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(cost—$816,078,311 and $631,280,755, respectively)</w:t>
            </w: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Non-controlled, affiliated 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(cost—$36,744,425 and $17,427,648,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40,673,133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15,433,680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 affiliated investments, at fair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(cost—$13,500,100 and $8,000,100, respectively)</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13,500,001</w:t>
            </w:r>
          </w:p>
        </w:tc>
        <w:tc>
          <w:tcPr>
            <w:tcW w:w="4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 of Investments, at fair value (cost—$866,322,836 and $656,708,503,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827,548,515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664,724,406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71,604,519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10,878,236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12,814,096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13,118,967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30,254,774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5,587,977</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928,738,214</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12,336,241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18,572,499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52,785,000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37,132,151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22,203,434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Credit facility payable (cost—$240,900,000 and $233,100,000, respectively), (See Notes 5 and 11)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238,792,125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219,141,125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(cost—$150,000,000 and $14,500,000, respectively), (See Notes 5 and 11)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687,362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4,008,054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3,773,829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2,239,011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778,757</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466,081,018</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324,918,623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Common stock, 45,689,781 and 36,158,772 shares are issued and outstanding, respectively.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780" w:type="dxa"/>
            <w:vAlign w:val="bottom"/>
            <w:gridSpan w:val="2"/>
          </w:tcPr>
          <w:p>
            <w:pPr>
              <w:spacing w:after="0"/>
              <w:rPr>
                <w:sz w:val="20"/>
                <w:szCs w:val="20"/>
                <w:color w:val="auto"/>
              </w:rPr>
            </w:pPr>
            <w:r>
              <w:rPr>
                <w:rFonts w:ascii="Arial" w:cs="Arial" w:eastAsia="Arial" w:hAnsi="Arial"/>
                <w:sz w:val="18"/>
                <w:szCs w:val="18"/>
                <w:color w:val="auto"/>
              </w:rPr>
              <w:t>Par value is $0.001 per share and 100,000,000 shares are authorized.</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45,690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540,603,020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428,675,184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8,326,854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(49,651,922)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(65,911,544)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(38,774,321)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8,015,903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13,958,875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462,657,196</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386,575,223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928,738,214</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89"/>
              </w:rPr>
              <w:t>Years ended September 30,</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83,632,455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57,467,862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43,613,233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4,726,387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1,069,514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2,217,320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1,392,381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1,162,333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91,738,495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60,139,757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45,118,771</w:t>
            </w:r>
          </w:p>
        </w:tc>
        <w:tc>
          <w:tcPr>
            <w:tcW w:w="0" w:type="dxa"/>
            <w:vAlign w:val="bottom"/>
          </w:tcPr>
          <w:p>
            <w:pPr>
              <w:spacing w:after="0"/>
              <w:rPr>
                <w:sz w:val="1"/>
                <w:szCs w:val="1"/>
                <w:color w:val="auto"/>
              </w:rPr>
            </w:pPr>
          </w:p>
        </w:tc>
      </w:tr>
      <w:tr>
        <w:trPr>
          <w:trHeight w:val="33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14,899,983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11,618,773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13,161,597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8,018,309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5,683,388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and SBA debentures (See Note 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5,322,231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3,672,444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2,596,756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2,328,210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2,319,759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2,884,029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2,329,110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Expenses before income tax</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38,864,596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27,966,846</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22,399,856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39,093,420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28,065,140</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22,399,856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52,645,075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32,074,617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22,718,915</w:t>
            </w:r>
          </w:p>
        </w:tc>
        <w:tc>
          <w:tcPr>
            <w:tcW w:w="0" w:type="dxa"/>
            <w:vAlign w:val="bottom"/>
          </w:tcPr>
          <w:p>
            <w:pPr>
              <w:spacing w:after="0"/>
              <w:rPr>
                <w:sz w:val="1"/>
                <w:szCs w:val="1"/>
                <w:color w:val="auto"/>
              </w:rPr>
            </w:pPr>
          </w:p>
        </w:tc>
      </w:tr>
      <w:tr>
        <w:trPr>
          <w:trHeight w:val="221"/>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16,259,622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(15,417,097)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(45,350,345)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36,275,341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46,954,325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Non-controlled and controlled, affiliated investments</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(1,439,878)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(731,625)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(2,455,952)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(appreciation) depreciation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(See Note 5 and 11)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(11,851,000)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(35,665,745)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7,828,620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change in unrealized (depreciation) appreciation</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(58,641,223)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(122,029)</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52,326,993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(42,381,601)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(15,539,126)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13,083,114</w:t>
            </w:r>
          </w:p>
        </w:tc>
        <w:tc>
          <w:tcPr>
            <w:tcW w:w="0" w:type="dxa"/>
            <w:vAlign w:val="bottom"/>
          </w:tcPr>
          <w:p>
            <w:pPr>
              <w:spacing w:after="0"/>
              <w:rPr>
                <w:sz w:val="1"/>
                <w:szCs w:val="1"/>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10,263,474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16,535,491</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35,802,029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7"/>
              </w:rPr>
              <w:t>Years ended 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52,645,075</w:t>
            </w:r>
          </w:p>
        </w:tc>
        <w:tc>
          <w:tcPr>
            <w:tcW w:w="1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32,074,617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22,718,915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gain(loss) on investments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16,259,622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(15,417,097)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(46,790,223)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35,543,716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44,498,373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(11,851,000)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(35,665,745)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10,263,474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16,535,491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35,802,029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Distributions from net investment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(46,347,691)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(32,264,036)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(20,226,021)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Public offering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114,080,000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107,710,000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34,400,000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(5,743,800)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(5,986,500)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Reinvestment of dividends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3,829,990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76,081,973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85,994,955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48,056,008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386,575,223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300,580,268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210,728,260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(See Note 5)</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41,796,000</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year balance</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386,575,223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300,580,268</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252,524,260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6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462,657,196</w:t>
            </w:r>
          </w:p>
        </w:tc>
        <w:tc>
          <w:tcPr>
            <w:tcW w:w="14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386,575,223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300,580,268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year end</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8,326,854</w:t>
            </w:r>
          </w:p>
        </w:tc>
        <w:tc>
          <w:tcPr>
            <w:tcW w:w="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1,800,646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1,890,235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public offerings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10,790,000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Shares issued from reinvestment of dividends</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331,011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2"/>
              </w:rPr>
              <w:t>Years ended September 30,</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10,263,474</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16,535,491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35,802,029</w:t>
            </w:r>
          </w:p>
        </w:tc>
        <w:tc>
          <w:tcPr>
            <w:tcW w:w="0" w:type="dxa"/>
            <w:vAlign w:val="bottom"/>
          </w:tcPr>
          <w:p>
            <w:pPr>
              <w:spacing w:after="0"/>
              <w:rPr>
                <w:sz w:val="1"/>
                <w:szCs w:val="1"/>
                <w:color w:val="auto"/>
              </w:rPr>
            </w:pPr>
          </w:p>
        </w:tc>
      </w:tr>
      <w:tr>
        <w:trPr>
          <w:trHeight w:val="208"/>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Adjustments to reconcile net increase in net assets resulting from operations to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used for operating 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Net change in net unrealized depreciation (appreciation) on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46,790,223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(35,543,716)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(44,498,373)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35,665,745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(7,828,620)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(16,259,622)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15,417,097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39,243,879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(6,745,834)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(4,203,920)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(2,890,687)</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(479,733,669)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(309,455,078)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(112,693,490)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(10,883,750)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(6,416,075)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(4,729,590)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304,008,543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145,237,359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27,956,008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1,935,860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(7,275,040)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507,143</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Decrease (Increase) in receivables for investments sold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17,135,807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(27,528,767)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payables for investments purchased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(34,212,501)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33,295,475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19,489,525</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Increase in unfunded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14,928,717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15,872,049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7"/>
              </w:rPr>
              <w:t>Increase (Decrease) in interest payable on credit facility and SBA debentures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472,227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142,347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(652,529)</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Decrease (Increase) in prepaid expenses and other assets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749,017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(90,927)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258,912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721,238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1,066,706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2,134,214</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1,534,818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730,847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1,385,131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accrued other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(368,064)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(500,423)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555,556</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130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(137,812,516)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(127,050,830)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(42,355,514)</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Public offering</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114,080,000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107,710,000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34,400,000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(5,743,800)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(5,986,500)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(1,920,000)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Distributions paid</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(39,582,741)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(27,919,260)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(20,226,021)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SBA debentures (See Note 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135,500,000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Capitalized borrowing costs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(4,450,875)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(686,625)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 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701,900,000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256,000,000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169,600,000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 11)</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(694,100,000)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(248,000,000)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(146,500,000)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207,602,584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95,617,615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35,353,979</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69,790,068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(31,433,215)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(7,001,535)</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year</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33,247,666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40,249,201</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Cash equivalents, end of year</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71,604,519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1,814,451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Supplemental disclosure of cash flow information and non-cash activity (See Note 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4,149,149</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3,161,048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5,014,055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98,294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Dividend reinvested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3,829,990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8"/>
              </w:rPr>
              <w:t>Above</w:t>
            </w:r>
          </w:p>
        </w:tc>
        <w:tc>
          <w:tcPr>
            <w:tcW w:w="2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5"/>
              </w:rPr>
              <w:t>Maturity</w:t>
            </w:r>
          </w:p>
        </w:tc>
        <w:tc>
          <w:tcPr>
            <w:tcW w:w="900" w:type="dxa"/>
            <w:vAlign w:val="bottom"/>
          </w:tcPr>
          <w:p>
            <w:pPr>
              <w:spacing w:after="0"/>
              <w:rPr>
                <w:sz w:val="12"/>
                <w:szCs w:val="12"/>
                <w:color w:val="auto"/>
              </w:rPr>
            </w:pPr>
          </w:p>
        </w:tc>
        <w:tc>
          <w:tcPr>
            <w:tcW w:w="152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3"/>
              </w:rPr>
              <w:t>Coupon</w:t>
            </w:r>
          </w:p>
        </w:tc>
        <w:tc>
          <w:tcPr>
            <w:tcW w:w="720" w:type="dxa"/>
            <w:vAlign w:val="bottom"/>
            <w:gridSpan w:val="2"/>
          </w:tcPr>
          <w:p>
            <w:pPr>
              <w:jc w:val="center"/>
              <w:ind w:right="20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20" w:type="dxa"/>
            <w:vAlign w:val="bottom"/>
          </w:tcPr>
          <w:p>
            <w:pPr>
              <w:spacing w:after="0"/>
              <w:rPr>
                <w:sz w:val="12"/>
                <w:szCs w:val="12"/>
                <w:color w:val="auto"/>
              </w:rPr>
            </w:pPr>
          </w:p>
        </w:tc>
        <w:tc>
          <w:tcPr>
            <w:tcW w:w="6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82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w:t>
            </w: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Companies—167.2%</w:t>
            </w:r>
            <w:r>
              <w:rPr>
                <w:rFonts w:ascii="Arial" w:cs="Arial" w:eastAsia="Arial" w:hAnsi="Arial"/>
                <w:sz w:val="20"/>
                <w:szCs w:val="20"/>
                <w:b w:val="1"/>
                <w:bCs w:val="1"/>
                <w:color w:val="auto"/>
                <w:vertAlign w:val="superscript"/>
              </w:rPr>
              <w:t>(1),(2)</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Debt—60.6%</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American Surgical Holdings, Inc.</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3/23/2015</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14.00%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$20,300,000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$ 19,748,930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$ 20,300,000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10/1/2016</w:t>
            </w:r>
          </w:p>
        </w:tc>
        <w:tc>
          <w:tcPr>
            <w:tcW w:w="900" w:type="dxa"/>
            <w:vAlign w:val="bottom"/>
          </w:tcPr>
          <w:p>
            <w:pPr>
              <w:spacing w:after="0"/>
              <w:rPr>
                <w:sz w:val="12"/>
                <w:szCs w:val="12"/>
                <w:color w:val="auto"/>
              </w:rPr>
            </w:pPr>
          </w:p>
        </w:tc>
        <w:tc>
          <w:tcPr>
            <w:tcW w:w="1520" w:type="dxa"/>
            <w:vAlign w:val="bottom"/>
            <w:gridSpan w:val="2"/>
          </w:tcPr>
          <w:p>
            <w:pPr>
              <w:jc w:val="center"/>
              <w:ind w:right="980"/>
              <w:spacing w:after="0" w:line="149" w:lineRule="exact"/>
              <w:rPr>
                <w:sz w:val="20"/>
                <w:szCs w:val="20"/>
                <w:color w:val="auto"/>
              </w:rPr>
            </w:pPr>
            <w:r>
              <w:rPr>
                <w:rFonts w:ascii="Arial" w:cs="Arial" w:eastAsia="Arial" w:hAnsi="Arial"/>
                <w:sz w:val="14"/>
                <w:szCs w:val="14"/>
                <w:color w:val="auto"/>
                <w:w w:val="91"/>
              </w:rPr>
              <w:t>Logistics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7,328,729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7,331,250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4/1/2018</w:t>
            </w:r>
          </w:p>
        </w:tc>
        <w:tc>
          <w:tcPr>
            <w:tcW w:w="9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980"/>
              <w:spacing w:after="0" w:line="149" w:lineRule="exact"/>
              <w:rPr>
                <w:sz w:val="20"/>
                <w:szCs w:val="20"/>
                <w:color w:val="auto"/>
              </w:rPr>
            </w:pPr>
            <w:r>
              <w:rPr>
                <w:rFonts w:ascii="Arial" w:cs="Arial" w:eastAsia="Arial" w:hAnsi="Arial"/>
                <w:sz w:val="14"/>
                <w:szCs w:val="14"/>
                <w:color w:val="auto"/>
                <w:w w:val="91"/>
              </w:rPr>
              <w:t>Logistics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988,872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7/29/2016</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L+988</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11,358,254</w:t>
            </w:r>
          </w:p>
        </w:tc>
        <w:tc>
          <w:tcPr>
            <w:tcW w:w="9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11,024,166</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11,310,924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9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11/20/2014</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Communications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1"/>
                <w:szCs w:val="11"/>
                <w:color w:val="auto"/>
              </w:rPr>
              <w:t>Covad Communications Group, Inc.</w:t>
            </w:r>
            <w:r>
              <w:rPr>
                <w:rFonts w:ascii="Arial" w:cs="Arial" w:eastAsia="Arial" w:hAnsi="Arial"/>
                <w:sz w:val="17"/>
                <w:szCs w:val="17"/>
                <w:color w:val="auto"/>
                <w:vertAlign w:val="superscript"/>
              </w:rPr>
              <w:t>(5)</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11/3/2015</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Telecommunications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6,475,000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6,362,696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6,345,500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Good Sam Enterprises, LLC</w:t>
            </w:r>
            <w:r>
              <w:rPr>
                <w:rFonts w:ascii="Arial" w:cs="Arial" w:eastAsia="Arial" w:hAnsi="Arial"/>
                <w:sz w:val="15"/>
                <w:szCs w:val="15"/>
                <w:color w:val="auto"/>
                <w:vertAlign w:val="superscript"/>
              </w:rPr>
              <w:t>(5)</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(f/k/a Affinity Group Holdings Inc.)</w:t>
            </w:r>
          </w:p>
        </w:tc>
        <w:tc>
          <w:tcPr>
            <w:tcW w:w="92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6"/>
              </w:rPr>
              <w:t>12/1/2016</w:t>
            </w:r>
          </w:p>
        </w:tc>
        <w:tc>
          <w:tcPr>
            <w:tcW w:w="2420" w:type="dxa"/>
            <w:vAlign w:val="bottom"/>
            <w:gridSpan w:val="3"/>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12,000,000</w:t>
            </w:r>
          </w:p>
        </w:tc>
        <w:tc>
          <w:tcPr>
            <w:tcW w:w="920" w:type="dxa"/>
            <w:vAlign w:val="bottom"/>
            <w:gridSpan w:val="5"/>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11,759,625</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11,220,000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3/10/2014</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2.56%</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8,662,500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8,662,500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4,222,969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70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8"/>
              </w:rPr>
              <w:t>8/7/2014</w:t>
            </w:r>
          </w:p>
        </w:tc>
        <w:tc>
          <w:tcPr>
            <w:tcW w:w="2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Printing and Publishing</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14.50%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24,625,000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24,227,464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25,683,875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tcPr>
          <w:p>
            <w:pPr>
              <w:spacing w:after="0" w:line="138" w:lineRule="exact"/>
              <w:rPr>
                <w:sz w:val="20"/>
                <w:szCs w:val="20"/>
                <w:color w:val="auto"/>
              </w:rPr>
            </w:pPr>
            <w:r>
              <w:rPr>
                <w:rFonts w:ascii="Arial" w:cs="Arial" w:eastAsia="Arial" w:hAnsi="Arial"/>
                <w:sz w:val="14"/>
                <w:szCs w:val="14"/>
                <w:color w:val="auto"/>
              </w:rPr>
              <w:t>Interactive Health Solutions, Inc.</w:t>
            </w:r>
          </w:p>
        </w:tc>
        <w:tc>
          <w:tcPr>
            <w:tcW w:w="92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6"/>
              </w:rPr>
              <w:t>10/4/2016</w:t>
            </w:r>
          </w:p>
        </w:tc>
        <w:tc>
          <w:tcPr>
            <w:tcW w:w="24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11.50%</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L+950</w:t>
            </w:r>
            <w:r>
              <w:rPr>
                <w:rFonts w:ascii="Arial" w:cs="Arial" w:eastAsia="Arial" w:hAnsi="Arial"/>
                <w:sz w:val="15"/>
                <w:szCs w:val="15"/>
                <w:color w:val="auto"/>
                <w:vertAlign w:val="superscript"/>
              </w:rPr>
              <w:t>(8)</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19,000,000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18,572,500</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18,572,500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Jacuzzi Brands Corp.</w:t>
            </w:r>
          </w:p>
        </w:tc>
        <w:tc>
          <w:tcPr>
            <w:tcW w:w="700" w:type="dxa"/>
            <w:vAlign w:val="bottom"/>
            <w:gridSpan w:val="2"/>
            <w:shd w:val="clear" w:color="auto" w:fill="CCEEFF"/>
          </w:tcPr>
          <w:p>
            <w:pPr>
              <w:jc w:val="center"/>
              <w:ind w:left="112"/>
              <w:spacing w:after="0" w:line="139" w:lineRule="exact"/>
              <w:rPr>
                <w:sz w:val="20"/>
                <w:szCs w:val="20"/>
                <w:color w:val="auto"/>
              </w:rPr>
            </w:pPr>
            <w:r>
              <w:rPr>
                <w:rFonts w:ascii="Arial" w:cs="Arial" w:eastAsia="Arial" w:hAnsi="Arial"/>
                <w:sz w:val="14"/>
                <w:szCs w:val="14"/>
                <w:color w:val="auto"/>
                <w:w w:val="88"/>
              </w:rPr>
              <w:t>2/7/2014</w:t>
            </w:r>
          </w:p>
        </w:tc>
        <w:tc>
          <w:tcPr>
            <w:tcW w:w="2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color w:val="auto"/>
                <w:w w:val="89"/>
              </w:rPr>
              <w:t>Home and Office</w:t>
            </w:r>
          </w:p>
        </w:tc>
        <w:tc>
          <w:tcPr>
            <w:tcW w:w="86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4"/>
                <w:szCs w:val="14"/>
                <w:color w:val="auto"/>
              </w:rPr>
              <w:t>2.51%</w:t>
            </w:r>
          </w:p>
        </w:tc>
        <w:tc>
          <w:tcPr>
            <w:tcW w:w="72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4"/>
                <w:szCs w:val="14"/>
                <w:color w:val="auto"/>
              </w:rPr>
              <w:t>L+225</w:t>
            </w:r>
          </w:p>
        </w:tc>
        <w:tc>
          <w:tcPr>
            <w:tcW w:w="840" w:type="dxa"/>
            <w:vAlign w:val="bottom"/>
            <w:gridSpan w:val="3"/>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9,671,622</w:t>
            </w: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9,671,622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6,866,851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Furnishings, Housewares</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and Durable Consumer</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000"/>
              <w:spacing w:after="0"/>
              <w:rPr>
                <w:sz w:val="20"/>
                <w:szCs w:val="20"/>
                <w:color w:val="auto"/>
              </w:rPr>
            </w:pPr>
            <w:r>
              <w:rPr>
                <w:rFonts w:ascii="Arial" w:cs="Arial" w:eastAsia="Arial" w:hAnsi="Arial"/>
                <w:sz w:val="14"/>
                <w:szCs w:val="14"/>
                <w:color w:val="auto"/>
                <w:w w:val="86"/>
              </w:rPr>
              <w:t>Products</w:t>
            </w: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2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92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6"/>
              </w:rPr>
              <w:t>9/10/2015</w:t>
            </w:r>
          </w:p>
        </w:tc>
        <w:tc>
          <w:tcPr>
            <w:tcW w:w="24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6"/>
              </w:rPr>
              <w:t>Chemicals, Plastics and</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10.00%</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P+675</w:t>
            </w:r>
            <w:r>
              <w:rPr>
                <w:rFonts w:ascii="Arial" w:cs="Arial" w:eastAsia="Arial" w:hAnsi="Arial"/>
                <w:sz w:val="15"/>
                <w:szCs w:val="15"/>
                <w:color w:val="auto"/>
                <w:vertAlign w:val="superscript"/>
              </w:rPr>
              <w:t>(8)</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18,952,500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18,002,959</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18,004,875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gridSpan w:val="2"/>
          </w:tcPr>
          <w:p>
            <w:pPr>
              <w:jc w:val="center"/>
              <w:ind w:right="1000"/>
              <w:spacing w:after="0"/>
              <w:rPr>
                <w:sz w:val="20"/>
                <w:szCs w:val="20"/>
                <w:color w:val="auto"/>
              </w:rPr>
            </w:pPr>
            <w:r>
              <w:rPr>
                <w:rFonts w:ascii="Arial" w:cs="Arial" w:eastAsia="Arial" w:hAnsi="Arial"/>
                <w:sz w:val="14"/>
                <w:szCs w:val="14"/>
                <w:color w:val="auto"/>
                <w:w w:val="87"/>
              </w:rPr>
              <w:t>Rubber</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Kadmon Pharmaceuticals, LLC</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7"/>
              </w:rPr>
              <w:t>Healthcare, Education</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w w:val="89"/>
              </w:rPr>
              <w:t>L+1,300</w:t>
            </w:r>
            <w:r>
              <w:rPr>
                <w:rFonts w:ascii="Arial" w:cs="Arial" w:eastAsia="Arial" w:hAnsi="Arial"/>
                <w:sz w:val="22"/>
                <w:szCs w:val="22"/>
                <w:color w:val="auto"/>
                <w:w w:val="89"/>
                <w:vertAlign w:val="superscript"/>
              </w:rPr>
              <w:t>(8)</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(f/k/a Three Rivers Pharmaceutical, L.L.C.)</w:t>
            </w:r>
          </w:p>
        </w:tc>
        <w:tc>
          <w:tcPr>
            <w:tcW w:w="920" w:type="dxa"/>
            <w:vAlign w:val="bottom"/>
            <w:gridSpan w:val="3"/>
            <w:shd w:val="clear" w:color="auto" w:fill="CCEEFF"/>
          </w:tcPr>
          <w:p>
            <w:pPr>
              <w:jc w:val="center"/>
              <w:ind w:right="20"/>
              <w:spacing w:after="0"/>
              <w:rPr>
                <w:sz w:val="20"/>
                <w:szCs w:val="20"/>
                <w:color w:val="auto"/>
              </w:rPr>
            </w:pPr>
            <w:r>
              <w:rPr>
                <w:rFonts w:ascii="Arial" w:cs="Arial" w:eastAsia="Arial" w:hAnsi="Arial"/>
                <w:sz w:val="14"/>
                <w:szCs w:val="14"/>
                <w:color w:val="auto"/>
                <w:w w:val="88"/>
              </w:rPr>
              <w:t>10/22/2011</w:t>
            </w:r>
          </w:p>
        </w:tc>
        <w:tc>
          <w:tcPr>
            <w:tcW w:w="24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color w:val="auto"/>
                <w:w w:val="87"/>
              </w:rPr>
              <w:t>and Childcare</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15.00%</w:t>
            </w:r>
          </w:p>
        </w:tc>
        <w:tc>
          <w:tcPr>
            <w:tcW w:w="720" w:type="dxa"/>
            <w:vAlign w:val="bottom"/>
            <w:gridSpan w:val="2"/>
            <w:vMerge w:val="continue"/>
            <w:shd w:val="clear" w:color="auto" w:fill="CCEEFF"/>
          </w:tcPr>
          <w:p>
            <w:pPr>
              <w:spacing w:after="0"/>
              <w:rPr>
                <w:sz w:val="15"/>
                <w:szCs w:val="15"/>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29,066,987</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27,940,332</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30,811,006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20" w:type="dxa"/>
            <w:vAlign w:val="bottom"/>
            <w:gridSpan w:val="2"/>
          </w:tcPr>
          <w:p>
            <w:pPr>
              <w:spacing w:after="0" w:line="122" w:lineRule="exact"/>
              <w:rPr>
                <w:sz w:val="20"/>
                <w:szCs w:val="20"/>
                <w:color w:val="auto"/>
              </w:rPr>
            </w:pPr>
            <w:r>
              <w:rPr>
                <w:rFonts w:ascii="Arial" w:cs="Arial" w:eastAsia="Arial" w:hAnsi="Arial"/>
                <w:sz w:val="14"/>
                <w:szCs w:val="14"/>
                <w:color w:val="auto"/>
              </w:rPr>
              <w:t>Learning Care Group, Inc.</w:t>
            </w:r>
          </w:p>
        </w:tc>
        <w:tc>
          <w:tcPr>
            <w:tcW w:w="92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86"/>
              </w:rPr>
              <w:t>4/27/2016</w:t>
            </w:r>
          </w:p>
        </w:tc>
        <w:tc>
          <w:tcPr>
            <w:tcW w:w="2420" w:type="dxa"/>
            <w:vAlign w:val="bottom"/>
            <w:gridSpan w:val="3"/>
          </w:tcPr>
          <w:p>
            <w:pPr>
              <w:jc w:val="center"/>
              <w:ind w:right="100"/>
              <w:spacing w:after="0" w:line="122" w:lineRule="exact"/>
              <w:rPr>
                <w:sz w:val="20"/>
                <w:szCs w:val="20"/>
                <w:color w:val="auto"/>
              </w:rPr>
            </w:pPr>
            <w:r>
              <w:rPr>
                <w:rFonts w:ascii="Arial" w:cs="Arial" w:eastAsia="Arial" w:hAnsi="Arial"/>
                <w:sz w:val="14"/>
                <w:szCs w:val="14"/>
                <w:color w:val="auto"/>
                <w:w w:val="89"/>
              </w:rPr>
              <w:t>Education</w:t>
            </w:r>
          </w:p>
        </w:tc>
        <w:tc>
          <w:tcPr>
            <w:tcW w:w="86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22" w:lineRule="exact"/>
              <w:rPr>
                <w:sz w:val="20"/>
                <w:szCs w:val="20"/>
                <w:color w:val="auto"/>
              </w:rPr>
            </w:pPr>
            <w:r>
              <w:rPr>
                <w:rFonts w:ascii="Arial" w:cs="Arial" w:eastAsia="Arial" w:hAnsi="Arial"/>
                <w:sz w:val="14"/>
                <w:szCs w:val="14"/>
                <w:color w:val="auto"/>
              </w:rPr>
              <w:t>26,052,632</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25,555,967</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25,401,316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70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8/1/2014</w:t>
            </w:r>
          </w:p>
        </w:tc>
        <w:tc>
          <w:tcPr>
            <w:tcW w:w="220" w:type="dxa"/>
            <w:vAlign w:val="bottom"/>
          </w:tcPr>
          <w:p>
            <w:pPr>
              <w:spacing w:after="0"/>
              <w:rPr>
                <w:sz w:val="12"/>
                <w:szCs w:val="12"/>
                <w:color w:val="auto"/>
              </w:rPr>
            </w:pP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37,779,699</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32,241,162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26,130,971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Arial" w:cs="Arial" w:eastAsia="Arial" w:hAnsi="Arial"/>
                <w:sz w:val="14"/>
                <w:szCs w:val="14"/>
                <w:color w:val="auto"/>
              </w:rPr>
              <w:t>Prepaid Legal Services, Inc., Tranche A</w:t>
            </w:r>
          </w:p>
        </w:tc>
        <w:tc>
          <w:tcPr>
            <w:tcW w:w="92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12/30/2016</w:t>
            </w:r>
          </w:p>
        </w:tc>
        <w:tc>
          <w:tcPr>
            <w:tcW w:w="242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Personal, Food and</w:t>
            </w:r>
          </w:p>
        </w:tc>
        <w:tc>
          <w:tcPr>
            <w:tcW w:w="860" w:type="dxa"/>
            <w:vAlign w:val="bottom"/>
            <w:gridSpan w:val="2"/>
          </w:tcPr>
          <w:p>
            <w:pPr>
              <w:jc w:val="right"/>
              <w:ind w:right="140"/>
              <w:spacing w:after="0" w:line="165" w:lineRule="exact"/>
              <w:rPr>
                <w:sz w:val="20"/>
                <w:szCs w:val="20"/>
                <w:color w:val="auto"/>
              </w:rPr>
            </w:pPr>
            <w:r>
              <w:rPr>
                <w:rFonts w:ascii="Arial" w:cs="Arial" w:eastAsia="Arial" w:hAnsi="Arial"/>
                <w:sz w:val="12"/>
                <w:szCs w:val="12"/>
                <w:color w:val="auto"/>
              </w:rPr>
              <w:t>7.50%</w:t>
            </w:r>
            <w:r>
              <w:rPr>
                <w:rFonts w:ascii="Arial" w:cs="Arial" w:eastAsia="Arial" w:hAnsi="Arial"/>
                <w:sz w:val="19"/>
                <w:szCs w:val="19"/>
                <w:color w:val="auto"/>
                <w:vertAlign w:val="superscript"/>
              </w:rPr>
              <w:t>(6)</w:t>
            </w:r>
          </w:p>
        </w:tc>
        <w:tc>
          <w:tcPr>
            <w:tcW w:w="720" w:type="dxa"/>
            <w:vAlign w:val="bottom"/>
            <w:gridSpan w:val="2"/>
          </w:tcPr>
          <w:p>
            <w:pPr>
              <w:jc w:val="right"/>
              <w:ind w:right="80"/>
              <w:spacing w:after="0" w:line="165" w:lineRule="exact"/>
              <w:rPr>
                <w:sz w:val="20"/>
                <w:szCs w:val="20"/>
                <w:color w:val="auto"/>
              </w:rPr>
            </w:pPr>
            <w:r>
              <w:rPr>
                <w:rFonts w:ascii="Arial" w:cs="Arial" w:eastAsia="Arial" w:hAnsi="Arial"/>
                <w:sz w:val="12"/>
                <w:szCs w:val="12"/>
                <w:color w:val="auto"/>
              </w:rPr>
              <w:t>L+600</w:t>
            </w:r>
            <w:r>
              <w:rPr>
                <w:rFonts w:ascii="Arial" w:cs="Arial" w:eastAsia="Arial" w:hAnsi="Arial"/>
                <w:sz w:val="19"/>
                <w:szCs w:val="19"/>
                <w:color w:val="auto"/>
                <w:vertAlign w:val="superscript"/>
              </w:rPr>
              <w:t>(8)</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2,000,000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1,970,966</w:t>
            </w:r>
          </w:p>
        </w:tc>
        <w:tc>
          <w:tcPr>
            <w:tcW w:w="8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Miscellaneous Services</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11.00%</w:t>
            </w:r>
            <w:r>
              <w:rPr>
                <w:rFonts w:ascii="Arial" w:cs="Arial" w:eastAsia="Arial" w:hAnsi="Arial"/>
                <w:sz w:val="22"/>
                <w:szCs w:val="22"/>
                <w:color w:val="auto"/>
                <w:vertAlign w:val="superscript"/>
              </w:rPr>
              <w:t>(6)</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L+950</w:t>
            </w:r>
            <w:r>
              <w:rPr>
                <w:rFonts w:ascii="Arial" w:cs="Arial" w:eastAsia="Arial" w:hAnsi="Arial"/>
                <w:sz w:val="22"/>
                <w:szCs w:val="22"/>
                <w:color w:val="auto"/>
                <w:vertAlign w:val="superscript"/>
              </w:rPr>
              <w:t>(8)</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820" w:type="dxa"/>
            <w:vAlign w:val="bottom"/>
            <w:gridSpan w:val="2"/>
          </w:tcPr>
          <w:p>
            <w:pPr>
              <w:spacing w:after="0" w:line="139" w:lineRule="exact"/>
              <w:rPr>
                <w:sz w:val="20"/>
                <w:szCs w:val="20"/>
                <w:color w:val="auto"/>
              </w:rPr>
            </w:pPr>
            <w:r>
              <w:rPr>
                <w:rFonts w:ascii="Arial" w:cs="Arial" w:eastAsia="Arial" w:hAnsi="Arial"/>
                <w:sz w:val="14"/>
                <w:szCs w:val="14"/>
                <w:color w:val="auto"/>
              </w:rPr>
              <w:t>Prepaid Legal Services, Inc., Tranche B</w:t>
            </w:r>
          </w:p>
        </w:tc>
        <w:tc>
          <w:tcPr>
            <w:tcW w:w="920" w:type="dxa"/>
            <w:vAlign w:val="bottom"/>
            <w:gridSpan w:val="3"/>
          </w:tcPr>
          <w:p>
            <w:pPr>
              <w:jc w:val="center"/>
              <w:ind w:right="20"/>
              <w:spacing w:after="0" w:line="139" w:lineRule="exact"/>
              <w:rPr>
                <w:sz w:val="20"/>
                <w:szCs w:val="20"/>
                <w:color w:val="auto"/>
              </w:rPr>
            </w:pPr>
            <w:r>
              <w:rPr>
                <w:rFonts w:ascii="Arial" w:cs="Arial" w:eastAsia="Arial" w:hAnsi="Arial"/>
                <w:sz w:val="14"/>
                <w:szCs w:val="14"/>
                <w:color w:val="auto"/>
                <w:w w:val="88"/>
              </w:rPr>
              <w:t>12/30/2016</w:t>
            </w:r>
          </w:p>
        </w:tc>
        <w:tc>
          <w:tcPr>
            <w:tcW w:w="2420" w:type="dxa"/>
            <w:vAlign w:val="bottom"/>
            <w:gridSpan w:val="3"/>
          </w:tcPr>
          <w:p>
            <w:pPr>
              <w:jc w:val="center"/>
              <w:ind w:right="100"/>
              <w:spacing w:after="0" w:line="139" w:lineRule="exact"/>
              <w:rPr>
                <w:sz w:val="20"/>
                <w:szCs w:val="20"/>
                <w:color w:val="auto"/>
              </w:rPr>
            </w:pPr>
            <w:r>
              <w:rPr>
                <w:rFonts w:ascii="Arial" w:cs="Arial" w:eastAsia="Arial" w:hAnsi="Arial"/>
                <w:sz w:val="14"/>
                <w:szCs w:val="14"/>
                <w:color w:val="auto"/>
                <w:w w:val="85"/>
              </w:rPr>
              <w:t>Personal, Food and</w:t>
            </w:r>
          </w:p>
        </w:tc>
        <w:tc>
          <w:tcPr>
            <w:tcW w:w="8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40" w:type="dxa"/>
            <w:vAlign w:val="bottom"/>
            <w:gridSpan w:val="3"/>
          </w:tcPr>
          <w:p>
            <w:pPr>
              <w:jc w:val="right"/>
              <w:ind w:right="80"/>
              <w:spacing w:after="0" w:line="139" w:lineRule="exact"/>
              <w:rPr>
                <w:sz w:val="20"/>
                <w:szCs w:val="20"/>
                <w:color w:val="auto"/>
              </w:rPr>
            </w:pPr>
            <w:r>
              <w:rPr>
                <w:rFonts w:ascii="Arial" w:cs="Arial" w:eastAsia="Arial" w:hAnsi="Arial"/>
                <w:sz w:val="14"/>
                <w:szCs w:val="14"/>
                <w:color w:val="auto"/>
              </w:rPr>
              <w:t>35,000,000</w:t>
            </w:r>
          </w:p>
        </w:tc>
        <w:tc>
          <w:tcPr>
            <w:tcW w:w="840" w:type="dxa"/>
            <w:vAlign w:val="bottom"/>
            <w:gridSpan w:val="4"/>
          </w:tcPr>
          <w:p>
            <w:pPr>
              <w:jc w:val="right"/>
              <w:spacing w:after="0" w:line="139" w:lineRule="exact"/>
              <w:rPr>
                <w:sz w:val="20"/>
                <w:szCs w:val="20"/>
                <w:color w:val="auto"/>
              </w:rPr>
            </w:pPr>
            <w:r>
              <w:rPr>
                <w:rFonts w:ascii="Arial" w:cs="Arial" w:eastAsia="Arial" w:hAnsi="Arial"/>
                <w:sz w:val="14"/>
                <w:szCs w:val="14"/>
                <w:color w:val="auto"/>
              </w:rPr>
              <w:t>33,978,263</w:t>
            </w:r>
          </w:p>
        </w:tc>
        <w:tc>
          <w:tcPr>
            <w:tcW w:w="80" w:type="dxa"/>
            <w:vAlign w:val="bottom"/>
          </w:tcPr>
          <w:p>
            <w:pPr>
              <w:spacing w:after="0"/>
              <w:rPr>
                <w:sz w:val="12"/>
                <w:szCs w:val="12"/>
                <w:color w:val="auto"/>
              </w:rPr>
            </w:pPr>
          </w:p>
        </w:tc>
        <w:tc>
          <w:tcPr>
            <w:tcW w:w="840" w:type="dxa"/>
            <w:vAlign w:val="bottom"/>
            <w:gridSpan w:val="4"/>
          </w:tcPr>
          <w:p>
            <w:pPr>
              <w:jc w:val="right"/>
              <w:spacing w:after="0" w:line="139" w:lineRule="exact"/>
              <w:rPr>
                <w:sz w:val="20"/>
                <w:szCs w:val="20"/>
                <w:color w:val="auto"/>
              </w:rPr>
            </w:pPr>
            <w:r>
              <w:rPr>
                <w:rFonts w:ascii="Arial" w:cs="Arial" w:eastAsia="Arial" w:hAnsi="Arial"/>
                <w:sz w:val="14"/>
                <w:szCs w:val="14"/>
                <w:color w:val="auto"/>
              </w:rPr>
              <w:t>33,250,000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Miscellaneous Services</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12/16/2012</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10.50%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26,721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26,721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9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12/16/2012</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240,485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240,485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240,485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VPSI, Inc.</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12/23/2015</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Personal Transportation</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17,302,083</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17,047,133</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17,215,572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9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7/15/2016</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11.38%</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4,391,231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4,590,000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289,742,323</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280,144,815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Debt—32.9%</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0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tcPr>
          <w:p>
            <w:pPr>
              <w:spacing w:after="0"/>
              <w:rPr>
                <w:sz w:val="12"/>
                <w:szCs w:val="12"/>
                <w:color w:val="auto"/>
              </w:rPr>
            </w:pPr>
          </w:p>
        </w:tc>
        <w:tc>
          <w:tcPr>
            <w:tcW w:w="24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Energy/Utilities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6.30%</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13,600,000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13,300,431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11,832,000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0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Energy/Utilities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7.33%</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12,000,000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11,821,275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10,680,000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w:t>
            </w:r>
          </w:p>
        </w:tc>
        <w:tc>
          <w:tcPr>
            <w:tcW w:w="70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2/1/2017</w:t>
            </w:r>
          </w:p>
        </w:tc>
        <w:tc>
          <w:tcPr>
            <w:tcW w:w="220" w:type="dxa"/>
            <w:vAlign w:val="bottom"/>
          </w:tcPr>
          <w:p>
            <w:pPr>
              <w:spacing w:after="0"/>
              <w:rPr>
                <w:sz w:val="12"/>
                <w:szCs w:val="12"/>
                <w:color w:val="auto"/>
              </w:rPr>
            </w:pPr>
          </w:p>
        </w:tc>
        <w:tc>
          <w:tcPr>
            <w:tcW w:w="24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31,944,865</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10,710,000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9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8/16/2018</w:t>
            </w:r>
          </w:p>
        </w:tc>
        <w:tc>
          <w:tcPr>
            <w:tcW w:w="24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Energy/Utilities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12.50%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1"/>
                <w:szCs w:val="11"/>
                <w:color w:val="auto"/>
              </w:rPr>
              <w:t>Eureka Hunter Pipeline, LLC</w:t>
            </w:r>
            <w:r>
              <w:rPr>
                <w:rFonts w:ascii="Arial" w:cs="Arial" w:eastAsia="Arial" w:hAnsi="Arial"/>
                <w:sz w:val="17"/>
                <w:szCs w:val="17"/>
                <w:color w:val="auto"/>
                <w:vertAlign w:val="superscript"/>
              </w:rPr>
              <w:t>(9)</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8/15/2012</w:t>
            </w:r>
          </w:p>
        </w:tc>
        <w:tc>
          <w:tcPr>
            <w:tcW w:w="24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Energy/Utilities</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18,525,000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0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8"/>
              </w:rPr>
              <w:t>3/1/2014</w:t>
            </w:r>
          </w:p>
        </w:tc>
        <w:tc>
          <w:tcPr>
            <w:tcW w:w="220" w:type="dxa"/>
            <w:vAlign w:val="bottom"/>
            <w:shd w:val="clear" w:color="auto" w:fill="CCEEFF"/>
          </w:tcPr>
          <w:p>
            <w:pPr>
              <w:spacing w:after="0"/>
              <w:rPr>
                <w:sz w:val="12"/>
                <w:szCs w:val="12"/>
                <w:color w:val="auto"/>
              </w:rPr>
            </w:pP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Cargo Transport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2,860,871</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2,860,871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2,860,871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12/15/2014</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2,971,450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2,971,450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2,692,134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9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12/15/2015</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L+750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1,990,370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1,990,370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1,737,593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RAM Energy Resources, Inc.</w:t>
            </w: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9/13/2016</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16,672,749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16,830,000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9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10/15/2017</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Buildings and Real Estate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9,760,000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70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9/1/2018</w:t>
            </w:r>
          </w:p>
        </w:tc>
        <w:tc>
          <w:tcPr>
            <w:tcW w:w="220" w:type="dxa"/>
            <w:vAlign w:val="bottom"/>
          </w:tcPr>
          <w:p>
            <w:pPr>
              <w:spacing w:after="0"/>
              <w:rPr>
                <w:sz w:val="12"/>
                <w:szCs w:val="12"/>
                <w:color w:val="auto"/>
              </w:rPr>
            </w:pP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12.13%</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15,726,668</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16,160,000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Sheridan Holdings, Inc.</w:t>
            </w:r>
          </w:p>
        </w:tc>
        <w:tc>
          <w:tcPr>
            <w:tcW w:w="9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6/15/2015</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6.07%</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13,500,000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11,856,253</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12,521,250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920" w:type="dxa"/>
            <w:vAlign w:val="bottom"/>
            <w:tcBorders>
              <w:bottom w:val="single" w:sz="8" w:color="CCEEFF"/>
            </w:tcBorders>
            <w:gridSpan w:val="3"/>
          </w:tcPr>
          <w:p>
            <w:pPr>
              <w:jc w:val="center"/>
              <w:ind w:right="20"/>
              <w:spacing w:after="0" w:line="149" w:lineRule="exact"/>
              <w:rPr>
                <w:sz w:val="20"/>
                <w:szCs w:val="20"/>
                <w:color w:val="auto"/>
              </w:rPr>
            </w:pPr>
            <w:r>
              <w:rPr>
                <w:rFonts w:ascii="Arial" w:cs="Arial" w:eastAsia="Arial" w:hAnsi="Arial"/>
                <w:sz w:val="14"/>
                <w:szCs w:val="14"/>
                <w:color w:val="auto"/>
                <w:w w:val="86"/>
              </w:rPr>
              <w:t>6/15/2015</w:t>
            </w:r>
          </w:p>
        </w:tc>
        <w:tc>
          <w:tcPr>
            <w:tcW w:w="2420" w:type="dxa"/>
            <w:vAlign w:val="bottom"/>
            <w:tcBorders>
              <w:bottom w:val="single" w:sz="8" w:color="CCEEFF"/>
            </w:tcBorders>
            <w:gridSpan w:val="3"/>
          </w:tcPr>
          <w:p>
            <w:pPr>
              <w:jc w:val="center"/>
              <w:ind w:right="100"/>
              <w:spacing w:after="0" w:line="149" w:lineRule="exact"/>
              <w:rPr>
                <w:sz w:val="20"/>
                <w:szCs w:val="20"/>
                <w:color w:val="auto"/>
              </w:rPr>
            </w:pPr>
            <w:r>
              <w:rPr>
                <w:rFonts w:ascii="Arial" w:cs="Arial" w:eastAsia="Arial" w:hAnsi="Arial"/>
                <w:sz w:val="14"/>
                <w:szCs w:val="14"/>
                <w:color w:val="auto"/>
                <w:w w:val="87"/>
              </w:rPr>
              <w:t>Financial Services</w:t>
            </w:r>
          </w:p>
        </w:tc>
        <w:tc>
          <w:tcPr>
            <w:tcW w:w="860" w:type="dxa"/>
            <w:vAlign w:val="bottom"/>
            <w:tcBorders>
              <w:bottom w:val="single" w:sz="8" w:color="CCEEFF"/>
            </w:tcBorders>
            <w:gridSpan w:val="2"/>
          </w:tcPr>
          <w:p>
            <w:pPr>
              <w:jc w:val="right"/>
              <w:ind w:right="140"/>
              <w:spacing w:after="0" w:line="149" w:lineRule="exact"/>
              <w:rPr>
                <w:sz w:val="20"/>
                <w:szCs w:val="20"/>
                <w:color w:val="auto"/>
              </w:rPr>
            </w:pPr>
            <w:r>
              <w:rPr>
                <w:rFonts w:ascii="Arial" w:cs="Arial" w:eastAsia="Arial" w:hAnsi="Arial"/>
                <w:sz w:val="11"/>
                <w:szCs w:val="11"/>
                <w:color w:val="auto"/>
              </w:rPr>
              <w:t>6.24%</w:t>
            </w:r>
            <w:r>
              <w:rPr>
                <w:rFonts w:ascii="Arial" w:cs="Arial" w:eastAsia="Arial" w:hAnsi="Arial"/>
                <w:sz w:val="17"/>
                <w:szCs w:val="17"/>
                <w:color w:val="auto"/>
                <w:vertAlign w:val="superscript"/>
              </w:rPr>
              <w:t>(6)</w:t>
            </w:r>
          </w:p>
        </w:tc>
        <w:tc>
          <w:tcPr>
            <w:tcW w:w="720" w:type="dxa"/>
            <w:vAlign w:val="bottom"/>
            <w:tcBorders>
              <w:bottom w:val="single" w:sz="8" w:color="CCEEFF"/>
            </w:tcBorders>
            <w:gridSpan w:val="2"/>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40" w:type="dxa"/>
            <w:vAlign w:val="bottom"/>
            <w:tcBorders>
              <w:bottom w:val="single" w:sz="8" w:color="CCEEFF"/>
            </w:tcBorders>
            <w:gridSpan w:val="3"/>
          </w:tcPr>
          <w:p>
            <w:pPr>
              <w:jc w:val="right"/>
              <w:ind w:right="80"/>
              <w:spacing w:after="0" w:line="149" w:lineRule="exact"/>
              <w:rPr>
                <w:sz w:val="20"/>
                <w:szCs w:val="20"/>
                <w:color w:val="auto"/>
              </w:rPr>
            </w:pPr>
            <w:r>
              <w:rPr>
                <w:rFonts w:ascii="Arial" w:cs="Arial" w:eastAsia="Arial" w:hAnsi="Arial"/>
                <w:sz w:val="14"/>
                <w:szCs w:val="14"/>
                <w:color w:val="auto"/>
              </w:rPr>
              <w:t>7,811,488</w:t>
            </w: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7,422,480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6,756,937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w w:val="92"/>
              </w:rPr>
              <w:t>176,092,412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w w:val="95"/>
              </w:rPr>
              <w:t>152,065,785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-2434590</wp:posOffset>
            </wp:positionV>
            <wp:extent cx="7246620" cy="946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-2143125</wp:posOffset>
            </wp:positionV>
            <wp:extent cx="7246620" cy="1974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40" w:type="dxa"/>
            <w:vAlign w:val="bottom"/>
          </w:tcPr>
          <w:p>
            <w:pPr>
              <w:spacing w:after="0"/>
              <w:rPr>
                <w:sz w:val="12"/>
                <w:szCs w:val="12"/>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Maturity</w:t>
            </w:r>
          </w:p>
        </w:tc>
        <w:tc>
          <w:tcPr>
            <w:tcW w:w="740" w:type="dxa"/>
            <w:vAlign w:val="bottom"/>
          </w:tcPr>
          <w:p>
            <w:pPr>
              <w:spacing w:after="0"/>
              <w:rPr>
                <w:sz w:val="12"/>
                <w:szCs w:val="12"/>
                <w:color w:val="auto"/>
              </w:rPr>
            </w:pPr>
          </w:p>
        </w:tc>
        <w:tc>
          <w:tcPr>
            <w:tcW w:w="1540" w:type="dxa"/>
            <w:vAlign w:val="bottom"/>
            <w:gridSpan w:val="2"/>
          </w:tcPr>
          <w:p>
            <w:pPr>
              <w:jc w:val="center"/>
              <w:ind w:right="1000"/>
              <w:spacing w:after="0" w:line="129" w:lineRule="exact"/>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3"/>
              </w:rPr>
              <w:t>Coupon</w:t>
            </w:r>
          </w:p>
        </w:tc>
        <w:tc>
          <w:tcPr>
            <w:tcW w:w="52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00" w:type="dxa"/>
            <w:vAlign w:val="bottom"/>
          </w:tcPr>
          <w:p>
            <w:pPr>
              <w:spacing w:after="0"/>
              <w:rPr>
                <w:sz w:val="12"/>
                <w:szCs w:val="12"/>
                <w:color w:val="auto"/>
              </w:rPr>
            </w:pPr>
          </w:p>
        </w:tc>
        <w:tc>
          <w:tcPr>
            <w:tcW w:w="6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Notes—65.0%</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8"/>
              </w:rPr>
              <w:t>11/15/2015</w:t>
            </w:r>
          </w:p>
        </w:tc>
        <w:tc>
          <w:tcPr>
            <w:tcW w:w="228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5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2"/>
              </w:rPr>
              <w:t>$26,345,000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$ 26,391,240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$ 20,285,650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Aquilex Holdings, LLC</w:t>
            </w:r>
            <w:r>
              <w:rPr>
                <w:rFonts w:ascii="Arial" w:cs="Arial" w:eastAsia="Arial" w:hAnsi="Arial"/>
                <w:sz w:val="15"/>
                <w:szCs w:val="15"/>
                <w:color w:val="auto"/>
                <w:vertAlign w:val="superscript"/>
              </w:rPr>
              <w:t>(5)</w:t>
            </w:r>
          </w:p>
        </w:tc>
        <w:tc>
          <w:tcPr>
            <w:tcW w:w="100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88"/>
              </w:rPr>
              <w:t>12/15/2016</w:t>
            </w:r>
          </w:p>
        </w:tc>
        <w:tc>
          <w:tcPr>
            <w:tcW w:w="2280" w:type="dxa"/>
            <w:vAlign w:val="bottom"/>
            <w:gridSpan w:val="3"/>
            <w:shd w:val="clear" w:color="auto" w:fill="CCEEFF"/>
          </w:tcPr>
          <w:p>
            <w:pPr>
              <w:jc w:val="center"/>
              <w:ind w:right="280"/>
              <w:spacing w:after="0" w:line="138" w:lineRule="exact"/>
              <w:rPr>
                <w:sz w:val="20"/>
                <w:szCs w:val="20"/>
                <w:color w:val="auto"/>
              </w:rPr>
            </w:pPr>
            <w:r>
              <w:rPr>
                <w:rFonts w:ascii="Arial" w:cs="Arial" w:eastAsia="Arial" w:hAnsi="Arial"/>
                <w:sz w:val="14"/>
                <w:szCs w:val="14"/>
                <w:color w:val="auto"/>
                <w:w w:val="89"/>
              </w:rPr>
              <w:t>Diversified / Conglomerate</w:t>
            </w:r>
          </w:p>
        </w:tc>
        <w:tc>
          <w:tcPr>
            <w:tcW w:w="8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11.13%</w:t>
            </w:r>
          </w:p>
        </w:tc>
        <w:tc>
          <w:tcPr>
            <w:tcW w:w="52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18,885,000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18,440,262</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8,309,400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00"/>
              <w:spacing w:after="0"/>
              <w:rPr>
                <w:sz w:val="20"/>
                <w:szCs w:val="20"/>
                <w:color w:val="auto"/>
              </w:rPr>
            </w:pPr>
            <w:r>
              <w:rPr>
                <w:rFonts w:ascii="Arial" w:cs="Arial" w:eastAsia="Arial" w:hAnsi="Arial"/>
                <w:sz w:val="14"/>
                <w:szCs w:val="14"/>
                <w:color w:val="auto"/>
                <w:w w:val="85"/>
              </w:rPr>
              <w:t>Services</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Consolidated Foundries, Inc.</w:t>
            </w:r>
          </w:p>
        </w:tc>
        <w:tc>
          <w:tcPr>
            <w:tcW w:w="700" w:type="dxa"/>
            <w:vAlign w:val="bottom"/>
            <w:gridSpan w:val="2"/>
          </w:tcPr>
          <w:p>
            <w:pPr>
              <w:jc w:val="center"/>
              <w:ind w:left="92"/>
              <w:spacing w:after="0" w:line="138" w:lineRule="exact"/>
              <w:rPr>
                <w:sz w:val="20"/>
                <w:szCs w:val="20"/>
                <w:color w:val="auto"/>
              </w:rPr>
            </w:pPr>
            <w:r>
              <w:rPr>
                <w:rFonts w:ascii="Arial" w:cs="Arial" w:eastAsia="Arial" w:hAnsi="Arial"/>
                <w:sz w:val="14"/>
                <w:szCs w:val="14"/>
                <w:color w:val="auto"/>
                <w:w w:val="86"/>
              </w:rPr>
              <w:t>4/17/2015</w:t>
            </w:r>
          </w:p>
        </w:tc>
        <w:tc>
          <w:tcPr>
            <w:tcW w:w="300" w:type="dxa"/>
            <w:vAlign w:val="bottom"/>
          </w:tcPr>
          <w:p>
            <w:pPr>
              <w:spacing w:after="0"/>
              <w:rPr>
                <w:sz w:val="11"/>
                <w:szCs w:val="11"/>
                <w:color w:val="auto"/>
              </w:rPr>
            </w:pPr>
          </w:p>
        </w:tc>
        <w:tc>
          <w:tcPr>
            <w:tcW w:w="2280" w:type="dxa"/>
            <w:vAlign w:val="bottom"/>
            <w:gridSpan w:val="3"/>
          </w:tcPr>
          <w:p>
            <w:pPr>
              <w:jc w:val="center"/>
              <w:ind w:right="280"/>
              <w:spacing w:after="0" w:line="138" w:lineRule="exact"/>
              <w:rPr>
                <w:sz w:val="20"/>
                <w:szCs w:val="20"/>
                <w:color w:val="auto"/>
              </w:rPr>
            </w:pPr>
            <w:r>
              <w:rPr>
                <w:rFonts w:ascii="Arial" w:cs="Arial" w:eastAsia="Arial" w:hAnsi="Arial"/>
                <w:sz w:val="14"/>
                <w:szCs w:val="14"/>
                <w:color w:val="auto"/>
                <w:w w:val="84"/>
              </w:rPr>
              <w:t>Aerospace and</w:t>
            </w:r>
          </w:p>
        </w:tc>
        <w:tc>
          <w:tcPr>
            <w:tcW w:w="860" w:type="dxa"/>
            <w:vAlign w:val="bottom"/>
            <w:gridSpan w:val="2"/>
          </w:tcPr>
          <w:p>
            <w:pPr>
              <w:jc w:val="right"/>
              <w:ind w:right="14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52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8,109,468</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7,997,216</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8,109,468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tcPr>
          <w:p>
            <w:pPr>
              <w:jc w:val="center"/>
              <w:ind w:right="1020"/>
              <w:spacing w:after="0"/>
              <w:rPr>
                <w:sz w:val="20"/>
                <w:szCs w:val="20"/>
                <w:color w:val="auto"/>
              </w:rPr>
            </w:pPr>
            <w:r>
              <w:rPr>
                <w:rFonts w:ascii="Arial" w:cs="Arial" w:eastAsia="Arial" w:hAnsi="Arial"/>
                <w:sz w:val="14"/>
                <w:szCs w:val="14"/>
                <w:color w:val="auto"/>
                <w:w w:val="84"/>
              </w:rPr>
              <w:t>Defense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Diversitech Corporation</w:t>
            </w:r>
          </w:p>
        </w:tc>
        <w:tc>
          <w:tcPr>
            <w:tcW w:w="700" w:type="dxa"/>
            <w:vAlign w:val="bottom"/>
            <w:gridSpan w:val="2"/>
            <w:shd w:val="clear" w:color="auto" w:fill="CCEEFF"/>
          </w:tcPr>
          <w:p>
            <w:pPr>
              <w:jc w:val="center"/>
              <w:ind w:left="92"/>
              <w:spacing w:after="0" w:line="139" w:lineRule="exact"/>
              <w:rPr>
                <w:sz w:val="20"/>
                <w:szCs w:val="20"/>
                <w:color w:val="auto"/>
              </w:rPr>
            </w:pPr>
            <w:r>
              <w:rPr>
                <w:rFonts w:ascii="Arial" w:cs="Arial" w:eastAsia="Arial" w:hAnsi="Arial"/>
                <w:sz w:val="14"/>
                <w:szCs w:val="14"/>
                <w:color w:val="auto"/>
                <w:w w:val="86"/>
              </w:rPr>
              <w:t>1/29/2017</w:t>
            </w:r>
          </w:p>
        </w:tc>
        <w:tc>
          <w:tcPr>
            <w:tcW w:w="30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jc w:val="center"/>
              <w:ind w:right="260"/>
              <w:spacing w:after="0" w:line="139" w:lineRule="exact"/>
              <w:rPr>
                <w:sz w:val="20"/>
                <w:szCs w:val="20"/>
                <w:color w:val="auto"/>
              </w:rPr>
            </w:pPr>
            <w:r>
              <w:rPr>
                <w:rFonts w:ascii="Arial" w:cs="Arial" w:eastAsia="Arial" w:hAnsi="Arial"/>
                <w:sz w:val="14"/>
                <w:szCs w:val="14"/>
                <w:color w:val="auto"/>
                <w:w w:val="89"/>
              </w:rPr>
              <w:t>Manufacturing/Basic</w:t>
            </w: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1"/>
                <w:szCs w:val="11"/>
                <w:color w:val="auto"/>
              </w:rPr>
              <w:t>13.50%</w:t>
            </w:r>
            <w:r>
              <w:rPr>
                <w:rFonts w:ascii="Arial" w:cs="Arial" w:eastAsia="Arial" w:hAnsi="Arial"/>
                <w:sz w:val="16"/>
                <w:szCs w:val="16"/>
                <w:color w:val="auto"/>
                <w:vertAlign w:val="superscript"/>
              </w:rPr>
              <w:t>(6)</w:t>
            </w:r>
          </w:p>
        </w:tc>
        <w:tc>
          <w:tcPr>
            <w:tcW w:w="52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11,000,000</w:t>
            </w: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10,783,491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10,780,000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00"/>
              <w:spacing w:after="0"/>
              <w:rPr>
                <w:sz w:val="20"/>
                <w:szCs w:val="20"/>
                <w:color w:val="auto"/>
              </w:rPr>
            </w:pPr>
            <w:r>
              <w:rPr>
                <w:rFonts w:ascii="Arial" w:cs="Arial" w:eastAsia="Arial" w:hAnsi="Arial"/>
                <w:sz w:val="14"/>
                <w:szCs w:val="14"/>
                <w:color w:val="auto"/>
                <w:w w:val="92"/>
              </w:rPr>
              <w:t>Industry</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Escort, Inc.</w:t>
            </w:r>
          </w:p>
        </w:tc>
        <w:tc>
          <w:tcPr>
            <w:tcW w:w="7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8"/>
              </w:rPr>
              <w:t>6/1/2016</w:t>
            </w:r>
          </w:p>
        </w:tc>
        <w:tc>
          <w:tcPr>
            <w:tcW w:w="300" w:type="dxa"/>
            <w:vAlign w:val="bottom"/>
          </w:tcPr>
          <w:p>
            <w:pPr>
              <w:spacing w:after="0"/>
              <w:rPr>
                <w:sz w:val="12"/>
                <w:szCs w:val="12"/>
                <w:color w:val="auto"/>
              </w:rPr>
            </w:pPr>
          </w:p>
        </w:tc>
        <w:tc>
          <w:tcPr>
            <w:tcW w:w="228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7"/>
              </w:rPr>
              <w:t>Electronics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5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24,560,142</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23,964,150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24,314,541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Last Mile Funding, Corp.</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14.50%</w:t>
            </w:r>
            <w:r>
              <w:rPr>
                <w:rFonts w:ascii="Arial" w:cs="Arial" w:eastAsia="Arial" w:hAnsi="Arial"/>
                <w:sz w:val="22"/>
                <w:szCs w:val="22"/>
                <w:color w:val="auto"/>
                <w:vertAlign w:val="superscript"/>
              </w:rPr>
              <w:t>(6)</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(3PD, Inc.)</w:t>
            </w:r>
          </w:p>
        </w:tc>
        <w:tc>
          <w:tcPr>
            <w:tcW w:w="700" w:type="dxa"/>
            <w:vAlign w:val="bottom"/>
            <w:gridSpan w:val="2"/>
            <w:shd w:val="clear" w:color="auto" w:fill="CCEEFF"/>
          </w:tcPr>
          <w:p>
            <w:pPr>
              <w:jc w:val="center"/>
              <w:ind w:left="92"/>
              <w:spacing w:after="0" w:line="159" w:lineRule="exact"/>
              <w:rPr>
                <w:sz w:val="20"/>
                <w:szCs w:val="20"/>
                <w:color w:val="auto"/>
              </w:rPr>
            </w:pPr>
            <w:r>
              <w:rPr>
                <w:rFonts w:ascii="Arial" w:cs="Arial" w:eastAsia="Arial" w:hAnsi="Arial"/>
                <w:sz w:val="14"/>
                <w:szCs w:val="14"/>
                <w:color w:val="auto"/>
                <w:w w:val="86"/>
              </w:rPr>
              <w:t>6/30/2016</w:t>
            </w:r>
          </w:p>
        </w:tc>
        <w:tc>
          <w:tcPr>
            <w:tcW w:w="300" w:type="dxa"/>
            <w:vAlign w:val="bottom"/>
            <w:shd w:val="clear" w:color="auto" w:fill="CCEEFF"/>
          </w:tcPr>
          <w:p>
            <w:pPr>
              <w:spacing w:after="0"/>
              <w:rPr>
                <w:sz w:val="13"/>
                <w:szCs w:val="13"/>
                <w:color w:val="auto"/>
              </w:rPr>
            </w:pPr>
          </w:p>
        </w:tc>
        <w:tc>
          <w:tcPr>
            <w:tcW w:w="2280" w:type="dxa"/>
            <w:vAlign w:val="bottom"/>
            <w:gridSpan w:val="3"/>
            <w:shd w:val="clear" w:color="auto" w:fill="CCEEFF"/>
          </w:tcPr>
          <w:p>
            <w:pPr>
              <w:jc w:val="center"/>
              <w:ind w:right="280"/>
              <w:spacing w:after="0" w:line="159" w:lineRule="exact"/>
              <w:rPr>
                <w:sz w:val="20"/>
                <w:szCs w:val="20"/>
                <w:color w:val="auto"/>
              </w:rPr>
            </w:pPr>
            <w:r>
              <w:rPr>
                <w:rFonts w:ascii="Arial" w:cs="Arial" w:eastAsia="Arial" w:hAnsi="Arial"/>
                <w:sz w:val="14"/>
                <w:szCs w:val="14"/>
                <w:color w:val="auto"/>
                <w:w w:val="86"/>
              </w:rPr>
              <w:t>Cargo Transport</w:t>
            </w:r>
          </w:p>
        </w:tc>
        <w:tc>
          <w:tcPr>
            <w:tcW w:w="860" w:type="dxa"/>
            <w:vAlign w:val="bottom"/>
            <w:gridSpan w:val="2"/>
            <w:vMerge w:val="continue"/>
            <w:shd w:val="clear" w:color="auto" w:fill="CCEEFF"/>
          </w:tcPr>
          <w:p>
            <w:pPr>
              <w:spacing w:after="0"/>
              <w:rPr>
                <w:sz w:val="13"/>
                <w:szCs w:val="13"/>
                <w:color w:val="auto"/>
              </w:rPr>
            </w:pPr>
          </w:p>
        </w:tc>
        <w:tc>
          <w:tcPr>
            <w:tcW w:w="5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44,456,391</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43,380,579</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43,344,981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700" w:type="dxa"/>
            <w:vAlign w:val="bottom"/>
            <w:gridSpan w:val="2"/>
          </w:tcPr>
          <w:p>
            <w:pPr>
              <w:jc w:val="center"/>
              <w:ind w:left="92"/>
              <w:spacing w:after="0" w:line="149" w:lineRule="exact"/>
              <w:rPr>
                <w:sz w:val="20"/>
                <w:szCs w:val="20"/>
                <w:color w:val="auto"/>
              </w:rPr>
            </w:pPr>
            <w:r>
              <w:rPr>
                <w:rFonts w:ascii="Arial" w:cs="Arial" w:eastAsia="Arial" w:hAnsi="Arial"/>
                <w:sz w:val="14"/>
                <w:szCs w:val="14"/>
                <w:color w:val="auto"/>
                <w:w w:val="86"/>
              </w:rPr>
              <w:t>6/30/2016</w:t>
            </w:r>
          </w:p>
        </w:tc>
        <w:tc>
          <w:tcPr>
            <w:tcW w:w="300" w:type="dxa"/>
            <w:vAlign w:val="bottom"/>
          </w:tcPr>
          <w:p>
            <w:pPr>
              <w:spacing w:after="0"/>
              <w:rPr>
                <w:sz w:val="12"/>
                <w:szCs w:val="12"/>
                <w:color w:val="auto"/>
              </w:rPr>
            </w:pPr>
          </w:p>
        </w:tc>
        <w:tc>
          <w:tcPr>
            <w:tcW w:w="228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6"/>
              </w:rPr>
              <w:t>Education</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5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4,566,982</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3,891,689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4,133,119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LTI Flexible Products, Inc.</w:t>
            </w:r>
          </w:p>
        </w:tc>
        <w:tc>
          <w:tcPr>
            <w:tcW w:w="700" w:type="dxa"/>
            <w:vAlign w:val="bottom"/>
            <w:gridSpan w:val="2"/>
            <w:shd w:val="clear" w:color="auto" w:fill="CCEEFF"/>
          </w:tcPr>
          <w:p>
            <w:pPr>
              <w:jc w:val="center"/>
              <w:ind w:left="92"/>
              <w:spacing w:after="0" w:line="138" w:lineRule="exact"/>
              <w:rPr>
                <w:sz w:val="20"/>
                <w:szCs w:val="20"/>
                <w:color w:val="auto"/>
              </w:rPr>
            </w:pPr>
            <w:r>
              <w:rPr>
                <w:rFonts w:ascii="Arial" w:cs="Arial" w:eastAsia="Arial" w:hAnsi="Arial"/>
                <w:sz w:val="14"/>
                <w:szCs w:val="14"/>
                <w:color w:val="auto"/>
                <w:w w:val="86"/>
              </w:rPr>
              <w:t>1/26/2017</w:t>
            </w:r>
          </w:p>
        </w:tc>
        <w:tc>
          <w:tcPr>
            <w:tcW w:w="300" w:type="dxa"/>
            <w:vAlign w:val="bottom"/>
            <w:shd w:val="clear" w:color="auto" w:fill="CCEEFF"/>
          </w:tcPr>
          <w:p>
            <w:pPr>
              <w:spacing w:after="0"/>
              <w:rPr>
                <w:sz w:val="11"/>
                <w:szCs w:val="11"/>
                <w:color w:val="auto"/>
              </w:rPr>
            </w:pPr>
          </w:p>
        </w:tc>
        <w:tc>
          <w:tcPr>
            <w:tcW w:w="2280" w:type="dxa"/>
            <w:vAlign w:val="bottom"/>
            <w:gridSpan w:val="3"/>
            <w:shd w:val="clear" w:color="auto" w:fill="CCEEFF"/>
          </w:tcPr>
          <w:p>
            <w:pPr>
              <w:jc w:val="center"/>
              <w:ind w:right="260"/>
              <w:spacing w:after="0" w:line="138" w:lineRule="exact"/>
              <w:rPr>
                <w:sz w:val="20"/>
                <w:szCs w:val="20"/>
                <w:color w:val="auto"/>
              </w:rPr>
            </w:pPr>
            <w:r>
              <w:rPr>
                <w:rFonts w:ascii="Arial" w:cs="Arial" w:eastAsia="Arial" w:hAnsi="Arial"/>
                <w:sz w:val="14"/>
                <w:szCs w:val="14"/>
                <w:color w:val="auto"/>
                <w:w w:val="87"/>
              </w:rPr>
              <w:t>Chemical, Plastic and</w:t>
            </w: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13.88%</w:t>
            </w:r>
            <w:r>
              <w:rPr>
                <w:rFonts w:ascii="Arial" w:cs="Arial" w:eastAsia="Arial" w:hAnsi="Arial"/>
                <w:sz w:val="15"/>
                <w:szCs w:val="15"/>
                <w:color w:val="auto"/>
                <w:vertAlign w:val="superscript"/>
              </w:rPr>
              <w:t>(6)</w:t>
            </w:r>
          </w:p>
        </w:tc>
        <w:tc>
          <w:tcPr>
            <w:tcW w:w="52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33,937,985</w:t>
            </w:r>
          </w:p>
        </w:tc>
        <w:tc>
          <w:tcPr>
            <w:tcW w:w="92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33,119,280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33,768,295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20"/>
              <w:spacing w:after="0"/>
              <w:rPr>
                <w:sz w:val="20"/>
                <w:szCs w:val="20"/>
                <w:color w:val="auto"/>
              </w:rPr>
            </w:pPr>
            <w:r>
              <w:rPr>
                <w:rFonts w:ascii="Arial" w:cs="Arial" w:eastAsia="Arial" w:hAnsi="Arial"/>
                <w:sz w:val="14"/>
                <w:szCs w:val="14"/>
                <w:color w:val="auto"/>
                <w:w w:val="87"/>
              </w:rPr>
              <w:t>Rubber</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Mailsouth, Inc.</w:t>
            </w:r>
          </w:p>
        </w:tc>
        <w:tc>
          <w:tcPr>
            <w:tcW w:w="700" w:type="dxa"/>
            <w:vAlign w:val="bottom"/>
            <w:gridSpan w:val="2"/>
          </w:tcPr>
          <w:p>
            <w:pPr>
              <w:jc w:val="center"/>
              <w:ind w:left="92"/>
              <w:spacing w:after="0" w:line="138" w:lineRule="exact"/>
              <w:rPr>
                <w:sz w:val="20"/>
                <w:szCs w:val="20"/>
                <w:color w:val="auto"/>
              </w:rPr>
            </w:pPr>
            <w:r>
              <w:rPr>
                <w:rFonts w:ascii="Arial" w:cs="Arial" w:eastAsia="Arial" w:hAnsi="Arial"/>
                <w:sz w:val="14"/>
                <w:szCs w:val="14"/>
                <w:color w:val="auto"/>
                <w:w w:val="86"/>
              </w:rPr>
              <w:t>6/15/2017</w:t>
            </w:r>
          </w:p>
        </w:tc>
        <w:tc>
          <w:tcPr>
            <w:tcW w:w="300" w:type="dxa"/>
            <w:vAlign w:val="bottom"/>
          </w:tcPr>
          <w:p>
            <w:pPr>
              <w:spacing w:after="0"/>
              <w:rPr>
                <w:sz w:val="11"/>
                <w:szCs w:val="11"/>
                <w:color w:val="auto"/>
              </w:rPr>
            </w:pPr>
          </w:p>
        </w:tc>
        <w:tc>
          <w:tcPr>
            <w:tcW w:w="2280" w:type="dxa"/>
            <w:vAlign w:val="bottom"/>
            <w:gridSpan w:val="3"/>
          </w:tcPr>
          <w:p>
            <w:pPr>
              <w:jc w:val="center"/>
              <w:ind w:right="260"/>
              <w:spacing w:after="0" w:line="138" w:lineRule="exact"/>
              <w:rPr>
                <w:sz w:val="20"/>
                <w:szCs w:val="20"/>
                <w:color w:val="auto"/>
              </w:rPr>
            </w:pPr>
            <w:r>
              <w:rPr>
                <w:rFonts w:ascii="Arial" w:cs="Arial" w:eastAsia="Arial" w:hAnsi="Arial"/>
                <w:sz w:val="14"/>
                <w:szCs w:val="14"/>
                <w:color w:val="auto"/>
                <w:w w:val="88"/>
              </w:rPr>
              <w:t>Printing and</w:t>
            </w:r>
          </w:p>
        </w:tc>
        <w:tc>
          <w:tcPr>
            <w:tcW w:w="860" w:type="dxa"/>
            <w:vAlign w:val="bottom"/>
            <w:gridSpan w:val="2"/>
          </w:tcPr>
          <w:p>
            <w:pPr>
              <w:jc w:val="right"/>
              <w:ind w:right="140"/>
              <w:spacing w:after="0" w:line="138" w:lineRule="exact"/>
              <w:rPr>
                <w:sz w:val="20"/>
                <w:szCs w:val="20"/>
                <w:color w:val="auto"/>
              </w:rPr>
            </w:pPr>
            <w:r>
              <w:rPr>
                <w:rFonts w:ascii="Arial" w:cs="Arial" w:eastAsia="Arial" w:hAnsi="Arial"/>
                <w:sz w:val="10"/>
                <w:szCs w:val="10"/>
                <w:color w:val="auto"/>
              </w:rPr>
              <w:t>14.50%</w:t>
            </w:r>
            <w:r>
              <w:rPr>
                <w:rFonts w:ascii="Arial" w:cs="Arial" w:eastAsia="Arial" w:hAnsi="Arial"/>
                <w:sz w:val="15"/>
                <w:szCs w:val="15"/>
                <w:color w:val="auto"/>
                <w:vertAlign w:val="superscript"/>
              </w:rPr>
              <w:t>(6)</w:t>
            </w:r>
          </w:p>
        </w:tc>
        <w:tc>
          <w:tcPr>
            <w:tcW w:w="52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15,000,000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14,579,991</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14,640,000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3"/>
          </w:tcPr>
          <w:p>
            <w:pPr>
              <w:jc w:val="center"/>
              <w:ind w:right="260"/>
              <w:spacing w:after="0"/>
              <w:rPr>
                <w:sz w:val="20"/>
                <w:szCs w:val="20"/>
                <w:color w:val="auto"/>
              </w:rPr>
            </w:pPr>
            <w:r>
              <w:rPr>
                <w:rFonts w:ascii="Arial" w:cs="Arial" w:eastAsia="Arial" w:hAnsi="Arial"/>
                <w:sz w:val="14"/>
                <w:szCs w:val="14"/>
                <w:color w:val="auto"/>
                <w:w w:val="89"/>
              </w:rPr>
              <w:t>Publishing</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00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8"/>
              </w:rPr>
              <w:t>10/14/2016</w:t>
            </w:r>
          </w:p>
        </w:tc>
        <w:tc>
          <w:tcPr>
            <w:tcW w:w="2280" w:type="dxa"/>
            <w:vAlign w:val="bottom"/>
            <w:gridSpan w:val="3"/>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50"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18,492,685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19,950,000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PAS Technologies, Inc.</w:t>
            </w:r>
          </w:p>
        </w:tc>
        <w:tc>
          <w:tcPr>
            <w:tcW w:w="700" w:type="dxa"/>
            <w:vAlign w:val="bottom"/>
            <w:gridSpan w:val="2"/>
          </w:tcPr>
          <w:p>
            <w:pPr>
              <w:jc w:val="center"/>
              <w:ind w:left="92"/>
              <w:spacing w:after="0" w:line="138" w:lineRule="exact"/>
              <w:rPr>
                <w:sz w:val="20"/>
                <w:szCs w:val="20"/>
                <w:color w:val="auto"/>
              </w:rPr>
            </w:pPr>
            <w:r>
              <w:rPr>
                <w:rFonts w:ascii="Arial" w:cs="Arial" w:eastAsia="Arial" w:hAnsi="Arial"/>
                <w:sz w:val="14"/>
                <w:szCs w:val="14"/>
                <w:color w:val="auto"/>
                <w:w w:val="86"/>
              </w:rPr>
              <w:t>5/12/2017</w:t>
            </w:r>
          </w:p>
        </w:tc>
        <w:tc>
          <w:tcPr>
            <w:tcW w:w="300" w:type="dxa"/>
            <w:vAlign w:val="bottom"/>
          </w:tcPr>
          <w:p>
            <w:pPr>
              <w:spacing w:after="0"/>
              <w:rPr>
                <w:sz w:val="11"/>
                <w:szCs w:val="11"/>
                <w:color w:val="auto"/>
              </w:rPr>
            </w:pPr>
          </w:p>
        </w:tc>
        <w:tc>
          <w:tcPr>
            <w:tcW w:w="2280" w:type="dxa"/>
            <w:vAlign w:val="bottom"/>
            <w:gridSpan w:val="3"/>
          </w:tcPr>
          <w:p>
            <w:pPr>
              <w:jc w:val="center"/>
              <w:ind w:right="280"/>
              <w:spacing w:after="0" w:line="138" w:lineRule="exact"/>
              <w:rPr>
                <w:sz w:val="20"/>
                <w:szCs w:val="20"/>
                <w:color w:val="auto"/>
              </w:rPr>
            </w:pPr>
            <w:r>
              <w:rPr>
                <w:rFonts w:ascii="Arial" w:cs="Arial" w:eastAsia="Arial" w:hAnsi="Arial"/>
                <w:sz w:val="14"/>
                <w:szCs w:val="14"/>
                <w:color w:val="auto"/>
                <w:w w:val="84"/>
              </w:rPr>
              <w:t>Aerospace and</w:t>
            </w:r>
          </w:p>
        </w:tc>
        <w:tc>
          <w:tcPr>
            <w:tcW w:w="860" w:type="dxa"/>
            <w:vAlign w:val="bottom"/>
            <w:gridSpan w:val="2"/>
          </w:tcPr>
          <w:p>
            <w:pPr>
              <w:jc w:val="right"/>
              <w:ind w:right="140"/>
              <w:spacing w:after="0" w:line="138" w:lineRule="exact"/>
              <w:rPr>
                <w:sz w:val="20"/>
                <w:szCs w:val="20"/>
                <w:color w:val="auto"/>
              </w:rPr>
            </w:pPr>
            <w:r>
              <w:rPr>
                <w:rFonts w:ascii="Arial" w:cs="Arial" w:eastAsia="Arial" w:hAnsi="Arial"/>
                <w:sz w:val="10"/>
                <w:szCs w:val="10"/>
                <w:color w:val="auto"/>
              </w:rPr>
              <w:t>14.02%</w:t>
            </w:r>
            <w:r>
              <w:rPr>
                <w:rFonts w:ascii="Arial" w:cs="Arial" w:eastAsia="Arial" w:hAnsi="Arial"/>
                <w:sz w:val="15"/>
                <w:szCs w:val="15"/>
                <w:color w:val="auto"/>
                <w:vertAlign w:val="superscript"/>
              </w:rPr>
              <w:t>(6)</w:t>
            </w:r>
          </w:p>
        </w:tc>
        <w:tc>
          <w:tcPr>
            <w:tcW w:w="52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16,785,000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16,400,403</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16,600,365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tcPr>
          <w:p>
            <w:pPr>
              <w:jc w:val="center"/>
              <w:ind w:right="1020"/>
              <w:spacing w:after="0"/>
              <w:rPr>
                <w:sz w:val="20"/>
                <w:szCs w:val="20"/>
                <w:color w:val="auto"/>
              </w:rPr>
            </w:pPr>
            <w:r>
              <w:rPr>
                <w:rFonts w:ascii="Arial" w:cs="Arial" w:eastAsia="Arial" w:hAnsi="Arial"/>
                <w:sz w:val="14"/>
                <w:szCs w:val="14"/>
                <w:color w:val="auto"/>
                <w:w w:val="84"/>
              </w:rPr>
              <w:t>Defense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Prince Mineral Holdings Corp.</w:t>
            </w:r>
          </w:p>
        </w:tc>
        <w:tc>
          <w:tcPr>
            <w:tcW w:w="700" w:type="dxa"/>
            <w:vAlign w:val="bottom"/>
            <w:gridSpan w:val="2"/>
            <w:shd w:val="clear" w:color="auto" w:fill="CCEEFF"/>
          </w:tcPr>
          <w:p>
            <w:pPr>
              <w:jc w:val="center"/>
              <w:ind w:left="92"/>
              <w:spacing w:after="0" w:line="139" w:lineRule="exact"/>
              <w:rPr>
                <w:sz w:val="20"/>
                <w:szCs w:val="20"/>
                <w:color w:val="auto"/>
              </w:rPr>
            </w:pPr>
            <w:r>
              <w:rPr>
                <w:rFonts w:ascii="Arial" w:cs="Arial" w:eastAsia="Arial" w:hAnsi="Arial"/>
                <w:sz w:val="14"/>
                <w:szCs w:val="14"/>
                <w:color w:val="auto"/>
                <w:w w:val="86"/>
              </w:rPr>
              <w:t>12/3/2016</w:t>
            </w:r>
          </w:p>
        </w:tc>
        <w:tc>
          <w:tcPr>
            <w:tcW w:w="30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jc w:val="center"/>
              <w:ind w:right="260"/>
              <w:spacing w:after="0" w:line="139" w:lineRule="exact"/>
              <w:rPr>
                <w:sz w:val="20"/>
                <w:szCs w:val="20"/>
                <w:color w:val="auto"/>
              </w:rPr>
            </w:pPr>
            <w:r>
              <w:rPr>
                <w:rFonts w:ascii="Arial" w:cs="Arial" w:eastAsia="Arial" w:hAnsi="Arial"/>
                <w:sz w:val="14"/>
                <w:szCs w:val="14"/>
                <w:color w:val="auto"/>
                <w:w w:val="90"/>
              </w:rPr>
              <w:t>Mining, Steel, Iron</w:t>
            </w: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1"/>
                <w:szCs w:val="11"/>
                <w:color w:val="auto"/>
              </w:rPr>
              <w:t>13.50%</w:t>
            </w:r>
            <w:r>
              <w:rPr>
                <w:rFonts w:ascii="Arial" w:cs="Arial" w:eastAsia="Arial" w:hAnsi="Arial"/>
                <w:sz w:val="16"/>
                <w:szCs w:val="16"/>
                <w:color w:val="auto"/>
                <w:vertAlign w:val="superscript"/>
              </w:rPr>
              <w:t>(6)</w:t>
            </w:r>
          </w:p>
        </w:tc>
        <w:tc>
          <w:tcPr>
            <w:tcW w:w="52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26,169,195</w:t>
            </w: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25,667,843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25,645,811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80" w:type="dxa"/>
            <w:vAlign w:val="bottom"/>
            <w:gridSpan w:val="3"/>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7"/>
              </w:rPr>
              <w:t>and Non-Precious</w:t>
            </w: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20"/>
              <w:spacing w:after="0"/>
              <w:rPr>
                <w:sz w:val="20"/>
                <w:szCs w:val="20"/>
                <w:color w:val="auto"/>
              </w:rPr>
            </w:pPr>
            <w:r>
              <w:rPr>
                <w:rFonts w:ascii="Arial" w:cs="Arial" w:eastAsia="Arial" w:hAnsi="Arial"/>
                <w:sz w:val="14"/>
                <w:szCs w:val="14"/>
                <w:color w:val="auto"/>
                <w:w w:val="87"/>
              </w:rPr>
              <w:t>Metals</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Realogy Corp.</w:t>
            </w:r>
          </w:p>
        </w:tc>
        <w:tc>
          <w:tcPr>
            <w:tcW w:w="700" w:type="dxa"/>
            <w:vAlign w:val="bottom"/>
            <w:gridSpan w:val="2"/>
          </w:tcPr>
          <w:p>
            <w:pPr>
              <w:jc w:val="center"/>
              <w:ind w:left="92"/>
              <w:spacing w:after="0" w:line="138" w:lineRule="exact"/>
              <w:rPr>
                <w:sz w:val="20"/>
                <w:szCs w:val="20"/>
                <w:color w:val="auto"/>
              </w:rPr>
            </w:pPr>
            <w:r>
              <w:rPr>
                <w:rFonts w:ascii="Arial" w:cs="Arial" w:eastAsia="Arial" w:hAnsi="Arial"/>
                <w:sz w:val="14"/>
                <w:szCs w:val="14"/>
                <w:color w:val="auto"/>
                <w:w w:val="86"/>
              </w:rPr>
              <w:t>4/15/2018</w:t>
            </w:r>
          </w:p>
        </w:tc>
        <w:tc>
          <w:tcPr>
            <w:tcW w:w="300" w:type="dxa"/>
            <w:vAlign w:val="bottom"/>
          </w:tcPr>
          <w:p>
            <w:pPr>
              <w:spacing w:after="0"/>
              <w:rPr>
                <w:sz w:val="11"/>
                <w:szCs w:val="11"/>
                <w:color w:val="auto"/>
              </w:rPr>
            </w:pPr>
          </w:p>
        </w:tc>
        <w:tc>
          <w:tcPr>
            <w:tcW w:w="2280" w:type="dxa"/>
            <w:vAlign w:val="bottom"/>
            <w:gridSpan w:val="3"/>
          </w:tcPr>
          <w:p>
            <w:pPr>
              <w:jc w:val="center"/>
              <w:ind w:right="280"/>
              <w:spacing w:after="0" w:line="138" w:lineRule="exact"/>
              <w:rPr>
                <w:sz w:val="20"/>
                <w:szCs w:val="20"/>
                <w:color w:val="auto"/>
              </w:rPr>
            </w:pPr>
            <w:r>
              <w:rPr>
                <w:rFonts w:ascii="Arial" w:cs="Arial" w:eastAsia="Arial" w:hAnsi="Arial"/>
                <w:sz w:val="14"/>
                <w:szCs w:val="14"/>
                <w:color w:val="auto"/>
                <w:w w:val="89"/>
              </w:rPr>
              <w:t>Buildings and Real</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11.00%</w:t>
            </w:r>
          </w:p>
        </w:tc>
        <w:tc>
          <w:tcPr>
            <w:tcW w:w="52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10,000,000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9,159,259</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7,800,000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tcPr>
          <w:p>
            <w:pPr>
              <w:jc w:val="center"/>
              <w:ind w:right="1000"/>
              <w:spacing w:after="0"/>
              <w:rPr>
                <w:sz w:val="20"/>
                <w:szCs w:val="20"/>
                <w:color w:val="auto"/>
              </w:rPr>
            </w:pPr>
            <w:r>
              <w:rPr>
                <w:rFonts w:ascii="Arial" w:cs="Arial" w:eastAsia="Arial" w:hAnsi="Arial"/>
                <w:sz w:val="14"/>
                <w:szCs w:val="14"/>
                <w:color w:val="auto"/>
                <w:w w:val="85"/>
              </w:rPr>
              <w:t>Estate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00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8"/>
              </w:rPr>
              <w:t>12/29/2015</w:t>
            </w:r>
          </w:p>
        </w:tc>
        <w:tc>
          <w:tcPr>
            <w:tcW w:w="2280" w:type="dxa"/>
            <w:vAlign w:val="bottom"/>
            <w:gridSpan w:val="3"/>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50"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12,020,950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11,683,548</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11,984,887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UP Support Services, Inc.</w:t>
            </w:r>
          </w:p>
        </w:tc>
        <w:tc>
          <w:tcPr>
            <w:tcW w:w="7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8"/>
              </w:rPr>
              <w:t>2/8/2015</w:t>
            </w:r>
          </w:p>
        </w:tc>
        <w:tc>
          <w:tcPr>
            <w:tcW w:w="300" w:type="dxa"/>
            <w:vAlign w:val="bottom"/>
          </w:tcPr>
          <w:p>
            <w:pPr>
              <w:spacing w:after="0"/>
              <w:rPr>
                <w:sz w:val="12"/>
                <w:szCs w:val="12"/>
                <w:color w:val="auto"/>
              </w:rPr>
            </w:pPr>
          </w:p>
        </w:tc>
        <w:tc>
          <w:tcPr>
            <w:tcW w:w="228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19.00%</w:t>
            </w:r>
            <w:r>
              <w:rPr>
                <w:rFonts w:ascii="Arial" w:cs="Arial" w:eastAsia="Arial" w:hAnsi="Arial"/>
                <w:sz w:val="17"/>
                <w:szCs w:val="17"/>
                <w:color w:val="auto"/>
                <w:vertAlign w:val="superscript"/>
              </w:rPr>
              <w:t>(6)</w:t>
            </w:r>
          </w:p>
        </w:tc>
        <w:tc>
          <w:tcPr>
            <w:tcW w:w="5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26,276,070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26,063,224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24,173,984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100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8"/>
              </w:rPr>
              <w:t>12/31/2015</w:t>
            </w:r>
          </w:p>
        </w:tc>
        <w:tc>
          <w:tcPr>
            <w:tcW w:w="2280" w:type="dxa"/>
            <w:vAlign w:val="bottom"/>
            <w:gridSpan w:val="3"/>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14,686,238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000" w:type="dxa"/>
            <w:vAlign w:val="bottom"/>
            <w:tcBorders>
              <w:bottom w:val="single" w:sz="8" w:color="CCEEFF"/>
            </w:tcBorders>
            <w:gridSpan w:val="3"/>
          </w:tcPr>
          <w:p>
            <w:pPr>
              <w:jc w:val="center"/>
              <w:ind w:right="140"/>
              <w:spacing w:after="0" w:line="149" w:lineRule="exact"/>
              <w:rPr>
                <w:sz w:val="20"/>
                <w:szCs w:val="20"/>
                <w:color w:val="auto"/>
              </w:rPr>
            </w:pPr>
            <w:r>
              <w:rPr>
                <w:rFonts w:ascii="Arial" w:cs="Arial" w:eastAsia="Arial" w:hAnsi="Arial"/>
                <w:sz w:val="14"/>
                <w:szCs w:val="14"/>
                <w:color w:val="auto"/>
                <w:w w:val="88"/>
              </w:rPr>
              <w:t>12/31/2012</w:t>
            </w:r>
          </w:p>
        </w:tc>
        <w:tc>
          <w:tcPr>
            <w:tcW w:w="2280" w:type="dxa"/>
            <w:vAlign w:val="bottom"/>
            <w:tcBorders>
              <w:bottom w:val="single" w:sz="8" w:color="CCEEFF"/>
            </w:tcBorders>
            <w:gridSpan w:val="3"/>
          </w:tcPr>
          <w:p>
            <w:pPr>
              <w:jc w:val="center"/>
              <w:ind w:right="26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tcBorders>
              <w:bottom w:val="single" w:sz="8" w:color="CCEEFF"/>
            </w:tcBorders>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3"/>
          </w:tcPr>
          <w:p>
            <w:pPr>
              <w:jc w:val="right"/>
              <w:ind w:right="80"/>
              <w:spacing w:after="0" w:line="149" w:lineRule="exact"/>
              <w:rPr>
                <w:sz w:val="20"/>
                <w:szCs w:val="20"/>
                <w:color w:val="auto"/>
              </w:rPr>
            </w:pPr>
            <w:r>
              <w:rPr>
                <w:rFonts w:ascii="Arial" w:cs="Arial" w:eastAsia="Arial" w:hAnsi="Arial"/>
                <w:sz w:val="14"/>
                <w:szCs w:val="14"/>
                <w:color w:val="auto"/>
              </w:rPr>
              <w:t>12,000,000</w:t>
            </w: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11,700,000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spacing w:after="0" w:line="155" w:lineRule="exact"/>
              <w:rPr>
                <w:sz w:val="20"/>
                <w:szCs w:val="20"/>
                <w:color w:val="auto"/>
              </w:rPr>
            </w:pPr>
            <w:r>
              <w:rPr>
                <w:rFonts w:ascii="Arial" w:cs="Arial" w:eastAsia="Arial" w:hAnsi="Arial"/>
                <w:sz w:val="14"/>
                <w:szCs w:val="14"/>
                <w:color w:val="auto"/>
              </w:rPr>
              <w:t>316,401,098</w:t>
            </w:r>
          </w:p>
        </w:tc>
        <w:tc>
          <w:tcPr>
            <w:tcW w:w="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spacing w:after="0" w:line="155" w:lineRule="exact"/>
              <w:rPr>
                <w:sz w:val="20"/>
                <w:szCs w:val="20"/>
                <w:color w:val="auto"/>
              </w:rPr>
            </w:pPr>
            <w:r>
              <w:rPr>
                <w:rFonts w:ascii="Arial" w:cs="Arial" w:eastAsia="Arial" w:hAnsi="Arial"/>
                <w:sz w:val="14"/>
                <w:szCs w:val="14"/>
                <w:color w:val="auto"/>
              </w:rPr>
              <w:t>300,840,501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1"/>
                <w:szCs w:val="11"/>
                <w:b w:val="1"/>
                <w:bCs w:val="1"/>
                <w:color w:val="auto"/>
              </w:rPr>
              <w:t>Preferred Equity/Partnership Interests—1.7%</w:t>
            </w:r>
            <w:r>
              <w:rPr>
                <w:rFonts w:ascii="Arial" w:cs="Arial" w:eastAsia="Arial" w:hAnsi="Arial"/>
                <w:sz w:val="17"/>
                <w:szCs w:val="17"/>
                <w:b w:val="1"/>
                <w:bCs w:val="1"/>
                <w:color w:val="auto"/>
                <w:vertAlign w:val="superscript"/>
              </w:rPr>
              <w:t>(7)</w:t>
            </w:r>
          </w:p>
        </w:tc>
        <w:tc>
          <w:tcPr>
            <w:tcW w:w="14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 Holdings, Inc.</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80" w:type="dxa"/>
            <w:vAlign w:val="bottom"/>
            <w:gridSpan w:val="3"/>
            <w:shd w:val="clear" w:color="auto" w:fill="CCEEFF"/>
          </w:tcPr>
          <w:p>
            <w:pPr>
              <w:jc w:val="center"/>
              <w:ind w:right="280"/>
              <w:spacing w:after="0" w:line="138" w:lineRule="exact"/>
              <w:rPr>
                <w:sz w:val="20"/>
                <w:szCs w:val="20"/>
                <w:color w:val="auto"/>
              </w:rPr>
            </w:pPr>
            <w:r>
              <w:rPr>
                <w:rFonts w:ascii="Arial" w:cs="Arial" w:eastAsia="Arial" w:hAnsi="Arial"/>
                <w:sz w:val="14"/>
                <w:szCs w:val="14"/>
                <w:color w:val="auto"/>
                <w:w w:val="87"/>
              </w:rPr>
              <w:t>Healthcare, Education</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(American Surgical Holdings, Inc.)</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280"/>
              <w:spacing w:after="0"/>
              <w:rPr>
                <w:sz w:val="20"/>
                <w:szCs w:val="20"/>
                <w:color w:val="auto"/>
              </w:rPr>
            </w:pPr>
            <w:r>
              <w:rPr>
                <w:rFonts w:ascii="Arial" w:cs="Arial" w:eastAsia="Arial" w:hAnsi="Arial"/>
                <w:sz w:val="14"/>
                <w:szCs w:val="14"/>
                <w:color w:val="auto"/>
                <w:w w:val="87"/>
              </w:rPr>
              <w:t>and Childcare</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6.00%</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211</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491,004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140" w:type="dxa"/>
            <w:vAlign w:val="bottom"/>
          </w:tcPr>
          <w:p>
            <w:pPr>
              <w:spacing w:after="0"/>
              <w:rPr>
                <w:sz w:val="13"/>
                <w:szCs w:val="13"/>
                <w:color w:val="auto"/>
              </w:rPr>
            </w:pP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280"/>
              <w:spacing w:after="0" w:line="15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7,505</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318,896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80" w:type="dxa"/>
            <w:vAlign w:val="bottom"/>
            <w:gridSpan w:val="3"/>
            <w:shd w:val="clear" w:color="auto" w:fill="CCEEFF"/>
          </w:tcPr>
          <w:p>
            <w:pPr>
              <w:jc w:val="center"/>
              <w:ind w:right="280"/>
              <w:spacing w:after="0" w:line="138" w:lineRule="exact"/>
              <w:rPr>
                <w:sz w:val="20"/>
                <w:szCs w:val="20"/>
                <w:color w:val="auto"/>
              </w:rPr>
            </w:pPr>
            <w:r>
              <w:rPr>
                <w:rFonts w:ascii="Arial" w:cs="Arial" w:eastAsia="Arial" w:hAnsi="Arial"/>
                <w:sz w:val="14"/>
                <w:szCs w:val="14"/>
                <w:color w:val="auto"/>
                <w:w w:val="84"/>
              </w:rPr>
              <w:t>Aerospace and</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(Consolidated Foundries, Inc.)</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020"/>
              <w:spacing w:after="0"/>
              <w:rPr>
                <w:sz w:val="20"/>
                <w:szCs w:val="20"/>
                <w:color w:val="auto"/>
              </w:rPr>
            </w:pPr>
            <w:r>
              <w:rPr>
                <w:rFonts w:ascii="Arial" w:cs="Arial" w:eastAsia="Arial" w:hAnsi="Arial"/>
                <w:sz w:val="14"/>
                <w:szCs w:val="14"/>
                <w:color w:val="auto"/>
                <w:w w:val="84"/>
              </w:rPr>
              <w:t>Defense</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12.00%</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909</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909,248</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1,328,977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80" w:type="dxa"/>
            <w:vAlign w:val="bottom"/>
            <w:gridSpan w:val="3"/>
          </w:tcPr>
          <w:p>
            <w:pPr>
              <w:jc w:val="center"/>
              <w:ind w:right="280"/>
              <w:spacing w:after="0" w:line="138" w:lineRule="exact"/>
              <w:rPr>
                <w:sz w:val="20"/>
                <w:szCs w:val="20"/>
                <w:color w:val="auto"/>
              </w:rPr>
            </w:pPr>
            <w:r>
              <w:rPr>
                <w:rFonts w:ascii="Arial" w:cs="Arial" w:eastAsia="Arial" w:hAnsi="Arial"/>
                <w:sz w:val="14"/>
                <w:szCs w:val="14"/>
                <w:color w:val="auto"/>
                <w:w w:val="84"/>
              </w:rPr>
              <w:t>Aerospace and</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gridSpan w:val="2"/>
          </w:tcPr>
          <w:p>
            <w:pPr>
              <w:ind w:left="200"/>
              <w:spacing w:after="0"/>
              <w:rPr>
                <w:sz w:val="20"/>
                <w:szCs w:val="20"/>
                <w:color w:val="auto"/>
              </w:rPr>
            </w:pPr>
            <w:r>
              <w:rPr>
                <w:rFonts w:ascii="Arial" w:cs="Arial" w:eastAsia="Arial" w:hAnsi="Arial"/>
                <w:sz w:val="14"/>
                <w:szCs w:val="14"/>
                <w:color w:val="auto"/>
              </w:rPr>
              <w:t>(PAS Technologies)</w:t>
            </w:r>
          </w:p>
        </w:tc>
        <w:tc>
          <w:tcPr>
            <w:tcW w:w="14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540" w:type="dxa"/>
            <w:vAlign w:val="bottom"/>
            <w:gridSpan w:val="2"/>
          </w:tcPr>
          <w:p>
            <w:pPr>
              <w:jc w:val="center"/>
              <w:ind w:right="1020"/>
              <w:spacing w:after="0"/>
              <w:rPr>
                <w:sz w:val="20"/>
                <w:szCs w:val="20"/>
                <w:color w:val="auto"/>
              </w:rPr>
            </w:pPr>
            <w:r>
              <w:rPr>
                <w:rFonts w:ascii="Arial" w:cs="Arial" w:eastAsia="Arial" w:hAnsi="Arial"/>
                <w:sz w:val="14"/>
                <w:szCs w:val="14"/>
                <w:color w:val="auto"/>
                <w:w w:val="84"/>
              </w:rPr>
              <w:t>Defense</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8.00%</w:t>
            </w:r>
          </w:p>
        </w:tc>
        <w:tc>
          <w:tcPr>
            <w:tcW w:w="520" w:type="dxa"/>
            <w:vAlign w:val="bottom"/>
          </w:tcPr>
          <w:p>
            <w:pPr>
              <w:ind w:left="14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20,000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1,980,000</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2,026,969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280"/>
              <w:spacing w:after="0" w:line="15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686</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140" w:type="dxa"/>
            <w:vAlign w:val="bottom"/>
          </w:tcPr>
          <w:p>
            <w:pPr>
              <w:spacing w:after="0"/>
              <w:rPr>
                <w:sz w:val="13"/>
                <w:szCs w:val="13"/>
                <w:color w:val="auto"/>
              </w:rPr>
            </w:pP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280"/>
              <w:spacing w:after="0" w:line="15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6.50%</w:t>
            </w:r>
          </w:p>
        </w:tc>
        <w:tc>
          <w:tcPr>
            <w:tcW w:w="52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1,312</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1,312,006</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1,581,165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280"/>
              <w:spacing w:after="0" w:line="15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8.00%</w:t>
            </w:r>
          </w:p>
        </w:tc>
        <w:tc>
          <w:tcPr>
            <w:tcW w:w="5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101,175</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2,738,050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Verde Parent Holdings, Inc.</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tcBorders>
              <w:bottom w:val="single" w:sz="8" w:color="CCEEFF"/>
            </w:tcBorders>
            <w:gridSpan w:val="2"/>
          </w:tcPr>
          <w:p>
            <w:pPr>
              <w:ind w:left="200"/>
              <w:spacing w:after="0" w:line="159" w:lineRule="exact"/>
              <w:rPr>
                <w:sz w:val="20"/>
                <w:szCs w:val="20"/>
                <w:color w:val="auto"/>
              </w:rPr>
            </w:pPr>
            <w:r>
              <w:rPr>
                <w:rFonts w:ascii="Arial" w:cs="Arial" w:eastAsia="Arial" w:hAnsi="Arial"/>
                <w:sz w:val="14"/>
                <w:szCs w:val="14"/>
                <w:color w:val="auto"/>
              </w:rPr>
              <w:t>(VPSI, Inc)</w:t>
            </w:r>
          </w:p>
        </w:tc>
        <w:tc>
          <w:tcPr>
            <w:tcW w:w="14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2280" w:type="dxa"/>
            <w:vAlign w:val="bottom"/>
            <w:tcBorders>
              <w:bottom w:val="single" w:sz="8" w:color="CCEEFF"/>
            </w:tcBorders>
            <w:gridSpan w:val="3"/>
          </w:tcPr>
          <w:p>
            <w:pPr>
              <w:jc w:val="center"/>
              <w:ind w:right="280"/>
              <w:spacing w:after="0" w:line="159" w:lineRule="exact"/>
              <w:rPr>
                <w:sz w:val="20"/>
                <w:szCs w:val="20"/>
                <w:color w:val="auto"/>
              </w:rPr>
            </w:pPr>
            <w:r>
              <w:rPr>
                <w:rFonts w:ascii="Arial" w:cs="Arial" w:eastAsia="Arial" w:hAnsi="Arial"/>
                <w:sz w:val="14"/>
                <w:szCs w:val="14"/>
                <w:color w:val="auto"/>
                <w:w w:val="85"/>
              </w:rPr>
              <w:t>Personal Transportation</w:t>
            </w:r>
          </w:p>
        </w:tc>
        <w:tc>
          <w:tcPr>
            <w:tcW w:w="860" w:type="dxa"/>
            <w:vAlign w:val="bottom"/>
            <w:tcBorders>
              <w:bottom w:val="single" w:sz="8" w:color="CCEEFF"/>
            </w:tcBorders>
            <w:gridSpan w:val="2"/>
          </w:tcPr>
          <w:p>
            <w:pPr>
              <w:jc w:val="right"/>
              <w:ind w:right="280"/>
              <w:spacing w:after="0" w:line="159" w:lineRule="exact"/>
              <w:rPr>
                <w:sz w:val="20"/>
                <w:szCs w:val="20"/>
                <w:color w:val="auto"/>
              </w:rPr>
            </w:pPr>
            <w:r>
              <w:rPr>
                <w:rFonts w:ascii="Arial" w:cs="Arial" w:eastAsia="Arial" w:hAnsi="Arial"/>
                <w:sz w:val="14"/>
                <w:szCs w:val="14"/>
                <w:color w:val="auto"/>
              </w:rPr>
              <w:t>8.00%</w:t>
            </w:r>
          </w:p>
        </w:tc>
        <w:tc>
          <w:tcPr>
            <w:tcW w:w="520" w:type="dxa"/>
            <w:vAlign w:val="bottom"/>
            <w:tcBorders>
              <w:bottom w:val="single" w:sz="8" w:color="CCEEFF"/>
            </w:tcBorders>
          </w:tcPr>
          <w:p>
            <w:pPr>
              <w:ind w:left="140"/>
              <w:spacing w:after="0" w:line="15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3"/>
          </w:tcPr>
          <w:p>
            <w:pPr>
              <w:jc w:val="right"/>
              <w:ind w:right="80"/>
              <w:spacing w:after="0" w:line="159" w:lineRule="exact"/>
              <w:rPr>
                <w:sz w:val="20"/>
                <w:szCs w:val="20"/>
                <w:color w:val="auto"/>
              </w:rPr>
            </w:pPr>
            <w:r>
              <w:rPr>
                <w:rFonts w:ascii="Arial" w:cs="Arial" w:eastAsia="Arial" w:hAnsi="Arial"/>
                <w:sz w:val="14"/>
                <w:szCs w:val="14"/>
                <w:color w:val="auto"/>
              </w:rPr>
              <w:t>1,824,167</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1,824,167</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1,911,003</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0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10,268,187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8,024,938</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Point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Spread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Above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Maturity</w:t>
            </w:r>
          </w:p>
        </w:tc>
        <w:tc>
          <w:tcPr>
            <w:tcW w:w="840" w:type="dxa"/>
            <w:vAlign w:val="bottom"/>
          </w:tcPr>
          <w:p>
            <w:pPr>
              <w:spacing w:after="0"/>
              <w:rPr>
                <w:sz w:val="12"/>
                <w:szCs w:val="12"/>
                <w:color w:val="auto"/>
              </w:rPr>
            </w:pPr>
          </w:p>
        </w:tc>
        <w:tc>
          <w:tcPr>
            <w:tcW w:w="148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90"/>
              </w:rPr>
              <w:t>Industry</w:t>
            </w: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640" w:type="dxa"/>
            <w:vAlign w:val="bottom"/>
            <w:gridSpan w:val="2"/>
          </w:tcPr>
          <w:p>
            <w:pPr>
              <w:jc w:val="center"/>
              <w:ind w:right="18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2"/>
                <w:szCs w:val="12"/>
                <w:color w:val="auto"/>
              </w:rPr>
            </w:pPr>
          </w:p>
        </w:tc>
        <w:tc>
          <w:tcPr>
            <w:tcW w:w="740" w:type="dxa"/>
            <w:vAlign w:val="bottom"/>
            <w:gridSpan w:val="4"/>
          </w:tcPr>
          <w:p>
            <w:pPr>
              <w:jc w:val="right"/>
              <w:ind w:right="32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300" w:type="dxa"/>
            <w:vAlign w:val="bottom"/>
            <w:gridSpan w:val="2"/>
            <w:shd w:val="clear" w:color="auto" w:fill="CCEEFF"/>
          </w:tcPr>
          <w:p>
            <w:pPr>
              <w:spacing w:after="0" w:line="116" w:lineRule="exact"/>
              <w:rPr>
                <w:sz w:val="20"/>
                <w:szCs w:val="20"/>
                <w:color w:val="auto"/>
              </w:rPr>
            </w:pPr>
            <w:r>
              <w:rPr>
                <w:rFonts w:ascii="Arial" w:cs="Arial" w:eastAsia="Arial" w:hAnsi="Arial"/>
                <w:sz w:val="9"/>
                <w:szCs w:val="9"/>
                <w:b w:val="1"/>
                <w:bCs w:val="1"/>
                <w:color w:val="auto"/>
              </w:rPr>
              <w:t>Common Equity/Warrants/Partnership Interests—7.0%</w:t>
            </w:r>
            <w:r>
              <w:rPr>
                <w:rFonts w:ascii="Arial" w:cs="Arial" w:eastAsia="Arial" w:hAnsi="Arial"/>
                <w:sz w:val="13"/>
                <w:szCs w:val="13"/>
                <w:b w:val="1"/>
                <w:bCs w:val="1"/>
                <w:color w:val="auto"/>
                <w:vertAlign w:val="superscript"/>
              </w:rPr>
              <w:t>(7)</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tcPr>
          <w:p>
            <w:pPr>
              <w:spacing w:after="0" w:line="138" w:lineRule="exact"/>
              <w:rPr>
                <w:sz w:val="20"/>
                <w:szCs w:val="20"/>
                <w:color w:val="auto"/>
              </w:rPr>
            </w:pPr>
            <w:r>
              <w:rPr>
                <w:rFonts w:ascii="Arial" w:cs="Arial" w:eastAsia="Arial" w:hAnsi="Arial"/>
                <w:sz w:val="14"/>
                <w:szCs w:val="14"/>
                <w:color w:val="auto"/>
              </w:rPr>
              <w:t>AH Holdings, Inc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87"/>
              </w:rPr>
              <w:t>Healthcare, Education</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gridSpan w:val="2"/>
          </w:tcPr>
          <w:p>
            <w:pPr>
              <w:ind w:left="200"/>
              <w:spacing w:after="0"/>
              <w:rPr>
                <w:sz w:val="20"/>
                <w:szCs w:val="20"/>
                <w:color w:val="auto"/>
              </w:rPr>
            </w:pPr>
            <w:r>
              <w:rPr>
                <w:rFonts w:ascii="Arial" w:cs="Arial" w:eastAsia="Arial" w:hAnsi="Arial"/>
                <w:sz w:val="14"/>
                <w:szCs w:val="14"/>
                <w:color w:val="auto"/>
              </w:rPr>
              <w:t>(American Surgical Holdings, Inc.) (Warrants)</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3/23/2021</w:t>
            </w:r>
          </w:p>
        </w:tc>
        <w:tc>
          <w:tcPr>
            <w:tcW w:w="232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and Childcare</w:t>
            </w:r>
          </w:p>
        </w:tc>
        <w:tc>
          <w:tcPr>
            <w:tcW w:w="7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753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CEA Autumn Management, LLC</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Broadcasting and Entertainment</w:t>
            </w:r>
          </w:p>
        </w:tc>
        <w:tc>
          <w:tcPr>
            <w:tcW w:w="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1,333</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280,176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84"/>
              </w:rPr>
              <w:t>Aerospace and</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gridSpan w:val="2"/>
          </w:tcPr>
          <w:p>
            <w:pPr>
              <w:ind w:left="200"/>
              <w:spacing w:after="0"/>
              <w:rPr>
                <w:sz w:val="20"/>
                <w:szCs w:val="20"/>
                <w:color w:val="auto"/>
              </w:rPr>
            </w:pPr>
            <w:r>
              <w:rPr>
                <w:rFonts w:ascii="Arial" w:cs="Arial" w:eastAsia="Arial" w:hAnsi="Arial"/>
                <w:sz w:val="14"/>
                <w:szCs w:val="14"/>
                <w:color w:val="auto"/>
              </w:rPr>
              <w:t>(Consolidated Foundries, Inc.)</w:t>
            </w:r>
          </w:p>
        </w:tc>
        <w:tc>
          <w:tcPr>
            <w:tcW w:w="100" w:type="dxa"/>
            <w:vAlign w:val="bottom"/>
          </w:tcPr>
          <w:p>
            <w:pPr>
              <w:spacing w:after="0"/>
              <w:rPr>
                <w:sz w:val="15"/>
                <w:szCs w:val="15"/>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1480" w:type="dxa"/>
            <w:vAlign w:val="bottom"/>
            <w:gridSpan w:val="2"/>
          </w:tcPr>
          <w:p>
            <w:pPr>
              <w:jc w:val="center"/>
              <w:ind w:right="960"/>
              <w:spacing w:after="0"/>
              <w:rPr>
                <w:sz w:val="20"/>
                <w:szCs w:val="20"/>
                <w:color w:val="auto"/>
              </w:rPr>
            </w:pPr>
            <w:r>
              <w:rPr>
                <w:rFonts w:ascii="Arial" w:cs="Arial" w:eastAsia="Arial" w:hAnsi="Arial"/>
                <w:sz w:val="14"/>
                <w:szCs w:val="14"/>
                <w:color w:val="auto"/>
                <w:w w:val="84"/>
              </w:rPr>
              <w:t>Defense</w:t>
            </w:r>
          </w:p>
        </w:tc>
        <w:tc>
          <w:tcPr>
            <w:tcW w:w="7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1,856</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18,556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1,443,556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5"/>
              </w:rPr>
              <w:t>Business Services</w:t>
            </w:r>
          </w:p>
        </w:tc>
        <w:tc>
          <w:tcPr>
            <w:tcW w:w="7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5,556</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2,277,209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8,431,871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DirectBuy Investors, L.P.</w:t>
            </w:r>
          </w:p>
        </w:tc>
        <w:tc>
          <w:tcPr>
            <w:tcW w:w="10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Consumer Products</w:t>
            </w:r>
          </w:p>
        </w:tc>
        <w:tc>
          <w:tcPr>
            <w:tcW w:w="7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30,000</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1,350,000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469,500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Corporation, LLC, Class A</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32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87"/>
              </w:rPr>
              <w:t>Healthcare, Education</w:t>
            </w: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color w:val="auto"/>
              </w:rPr>
              <w:t>(f/k/a Kadmon Holdings, LLC)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320" w:type="dxa"/>
            <w:vAlign w:val="bottom"/>
            <w:gridSpan w:val="3"/>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(Kadmon Pharmaceuticals, LLC)</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color w:val="auto"/>
                <w:w w:val="85"/>
              </w:rPr>
              <w:t>and Childcare</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83"/>
              </w:rPr>
              <w:t>1,079,920</w:t>
            </w:r>
          </w:p>
        </w:tc>
        <w:tc>
          <w:tcPr>
            <w:tcW w:w="8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1,236,832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295,205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tcPr>
          <w:p>
            <w:pPr>
              <w:spacing w:after="0" w:line="138" w:lineRule="exact"/>
              <w:rPr>
                <w:sz w:val="20"/>
                <w:szCs w:val="20"/>
                <w:color w:val="auto"/>
              </w:rPr>
            </w:pPr>
            <w:r>
              <w:rPr>
                <w:rFonts w:ascii="Arial" w:cs="Arial" w:eastAsia="Arial" w:hAnsi="Arial"/>
                <w:sz w:val="14"/>
                <w:szCs w:val="14"/>
                <w:color w:val="auto"/>
              </w:rPr>
              <w:t>Kadmon Corporation, LLC, Class 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87"/>
              </w:rPr>
              <w:t>Healthcare, Education</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(f/k/a Kadmon Holdings, LLC)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gridSpan w:val="2"/>
          </w:tcPr>
          <w:p>
            <w:pPr>
              <w:ind w:left="200"/>
              <w:spacing w:after="0"/>
              <w:rPr>
                <w:sz w:val="20"/>
                <w:szCs w:val="20"/>
                <w:color w:val="auto"/>
              </w:rPr>
            </w:pPr>
            <w:r>
              <w:rPr>
                <w:rFonts w:ascii="Arial" w:cs="Arial" w:eastAsia="Arial" w:hAnsi="Arial"/>
                <w:sz w:val="14"/>
                <w:szCs w:val="14"/>
                <w:color w:val="auto"/>
              </w:rPr>
              <w:t>(Kadmon Pharmaceuticals, LLC)</w:t>
            </w:r>
          </w:p>
        </w:tc>
        <w:tc>
          <w:tcPr>
            <w:tcW w:w="100" w:type="dxa"/>
            <w:vAlign w:val="bottom"/>
          </w:tcPr>
          <w:p>
            <w:pPr>
              <w:spacing w:after="0"/>
              <w:rPr>
                <w:sz w:val="15"/>
                <w:szCs w:val="15"/>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32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and Childcare</w:t>
            </w:r>
          </w:p>
        </w:tc>
        <w:tc>
          <w:tcPr>
            <w:tcW w:w="7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w w:val="83"/>
              </w:rPr>
              <w:t>1,079,920</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1,028,807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1,028,807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4/27/2020</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Education</w:t>
            </w:r>
          </w:p>
        </w:tc>
        <w:tc>
          <w:tcPr>
            <w:tcW w:w="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1,267</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779,920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112,064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10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Oil and Gas</w:t>
            </w:r>
          </w:p>
        </w:tc>
        <w:tc>
          <w:tcPr>
            <w:tcW w:w="7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83"/>
              </w:rPr>
              <w:t>1,221,932</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3,239,999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4,044,595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 (Warrants)</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10/14/2013</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Oil and Gas</w:t>
            </w:r>
          </w:p>
        </w:tc>
        <w:tc>
          <w:tcPr>
            <w:tcW w:w="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122,193</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105,697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61,091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tcPr>
          <w:p>
            <w:pPr>
              <w:spacing w:after="0" w:line="138" w:lineRule="exact"/>
              <w:rPr>
                <w:sz w:val="20"/>
                <w:szCs w:val="20"/>
                <w:color w:val="auto"/>
              </w:rPr>
            </w:pPr>
            <w:r>
              <w:rPr>
                <w:rFonts w:ascii="Arial" w:cs="Arial" w:eastAsia="Arial" w:hAnsi="Arial"/>
                <w:sz w:val="14"/>
                <w:szCs w:val="14"/>
                <w:color w:val="auto"/>
              </w:rPr>
              <w:t>MidOcean PPL Holdings, Inc.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6"/>
              </w:rPr>
              <w:t>Personal, Food and Miscellaneous</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gridSpan w:val="2"/>
          </w:tcPr>
          <w:p>
            <w:pPr>
              <w:ind w:left="200"/>
              <w:spacing w:after="0"/>
              <w:rPr>
                <w:sz w:val="20"/>
                <w:szCs w:val="20"/>
                <w:color w:val="auto"/>
              </w:rPr>
            </w:pPr>
            <w:r>
              <w:rPr>
                <w:rFonts w:ascii="Arial" w:cs="Arial" w:eastAsia="Arial" w:hAnsi="Arial"/>
                <w:sz w:val="14"/>
                <w:szCs w:val="14"/>
                <w:color w:val="auto"/>
              </w:rPr>
              <w:t>(Pre-Paid LegalServices, Inc.)</w:t>
            </w:r>
          </w:p>
        </w:tc>
        <w:tc>
          <w:tcPr>
            <w:tcW w:w="100" w:type="dxa"/>
            <w:vAlign w:val="bottom"/>
          </w:tcPr>
          <w:p>
            <w:pPr>
              <w:spacing w:after="0"/>
              <w:rPr>
                <w:sz w:val="15"/>
                <w:szCs w:val="15"/>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1480" w:type="dxa"/>
            <w:vAlign w:val="bottom"/>
            <w:gridSpan w:val="2"/>
          </w:tcPr>
          <w:p>
            <w:pPr>
              <w:jc w:val="center"/>
              <w:ind w:right="940"/>
              <w:spacing w:after="0"/>
              <w:rPr>
                <w:sz w:val="20"/>
                <w:szCs w:val="20"/>
                <w:color w:val="auto"/>
              </w:rPr>
            </w:pPr>
            <w:r>
              <w:rPr>
                <w:rFonts w:ascii="Arial" w:cs="Arial" w:eastAsia="Arial" w:hAnsi="Arial"/>
                <w:sz w:val="14"/>
                <w:szCs w:val="14"/>
                <w:color w:val="auto"/>
                <w:w w:val="85"/>
              </w:rPr>
              <w:t>Services</w:t>
            </w:r>
          </w:p>
        </w:tc>
        <w:tc>
          <w:tcPr>
            <w:tcW w:w="7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3,320,146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Tech Holdings, Inc. (PAS Technologies)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101,931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A</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00" w:type="dxa"/>
            <w:vAlign w:val="bottom"/>
          </w:tcPr>
          <w:p>
            <w:pPr>
              <w:spacing w:after="0"/>
              <w:rPr>
                <w:sz w:val="13"/>
                <w:szCs w:val="13"/>
                <w:color w:val="auto"/>
              </w:rPr>
            </w:pPr>
          </w:p>
        </w:tc>
        <w:tc>
          <w:tcPr>
            <w:tcW w:w="78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23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90"/>
              </w:rPr>
              <w:t>Other Media</w:t>
            </w:r>
          </w:p>
        </w:tc>
        <w:tc>
          <w:tcPr>
            <w:tcW w:w="7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4,325</w:t>
            </w:r>
          </w:p>
        </w:tc>
        <w:tc>
          <w:tcPr>
            <w:tcW w:w="80" w:type="dxa"/>
            <w:vAlign w:val="bottom"/>
          </w:tcPr>
          <w:p>
            <w:pPr>
              <w:spacing w:after="0"/>
              <w:rPr>
                <w:sz w:val="13"/>
                <w:szCs w:val="13"/>
                <w:color w:val="auto"/>
              </w:rPr>
            </w:pPr>
          </w:p>
        </w:tc>
        <w:tc>
          <w:tcPr>
            <w:tcW w:w="74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1,306,167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1,352,585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B</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90"/>
              </w:rPr>
              <w:t>Other Media</w:t>
            </w:r>
          </w:p>
        </w:tc>
        <w:tc>
          <w:tcPr>
            <w:tcW w:w="7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166,063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9"/>
              </w:rPr>
              <w:t>12/29/2019</w:t>
            </w:r>
          </w:p>
        </w:tc>
        <w:tc>
          <w:tcPr>
            <w:tcW w:w="23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7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3,500</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29,400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577,061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6"/>
              </w:rPr>
              <w:t>Cargo Transport</w:t>
            </w:r>
          </w:p>
        </w:tc>
        <w:tc>
          <w:tcPr>
            <w:tcW w:w="7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137,923</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2,111,588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1,521,406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10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148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87"/>
              </w:rPr>
              <w:t>Insurance</w:t>
            </w:r>
          </w:p>
        </w:tc>
        <w:tc>
          <w:tcPr>
            <w:tcW w:w="7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9,843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1,591,505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9"/>
              </w:rPr>
              <w:t>Oil and Gas</w:t>
            </w:r>
          </w:p>
        </w:tc>
        <w:tc>
          <w:tcPr>
            <w:tcW w:w="7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110,742</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1,107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 ( VPSI, Inc.)</w:t>
            </w:r>
          </w:p>
        </w:tc>
        <w:tc>
          <w:tcPr>
            <w:tcW w:w="10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Personal Transportation</w:t>
            </w:r>
          </w:p>
        </w:tc>
        <w:tc>
          <w:tcPr>
            <w:tcW w:w="7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9,166</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9,166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35,526</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7,501,780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w w:val="91"/>
              </w:rPr>
              <w:t>23,574,291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4"/>
              </w:rPr>
              <w:t>32,299,342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6"/>
              </w:rPr>
              <w:t>Investments in Non-Controlled, Non-Affiliated Portfolio Companies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816,078,311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773,375,381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gridSpan w:val="2"/>
          </w:tcPr>
          <w:p>
            <w:pPr>
              <w:spacing w:after="0" w:line="129" w:lineRule="exact"/>
              <w:rPr>
                <w:sz w:val="20"/>
                <w:szCs w:val="20"/>
                <w:color w:val="auto"/>
              </w:rPr>
            </w:pPr>
            <w:r>
              <w:rPr>
                <w:rFonts w:ascii="Arial" w:cs="Arial" w:eastAsia="Arial" w:hAnsi="Arial"/>
                <w:sz w:val="10"/>
                <w:szCs w:val="10"/>
                <w:b w:val="1"/>
                <w:bCs w:val="1"/>
                <w:color w:val="auto"/>
              </w:rPr>
              <w:t>Investments in Non-Controlled, Affiliated Portfolio Companies—8.8%</w:t>
            </w:r>
            <w:r>
              <w:rPr>
                <w:rFonts w:ascii="Arial" w:cs="Arial" w:eastAsia="Arial" w:hAnsi="Arial"/>
                <w:sz w:val="14"/>
                <w:szCs w:val="14"/>
                <w:b w:val="1"/>
                <w:bCs w:val="1"/>
                <w:color w:val="auto"/>
                <w:vertAlign w:val="superscript"/>
              </w:rPr>
              <w:t>(1),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60" w:type="dxa"/>
            <w:vAlign w:val="bottom"/>
            <w:gridSpan w:val="2"/>
          </w:tcPr>
          <w:p>
            <w:pPr>
              <w:ind w:left="220"/>
              <w:spacing w:after="0"/>
              <w:rPr>
                <w:sz w:val="20"/>
                <w:szCs w:val="20"/>
                <w:color w:val="auto"/>
              </w:rPr>
            </w:pPr>
            <w:r>
              <w:rPr>
                <w:rFonts w:ascii="Arial" w:cs="Arial" w:eastAsia="Arial" w:hAnsi="Arial"/>
                <w:sz w:val="11"/>
                <w:szCs w:val="11"/>
                <w:b w:val="1"/>
                <w:bCs w:val="1"/>
                <w:color w:val="auto"/>
              </w:rPr>
              <w:t>(2)</w:t>
            </w: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First Lien Secured Debt—1.4%</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7/29/2013</w:t>
            </w:r>
          </w:p>
        </w:tc>
        <w:tc>
          <w:tcPr>
            <w:tcW w:w="23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Environmental Services</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2.72%</w:t>
            </w: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83"/>
              </w:rPr>
              <w:t>6,666,666</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6,666,666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Second Lien Secured Debt—2.9%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color w:val="auto"/>
                <w:w w:val="90"/>
              </w:rPr>
              <w:t>L+600</w:t>
            </w:r>
            <w:r>
              <w:rPr>
                <w:rFonts w:ascii="Arial" w:cs="Arial" w:eastAsia="Arial" w:hAnsi="Arial"/>
                <w:sz w:val="22"/>
                <w:szCs w:val="22"/>
                <w:color w:val="auto"/>
                <w:w w:val="90"/>
                <w:vertAlign w:val="superscript"/>
              </w:rPr>
              <w:t>(8)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7/29/2014</w:t>
            </w:r>
          </w:p>
        </w:tc>
        <w:tc>
          <w:tcPr>
            <w:tcW w:w="232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88"/>
              </w:rPr>
              <w:t>Environmental Services</w:t>
            </w:r>
          </w:p>
        </w:tc>
        <w:tc>
          <w:tcPr>
            <w:tcW w:w="720" w:type="dxa"/>
            <w:vAlign w:val="bottom"/>
            <w:gridSpan w:val="2"/>
          </w:tcPr>
          <w:p>
            <w:pPr>
              <w:ind w:left="240"/>
              <w:spacing w:after="0"/>
              <w:rPr>
                <w:sz w:val="20"/>
                <w:szCs w:val="20"/>
                <w:color w:val="auto"/>
              </w:rPr>
            </w:pPr>
            <w:r>
              <w:rPr>
                <w:rFonts w:ascii="Arial" w:cs="Arial" w:eastAsia="Arial" w:hAnsi="Arial"/>
                <w:sz w:val="14"/>
                <w:szCs w:val="14"/>
                <w:color w:val="auto"/>
              </w:rPr>
              <w:t>8.00%</w:t>
            </w:r>
          </w:p>
        </w:tc>
        <w:tc>
          <w:tcPr>
            <w:tcW w:w="6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w w:val="83"/>
              </w:rPr>
              <w:t>5,870,416</w:t>
            </w:r>
          </w:p>
        </w:tc>
        <w:tc>
          <w:tcPr>
            <w:tcW w:w="80" w:type="dxa"/>
            <w:vAlign w:val="bottom"/>
          </w:tcPr>
          <w:p>
            <w:pPr>
              <w:spacing w:after="0"/>
              <w:rPr>
                <w:sz w:val="20"/>
                <w:szCs w:val="20"/>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5,870,416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5,870,416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gridSpan w:val="2"/>
            <w:vMerge w:val="restart"/>
          </w:tcPr>
          <w:p>
            <w:pPr>
              <w:ind w:left="100"/>
              <w:spacing w:after="0" w:line="212" w:lineRule="exact"/>
              <w:rPr>
                <w:sz w:val="20"/>
                <w:szCs w:val="20"/>
                <w:color w:val="auto"/>
              </w:rPr>
            </w:pPr>
            <w:r>
              <w:rPr>
                <w:rFonts w:ascii="Arial" w:cs="Arial" w:eastAsia="Arial" w:hAnsi="Arial"/>
                <w:sz w:val="14"/>
                <w:szCs w:val="14"/>
                <w:color w:val="auto"/>
                <w:w w:val="90"/>
              </w:rPr>
              <w:t>L+625</w:t>
            </w:r>
            <w:r>
              <w:rPr>
                <w:rFonts w:ascii="Arial" w:cs="Arial" w:eastAsia="Arial" w:hAnsi="Arial"/>
                <w:sz w:val="22"/>
                <w:szCs w:val="22"/>
                <w:color w:val="auto"/>
                <w:w w:val="90"/>
                <w:vertAlign w:val="superscript"/>
              </w:rPr>
              <w:t>(8)</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88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1/16/2015</w:t>
            </w:r>
          </w:p>
        </w:tc>
        <w:tc>
          <w:tcPr>
            <w:tcW w:w="23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6"/>
              </w:rPr>
              <w:t>Leisure, Amusement,</w:t>
            </w:r>
          </w:p>
        </w:tc>
        <w:tc>
          <w:tcPr>
            <w:tcW w:w="72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7.25%</w:t>
            </w: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w w:val="83"/>
              </w:rPr>
              <w:t>8,000,000</w:t>
            </w:r>
          </w:p>
        </w:tc>
        <w:tc>
          <w:tcPr>
            <w:tcW w:w="80" w:type="dxa"/>
            <w:vAlign w:val="bottom"/>
          </w:tcPr>
          <w:p>
            <w:pPr>
              <w:spacing w:after="0"/>
              <w:rPr>
                <w:sz w:val="11"/>
                <w:szCs w:val="11"/>
                <w:color w:val="auto"/>
              </w:rPr>
            </w:pPr>
          </w:p>
        </w:tc>
        <w:tc>
          <w:tcPr>
            <w:tcW w:w="740" w:type="dxa"/>
            <w:vAlign w:val="bottom"/>
            <w:gridSpan w:val="4"/>
          </w:tcPr>
          <w:p>
            <w:pPr>
              <w:jc w:val="right"/>
              <w:ind w:right="80"/>
              <w:spacing w:after="0" w:line="138" w:lineRule="exact"/>
              <w:rPr>
                <w:sz w:val="20"/>
                <w:szCs w:val="20"/>
                <w:color w:val="auto"/>
              </w:rPr>
            </w:pPr>
            <w:r>
              <w:rPr>
                <w:rFonts w:ascii="Arial" w:cs="Arial" w:eastAsia="Arial" w:hAnsi="Arial"/>
                <w:sz w:val="14"/>
                <w:szCs w:val="14"/>
                <w:color w:val="auto"/>
              </w:rPr>
              <w:t>8,000,000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7,336,000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3"/>
          </w:tcPr>
          <w:p>
            <w:pPr>
              <w:jc w:val="center"/>
              <w:ind w:right="100"/>
              <w:spacing w:after="0"/>
              <w:rPr>
                <w:sz w:val="20"/>
                <w:szCs w:val="20"/>
                <w:color w:val="auto"/>
              </w:rPr>
            </w:pPr>
            <w:r>
              <w:rPr>
                <w:rFonts w:ascii="Arial" w:cs="Arial" w:eastAsia="Arial" w:hAnsi="Arial"/>
                <w:sz w:val="14"/>
                <w:szCs w:val="14"/>
                <w:color w:val="auto"/>
                <w:w w:val="88"/>
              </w:rPr>
              <w:t>Motion Pictures and Entertainment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Total Second Lien Secured Debt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w w:val="91"/>
              </w:rPr>
              <w:t>13,870,416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13,206,416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946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246620" cy="1974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Maturity</w:t>
            </w:r>
          </w:p>
        </w:tc>
        <w:tc>
          <w:tcPr>
            <w:tcW w:w="860" w:type="dxa"/>
            <w:vAlign w:val="bottom"/>
          </w:tcPr>
          <w:p>
            <w:pPr>
              <w:spacing w:after="0"/>
              <w:rPr>
                <w:sz w:val="12"/>
                <w:szCs w:val="12"/>
                <w:color w:val="auto"/>
              </w:rPr>
            </w:pPr>
          </w:p>
        </w:tc>
        <w:tc>
          <w:tcPr>
            <w:tcW w:w="148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48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60" w:type="dxa"/>
            <w:vAlign w:val="bottom"/>
            <w:gridSpan w:val="4"/>
          </w:tcPr>
          <w:p>
            <w:pPr>
              <w:ind w:left="180"/>
              <w:spacing w:after="0" w:line="129"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26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18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Notes—1.4%</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74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7/16/2015</w:t>
            </w:r>
          </w:p>
        </w:tc>
        <w:tc>
          <w:tcPr>
            <w:tcW w:w="234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7"/>
              </w:rPr>
              <w:t>Leisure, Amusement,</w:t>
            </w: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color w:val="auto"/>
              </w:rPr>
              <w:t>15.00%</w:t>
            </w:r>
            <w:r>
              <w:rPr>
                <w:rFonts w:ascii="Arial" w:cs="Arial" w:eastAsia="Arial" w:hAnsi="Arial"/>
                <w:sz w:val="22"/>
                <w:szCs w:val="22"/>
                <w:color w:val="auto"/>
                <w:vertAlign w:val="superscript"/>
              </w:rPr>
              <w:t>(6)</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Motion Pictures and Entertainment</w:t>
            </w:r>
          </w:p>
        </w:tc>
        <w:tc>
          <w:tcPr>
            <w:tcW w:w="840" w:type="dxa"/>
            <w:vAlign w:val="bottom"/>
            <w:gridSpan w:val="2"/>
            <w:vMerge w:val="continue"/>
          </w:tcPr>
          <w:p>
            <w:pPr>
              <w:spacing w:after="0"/>
              <w:rPr>
                <w:sz w:val="15"/>
                <w:szCs w:val="15"/>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6,775,991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tcPr>
          <w:p>
            <w:pPr>
              <w:jc w:val="right"/>
              <w:ind w:right="180"/>
              <w:spacing w:after="0"/>
              <w:rPr>
                <w:sz w:val="20"/>
                <w:szCs w:val="20"/>
                <w:color w:val="auto"/>
              </w:rPr>
            </w:pPr>
            <w:r>
              <w:rPr>
                <w:rFonts w:ascii="Arial" w:cs="Arial" w:eastAsia="Arial" w:hAnsi="Arial"/>
                <w:sz w:val="14"/>
                <w:szCs w:val="14"/>
                <w:color w:val="auto"/>
              </w:rPr>
              <w:t>6,617,860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6,403,311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Interest—3.1%</w:t>
            </w:r>
            <w:r>
              <w:rPr>
                <w:rFonts w:ascii="Arial" w:cs="Arial" w:eastAsia="Arial" w:hAnsi="Arial"/>
                <w:sz w:val="17"/>
                <w:szCs w:val="17"/>
                <w:b w:val="1"/>
                <w:bCs w:val="1"/>
                <w:color w:val="auto"/>
                <w:vertAlign w:val="superscript"/>
              </w:rPr>
              <w:t>(7)</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7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3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Environmental Services</w:t>
            </w:r>
          </w:p>
        </w:tc>
        <w:tc>
          <w:tcPr>
            <w:tcW w:w="8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37,382</w:t>
            </w:r>
          </w:p>
        </w:tc>
        <w:tc>
          <w:tcPr>
            <w:tcW w:w="60" w:type="dxa"/>
            <w:vAlign w:val="bottom"/>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2,710,036</w:t>
            </w:r>
          </w:p>
        </w:tc>
        <w:tc>
          <w:tcPr>
            <w:tcW w:w="6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5,641,925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3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Environmental Services</w:t>
            </w:r>
          </w:p>
        </w:tc>
        <w:tc>
          <w:tcPr>
            <w:tcW w:w="8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50,102</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3,129,447</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7,561,205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7"/>
              </w:rPr>
              <w:t>Leisure, Amusement,</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gridSpan w:val="2"/>
          </w:tcPr>
          <w:p>
            <w:pPr>
              <w:ind w:left="200"/>
              <w:spacing w:after="0"/>
              <w:rPr>
                <w:sz w:val="20"/>
                <w:szCs w:val="20"/>
                <w:color w:val="auto"/>
              </w:rPr>
            </w:pPr>
            <w:r>
              <w:rPr>
                <w:rFonts w:ascii="Arial" w:cs="Arial" w:eastAsia="Arial" w:hAnsi="Arial"/>
                <w:sz w:val="14"/>
                <w:szCs w:val="14"/>
                <w:color w:val="auto"/>
              </w:rPr>
              <w:t>(Performance Holdings, Inc.)</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34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Motion Pictures and Entertainment</w:t>
            </w:r>
          </w:p>
        </w:tc>
        <w:tc>
          <w:tcPr>
            <w:tcW w:w="8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375,000</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3,750,000</w:t>
            </w: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1,193,610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9,589,483</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14,396,740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w w:val="94"/>
              </w:rPr>
              <w:t>36,744,425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40,673,133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Companies—2.9%</w:t>
            </w:r>
            <w:r>
              <w:rPr>
                <w:rFonts w:ascii="Arial" w:cs="Arial" w:eastAsia="Arial" w:hAnsi="Arial"/>
                <w:sz w:val="17"/>
                <w:szCs w:val="17"/>
                <w:b w:val="1"/>
                <w:bCs w:val="1"/>
                <w:color w:val="auto"/>
                <w:vertAlign w:val="superscript"/>
              </w:rPr>
              <w:t>(1),(2)</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Debt—2.1%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6/30/2020</w:t>
            </w:r>
          </w:p>
        </w:tc>
        <w:tc>
          <w:tcPr>
            <w:tcW w:w="23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9,200,000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9,676,650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Notes—0.5%</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6/30/2020</w:t>
            </w:r>
          </w:p>
        </w:tc>
        <w:tc>
          <w:tcPr>
            <w:tcW w:w="23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2,300,000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2,085,357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Equity—0.4%</w:t>
            </w:r>
            <w:r>
              <w:rPr>
                <w:rFonts w:ascii="Arial" w:cs="Arial" w:eastAsia="Arial" w:hAnsi="Arial"/>
                <w:sz w:val="18"/>
                <w:szCs w:val="18"/>
                <w:b w:val="1"/>
                <w:bCs w:val="1"/>
                <w:color w:val="auto"/>
                <w:vertAlign w:val="superscript"/>
              </w:rPr>
              <w:t>(7)</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3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14.00%</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1,737,994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8"/>
                <w:szCs w:val="18"/>
                <w:b w:val="1"/>
                <w:bCs w:val="1"/>
                <w:color w:val="auto"/>
                <w:vertAlign w:val="superscript"/>
              </w:rPr>
              <w:t>(7)</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3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Controlled, Affiliated Portfolio Companies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13,500,100</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13,500,001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Investments—178.9%</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4"/>
              </w:rPr>
              <w:t>866,322,836</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827,548,515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Equivalents—15.5%</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85"/>
              </w:rPr>
              <w:t>71,604,519</w:t>
            </w: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4"/>
              </w:rPr>
              <w:t>71,604,519</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71,604,519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Equivalents—194.3%</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937,927,355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899,153,034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Assets—(94.3%)</w:t>
            </w: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spacing w:after="0" w:line="143" w:lineRule="exact"/>
              <w:rPr>
                <w:sz w:val="20"/>
                <w:szCs w:val="20"/>
                <w:color w:val="auto"/>
              </w:rPr>
            </w:pPr>
            <w:r>
              <w:rPr>
                <w:rFonts w:ascii="Arial" w:cs="Arial" w:eastAsia="Arial" w:hAnsi="Arial"/>
                <w:sz w:val="14"/>
                <w:szCs w:val="14"/>
                <w:color w:val="auto"/>
                <w:w w:val="87"/>
              </w:rPr>
              <w:t>(436,495,838)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462,657,196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w:t>
      </w: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5"/>
              </w:rPr>
              <w:t>Basis</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8"/>
              </w:rPr>
              <w:t>Current</w:t>
            </w: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5"/>
              </w:rPr>
              <w:t>Maturity</w:t>
            </w:r>
          </w:p>
        </w:tc>
        <w:tc>
          <w:tcPr>
            <w:tcW w:w="820" w:type="dxa"/>
            <w:vAlign w:val="bottom"/>
          </w:tcPr>
          <w:p>
            <w:pPr>
              <w:spacing w:after="0"/>
              <w:rPr>
                <w:sz w:val="12"/>
                <w:szCs w:val="12"/>
                <w:color w:val="auto"/>
              </w:rPr>
            </w:pPr>
          </w:p>
        </w:tc>
        <w:tc>
          <w:tcPr>
            <w:tcW w:w="136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90"/>
              </w:rPr>
              <w:t>Industry</w:t>
            </w:r>
          </w:p>
        </w:tc>
        <w:tc>
          <w:tcPr>
            <w:tcW w:w="98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4"/>
              </w:rPr>
              <w:t>Coupon</w:t>
            </w: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00" w:type="dxa"/>
            <w:vAlign w:val="bottom"/>
          </w:tcPr>
          <w:p>
            <w:pPr>
              <w:spacing w:after="0"/>
              <w:rPr>
                <w:sz w:val="12"/>
                <w:szCs w:val="12"/>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00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 Companies</w:t>
            </w: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—165.9%</w:t>
            </w:r>
            <w:r>
              <w:rPr>
                <w:rFonts w:ascii="Arial" w:cs="Arial" w:eastAsia="Arial" w:hAnsi="Arial"/>
                <w:sz w:val="20"/>
                <w:szCs w:val="20"/>
                <w:b w:val="1"/>
                <w:bCs w:val="1"/>
                <w:color w:val="auto"/>
                <w:vertAlign w:val="superscript"/>
              </w:rPr>
              <w:t>(1),(2)</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First Lien Secured Debt—59.3%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L+900</w:t>
            </w:r>
            <w:r>
              <w:rPr>
                <w:rFonts w:ascii="Arial" w:cs="Arial" w:eastAsia="Arial" w:hAnsi="Arial"/>
                <w:sz w:val="22"/>
                <w:szCs w:val="22"/>
                <w:color w:val="auto"/>
                <w:vertAlign w:val="superscript"/>
              </w:rPr>
              <w:t>(8)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tcPr>
          <w:p>
            <w:pPr>
              <w:spacing w:after="0" w:line="122" w:lineRule="exact"/>
              <w:rPr>
                <w:sz w:val="20"/>
                <w:szCs w:val="20"/>
                <w:color w:val="auto"/>
              </w:rPr>
            </w:pPr>
            <w:r>
              <w:rPr>
                <w:rFonts w:ascii="Arial" w:cs="Arial" w:eastAsia="Arial" w:hAnsi="Arial"/>
                <w:sz w:val="14"/>
                <w:szCs w:val="14"/>
                <w:color w:val="auto"/>
              </w:rPr>
              <w:t>Airvana Networks Solution, Inc.</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8/27/2014</w:t>
            </w:r>
          </w:p>
        </w:tc>
        <w:tc>
          <w:tcPr>
            <w:tcW w:w="218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88"/>
              </w:rPr>
              <w:t>Communications</w:t>
            </w:r>
          </w:p>
        </w:tc>
        <w:tc>
          <w:tcPr>
            <w:tcW w:w="98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11.00%</w:t>
            </w:r>
          </w:p>
        </w:tc>
        <w:tc>
          <w:tcPr>
            <w:tcW w:w="780" w:type="dxa"/>
            <w:vAlign w:val="bottom"/>
            <w:gridSpan w:val="2"/>
            <w:vMerge w:val="continue"/>
          </w:tcPr>
          <w:p>
            <w:pPr>
              <w:spacing w:after="0"/>
              <w:rPr>
                <w:sz w:val="10"/>
                <w:szCs w:val="10"/>
                <w:color w:val="auto"/>
              </w:rPr>
            </w:pP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$13,583,333</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w w:val="95"/>
              </w:rPr>
              <w:t>$ 13,316,337</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$ 13,447,500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Birch Communications, Inc.</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6/21/2015</w:t>
            </w:r>
          </w:p>
        </w:tc>
        <w:tc>
          <w:tcPr>
            <w:tcW w:w="2180" w:type="dxa"/>
            <w:vAlign w:val="bottom"/>
            <w:gridSpan w:val="3"/>
          </w:tcPr>
          <w:p>
            <w:pPr>
              <w:jc w:val="center"/>
              <w:ind w:right="20"/>
              <w:spacing w:after="0"/>
              <w:rPr>
                <w:sz w:val="20"/>
                <w:szCs w:val="20"/>
                <w:color w:val="auto"/>
              </w:rPr>
            </w:pPr>
            <w:r>
              <w:rPr>
                <w:rFonts w:ascii="Arial" w:cs="Arial" w:eastAsia="Arial" w:hAnsi="Arial"/>
                <w:sz w:val="14"/>
                <w:szCs w:val="14"/>
                <w:color w:val="auto"/>
                <w:w w:val="87"/>
              </w:rPr>
              <w:t>Telecommunications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15.00%</w:t>
            </w: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3"/>
                <w:szCs w:val="13"/>
                <w:color w:val="auto"/>
                <w:w w:val="97"/>
              </w:rPr>
              <w:t>L+1,300</w:t>
            </w:r>
            <w:r>
              <w:rPr>
                <w:rFonts w:ascii="Arial" w:cs="Arial" w:eastAsia="Arial" w:hAnsi="Arial"/>
                <w:sz w:val="20"/>
                <w:szCs w:val="20"/>
                <w:color w:val="auto"/>
                <w:w w:val="97"/>
                <w:vertAlign w:val="superscript"/>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16,363,636</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15,786,257</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16,363,636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Birch Communications, Inc.</w:t>
            </w:r>
            <w:r>
              <w:rPr>
                <w:rFonts w:ascii="Arial" w:cs="Arial" w:eastAsia="Arial" w:hAnsi="Arial"/>
                <w:sz w:val="17"/>
                <w:szCs w:val="17"/>
                <w:color w:val="auto"/>
                <w:vertAlign w:val="superscript"/>
              </w:rPr>
              <w:t>(9)</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1/31/2011</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3,636,364</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tcPr>
          <w:p>
            <w:pPr>
              <w:spacing w:after="0" w:line="122" w:lineRule="exact"/>
              <w:rPr>
                <w:sz w:val="20"/>
                <w:szCs w:val="20"/>
                <w:color w:val="auto"/>
              </w:rPr>
            </w:pPr>
            <w:r>
              <w:rPr>
                <w:rFonts w:ascii="Arial" w:cs="Arial" w:eastAsia="Arial" w:hAnsi="Arial"/>
                <w:sz w:val="10"/>
                <w:szCs w:val="10"/>
                <w:color w:val="auto"/>
              </w:rPr>
              <w:t>CEVA Group PLC</w:t>
            </w:r>
            <w:r>
              <w:rPr>
                <w:rFonts w:ascii="Arial" w:cs="Arial" w:eastAsia="Arial" w:hAnsi="Arial"/>
                <w:sz w:val="14"/>
                <w:szCs w:val="14"/>
                <w:color w:val="auto"/>
                <w:vertAlign w:val="superscript"/>
              </w:rPr>
              <w:t>(5),(10)</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10/1/2016</w:t>
            </w:r>
          </w:p>
        </w:tc>
        <w:tc>
          <w:tcPr>
            <w:tcW w:w="820" w:type="dxa"/>
            <w:vAlign w:val="bottom"/>
          </w:tcPr>
          <w:p>
            <w:pPr>
              <w:spacing w:after="0"/>
              <w:rPr>
                <w:sz w:val="10"/>
                <w:szCs w:val="10"/>
                <w:color w:val="auto"/>
              </w:rPr>
            </w:pPr>
          </w:p>
        </w:tc>
        <w:tc>
          <w:tcPr>
            <w:tcW w:w="1360" w:type="dxa"/>
            <w:vAlign w:val="bottom"/>
            <w:gridSpan w:val="2"/>
          </w:tcPr>
          <w:p>
            <w:pPr>
              <w:jc w:val="center"/>
              <w:ind w:right="860"/>
              <w:spacing w:after="0" w:line="122" w:lineRule="exact"/>
              <w:rPr>
                <w:sz w:val="20"/>
                <w:szCs w:val="20"/>
                <w:color w:val="auto"/>
              </w:rPr>
            </w:pPr>
            <w:r>
              <w:rPr>
                <w:rFonts w:ascii="Arial" w:cs="Arial" w:eastAsia="Arial" w:hAnsi="Arial"/>
                <w:sz w:val="14"/>
                <w:szCs w:val="14"/>
                <w:color w:val="auto"/>
                <w:w w:val="91"/>
              </w:rPr>
              <w:t>Logistics</w:t>
            </w:r>
          </w:p>
        </w:tc>
        <w:tc>
          <w:tcPr>
            <w:tcW w:w="98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11.63%</w:t>
            </w:r>
          </w:p>
        </w:tc>
        <w:tc>
          <w:tcPr>
            <w:tcW w:w="780" w:type="dxa"/>
            <w:vAlign w:val="bottom"/>
            <w:gridSpan w:val="2"/>
          </w:tcPr>
          <w:p>
            <w:pPr>
              <w:ind w:left="320"/>
              <w:spacing w:after="0" w:line="122"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7,500,000</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7,305,603</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7,912,500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spacing w:after="0" w:line="176" w:lineRule="exact"/>
              <w:rPr>
                <w:sz w:val="20"/>
                <w:szCs w:val="20"/>
                <w:color w:val="auto"/>
              </w:rPr>
            </w:pPr>
            <w:r>
              <w:rPr>
                <w:rFonts w:ascii="Arial" w:cs="Arial" w:eastAsia="Arial" w:hAnsi="Arial"/>
                <w:sz w:val="13"/>
                <w:szCs w:val="13"/>
                <w:color w:val="auto"/>
              </w:rPr>
              <w:t>CEVA Group PLC</w:t>
            </w:r>
            <w:r>
              <w:rPr>
                <w:rFonts w:ascii="Arial" w:cs="Arial" w:eastAsia="Arial" w:hAnsi="Arial"/>
                <w:sz w:val="20"/>
                <w:szCs w:val="20"/>
                <w:color w:val="auto"/>
                <w:vertAlign w:val="superscript"/>
              </w:rPr>
              <w:t>(5),(10)</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4/1/2018</w:t>
            </w:r>
          </w:p>
        </w:tc>
        <w:tc>
          <w:tcPr>
            <w:tcW w:w="820" w:type="dxa"/>
            <w:vAlign w:val="bottom"/>
          </w:tcPr>
          <w:p>
            <w:pPr>
              <w:spacing w:after="0"/>
              <w:rPr>
                <w:sz w:val="15"/>
                <w:szCs w:val="15"/>
                <w:color w:val="auto"/>
              </w:rPr>
            </w:pPr>
          </w:p>
        </w:tc>
        <w:tc>
          <w:tcPr>
            <w:tcW w:w="1360" w:type="dxa"/>
            <w:vAlign w:val="bottom"/>
            <w:gridSpan w:val="2"/>
          </w:tcPr>
          <w:p>
            <w:pPr>
              <w:jc w:val="center"/>
              <w:ind w:right="860"/>
              <w:spacing w:after="0"/>
              <w:rPr>
                <w:sz w:val="20"/>
                <w:szCs w:val="20"/>
                <w:color w:val="auto"/>
              </w:rPr>
            </w:pPr>
            <w:r>
              <w:rPr>
                <w:rFonts w:ascii="Arial" w:cs="Arial" w:eastAsia="Arial" w:hAnsi="Arial"/>
                <w:sz w:val="14"/>
                <w:szCs w:val="14"/>
                <w:color w:val="auto"/>
                <w:w w:val="91"/>
              </w:rPr>
              <w:t>Logistics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11.50%</w:t>
            </w:r>
          </w:p>
        </w:tc>
        <w:tc>
          <w:tcPr>
            <w:tcW w:w="780" w:type="dxa"/>
            <w:vAlign w:val="bottom"/>
            <w:gridSpan w:val="2"/>
          </w:tcPr>
          <w:p>
            <w:pPr>
              <w:ind w:left="32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9"/>
                <w:szCs w:val="9"/>
                <w:color w:val="auto"/>
              </w:rPr>
              <w:t xml:space="preserve"> (8)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1,000,000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987,774</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1,045,000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20" w:type="dxa"/>
            <w:vAlign w:val="bottom"/>
            <w:gridSpan w:val="3"/>
          </w:tcPr>
          <w:p>
            <w:pPr>
              <w:spacing w:after="0" w:line="148" w:lineRule="exact"/>
              <w:rPr>
                <w:sz w:val="20"/>
                <w:szCs w:val="20"/>
                <w:color w:val="auto"/>
              </w:rPr>
            </w:pPr>
            <w:r>
              <w:rPr>
                <w:rFonts w:ascii="Arial" w:cs="Arial" w:eastAsia="Arial" w:hAnsi="Arial"/>
                <w:sz w:val="14"/>
                <w:szCs w:val="14"/>
                <w:color w:val="auto"/>
              </w:rPr>
              <w:t>Chester Downs and Marina, LLC</w:t>
            </w:r>
          </w:p>
        </w:tc>
        <w:tc>
          <w:tcPr>
            <w:tcW w:w="820" w:type="dxa"/>
            <w:vAlign w:val="bottom"/>
            <w:gridSpan w:val="3"/>
          </w:tcPr>
          <w:p>
            <w:pPr>
              <w:jc w:val="right"/>
              <w:ind w:right="100"/>
              <w:spacing w:after="0" w:line="148" w:lineRule="exact"/>
              <w:rPr>
                <w:sz w:val="20"/>
                <w:szCs w:val="20"/>
                <w:color w:val="auto"/>
              </w:rPr>
            </w:pPr>
            <w:r>
              <w:rPr>
                <w:rFonts w:ascii="Arial" w:cs="Arial" w:eastAsia="Arial" w:hAnsi="Arial"/>
                <w:sz w:val="14"/>
                <w:szCs w:val="14"/>
                <w:color w:val="auto"/>
              </w:rPr>
              <w:t>7/31/2016</w:t>
            </w:r>
          </w:p>
        </w:tc>
        <w:tc>
          <w:tcPr>
            <w:tcW w:w="2180" w:type="dxa"/>
            <w:vAlign w:val="bottom"/>
            <w:gridSpan w:val="3"/>
          </w:tcPr>
          <w:p>
            <w:pPr>
              <w:jc w:val="center"/>
              <w:ind w:right="20"/>
              <w:spacing w:after="0" w:line="148" w:lineRule="exact"/>
              <w:rPr>
                <w:sz w:val="20"/>
                <w:szCs w:val="20"/>
                <w:color w:val="auto"/>
              </w:rPr>
            </w:pPr>
            <w:r>
              <w:rPr>
                <w:rFonts w:ascii="Arial" w:cs="Arial" w:eastAsia="Arial" w:hAnsi="Arial"/>
                <w:sz w:val="14"/>
                <w:szCs w:val="14"/>
                <w:color w:val="auto"/>
                <w:w w:val="88"/>
              </w:rPr>
              <w:t>Hotels, Motels, Inns and Gaming</w:t>
            </w:r>
          </w:p>
        </w:tc>
        <w:tc>
          <w:tcPr>
            <w:tcW w:w="980" w:type="dxa"/>
            <w:vAlign w:val="bottom"/>
            <w:gridSpan w:val="2"/>
          </w:tcPr>
          <w:p>
            <w:pPr>
              <w:jc w:val="right"/>
              <w:ind w:right="280"/>
              <w:spacing w:after="0" w:line="148" w:lineRule="exact"/>
              <w:rPr>
                <w:sz w:val="20"/>
                <w:szCs w:val="20"/>
                <w:color w:val="auto"/>
              </w:rPr>
            </w:pPr>
            <w:r>
              <w:rPr>
                <w:rFonts w:ascii="Arial" w:cs="Arial" w:eastAsia="Arial" w:hAnsi="Arial"/>
                <w:sz w:val="14"/>
                <w:szCs w:val="14"/>
                <w:color w:val="auto"/>
              </w:rPr>
              <w:t>12.38%</w:t>
            </w:r>
          </w:p>
        </w:tc>
        <w:tc>
          <w:tcPr>
            <w:tcW w:w="780" w:type="dxa"/>
            <w:vAlign w:val="bottom"/>
            <w:gridSpan w:val="2"/>
          </w:tcPr>
          <w:p>
            <w:pPr>
              <w:jc w:val="right"/>
              <w:ind w:right="260"/>
              <w:spacing w:after="0" w:line="148" w:lineRule="exact"/>
              <w:rPr>
                <w:sz w:val="20"/>
                <w:szCs w:val="20"/>
                <w:color w:val="auto"/>
              </w:rPr>
            </w:pPr>
            <w:r>
              <w:rPr>
                <w:rFonts w:ascii="Arial" w:cs="Arial" w:eastAsia="Arial" w:hAnsi="Arial"/>
                <w:sz w:val="14"/>
                <w:szCs w:val="14"/>
                <w:color w:val="auto"/>
              </w:rPr>
              <w:t>L+988</w:t>
            </w:r>
          </w:p>
        </w:tc>
        <w:tc>
          <w:tcPr>
            <w:tcW w:w="86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9,250,000</w:t>
            </w:r>
          </w:p>
        </w:tc>
        <w:tc>
          <w:tcPr>
            <w:tcW w:w="800" w:type="dxa"/>
            <w:vAlign w:val="bottom"/>
            <w:gridSpan w:val="4"/>
          </w:tcPr>
          <w:p>
            <w:pPr>
              <w:jc w:val="right"/>
              <w:spacing w:after="0" w:line="148" w:lineRule="exact"/>
              <w:rPr>
                <w:sz w:val="20"/>
                <w:szCs w:val="20"/>
                <w:color w:val="auto"/>
              </w:rPr>
            </w:pPr>
            <w:r>
              <w:rPr>
                <w:rFonts w:ascii="Arial" w:cs="Arial" w:eastAsia="Arial" w:hAnsi="Arial"/>
                <w:sz w:val="14"/>
                <w:szCs w:val="14"/>
                <w:color w:val="auto"/>
              </w:rPr>
              <w:t>8,765,468</w:t>
            </w:r>
          </w:p>
        </w:tc>
        <w:tc>
          <w:tcPr>
            <w:tcW w:w="80" w:type="dxa"/>
            <w:vAlign w:val="bottom"/>
          </w:tcPr>
          <w:p>
            <w:pPr>
              <w:spacing w:after="0"/>
              <w:rPr>
                <w:sz w:val="12"/>
                <w:szCs w:val="12"/>
                <w:color w:val="auto"/>
              </w:rPr>
            </w:pPr>
          </w:p>
        </w:tc>
        <w:tc>
          <w:tcPr>
            <w:tcW w:w="840" w:type="dxa"/>
            <w:vAlign w:val="bottom"/>
            <w:gridSpan w:val="4"/>
          </w:tcPr>
          <w:p>
            <w:pPr>
              <w:jc w:val="right"/>
              <w:spacing w:after="0" w:line="148" w:lineRule="exact"/>
              <w:rPr>
                <w:sz w:val="20"/>
                <w:szCs w:val="20"/>
                <w:color w:val="auto"/>
              </w:rPr>
            </w:pPr>
            <w:r>
              <w:rPr>
                <w:rFonts w:ascii="Arial" w:cs="Arial" w:eastAsia="Arial" w:hAnsi="Arial"/>
                <w:sz w:val="14"/>
                <w:szCs w:val="14"/>
                <w:color w:val="auto"/>
              </w:rPr>
              <w:t>9,296,250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11/20/2014</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Communications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11,048,000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7/29/2013</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Environmental Services</w:t>
            </w: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6,666,666</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Fairway Group Acquisition Company</w:t>
            </w:r>
          </w:p>
        </w:tc>
        <w:tc>
          <w:tcPr>
            <w:tcW w:w="82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4"/>
                <w:szCs w:val="14"/>
                <w:color w:val="auto"/>
              </w:rPr>
              <w:t>10/1/2014</w:t>
            </w:r>
          </w:p>
        </w:tc>
        <w:tc>
          <w:tcPr>
            <w:tcW w:w="82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center"/>
              <w:ind w:right="840"/>
              <w:spacing w:after="0" w:line="122" w:lineRule="exact"/>
              <w:rPr>
                <w:sz w:val="20"/>
                <w:szCs w:val="20"/>
                <w:color w:val="auto"/>
              </w:rPr>
            </w:pPr>
            <w:r>
              <w:rPr>
                <w:rFonts w:ascii="Arial" w:cs="Arial" w:eastAsia="Arial" w:hAnsi="Arial"/>
                <w:sz w:val="14"/>
                <w:szCs w:val="14"/>
                <w:color w:val="auto"/>
                <w:w w:val="88"/>
              </w:rPr>
              <w:t>Grocery</w:t>
            </w:r>
          </w:p>
        </w:tc>
        <w:tc>
          <w:tcPr>
            <w:tcW w:w="98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4"/>
                <w:szCs w:val="14"/>
                <w:color w:val="auto"/>
              </w:rPr>
              <w:t>12.00%</w:t>
            </w:r>
          </w:p>
        </w:tc>
        <w:tc>
          <w:tcPr>
            <w:tcW w:w="78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4"/>
                <w:szCs w:val="14"/>
                <w:color w:val="auto"/>
              </w:rPr>
              <w:t>L+950</w:t>
            </w:r>
          </w:p>
        </w:tc>
        <w:tc>
          <w:tcPr>
            <w:tcW w:w="860" w:type="dxa"/>
            <w:vAlign w:val="bottom"/>
            <w:gridSpan w:val="3"/>
            <w:shd w:val="clear" w:color="auto" w:fill="CCEEFF"/>
          </w:tcPr>
          <w:p>
            <w:pPr>
              <w:jc w:val="right"/>
              <w:ind w:right="60"/>
              <w:spacing w:after="0" w:line="122" w:lineRule="exact"/>
              <w:rPr>
                <w:sz w:val="20"/>
                <w:szCs w:val="20"/>
                <w:color w:val="auto"/>
              </w:rPr>
            </w:pPr>
            <w:r>
              <w:rPr>
                <w:rFonts w:ascii="Arial" w:cs="Arial" w:eastAsia="Arial" w:hAnsi="Arial"/>
                <w:sz w:val="14"/>
                <w:szCs w:val="14"/>
                <w:color w:val="auto"/>
              </w:rPr>
              <w:t>11,905,025</w:t>
            </w:r>
          </w:p>
        </w:tc>
        <w:tc>
          <w:tcPr>
            <w:tcW w:w="880" w:type="dxa"/>
            <w:vAlign w:val="bottom"/>
            <w:gridSpan w:val="5"/>
            <w:shd w:val="clear" w:color="auto" w:fill="CCEEFF"/>
          </w:tcPr>
          <w:p>
            <w:pPr>
              <w:jc w:val="right"/>
              <w:ind w:right="80"/>
              <w:spacing w:after="0" w:line="122" w:lineRule="exact"/>
              <w:rPr>
                <w:sz w:val="20"/>
                <w:szCs w:val="20"/>
                <w:color w:val="auto"/>
              </w:rPr>
            </w:pPr>
            <w:r>
              <w:rPr>
                <w:rFonts w:ascii="Arial" w:cs="Arial" w:eastAsia="Arial" w:hAnsi="Arial"/>
                <w:sz w:val="14"/>
                <w:szCs w:val="14"/>
                <w:color w:val="auto"/>
              </w:rPr>
              <w:t>11,650,744</w:t>
            </w:r>
          </w:p>
        </w:tc>
        <w:tc>
          <w:tcPr>
            <w:tcW w:w="84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4"/>
                <w:szCs w:val="14"/>
                <w:color w:val="auto"/>
              </w:rPr>
              <w:t>11,845,500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3"/>
                <w:szCs w:val="13"/>
                <w:color w:val="auto"/>
              </w:rPr>
              <w:t>P+850</w:t>
            </w:r>
            <w:r>
              <w:rPr>
                <w:rFonts w:ascii="Arial" w:cs="Arial" w:eastAsia="Arial" w:hAnsi="Arial"/>
                <w:sz w:val="21"/>
                <w:szCs w:val="21"/>
                <w:color w:val="auto"/>
                <w:vertAlign w:val="superscript"/>
              </w:rPr>
              <w:t>(8)</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3/8/2014</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2.62%</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8,752,500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8,752,500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3,894,863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8/7/2014</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Printing and Publishing</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14.50%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24,875,000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24,402,321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24,875,000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82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2/7/2014</w:t>
            </w:r>
          </w:p>
        </w:tc>
        <w:tc>
          <w:tcPr>
            <w:tcW w:w="21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8"/>
              </w:rPr>
              <w:t>Home and Office Furnishings,</w:t>
            </w:r>
          </w:p>
        </w:tc>
        <w:tc>
          <w:tcPr>
            <w:tcW w:w="98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2.71%</w:t>
            </w:r>
          </w:p>
        </w:tc>
        <w:tc>
          <w:tcPr>
            <w:tcW w:w="78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9,744,595</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9,744,595</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7,874,850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Housewares and Durable Consumer</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gridSpan w:val="2"/>
          </w:tcPr>
          <w:p>
            <w:pPr>
              <w:jc w:val="center"/>
              <w:ind w:right="840"/>
              <w:spacing w:after="0" w:line="159" w:lineRule="exact"/>
              <w:rPr>
                <w:sz w:val="20"/>
                <w:szCs w:val="20"/>
                <w:color w:val="auto"/>
              </w:rPr>
            </w:pPr>
            <w:r>
              <w:rPr>
                <w:rFonts w:ascii="Arial" w:cs="Arial" w:eastAsia="Arial" w:hAnsi="Arial"/>
                <w:sz w:val="14"/>
                <w:szCs w:val="14"/>
                <w:color w:val="auto"/>
                <w:w w:val="86"/>
              </w:rPr>
              <w:t>Products</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9/10/2015</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Chemicals, Plastics and Rubber</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L+675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17,866,826</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4/27/2016</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Education</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26,052,631</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25,481,512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26,052,631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82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1/18/2014</w:t>
            </w:r>
          </w:p>
        </w:tc>
        <w:tc>
          <w:tcPr>
            <w:tcW w:w="218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8"/>
              </w:rPr>
              <w:t>Home and Office Furnishings,</w:t>
            </w:r>
          </w:p>
        </w:tc>
        <w:tc>
          <w:tcPr>
            <w:tcW w:w="98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2.54%</w:t>
            </w:r>
          </w:p>
        </w:tc>
        <w:tc>
          <w:tcPr>
            <w:tcW w:w="7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3,844,931</w:t>
            </w:r>
          </w:p>
        </w:tc>
        <w:tc>
          <w:tcPr>
            <w:tcW w:w="80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3,844,931</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3,345,090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Housewares and Durable Consumer</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840"/>
              <w:spacing w:after="0" w:line="159" w:lineRule="exact"/>
              <w:rPr>
                <w:sz w:val="20"/>
                <w:szCs w:val="20"/>
                <w:color w:val="auto"/>
              </w:rPr>
            </w:pPr>
            <w:r>
              <w:rPr>
                <w:rFonts w:ascii="Arial" w:cs="Arial" w:eastAsia="Arial" w:hAnsi="Arial"/>
                <w:sz w:val="14"/>
                <w:szCs w:val="14"/>
                <w:color w:val="auto"/>
                <w:w w:val="86"/>
              </w:rPr>
              <w:t>Products</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8/1/2014</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9,829,738</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8,432,037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6,995,500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12/16/2012</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66,801</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66,801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64,263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12/16/2012</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200,404</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200,404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192,789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9/23/2014</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11.25%</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28,756,343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29,702,813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tcPr>
          <w:p>
            <w:pPr>
              <w:spacing w:after="0" w:line="122" w:lineRule="exact"/>
              <w:rPr>
                <w:sz w:val="20"/>
                <w:szCs w:val="20"/>
                <w:color w:val="auto"/>
              </w:rPr>
            </w:pPr>
            <w:r>
              <w:rPr>
                <w:rFonts w:ascii="Arial" w:cs="Arial" w:eastAsia="Arial" w:hAnsi="Arial"/>
                <w:sz w:val="14"/>
                <w:szCs w:val="14"/>
                <w:color w:val="auto"/>
              </w:rPr>
              <w:t>Three Rivers Pharmaceutical, L.L.C.</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w w:val="99"/>
              </w:rPr>
              <w:t>10/22/2011</w:t>
            </w:r>
          </w:p>
        </w:tc>
        <w:tc>
          <w:tcPr>
            <w:tcW w:w="218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87"/>
              </w:rPr>
              <w:t>Healthcare, Education and</w:t>
            </w:r>
          </w:p>
        </w:tc>
        <w:tc>
          <w:tcPr>
            <w:tcW w:w="98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15.25%</w:t>
            </w: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w w:val="97"/>
              </w:rPr>
              <w:t>L+1,300</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25,000,000</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21,861,968</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21,861,968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gridSpan w:val="2"/>
          </w:tcPr>
          <w:p>
            <w:pPr>
              <w:jc w:val="center"/>
              <w:ind w:right="840"/>
              <w:spacing w:after="0"/>
              <w:rPr>
                <w:sz w:val="20"/>
                <w:szCs w:val="20"/>
                <w:color w:val="auto"/>
              </w:rPr>
            </w:pPr>
            <w:r>
              <w:rPr>
                <w:rFonts w:ascii="Arial" w:cs="Arial" w:eastAsia="Arial" w:hAnsi="Arial"/>
                <w:sz w:val="14"/>
                <w:szCs w:val="14"/>
                <w:color w:val="auto"/>
                <w:w w:val="87"/>
              </w:rPr>
              <w:t>Childcare</w:t>
            </w: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3"/>
                <w:szCs w:val="13"/>
                <w:color w:val="auto"/>
                <w:w w:val="94"/>
              </w:rPr>
              <w:t>P+1,200</w:t>
            </w:r>
            <w:r>
              <w:rPr>
                <w:rFonts w:ascii="Arial" w:cs="Arial" w:eastAsia="Arial" w:hAnsi="Arial"/>
                <w:sz w:val="21"/>
                <w:szCs w:val="21"/>
                <w:color w:val="auto"/>
                <w:w w:val="94"/>
                <w:vertAlign w:val="superscript"/>
              </w:rPr>
              <w:t>(8)</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7/15/2016</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11.38%</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4,500,000</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4,381,967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4,882,500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231,907,418</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229,243,683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Debt—38.6%</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2/7/2015</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6.43%</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13,600,000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13,216,845</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11,696,000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tcPr>
          <w:p>
            <w:pPr>
              <w:spacing w:after="0" w:line="122" w:lineRule="exact"/>
              <w:rPr>
                <w:sz w:val="20"/>
                <w:szCs w:val="20"/>
                <w:color w:val="auto"/>
              </w:rPr>
            </w:pPr>
            <w:r>
              <w:rPr>
                <w:rFonts w:ascii="Arial" w:cs="Arial" w:eastAsia="Arial" w:hAnsi="Arial"/>
                <w:sz w:val="14"/>
                <w:szCs w:val="14"/>
                <w:color w:val="auto"/>
              </w:rPr>
              <w:t>Brand Energy and Infrastructure Services, Inc.</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2/7/2015</w:t>
            </w:r>
          </w:p>
        </w:tc>
        <w:tc>
          <w:tcPr>
            <w:tcW w:w="2180" w:type="dxa"/>
            <w:vAlign w:val="bottom"/>
            <w:gridSpan w:val="3"/>
          </w:tcPr>
          <w:p>
            <w:pPr>
              <w:jc w:val="center"/>
              <w:ind w:right="40"/>
              <w:spacing w:after="0" w:line="122" w:lineRule="exact"/>
              <w:rPr>
                <w:sz w:val="20"/>
                <w:szCs w:val="20"/>
                <w:color w:val="auto"/>
              </w:rPr>
            </w:pPr>
            <w:r>
              <w:rPr>
                <w:rFonts w:ascii="Arial" w:cs="Arial" w:eastAsia="Arial" w:hAnsi="Arial"/>
                <w:sz w:val="14"/>
                <w:szCs w:val="14"/>
                <w:color w:val="auto"/>
                <w:w w:val="92"/>
              </w:rPr>
              <w:t>Energy/Utilities</w:t>
            </w:r>
          </w:p>
        </w:tc>
        <w:tc>
          <w:tcPr>
            <w:tcW w:w="98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7.39%</w:t>
            </w: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rPr>
              <w:t>L+700</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12,000,000</w:t>
            </w:r>
          </w:p>
        </w:tc>
        <w:tc>
          <w:tcPr>
            <w:tcW w:w="880" w:type="dxa"/>
            <w:vAlign w:val="bottom"/>
            <w:gridSpan w:val="5"/>
          </w:tcPr>
          <w:p>
            <w:pPr>
              <w:jc w:val="right"/>
              <w:ind w:right="80"/>
              <w:spacing w:after="0" w:line="122" w:lineRule="exact"/>
              <w:rPr>
                <w:sz w:val="20"/>
                <w:szCs w:val="20"/>
                <w:color w:val="auto"/>
              </w:rPr>
            </w:pPr>
            <w:r>
              <w:rPr>
                <w:rFonts w:ascii="Arial" w:cs="Arial" w:eastAsia="Arial" w:hAnsi="Arial"/>
                <w:sz w:val="14"/>
                <w:szCs w:val="14"/>
                <w:color w:val="auto"/>
              </w:rPr>
              <w:t>11,776,589</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10,410,000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7/29/2014</w:t>
            </w:r>
          </w:p>
        </w:tc>
        <w:tc>
          <w:tcPr>
            <w:tcW w:w="2180" w:type="dxa"/>
            <w:vAlign w:val="bottom"/>
            <w:gridSpan w:val="3"/>
          </w:tcPr>
          <w:p>
            <w:pPr>
              <w:jc w:val="center"/>
              <w:ind w:right="40"/>
              <w:spacing w:after="0"/>
              <w:rPr>
                <w:sz w:val="20"/>
                <w:szCs w:val="20"/>
                <w:color w:val="auto"/>
              </w:rPr>
            </w:pPr>
            <w:r>
              <w:rPr>
                <w:rFonts w:ascii="Arial" w:cs="Arial" w:eastAsia="Arial" w:hAnsi="Arial"/>
                <w:sz w:val="14"/>
                <w:szCs w:val="14"/>
                <w:color w:val="auto"/>
                <w:w w:val="88"/>
              </w:rPr>
              <w:t>Environmental Services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8.00%</w:t>
            </w: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3"/>
                <w:szCs w:val="13"/>
                <w:color w:val="auto"/>
              </w:rPr>
              <w:t>L+600</w:t>
            </w:r>
            <w:r>
              <w:rPr>
                <w:rFonts w:ascii="Arial" w:cs="Arial" w:eastAsia="Arial" w:hAnsi="Arial"/>
                <w:sz w:val="20"/>
                <w:szCs w:val="20"/>
                <w:color w:val="auto"/>
                <w:vertAlign w:val="superscript"/>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6,237,317</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6,237,317</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5,950,400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82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4/30/2015</w:t>
            </w:r>
          </w:p>
        </w:tc>
        <w:tc>
          <w:tcPr>
            <w:tcW w:w="218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7"/>
              </w:rPr>
              <w:t>Healthcare, Education and</w:t>
            </w:r>
          </w:p>
        </w:tc>
        <w:tc>
          <w:tcPr>
            <w:tcW w:w="98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7.79%</w:t>
            </w:r>
          </w:p>
        </w:tc>
        <w:tc>
          <w:tcPr>
            <w:tcW w:w="7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L+750</w:t>
            </w:r>
          </w:p>
        </w:tc>
        <w:tc>
          <w:tcPr>
            <w:tcW w:w="8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12,000,000</w:t>
            </w:r>
          </w:p>
        </w:tc>
        <w:tc>
          <w:tcPr>
            <w:tcW w:w="88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11,958,469</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11,940,000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840"/>
              <w:spacing w:after="0" w:line="159" w:lineRule="exact"/>
              <w:rPr>
                <w:sz w:val="20"/>
                <w:szCs w:val="20"/>
                <w:color w:val="auto"/>
              </w:rPr>
            </w:pPr>
            <w:r>
              <w:rPr>
                <w:rFonts w:ascii="Arial" w:cs="Arial" w:eastAsia="Arial" w:hAnsi="Arial"/>
                <w:sz w:val="14"/>
                <w:szCs w:val="14"/>
                <w:color w:val="auto"/>
                <w:w w:val="87"/>
              </w:rPr>
              <w:t>Childcare</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3/1/2014</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Cargo Transport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2,570,357</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2,570,357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2,594,775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11/1/2017</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11.50%</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4,825,762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4,475,000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12/15/2014</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9.50%</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3,219,319</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3,219,319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2,675,254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12/15/2015</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L+850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1,773,703</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1,773,703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1,349,788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10/15/2017</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Buildings and Real Estate</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13.50%</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10,600,000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5/15/2015</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Transportation</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8.13%</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L+775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9,950,907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9,325,000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Saint Acquisition Corp.</w:t>
            </w:r>
            <w:r>
              <w:rPr>
                <w:rFonts w:ascii="Arial" w:cs="Arial" w:eastAsia="Arial" w:hAnsi="Arial"/>
                <w:sz w:val="22"/>
                <w:szCs w:val="22"/>
                <w:color w:val="auto"/>
                <w:vertAlign w:val="superscript"/>
              </w:rPr>
              <w:t>(5)</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5/15/2017</w:t>
            </w:r>
          </w:p>
        </w:tc>
        <w:tc>
          <w:tcPr>
            <w:tcW w:w="218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Transportation</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12.50%</w:t>
            </w: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19,000,000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17,039,991</w:t>
            </w:r>
          </w:p>
        </w:tc>
        <w:tc>
          <w:tcPr>
            <w:tcW w:w="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19,118,750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-4010025</wp:posOffset>
            </wp:positionV>
            <wp:extent cx="7246620" cy="946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-3632835</wp:posOffset>
            </wp:positionV>
            <wp:extent cx="7246620" cy="946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-1128395</wp:posOffset>
            </wp:positionV>
            <wp:extent cx="7246620" cy="946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Point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220" w:type="dxa"/>
            <w:vAlign w:val="bottom"/>
          </w:tcPr>
          <w:p>
            <w:pPr>
              <w:spacing w:after="0"/>
              <w:rPr>
                <w:sz w:val="12"/>
                <w:szCs w:val="12"/>
                <w:color w:val="auto"/>
              </w:rPr>
            </w:pPr>
          </w:p>
        </w:tc>
        <w:tc>
          <w:tcPr>
            <w:tcW w:w="6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Current</w:t>
            </w: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Above</w:t>
            </w:r>
          </w:p>
        </w:tc>
        <w:tc>
          <w:tcPr>
            <w:tcW w:w="2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800" w:type="dxa"/>
            <w:vAlign w:val="bottom"/>
          </w:tcPr>
          <w:p>
            <w:pPr>
              <w:spacing w:after="0"/>
              <w:rPr>
                <w:sz w:val="12"/>
                <w:szCs w:val="12"/>
                <w:color w:val="auto"/>
              </w:rPr>
            </w:pPr>
          </w:p>
        </w:tc>
        <w:tc>
          <w:tcPr>
            <w:tcW w:w="72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5"/>
              </w:rPr>
              <w:t>Maturity</w:t>
            </w:r>
          </w:p>
        </w:tc>
        <w:tc>
          <w:tcPr>
            <w:tcW w:w="820" w:type="dxa"/>
            <w:vAlign w:val="bottom"/>
          </w:tcPr>
          <w:p>
            <w:pPr>
              <w:spacing w:after="0"/>
              <w:rPr>
                <w:sz w:val="12"/>
                <w:szCs w:val="12"/>
                <w:color w:val="auto"/>
              </w:rPr>
            </w:pPr>
          </w:p>
        </w:tc>
        <w:tc>
          <w:tcPr>
            <w:tcW w:w="138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94"/>
              </w:rPr>
              <w:t>Industry</w:t>
            </w:r>
          </w:p>
        </w:tc>
        <w:tc>
          <w:tcPr>
            <w:tcW w:w="8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Coupon</w:t>
            </w:r>
          </w:p>
        </w:tc>
        <w:tc>
          <w:tcPr>
            <w:tcW w:w="620" w:type="dxa"/>
            <w:vAlign w:val="bottom"/>
            <w:gridSpan w:val="2"/>
          </w:tcPr>
          <w:p>
            <w:pPr>
              <w:jc w:val="center"/>
              <w:ind w:right="16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20" w:type="dxa"/>
            <w:vAlign w:val="bottom"/>
          </w:tcPr>
          <w:p>
            <w:pPr>
              <w:spacing w:after="0"/>
              <w:rPr>
                <w:sz w:val="12"/>
                <w:szCs w:val="12"/>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gridSpan w:val="2"/>
            <w:shd w:val="clear" w:color="auto" w:fill="CCEEFF"/>
          </w:tcPr>
          <w:p>
            <w:pPr>
              <w:spacing w:after="0" w:line="105" w:lineRule="exact"/>
              <w:rPr>
                <w:sz w:val="20"/>
                <w:szCs w:val="20"/>
                <w:color w:val="auto"/>
              </w:rPr>
            </w:pPr>
            <w:r>
              <w:rPr>
                <w:rFonts w:ascii="Arial" w:cs="Arial" w:eastAsia="Arial" w:hAnsi="Arial"/>
                <w:sz w:val="12"/>
                <w:szCs w:val="12"/>
                <w:color w:val="auto"/>
              </w:rPr>
              <w:t>Sheridan Holdings, Inc.</w:t>
            </w:r>
          </w:p>
        </w:tc>
        <w:tc>
          <w:tcPr>
            <w:tcW w:w="1520" w:type="dxa"/>
            <w:vAlign w:val="bottom"/>
            <w:gridSpan w:val="3"/>
            <w:shd w:val="clear" w:color="auto" w:fill="CCEEFF"/>
          </w:tcPr>
          <w:p>
            <w:pPr>
              <w:jc w:val="right"/>
              <w:ind w:right="120"/>
              <w:spacing w:after="0" w:line="105" w:lineRule="exact"/>
              <w:rPr>
                <w:sz w:val="20"/>
                <w:szCs w:val="20"/>
                <w:color w:val="auto"/>
              </w:rPr>
            </w:pPr>
            <w:r>
              <w:rPr>
                <w:rFonts w:ascii="Arial" w:cs="Arial" w:eastAsia="Arial" w:hAnsi="Arial"/>
                <w:sz w:val="12"/>
                <w:szCs w:val="12"/>
                <w:color w:val="auto"/>
              </w:rPr>
              <w:t>6/15/2015</w:t>
            </w:r>
          </w:p>
        </w:tc>
        <w:tc>
          <w:tcPr>
            <w:tcW w:w="2200" w:type="dxa"/>
            <w:vAlign w:val="bottom"/>
            <w:gridSpan w:val="3"/>
            <w:shd w:val="clear" w:color="auto" w:fill="CCEEFF"/>
          </w:tcPr>
          <w:p>
            <w:pPr>
              <w:jc w:val="center"/>
              <w:ind w:right="40"/>
              <w:spacing w:after="0" w:line="105" w:lineRule="exact"/>
              <w:rPr>
                <w:sz w:val="20"/>
                <w:szCs w:val="20"/>
                <w:color w:val="auto"/>
              </w:rPr>
            </w:pPr>
            <w:r>
              <w:rPr>
                <w:rFonts w:ascii="Arial" w:cs="Arial" w:eastAsia="Arial" w:hAnsi="Arial"/>
                <w:sz w:val="12"/>
                <w:szCs w:val="12"/>
                <w:color w:val="auto"/>
              </w:rPr>
              <w:t>Healthcare, Education and</w:t>
            </w:r>
          </w:p>
        </w:tc>
        <w:tc>
          <w:tcPr>
            <w:tcW w:w="640" w:type="dxa"/>
            <w:vAlign w:val="bottom"/>
            <w:shd w:val="clear" w:color="auto" w:fill="CCEEFF"/>
          </w:tcPr>
          <w:p>
            <w:pPr>
              <w:jc w:val="right"/>
              <w:spacing w:after="0" w:line="105" w:lineRule="exact"/>
              <w:rPr>
                <w:sz w:val="20"/>
                <w:szCs w:val="20"/>
                <w:color w:val="auto"/>
              </w:rPr>
            </w:pPr>
            <w:r>
              <w:rPr>
                <w:rFonts w:ascii="Arial" w:cs="Arial" w:eastAsia="Arial" w:hAnsi="Arial"/>
                <w:sz w:val="9"/>
                <w:szCs w:val="9"/>
                <w:color w:val="auto"/>
              </w:rPr>
              <w:t>6.05%</w:t>
            </w:r>
            <w:r>
              <w:rPr>
                <w:rFonts w:ascii="Arial" w:cs="Arial" w:eastAsia="Arial" w:hAnsi="Arial"/>
                <w:sz w:val="12"/>
                <w:szCs w:val="12"/>
                <w:color w:val="auto"/>
                <w:vertAlign w:val="superscript"/>
              </w:rPr>
              <w:t>(6)</w:t>
            </w: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ind w:left="100"/>
              <w:spacing w:after="0" w:line="105" w:lineRule="exact"/>
              <w:rPr>
                <w:sz w:val="20"/>
                <w:szCs w:val="20"/>
                <w:color w:val="auto"/>
              </w:rPr>
            </w:pPr>
            <w:r>
              <w:rPr>
                <w:rFonts w:ascii="Arial" w:cs="Arial" w:eastAsia="Arial" w:hAnsi="Arial"/>
                <w:sz w:val="12"/>
                <w:szCs w:val="12"/>
                <w:color w:val="auto"/>
              </w:rPr>
              <w:t>L+575</w:t>
            </w:r>
          </w:p>
        </w:tc>
        <w:tc>
          <w:tcPr>
            <w:tcW w:w="140" w:type="dxa"/>
            <w:vAlign w:val="bottom"/>
            <w:shd w:val="clear" w:color="auto" w:fill="CCEEFF"/>
          </w:tcPr>
          <w:p>
            <w:pPr>
              <w:spacing w:after="0"/>
              <w:rPr>
                <w:sz w:val="9"/>
                <w:szCs w:val="9"/>
                <w:color w:val="auto"/>
              </w:rPr>
            </w:pPr>
          </w:p>
        </w:tc>
        <w:tc>
          <w:tcPr>
            <w:tcW w:w="880" w:type="dxa"/>
            <w:vAlign w:val="bottom"/>
            <w:gridSpan w:val="3"/>
            <w:shd w:val="clear" w:color="auto" w:fill="CCEEFF"/>
          </w:tcPr>
          <w:p>
            <w:pPr>
              <w:jc w:val="right"/>
              <w:ind w:right="60"/>
              <w:spacing w:after="0" w:line="105" w:lineRule="exact"/>
              <w:rPr>
                <w:sz w:val="20"/>
                <w:szCs w:val="20"/>
                <w:color w:val="auto"/>
              </w:rPr>
            </w:pPr>
            <w:r>
              <w:rPr>
                <w:rFonts w:ascii="Arial" w:cs="Arial" w:eastAsia="Arial" w:hAnsi="Arial"/>
                <w:sz w:val="12"/>
                <w:szCs w:val="12"/>
                <w:color w:val="auto"/>
              </w:rPr>
              <w:t>$21,500,000</w:t>
            </w:r>
          </w:p>
        </w:tc>
        <w:tc>
          <w:tcPr>
            <w:tcW w:w="880" w:type="dxa"/>
            <w:vAlign w:val="bottom"/>
            <w:gridSpan w:val="5"/>
            <w:shd w:val="clear" w:color="auto" w:fill="CCEEFF"/>
          </w:tcPr>
          <w:p>
            <w:pPr>
              <w:jc w:val="right"/>
              <w:ind w:right="80"/>
              <w:spacing w:after="0" w:line="105" w:lineRule="exact"/>
              <w:rPr>
                <w:sz w:val="20"/>
                <w:szCs w:val="20"/>
                <w:color w:val="auto"/>
              </w:rPr>
            </w:pPr>
            <w:r>
              <w:rPr>
                <w:rFonts w:ascii="Arial" w:cs="Arial" w:eastAsia="Arial" w:hAnsi="Arial"/>
                <w:sz w:val="12"/>
                <w:szCs w:val="12"/>
                <w:color w:val="auto"/>
              </w:rPr>
              <w:t>$ 19,211,412</w:t>
            </w:r>
          </w:p>
        </w:tc>
        <w:tc>
          <w:tcPr>
            <w:tcW w:w="840" w:type="dxa"/>
            <w:vAlign w:val="bottom"/>
            <w:gridSpan w:val="4"/>
            <w:shd w:val="clear" w:color="auto" w:fill="CCEEFF"/>
          </w:tcPr>
          <w:p>
            <w:pPr>
              <w:jc w:val="right"/>
              <w:spacing w:after="0" w:line="105" w:lineRule="exact"/>
              <w:rPr>
                <w:sz w:val="20"/>
                <w:szCs w:val="20"/>
                <w:color w:val="auto"/>
              </w:rPr>
            </w:pPr>
            <w:r>
              <w:rPr>
                <w:rFonts w:ascii="Arial" w:cs="Arial" w:eastAsia="Arial" w:hAnsi="Arial"/>
                <w:sz w:val="12"/>
                <w:szCs w:val="12"/>
                <w:color w:val="auto"/>
              </w:rPr>
              <w:t>$ 19,887,500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860"/>
              <w:spacing w:after="0"/>
              <w:rPr>
                <w:sz w:val="20"/>
                <w:szCs w:val="20"/>
                <w:color w:val="auto"/>
              </w:rPr>
            </w:pPr>
            <w:r>
              <w:rPr>
                <w:rFonts w:ascii="Arial" w:cs="Arial" w:eastAsia="Arial" w:hAnsi="Arial"/>
                <w:sz w:val="14"/>
                <w:szCs w:val="14"/>
                <w:color w:val="auto"/>
                <w:w w:val="87"/>
              </w:rPr>
              <w:t>Childcare</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1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12/15/2014</w:t>
            </w:r>
          </w:p>
        </w:tc>
        <w:tc>
          <w:tcPr>
            <w:tcW w:w="22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Chemical, Plastics and Rubber</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1"/>
                <w:szCs w:val="11"/>
                <w:color w:val="auto"/>
              </w:rPr>
              <w:t>7.26%</w:t>
            </w:r>
            <w:r>
              <w:rPr>
                <w:rFonts w:ascii="Arial" w:cs="Arial" w:eastAsia="Arial" w:hAnsi="Arial"/>
                <w:sz w:val="17"/>
                <w:szCs w:val="17"/>
                <w:color w:val="auto"/>
                <w:vertAlign w:val="superscript"/>
              </w:rPr>
              <w:t>(6)</w:t>
            </w:r>
          </w:p>
        </w:tc>
        <w:tc>
          <w:tcPr>
            <w:tcW w:w="6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L+700</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22,500,000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22,490,129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6/15/2015</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Financial Services</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6.29%</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L+600</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17,811,488</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17,341,134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16,564,684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151,611,934</w:t>
            </w: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149,087,151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Notes—56.1%</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11/15/2015</w:t>
            </w:r>
          </w:p>
        </w:tc>
        <w:tc>
          <w:tcPr>
            <w:tcW w:w="22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Consumer Products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11.63%</w:t>
            </w:r>
          </w:p>
        </w:tc>
        <w:tc>
          <w:tcPr>
            <w:tcW w:w="18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9,855,000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12/15/2016</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11.13%</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18,885,000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18,380,337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18,696,150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4/17/2015</w:t>
            </w:r>
          </w:p>
        </w:tc>
        <w:tc>
          <w:tcPr>
            <w:tcW w:w="22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8,109,468</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7,973,429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8,170,289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3/22/2014</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20,720,892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20,359,932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21,425,401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152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4/1/2015</w:t>
            </w:r>
          </w:p>
        </w:tc>
        <w:tc>
          <w:tcPr>
            <w:tcW w:w="220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8"/>
              </w:rPr>
              <w:t>Home and Office Furnishings,</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12.50%</w:t>
            </w:r>
          </w:p>
        </w:tc>
        <w:tc>
          <w:tcPr>
            <w:tcW w:w="180" w:type="dxa"/>
            <w:vAlign w:val="bottom"/>
          </w:tcPr>
          <w:p>
            <w:pPr>
              <w:spacing w:after="0"/>
              <w:rPr>
                <w:sz w:val="11"/>
                <w:szCs w:val="11"/>
                <w:color w:val="auto"/>
              </w:rPr>
            </w:pPr>
          </w:p>
        </w:tc>
        <w:tc>
          <w:tcPr>
            <w:tcW w:w="62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25,000,000</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24,379,843</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25,625,000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80" w:type="dxa"/>
            <w:vAlign w:val="bottom"/>
            <w:gridSpan w:val="2"/>
          </w:tcPr>
          <w:p>
            <w:pPr>
              <w:jc w:val="center"/>
              <w:ind w:right="860"/>
              <w:spacing w:after="0" w:line="159" w:lineRule="exact"/>
              <w:rPr>
                <w:sz w:val="20"/>
                <w:szCs w:val="20"/>
                <w:color w:val="auto"/>
              </w:rPr>
            </w:pPr>
            <w:r>
              <w:rPr>
                <w:rFonts w:ascii="Arial" w:cs="Arial" w:eastAsia="Arial" w:hAnsi="Arial"/>
                <w:sz w:val="14"/>
                <w:szCs w:val="14"/>
                <w:color w:val="auto"/>
                <w:w w:val="86"/>
              </w:rPr>
              <w:t>Products</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6/6/2014</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23,283,292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22,970,124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23,283,292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6/30/2016</w:t>
            </w:r>
          </w:p>
        </w:tc>
        <w:tc>
          <w:tcPr>
            <w:tcW w:w="22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9"/>
              </w:rPr>
              <w:t>Education</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3,947,368</w:t>
            </w:r>
          </w:p>
        </w:tc>
        <w:tc>
          <w:tcPr>
            <w:tcW w:w="88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3,194,611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3,592,105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10/15/2016</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 xml:space="preserve">13.00% </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4/15/2015</w:t>
            </w:r>
          </w:p>
        </w:tc>
        <w:tc>
          <w:tcPr>
            <w:tcW w:w="22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Buildings and Real Estate</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1"/>
                <w:szCs w:val="11"/>
                <w:color w:val="auto"/>
              </w:rPr>
              <w:t>12.38%</w:t>
            </w:r>
            <w:r>
              <w:rPr>
                <w:rFonts w:ascii="Arial" w:cs="Arial" w:eastAsia="Arial" w:hAnsi="Arial"/>
                <w:sz w:val="17"/>
                <w:szCs w:val="17"/>
                <w:color w:val="auto"/>
                <w:vertAlign w:val="superscript"/>
              </w:rPr>
              <w:t>(6)</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9,055,731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12/29/2015</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11,721,019</w:t>
            </w:r>
          </w:p>
        </w:tc>
        <w:tc>
          <w:tcPr>
            <w:tcW w:w="88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11,361,858</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11,838,229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1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10/1/2016</w:t>
            </w:r>
          </w:p>
        </w:tc>
        <w:tc>
          <w:tcPr>
            <w:tcW w:w="820" w:type="dxa"/>
            <w:vAlign w:val="bottom"/>
          </w:tcPr>
          <w:p>
            <w:pPr>
              <w:spacing w:after="0"/>
              <w:rPr>
                <w:sz w:val="12"/>
                <w:szCs w:val="12"/>
                <w:color w:val="auto"/>
              </w:rPr>
            </w:pPr>
          </w:p>
        </w:tc>
        <w:tc>
          <w:tcPr>
            <w:tcW w:w="1380" w:type="dxa"/>
            <w:vAlign w:val="bottom"/>
            <w:gridSpan w:val="2"/>
          </w:tcPr>
          <w:p>
            <w:pPr>
              <w:jc w:val="center"/>
              <w:ind w:right="860"/>
              <w:spacing w:after="0" w:line="149" w:lineRule="exact"/>
              <w:rPr>
                <w:sz w:val="20"/>
                <w:szCs w:val="20"/>
                <w:color w:val="auto"/>
              </w:rPr>
            </w:pPr>
            <w:r>
              <w:rPr>
                <w:rFonts w:ascii="Arial" w:cs="Arial" w:eastAsia="Arial" w:hAnsi="Arial"/>
                <w:sz w:val="14"/>
                <w:szCs w:val="14"/>
                <w:color w:val="auto"/>
                <w:w w:val="84"/>
              </w:rPr>
              <w:t>Insurance</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20,501,960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20,331,704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21,117,018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 Sub Inc.</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2/8/2015</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Oil and Gas</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1"/>
                <w:szCs w:val="11"/>
                <w:color w:val="auto"/>
              </w:rPr>
              <w:t>15.50%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21,098,000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20,642,507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20,148,590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15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12/31/2015</w:t>
            </w:r>
          </w:p>
        </w:tc>
        <w:tc>
          <w:tcPr>
            <w:tcW w:w="22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14,636,487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5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12/31/2012</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11,700,000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213,271,563</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217,081,074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Interests—2.0%</w:t>
            </w:r>
            <w:r>
              <w:rPr>
                <w:rFonts w:ascii="Arial" w:cs="Arial" w:eastAsia="Arial" w:hAnsi="Arial"/>
                <w:sz w:val="17"/>
                <w:szCs w:val="17"/>
                <w:b w:val="1"/>
                <w:bCs w:val="1"/>
                <w:color w:val="auto"/>
                <w:vertAlign w:val="superscript"/>
              </w:rPr>
              <w:t>(7)</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800" w:type="dxa"/>
            <w:vAlign w:val="bottom"/>
          </w:tcPr>
          <w:p>
            <w:pPr>
              <w:spacing w:after="0"/>
              <w:rPr>
                <w:sz w:val="13"/>
                <w:szCs w:val="13"/>
                <w:color w:val="auto"/>
              </w:rPr>
            </w:pPr>
          </w:p>
        </w:tc>
        <w:tc>
          <w:tcPr>
            <w:tcW w:w="7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220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8"/>
              </w:rPr>
              <w:t>Other Media</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319</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318,896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8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220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Aerospace and Defense</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12.00%</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797</w:t>
            </w:r>
          </w:p>
        </w:tc>
        <w:tc>
          <w:tcPr>
            <w:tcW w:w="8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797,288</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1,070,352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800" w:type="dxa"/>
            <w:vAlign w:val="bottom"/>
          </w:tcPr>
          <w:p>
            <w:pPr>
              <w:spacing w:after="0"/>
              <w:rPr>
                <w:sz w:val="13"/>
                <w:szCs w:val="13"/>
                <w:color w:val="auto"/>
              </w:rPr>
            </w:pPr>
          </w:p>
        </w:tc>
        <w:tc>
          <w:tcPr>
            <w:tcW w:w="7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220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3"/>
              </w:rPr>
              <w:t>Business Services</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9.00%</w:t>
            </w:r>
          </w:p>
        </w:tc>
        <w:tc>
          <w:tcPr>
            <w:tcW w:w="180" w:type="dxa"/>
            <w:vAlign w:val="bottom"/>
          </w:tcPr>
          <w:p>
            <w:pPr>
              <w:spacing w:after="0"/>
              <w:rPr>
                <w:sz w:val="13"/>
                <w:szCs w:val="13"/>
                <w:color w:val="auto"/>
              </w:rPr>
            </w:pPr>
          </w:p>
        </w:tc>
        <w:tc>
          <w:tcPr>
            <w:tcW w:w="6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144,375</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144,376</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148,909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8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2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4,137,240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3,869,263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00" w:type="dxa"/>
            <w:vAlign w:val="bottom"/>
          </w:tcPr>
          <w:p>
            <w:pPr>
              <w:spacing w:after="0"/>
              <w:rPr>
                <w:sz w:val="13"/>
                <w:szCs w:val="13"/>
                <w:color w:val="auto"/>
              </w:rPr>
            </w:pPr>
          </w:p>
        </w:tc>
        <w:tc>
          <w:tcPr>
            <w:tcW w:w="7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spacing w:after="0"/>
              <w:rPr>
                <w:sz w:val="13"/>
                <w:szCs w:val="13"/>
                <w:color w:val="auto"/>
              </w:rPr>
            </w:pPr>
          </w:p>
        </w:tc>
        <w:tc>
          <w:tcPr>
            <w:tcW w:w="1380" w:type="dxa"/>
            <w:vAlign w:val="bottom"/>
            <w:gridSpan w:val="2"/>
          </w:tcPr>
          <w:p>
            <w:pPr>
              <w:jc w:val="center"/>
              <w:ind w:right="860"/>
              <w:spacing w:after="0" w:line="159" w:lineRule="exact"/>
              <w:rPr>
                <w:sz w:val="20"/>
                <w:szCs w:val="20"/>
                <w:color w:val="auto"/>
              </w:rPr>
            </w:pPr>
            <w:r>
              <w:rPr>
                <w:rFonts w:ascii="Arial" w:cs="Arial" w:eastAsia="Arial" w:hAnsi="Arial"/>
                <w:sz w:val="14"/>
                <w:szCs w:val="14"/>
                <w:color w:val="auto"/>
                <w:w w:val="84"/>
              </w:rPr>
              <w:t>Insurance</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686</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8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860"/>
              <w:spacing w:after="0" w:line="159" w:lineRule="exact"/>
              <w:rPr>
                <w:sz w:val="20"/>
                <w:szCs w:val="20"/>
                <w:color w:val="auto"/>
              </w:rPr>
            </w:pPr>
            <w:r>
              <w:rPr>
                <w:rFonts w:ascii="Arial" w:cs="Arial" w:eastAsia="Arial" w:hAnsi="Arial"/>
                <w:sz w:val="14"/>
                <w:szCs w:val="14"/>
                <w:color w:val="auto"/>
                <w:w w:val="84"/>
              </w:rPr>
              <w:t>Insurance</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6.50%</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1,312</w:t>
            </w:r>
          </w:p>
        </w:tc>
        <w:tc>
          <w:tcPr>
            <w:tcW w:w="8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1,495,885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00" w:type="dxa"/>
            <w:vAlign w:val="bottom"/>
          </w:tcPr>
          <w:p>
            <w:pPr>
              <w:spacing w:after="0"/>
              <w:rPr>
                <w:sz w:val="14"/>
                <w:szCs w:val="14"/>
                <w:color w:val="auto"/>
              </w:rPr>
            </w:pPr>
          </w:p>
        </w:tc>
        <w:tc>
          <w:tcPr>
            <w:tcW w:w="7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220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6"/>
              </w:rPr>
              <w:t>Oil and Gas</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8.00%</w:t>
            </w:r>
          </w:p>
        </w:tc>
        <w:tc>
          <w:tcPr>
            <w:tcW w:w="180" w:type="dxa"/>
            <w:vAlign w:val="bottom"/>
          </w:tcPr>
          <w:p>
            <w:pPr>
              <w:spacing w:after="0"/>
              <w:rPr>
                <w:sz w:val="14"/>
                <w:szCs w:val="14"/>
                <w:color w:val="auto"/>
              </w:rPr>
            </w:pPr>
          </w:p>
        </w:tc>
        <w:tc>
          <w:tcPr>
            <w:tcW w:w="6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91,608</w:t>
            </w:r>
          </w:p>
        </w:tc>
        <w:tc>
          <w:tcPr>
            <w:tcW w:w="60" w:type="dxa"/>
            <w:vAlign w:val="bottom"/>
          </w:tcPr>
          <w:p>
            <w:pPr>
              <w:spacing w:after="0"/>
              <w:rPr>
                <w:sz w:val="14"/>
                <w:szCs w:val="14"/>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2,499,066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495,851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9,894,692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7,766,080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PENNANTPARK INVESTMENT CORPORATION AND SUBSIDIARIES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2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Maturity</w:t>
            </w:r>
          </w:p>
        </w:tc>
      </w:tr>
      <w:tr>
        <w:trPr>
          <w:trHeight w:val="138"/>
        </w:trPr>
        <w:tc>
          <w:tcPr>
            <w:tcW w:w="760" w:type="dxa"/>
            <w:vAlign w:val="bottom"/>
            <w:tcBorders>
              <w:top w:val="single" w:sz="8" w:color="auto"/>
            </w:tcBorders>
          </w:tcPr>
          <w:p>
            <w:pPr>
              <w:spacing w:after="0" w:line="138" w:lineRule="exact"/>
              <w:rPr>
                <w:sz w:val="20"/>
                <w:szCs w:val="20"/>
                <w:color w:val="auto"/>
              </w:rPr>
            </w:pPr>
            <w:r>
              <w:rPr>
                <w:rFonts w:ascii="Arial" w:cs="Arial" w:eastAsia="Arial" w:hAnsi="Arial"/>
                <w:sz w:val="14"/>
                <w:szCs w:val="14"/>
                <w:b w:val="1"/>
                <w:bCs w:val="1"/>
                <w:color w:val="auto"/>
              </w:rPr>
              <w:t>Common</w:t>
            </w:r>
          </w:p>
        </w:tc>
        <w:tc>
          <w:tcPr>
            <w:tcW w:w="3820" w:type="dxa"/>
            <w:vAlign w:val="bottom"/>
          </w:tcPr>
          <w:p>
            <w:pPr>
              <w:spacing w:after="0" w:line="138" w:lineRule="exact"/>
              <w:rPr>
                <w:sz w:val="20"/>
                <w:szCs w:val="20"/>
                <w:color w:val="auto"/>
              </w:rPr>
            </w:pPr>
            <w:r>
              <w:rPr>
                <w:rFonts w:ascii="Arial" w:cs="Arial" w:eastAsia="Arial" w:hAnsi="Arial"/>
                <w:sz w:val="10"/>
                <w:szCs w:val="10"/>
                <w:b w:val="1"/>
                <w:bCs w:val="1"/>
                <w:color w:val="auto"/>
              </w:rPr>
              <w:t>Equity/Warrants/Partnership Interests—9.9%</w:t>
            </w:r>
            <w:r>
              <w:rPr>
                <w:rFonts w:ascii="Arial" w:cs="Arial" w:eastAsia="Arial" w:hAnsi="Arial"/>
                <w:sz w:val="15"/>
                <w:szCs w:val="15"/>
                <w:b w:val="1"/>
                <w:bCs w:val="1"/>
                <w:color w:val="auto"/>
                <w:vertAlign w:val="superscript"/>
              </w:rPr>
              <w:t>(7)</w:t>
            </w:r>
          </w:p>
        </w:tc>
        <w:tc>
          <w:tcPr>
            <w:tcW w:w="2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CEA Autumn Management, L.L.C.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(Consolidated Foundries, Inc.)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(CT Technologies Intermediate Holdings, Inc.)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32"/>
        </w:trPr>
        <w:tc>
          <w:tcPr>
            <w:tcW w:w="4580" w:type="dxa"/>
            <w:vAlign w:val="bottom"/>
            <w:gridSpan w:val="2"/>
          </w:tcPr>
          <w:p>
            <w:pPr>
              <w:spacing w:after="0" w:line="133" w:lineRule="exact"/>
              <w:rPr>
                <w:sz w:val="20"/>
                <w:szCs w:val="20"/>
                <w:color w:val="auto"/>
              </w:rPr>
            </w:pPr>
            <w:r>
              <w:rPr>
                <w:rFonts w:ascii="Arial" w:cs="Arial" w:eastAsia="Arial" w:hAnsi="Arial"/>
                <w:sz w:val="14"/>
                <w:szCs w:val="14"/>
                <w:color w:val="auto"/>
              </w:rPr>
              <w:t>EnviroSolutions, Inc. (Warrants)</w:t>
            </w:r>
          </w:p>
        </w:tc>
        <w:tc>
          <w:tcPr>
            <w:tcW w:w="240" w:type="dxa"/>
            <w:vAlign w:val="bottom"/>
          </w:tcPr>
          <w:p>
            <w:pPr>
              <w:spacing w:after="0"/>
              <w:rPr>
                <w:sz w:val="11"/>
                <w:szCs w:val="11"/>
                <w:color w:val="auto"/>
              </w:rPr>
            </w:pPr>
          </w:p>
        </w:tc>
        <w:tc>
          <w:tcPr>
            <w:tcW w:w="600" w:type="dxa"/>
            <w:vAlign w:val="bottom"/>
            <w:gridSpan w:val="2"/>
          </w:tcPr>
          <w:p>
            <w:pPr>
              <w:jc w:val="right"/>
              <w:ind w:right="280"/>
              <w:spacing w:after="0" w:line="133" w:lineRule="exact"/>
              <w:rPr>
                <w:sz w:val="20"/>
                <w:szCs w:val="20"/>
                <w:color w:val="auto"/>
              </w:rPr>
            </w:pPr>
            <w:r>
              <w:rPr>
                <w:rFonts w:ascii="Arial" w:cs="Arial" w:eastAsia="Arial" w:hAnsi="Arial"/>
                <w:sz w:val="14"/>
                <w:szCs w:val="14"/>
                <w:color w:val="auto"/>
              </w:rPr>
              <w:t>—</w:t>
            </w:r>
          </w:p>
        </w:tc>
      </w:tr>
      <w:tr>
        <w:trPr>
          <w:trHeight w:val="165"/>
        </w:trPr>
        <w:tc>
          <w:tcPr>
            <w:tcW w:w="4580" w:type="dxa"/>
            <w:vAlign w:val="bottom"/>
            <w:gridSpan w:val="2"/>
          </w:tcPr>
          <w:p>
            <w:pPr>
              <w:spacing w:after="0" w:line="165" w:lineRule="exact"/>
              <w:rPr>
                <w:sz w:val="20"/>
                <w:szCs w:val="20"/>
                <w:color w:val="auto"/>
              </w:rPr>
            </w:pPr>
            <w:r>
              <w:rPr>
                <w:rFonts w:ascii="Arial" w:cs="Arial" w:eastAsia="Arial" w:hAnsi="Arial"/>
                <w:sz w:val="12"/>
                <w:szCs w:val="12"/>
                <w:color w:val="auto"/>
              </w:rPr>
              <w:t xml:space="preserve">i2 Holdings Ltd. </w:t>
            </w:r>
            <w:r>
              <w:rPr>
                <w:rFonts w:ascii="Arial" w:cs="Arial" w:eastAsia="Arial" w:hAnsi="Arial"/>
                <w:sz w:val="19"/>
                <w:szCs w:val="19"/>
                <w:color w:val="auto"/>
                <w:vertAlign w:val="superscript"/>
              </w:rPr>
              <w:t>(10)</w:t>
            </w:r>
          </w:p>
        </w:tc>
        <w:tc>
          <w:tcPr>
            <w:tcW w:w="24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Kadmon Holdings, L.L.C., Class A</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580" w:type="dxa"/>
            <w:vAlign w:val="bottom"/>
            <w:gridSpan w:val="2"/>
          </w:tcPr>
          <w:p>
            <w:pPr>
              <w:ind w:left="220"/>
              <w:spacing w:after="0"/>
              <w:rPr>
                <w:sz w:val="20"/>
                <w:szCs w:val="20"/>
                <w:color w:val="auto"/>
              </w:rPr>
            </w:pPr>
            <w:r>
              <w:rPr>
                <w:rFonts w:ascii="Arial" w:cs="Arial" w:eastAsia="Arial" w:hAnsi="Arial"/>
                <w:sz w:val="14"/>
                <w:szCs w:val="14"/>
                <w:color w:val="auto"/>
              </w:rPr>
              <w:t>(Three Rivers Pharmaceutical, L.L.C.)</w:t>
            </w:r>
          </w:p>
        </w:tc>
        <w:tc>
          <w:tcPr>
            <w:tcW w:w="24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Kadmon Holdings, L.L.C., Class D</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(Three Rivers Pharmaceutical, L.L.C.)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4/27/2020</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(Questex Media Group, Inc.)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B</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(Questex Media Group, Inc.)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12/29/2019</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Transportation 100 Holdco, L.L.C.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(Greatwide Logistics Services, L.L.C)</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24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72"/>
        </w:trPr>
        <w:tc>
          <w:tcPr>
            <w:tcW w:w="4580" w:type="dxa"/>
            <w:vAlign w:val="bottom"/>
            <w:gridSpan w:val="2"/>
          </w:tcPr>
          <w:p>
            <w:pPr>
              <w:spacing w:after="0"/>
              <w:rPr>
                <w:sz w:val="20"/>
                <w:szCs w:val="20"/>
                <w:color w:val="auto"/>
              </w:rPr>
            </w:pPr>
            <w:r>
              <w:rPr>
                <w:rFonts w:ascii="Arial" w:cs="Arial" w:eastAsia="Arial" w:hAnsi="Arial"/>
                <w:sz w:val="14"/>
                <w:szCs w:val="14"/>
                <w:color w:val="auto"/>
              </w:rPr>
              <w:t>VText Holdings, Inc.</w:t>
            </w:r>
          </w:p>
        </w:tc>
        <w:tc>
          <w:tcPr>
            <w:tcW w:w="24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76"/>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8"/>
        </w:trPr>
        <w:tc>
          <w:tcPr>
            <w:tcW w:w="458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7"/>
        </w:trPr>
        <w:tc>
          <w:tcPr>
            <w:tcW w:w="4580" w:type="dxa"/>
            <w:vAlign w:val="bottom"/>
            <w:gridSpan w:val="2"/>
          </w:tcPr>
          <w:p>
            <w:pPr>
              <w:spacing w:after="0" w:line="167" w:lineRule="exact"/>
              <w:rPr>
                <w:sz w:val="20"/>
                <w:szCs w:val="20"/>
                <w:color w:val="auto"/>
              </w:rPr>
            </w:pPr>
            <w:r>
              <w:rPr>
                <w:rFonts w:ascii="Arial" w:cs="Arial" w:eastAsia="Arial" w:hAnsi="Arial"/>
                <w:sz w:val="12"/>
                <w:szCs w:val="12"/>
                <w:b w:val="1"/>
                <w:bCs w:val="1"/>
                <w:color w:val="auto"/>
              </w:rPr>
              <w:t>Investments in Non-Controlled, Affiliated Portfolio Companies—4.0%</w:t>
            </w:r>
            <w:r>
              <w:rPr>
                <w:rFonts w:ascii="Arial" w:cs="Arial" w:eastAsia="Arial" w:hAnsi="Arial"/>
                <w:sz w:val="19"/>
                <w:szCs w:val="19"/>
                <w:b w:val="1"/>
                <w:bCs w:val="1"/>
                <w:color w:val="auto"/>
                <w:vertAlign w:val="superscript"/>
              </w:rPr>
              <w:t>(1),(2)</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1"/>
        </w:trPr>
        <w:tc>
          <w:tcPr>
            <w:tcW w:w="458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Second Lien Secured Debt—2.0%</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2"/>
        </w:trPr>
        <w:tc>
          <w:tcPr>
            <w:tcW w:w="4580" w:type="dxa"/>
            <w:vAlign w:val="bottom"/>
            <w:gridSpan w:val="2"/>
          </w:tcPr>
          <w:p>
            <w:pPr>
              <w:spacing w:after="0"/>
              <w:rPr>
                <w:sz w:val="20"/>
                <w:szCs w:val="20"/>
                <w:color w:val="auto"/>
              </w:rPr>
            </w:pPr>
            <w:r>
              <w:rPr>
                <w:rFonts w:ascii="Arial" w:cs="Arial" w:eastAsia="Arial" w:hAnsi="Arial"/>
                <w:sz w:val="14"/>
                <w:szCs w:val="14"/>
                <w:color w:val="auto"/>
              </w:rPr>
              <w:t>Performance, Inc.</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1/16/2015</w:t>
            </w:r>
          </w:p>
        </w:tc>
      </w:tr>
      <w:tr>
        <w:trPr>
          <w:trHeight w:val="300"/>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Subordinated Debt/Corporate Notes—1.5%</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2"/>
        </w:trPr>
        <w:tc>
          <w:tcPr>
            <w:tcW w:w="4580" w:type="dxa"/>
            <w:vAlign w:val="bottom"/>
            <w:gridSpan w:val="2"/>
          </w:tcPr>
          <w:p>
            <w:pPr>
              <w:spacing w:after="0"/>
              <w:rPr>
                <w:sz w:val="20"/>
                <w:szCs w:val="20"/>
                <w:color w:val="auto"/>
              </w:rPr>
            </w:pPr>
            <w:r>
              <w:rPr>
                <w:rFonts w:ascii="Arial" w:cs="Arial" w:eastAsia="Arial" w:hAnsi="Arial"/>
                <w:sz w:val="14"/>
                <w:szCs w:val="14"/>
                <w:color w:val="auto"/>
              </w:rPr>
              <w:t>Performance Holdings, Inc.</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7/16/2015</w:t>
            </w:r>
          </w:p>
        </w:tc>
      </w:tr>
      <w:tr>
        <w:trPr>
          <w:trHeight w:val="408"/>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Common Equity/Partnership Interest—0.5%</w:t>
            </w:r>
            <w:r>
              <w:rPr>
                <w:rFonts w:ascii="Arial" w:cs="Arial" w:eastAsia="Arial" w:hAnsi="Arial"/>
                <w:sz w:val="22"/>
                <w:szCs w:val="22"/>
                <w:b w:val="1"/>
                <w:bCs w:val="1"/>
                <w:color w:val="auto"/>
                <w:vertAlign w:val="superscript"/>
              </w:rPr>
              <w:t>(7)</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2"/>
        </w:trPr>
        <w:tc>
          <w:tcPr>
            <w:tcW w:w="4580" w:type="dxa"/>
            <w:vAlign w:val="bottom"/>
            <w:gridSpan w:val="2"/>
          </w:tcPr>
          <w:p>
            <w:pPr>
              <w:spacing w:after="0"/>
              <w:rPr>
                <w:sz w:val="20"/>
                <w:szCs w:val="20"/>
                <w:color w:val="auto"/>
              </w:rPr>
            </w:pPr>
            <w:r>
              <w:rPr>
                <w:rFonts w:ascii="Arial" w:cs="Arial" w:eastAsia="Arial" w:hAnsi="Arial"/>
                <w:sz w:val="14"/>
                <w:szCs w:val="14"/>
                <w:color w:val="auto"/>
              </w:rPr>
              <w:t>NCP-Performance (Performance Holdings, Inc.)</w:t>
            </w:r>
          </w:p>
        </w:tc>
        <w:tc>
          <w:tcPr>
            <w:tcW w:w="24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Point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Spread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Par/</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Above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5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Industry</w:t>
            </w:r>
          </w:p>
        </w:tc>
        <w:tc>
          <w:tcPr>
            <w:tcW w:w="760" w:type="dxa"/>
            <w:vAlign w:val="bottom"/>
          </w:tcPr>
          <w:p>
            <w:pPr>
              <w:spacing w:after="0"/>
              <w:rPr>
                <w:sz w:val="16"/>
                <w:szCs w:val="16"/>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640" w:type="dxa"/>
            <w:vAlign w:val="bottom"/>
            <w:gridSpan w:val="2"/>
          </w:tcPr>
          <w:p>
            <w:pPr>
              <w:jc w:val="center"/>
              <w:ind w:right="18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880" w:type="dxa"/>
            <w:vAlign w:val="bottom"/>
            <w:gridSpan w:val="3"/>
          </w:tcPr>
          <w:p>
            <w:pPr>
              <w:jc w:val="center"/>
              <w:ind w:right="140"/>
              <w:spacing w:after="0"/>
              <w:rPr>
                <w:sz w:val="20"/>
                <w:szCs w:val="20"/>
                <w:color w:val="auto"/>
              </w:rPr>
            </w:pPr>
            <w:r>
              <w:rPr>
                <w:rFonts w:ascii="Arial" w:cs="Arial" w:eastAsia="Arial" w:hAnsi="Arial"/>
                <w:sz w:val="14"/>
                <w:szCs w:val="14"/>
                <w:color w:val="auto"/>
                <w:w w:val="86"/>
              </w:rPr>
              <w:t>Broadcasting and Entertainment</w:t>
            </w:r>
          </w:p>
        </w:tc>
        <w:tc>
          <w:tcPr>
            <w:tcW w:w="460" w:type="dxa"/>
            <w:vAlign w:val="bottom"/>
            <w:tcBorders>
              <w:top w:val="single" w:sz="8" w:color="auto"/>
            </w:tcBorders>
          </w:tcPr>
          <w:p>
            <w:pPr>
              <w:jc w:val="center"/>
              <w:ind w:left="132"/>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24"/>
                <w:szCs w:val="24"/>
                <w:color w:val="auto"/>
              </w:rPr>
            </w:pPr>
          </w:p>
        </w:tc>
        <w:tc>
          <w:tcPr>
            <w:tcW w:w="46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1,333</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w w:val="92"/>
              </w:rPr>
              <w:t>$  3,000,000</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  3,000,000</w:t>
            </w:r>
          </w:p>
        </w:tc>
        <w:tc>
          <w:tcPr>
            <w:tcW w:w="0" w:type="dxa"/>
            <w:vAlign w:val="bottom"/>
          </w:tcPr>
          <w:p>
            <w:pPr>
              <w:spacing w:after="0"/>
              <w:rPr>
                <w:sz w:val="1"/>
                <w:szCs w:val="1"/>
                <w:color w:val="auto"/>
              </w:rPr>
            </w:pPr>
          </w:p>
        </w:tc>
      </w:tr>
      <w:tr>
        <w:trPr>
          <w:trHeight w:val="297"/>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5"/>
              </w:rPr>
              <w:t>Aerospace and Defense</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1,627</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16,271</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387,012</w:t>
            </w:r>
          </w:p>
        </w:tc>
        <w:tc>
          <w:tcPr>
            <w:tcW w:w="0" w:type="dxa"/>
            <w:vAlign w:val="bottom"/>
          </w:tcPr>
          <w:p>
            <w:pPr>
              <w:spacing w:after="0"/>
              <w:rPr>
                <w:sz w:val="1"/>
                <w:szCs w:val="1"/>
                <w:color w:val="auto"/>
              </w:rPr>
            </w:pPr>
          </w:p>
        </w:tc>
      </w:tr>
      <w:tr>
        <w:trPr>
          <w:trHeight w:val="273"/>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3"/>
              </w:rPr>
              <w:t>Business Services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5,556</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3,200,000</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7,987,755</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8"/>
              </w:rPr>
              <w:t>Environmental Services</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24,375</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1,506,076</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1,998,008</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8"/>
              </w:rPr>
              <w:t>Environmental Services</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49,005</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3,027,906</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4,016,429</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5"/>
              </w:rPr>
              <w:t>Aerospace and Defense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457,322</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454,030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Healthcare, Education</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7"/>
              </w:rPr>
              <w:t>and Childcare</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8,999</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1,780,693</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1,780,693</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Healthcare, Education and</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Childcare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8,999</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857,339</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857,339</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6"/>
              </w:rPr>
              <w:t>Education</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1,267</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779,920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633,308</w:t>
            </w:r>
          </w:p>
        </w:tc>
        <w:tc>
          <w:tcPr>
            <w:tcW w:w="0" w:type="dxa"/>
            <w:vAlign w:val="bottom"/>
          </w:tcPr>
          <w:p>
            <w:pPr>
              <w:spacing w:after="0"/>
              <w:rPr>
                <w:sz w:val="1"/>
                <w:szCs w:val="1"/>
                <w:color w:val="auto"/>
              </w:rPr>
            </w:pPr>
          </w:p>
        </w:tc>
      </w:tr>
      <w:tr>
        <w:trPr>
          <w:trHeight w:val="172"/>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6"/>
              </w:rPr>
              <w:t>Oil and Gas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w w:val="83"/>
              </w:rPr>
              <w:t>1,055,932</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2,464,999</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4,350,440</w:t>
            </w:r>
          </w:p>
        </w:tc>
        <w:tc>
          <w:tcPr>
            <w:tcW w:w="0" w:type="dxa"/>
            <w:vAlign w:val="bottom"/>
          </w:tcPr>
          <w:p>
            <w:pPr>
              <w:spacing w:after="0"/>
              <w:rPr>
                <w:sz w:val="1"/>
                <w:szCs w:val="1"/>
                <w:color w:val="auto"/>
              </w:rPr>
            </w:pPr>
          </w:p>
        </w:tc>
      </w:tr>
      <w:tr>
        <w:trPr>
          <w:trHeight w:val="297"/>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8"/>
              </w:rPr>
              <w:t>Other Media</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4,325</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1,306,167</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1,081,683</w:t>
            </w:r>
          </w:p>
        </w:tc>
        <w:tc>
          <w:tcPr>
            <w:tcW w:w="0" w:type="dxa"/>
            <w:vAlign w:val="bottom"/>
          </w:tcPr>
          <w:p>
            <w:pPr>
              <w:spacing w:after="0"/>
              <w:rPr>
                <w:sz w:val="1"/>
                <w:szCs w:val="1"/>
                <w:color w:val="auto"/>
              </w:rPr>
            </w:pPr>
          </w:p>
        </w:tc>
      </w:tr>
      <w:tr>
        <w:trPr>
          <w:trHeight w:val="273"/>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8"/>
              </w:rPr>
              <w:t>Other Media</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531</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132,803</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3,500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29,400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973,875</w:t>
            </w:r>
          </w:p>
        </w:tc>
        <w:tc>
          <w:tcPr>
            <w:tcW w:w="0" w:type="dxa"/>
            <w:vAlign w:val="bottom"/>
          </w:tcPr>
          <w:p>
            <w:pPr>
              <w:spacing w:after="0"/>
              <w:rPr>
                <w:sz w:val="1"/>
                <w:szCs w:val="1"/>
                <w:color w:val="auto"/>
              </w:rPr>
            </w:pPr>
          </w:p>
        </w:tc>
      </w:tr>
      <w:tr>
        <w:trPr>
          <w:trHeight w:val="172"/>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6"/>
              </w:rPr>
              <w:t>Cargo Transport</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137,923</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2,111,588</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4,589,906</w:t>
            </w:r>
          </w:p>
        </w:tc>
        <w:tc>
          <w:tcPr>
            <w:tcW w:w="0" w:type="dxa"/>
            <w:vAlign w:val="bottom"/>
          </w:tcPr>
          <w:p>
            <w:pPr>
              <w:spacing w:after="0"/>
              <w:rPr>
                <w:sz w:val="1"/>
                <w:szCs w:val="1"/>
                <w:color w:val="auto"/>
              </w:rPr>
            </w:pPr>
          </w:p>
        </w:tc>
      </w:tr>
      <w:tr>
        <w:trPr>
          <w:trHeight w:val="273"/>
        </w:trPr>
        <w:tc>
          <w:tcPr>
            <w:tcW w:w="1880" w:type="dxa"/>
            <w:vAlign w:val="bottom"/>
            <w:gridSpan w:val="3"/>
          </w:tcPr>
          <w:p>
            <w:pPr>
              <w:jc w:val="center"/>
              <w:ind w:right="160"/>
              <w:spacing w:after="0"/>
              <w:rPr>
                <w:sz w:val="20"/>
                <w:szCs w:val="20"/>
                <w:color w:val="auto"/>
              </w:rPr>
            </w:pPr>
            <w:r>
              <w:rPr>
                <w:rFonts w:ascii="Arial" w:cs="Arial" w:eastAsia="Arial" w:hAnsi="Arial"/>
                <w:sz w:val="14"/>
                <w:szCs w:val="14"/>
                <w:color w:val="auto"/>
                <w:w w:val="84"/>
              </w:rPr>
              <w:t>Insurance</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2</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9,843</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1,688,629</w:t>
            </w:r>
          </w:p>
        </w:tc>
        <w:tc>
          <w:tcPr>
            <w:tcW w:w="0" w:type="dxa"/>
            <w:vAlign w:val="bottom"/>
          </w:tcPr>
          <w:p>
            <w:pPr>
              <w:spacing w:after="0"/>
              <w:rPr>
                <w:sz w:val="1"/>
                <w:szCs w:val="1"/>
                <w:color w:val="auto"/>
              </w:rPr>
            </w:pPr>
          </w:p>
        </w:tc>
      </w:tr>
      <w:tr>
        <w:trPr>
          <w:trHeight w:val="149"/>
        </w:trPr>
        <w:tc>
          <w:tcPr>
            <w:tcW w:w="18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6"/>
              </w:rPr>
              <w:t>Oil and Gas</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91,608</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88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2"/>
          </w:tcPr>
          <w:p>
            <w:pPr>
              <w:jc w:val="center"/>
              <w:ind w:right="60"/>
              <w:spacing w:after="0" w:line="159" w:lineRule="exact"/>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35,526</w:t>
            </w: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4,050,000</w:t>
            </w:r>
          </w:p>
        </w:tc>
        <w:tc>
          <w:tcPr>
            <w:tcW w:w="16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4,634,758</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24,595,148</w:t>
            </w:r>
          </w:p>
        </w:tc>
        <w:tc>
          <w:tcPr>
            <w:tcW w:w="16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38,112,638</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2"/>
              </w:rPr>
              <w:t>631,280,755</w:t>
            </w:r>
          </w:p>
        </w:tc>
        <w:tc>
          <w:tcPr>
            <w:tcW w:w="16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5"/>
              </w:rPr>
              <w:t>641,290,626</w:t>
            </w:r>
          </w:p>
        </w:tc>
        <w:tc>
          <w:tcPr>
            <w:tcW w:w="0" w:type="dxa"/>
            <w:vAlign w:val="bottom"/>
          </w:tcPr>
          <w:p>
            <w:pPr>
              <w:spacing w:after="0"/>
              <w:rPr>
                <w:sz w:val="1"/>
                <w:szCs w:val="1"/>
                <w:color w:val="auto"/>
              </w:rPr>
            </w:pPr>
          </w:p>
        </w:tc>
      </w:tr>
      <w:tr>
        <w:trPr>
          <w:trHeight w:val="442"/>
        </w:trPr>
        <w:tc>
          <w:tcPr>
            <w:tcW w:w="1880" w:type="dxa"/>
            <w:vAlign w:val="bottom"/>
            <w:gridSpan w:val="3"/>
          </w:tcPr>
          <w:p>
            <w:pPr>
              <w:jc w:val="center"/>
              <w:ind w:right="140"/>
              <w:spacing w:after="0"/>
              <w:rPr>
                <w:sz w:val="20"/>
                <w:szCs w:val="20"/>
                <w:color w:val="auto"/>
              </w:rPr>
            </w:pPr>
            <w:r>
              <w:rPr>
                <w:rFonts w:ascii="Arial" w:cs="Arial" w:eastAsia="Arial" w:hAnsi="Arial"/>
                <w:sz w:val="14"/>
                <w:szCs w:val="14"/>
                <w:color w:val="auto"/>
                <w:w w:val="88"/>
              </w:rPr>
              <w:t>Leisure, Amusement, Motion</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7.50%</w:t>
            </w:r>
          </w:p>
        </w:tc>
        <w:tc>
          <w:tcPr>
            <w:tcW w:w="640" w:type="dxa"/>
            <w:vAlign w:val="bottom"/>
            <w:gridSpan w:val="2"/>
          </w:tcPr>
          <w:p>
            <w:pPr>
              <w:ind w:left="100"/>
              <w:spacing w:after="0"/>
              <w:rPr>
                <w:sz w:val="20"/>
                <w:szCs w:val="20"/>
                <w:color w:val="auto"/>
              </w:rPr>
            </w:pPr>
            <w:r>
              <w:rPr>
                <w:rFonts w:ascii="Arial" w:cs="Arial" w:eastAsia="Arial" w:hAnsi="Arial"/>
                <w:sz w:val="14"/>
                <w:szCs w:val="14"/>
                <w:color w:val="auto"/>
                <w:w w:val="90"/>
              </w:rPr>
              <w:t>L+650</w:t>
            </w:r>
            <w:r>
              <w:rPr>
                <w:rFonts w:ascii="Arial" w:cs="Arial" w:eastAsia="Arial" w:hAnsi="Arial"/>
                <w:sz w:val="22"/>
                <w:szCs w:val="22"/>
                <w:color w:val="auto"/>
                <w:w w:val="90"/>
                <w:vertAlign w:val="superscript"/>
              </w:rPr>
              <w:t>(8)</w:t>
            </w:r>
          </w:p>
        </w:tc>
        <w:tc>
          <w:tcPr>
            <w:tcW w:w="120" w:type="dxa"/>
            <w:vAlign w:val="bottom"/>
          </w:tcPr>
          <w:p>
            <w:pPr>
              <w:spacing w:after="0"/>
              <w:rPr>
                <w:sz w:val="24"/>
                <w:szCs w:val="2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w w:val="83"/>
              </w:rPr>
              <w:t>8,000,000</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8,000,000</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7,584,000</w:t>
            </w:r>
          </w:p>
        </w:tc>
        <w:tc>
          <w:tcPr>
            <w:tcW w:w="0" w:type="dxa"/>
            <w:vAlign w:val="bottom"/>
          </w:tcPr>
          <w:p>
            <w:pPr>
              <w:spacing w:after="0"/>
              <w:rPr>
                <w:sz w:val="1"/>
                <w:szCs w:val="1"/>
                <w:color w:val="auto"/>
              </w:rPr>
            </w:pPr>
          </w:p>
        </w:tc>
      </w:tr>
      <w:tr>
        <w:trPr>
          <w:trHeight w:val="159"/>
        </w:trPr>
        <w:tc>
          <w:tcPr>
            <w:tcW w:w="188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6"/>
              </w:rPr>
              <w:t>Pictures and Entertainment</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1880" w:type="dxa"/>
            <w:vAlign w:val="bottom"/>
            <w:gridSpan w:val="3"/>
          </w:tcPr>
          <w:p>
            <w:pPr>
              <w:jc w:val="center"/>
              <w:ind w:right="140"/>
              <w:spacing w:after="0"/>
              <w:rPr>
                <w:sz w:val="20"/>
                <w:szCs w:val="20"/>
                <w:color w:val="auto"/>
              </w:rPr>
            </w:pPr>
            <w:r>
              <w:rPr>
                <w:rFonts w:ascii="Arial" w:cs="Arial" w:eastAsia="Arial" w:hAnsi="Arial"/>
                <w:sz w:val="14"/>
                <w:szCs w:val="14"/>
                <w:color w:val="auto"/>
                <w:w w:val="88"/>
              </w:rPr>
              <w:t>Leisure, Amusement, Motion</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82"/>
              </w:rPr>
              <w:t>15.00%</w:t>
            </w:r>
            <w:r>
              <w:rPr>
                <w:rFonts w:ascii="Arial" w:cs="Arial" w:eastAsia="Arial" w:hAnsi="Arial"/>
                <w:sz w:val="22"/>
                <w:szCs w:val="22"/>
                <w:color w:val="auto"/>
                <w:w w:val="82"/>
                <w:vertAlign w:val="superscript"/>
              </w:rPr>
              <w:t>(6)</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w w:val="83"/>
              </w:rPr>
              <w:t>5,848,176</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5,677,648</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5,745,832</w:t>
            </w:r>
          </w:p>
        </w:tc>
        <w:tc>
          <w:tcPr>
            <w:tcW w:w="0" w:type="dxa"/>
            <w:vAlign w:val="bottom"/>
          </w:tcPr>
          <w:p>
            <w:pPr>
              <w:spacing w:after="0"/>
              <w:rPr>
                <w:sz w:val="1"/>
                <w:szCs w:val="1"/>
                <w:color w:val="auto"/>
              </w:rPr>
            </w:pPr>
          </w:p>
        </w:tc>
      </w:tr>
      <w:tr>
        <w:trPr>
          <w:trHeight w:val="159"/>
        </w:trPr>
        <w:tc>
          <w:tcPr>
            <w:tcW w:w="188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6"/>
              </w:rPr>
              <w:t>Pictures and Entertainment</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01"/>
        </w:trPr>
        <w:tc>
          <w:tcPr>
            <w:tcW w:w="1880" w:type="dxa"/>
            <w:vAlign w:val="bottom"/>
            <w:gridSpan w:val="3"/>
          </w:tcPr>
          <w:p>
            <w:pPr>
              <w:jc w:val="center"/>
              <w:ind w:right="140"/>
              <w:spacing w:after="0"/>
              <w:rPr>
                <w:sz w:val="20"/>
                <w:szCs w:val="20"/>
                <w:color w:val="auto"/>
              </w:rPr>
            </w:pPr>
            <w:r>
              <w:rPr>
                <w:rFonts w:ascii="Arial" w:cs="Arial" w:eastAsia="Arial" w:hAnsi="Arial"/>
                <w:sz w:val="14"/>
                <w:szCs w:val="14"/>
                <w:color w:val="auto"/>
                <w:w w:val="88"/>
              </w:rPr>
              <w:t>Leisure, Amusement, Motion</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37,500</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3,750,000</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2,103,848</w:t>
            </w:r>
          </w:p>
        </w:tc>
        <w:tc>
          <w:tcPr>
            <w:tcW w:w="0" w:type="dxa"/>
            <w:vAlign w:val="bottom"/>
          </w:tcPr>
          <w:p>
            <w:pPr>
              <w:spacing w:after="0"/>
              <w:rPr>
                <w:sz w:val="1"/>
                <w:szCs w:val="1"/>
                <w:color w:val="auto"/>
              </w:rPr>
            </w:pPr>
          </w:p>
        </w:tc>
      </w:tr>
      <w:tr>
        <w:trPr>
          <w:trHeight w:val="159"/>
        </w:trPr>
        <w:tc>
          <w:tcPr>
            <w:tcW w:w="188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6"/>
              </w:rPr>
              <w:t>Pictures and Entertainment</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-3661410</wp:posOffset>
            </wp:positionV>
            <wp:extent cx="7246620" cy="946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-3472815</wp:posOffset>
            </wp:positionV>
            <wp:extent cx="724662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-3094990</wp:posOffset>
            </wp:positionV>
            <wp:extent cx="7246620" cy="946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-2906395</wp:posOffset>
            </wp:positionV>
            <wp:extent cx="7246620" cy="946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-2614930</wp:posOffset>
            </wp:positionV>
            <wp:extent cx="724662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-2331720</wp:posOffset>
            </wp:positionV>
            <wp:extent cx="7246620" cy="946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-2049145</wp:posOffset>
            </wp:positionV>
            <wp:extent cx="7246620"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-1765935</wp:posOffset>
            </wp:positionV>
            <wp:extent cx="724662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-1482725</wp:posOffset>
            </wp:positionV>
            <wp:extent cx="7246620" cy="946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-1276985</wp:posOffset>
            </wp:positionV>
            <wp:extent cx="7246620" cy="946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-1054100</wp:posOffset>
            </wp:positionV>
            <wp:extent cx="7246620" cy="946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-865505</wp:posOffset>
            </wp:positionV>
            <wp:extent cx="724662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-565150</wp:posOffset>
            </wp:positionV>
            <wp:extent cx="724662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-196850</wp:posOffset>
            </wp:positionV>
            <wp:extent cx="724662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20" w:space="220"/>
            <w:col w:w="57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Investments in Non-Controlled, Affiliated Portfolio Companies</w:t>
            </w: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17,427,648</w:t>
            </w:r>
          </w:p>
        </w:tc>
        <w:tc>
          <w:tcPr>
            <w:tcW w:w="760" w:type="dxa"/>
            <w:vAlign w:val="bottom"/>
          </w:tcPr>
          <w:p>
            <w:pPr>
              <w:jc w:val="right"/>
              <w:spacing w:after="0"/>
              <w:rPr>
                <w:sz w:val="20"/>
                <w:szCs w:val="20"/>
                <w:color w:val="auto"/>
              </w:rPr>
            </w:pPr>
            <w:r>
              <w:rPr>
                <w:rFonts w:ascii="Arial" w:cs="Arial" w:eastAsia="Arial" w:hAnsi="Arial"/>
                <w:sz w:val="14"/>
                <w:szCs w:val="14"/>
                <w:color w:val="auto"/>
              </w:rPr>
              <w:t>15,433,680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Companies—2.1%</w:t>
            </w:r>
            <w:r>
              <w:rPr>
                <w:rFonts w:ascii="Arial" w:cs="Arial" w:eastAsia="Arial" w:hAnsi="Arial"/>
                <w:sz w:val="17"/>
                <w:szCs w:val="17"/>
                <w:b w:val="1"/>
                <w:bCs w:val="1"/>
                <w:color w:val="auto"/>
                <w:vertAlign w:val="superscript"/>
              </w:rPr>
              <w:t>(1),(2)</w:t>
            </w:r>
          </w:p>
        </w:tc>
        <w:tc>
          <w:tcPr>
            <w:tcW w:w="1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1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40" w:type="dxa"/>
            <w:vAlign w:val="bottom"/>
            <w:vMerge w:val="restart"/>
          </w:tcPr>
          <w:p>
            <w:pPr>
              <w:jc w:val="right"/>
              <w:ind w:right="132"/>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(6)</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12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6/30/2020</w:t>
            </w:r>
          </w:p>
        </w:tc>
        <w:tc>
          <w:tcPr>
            <w:tcW w:w="1560" w:type="dxa"/>
            <w:vAlign w:val="bottom"/>
          </w:tcPr>
          <w:p>
            <w:pPr>
              <w:ind w:left="300"/>
              <w:spacing w:after="0" w:line="149" w:lineRule="exact"/>
              <w:rPr>
                <w:sz w:val="20"/>
                <w:szCs w:val="20"/>
                <w:color w:val="auto"/>
              </w:rPr>
            </w:pPr>
            <w:r>
              <w:rPr>
                <w:rFonts w:ascii="Arial" w:cs="Arial" w:eastAsia="Arial" w:hAnsi="Arial"/>
                <w:sz w:val="14"/>
                <w:szCs w:val="14"/>
                <w:color w:val="auto"/>
              </w:rPr>
              <w:t>Business Services</w:t>
            </w:r>
          </w:p>
        </w:tc>
        <w:tc>
          <w:tcPr>
            <w:tcW w:w="1040" w:type="dxa"/>
            <w:vAlign w:val="bottom"/>
            <w:vMerge w:val="continue"/>
          </w:tcPr>
          <w:p>
            <w:pPr>
              <w:spacing w:after="0"/>
              <w:rPr>
                <w:sz w:val="12"/>
                <w:szCs w:val="12"/>
                <w:color w:val="auto"/>
              </w:rPr>
            </w:pPr>
          </w:p>
        </w:tc>
        <w:tc>
          <w:tcPr>
            <w:tcW w:w="5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4,800,000</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4,800,000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5,352,000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38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3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7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5"/>
              </w:rPr>
              <w:t>Maturity</w:t>
            </w:r>
          </w:p>
        </w:tc>
        <w:tc>
          <w:tcPr>
            <w:tcW w:w="380" w:type="dxa"/>
            <w:vAlign w:val="bottom"/>
          </w:tcPr>
          <w:p>
            <w:pPr>
              <w:spacing w:after="0"/>
              <w:rPr>
                <w:sz w:val="12"/>
                <w:szCs w:val="12"/>
                <w:color w:val="auto"/>
              </w:rPr>
            </w:pPr>
          </w:p>
        </w:tc>
        <w:tc>
          <w:tcPr>
            <w:tcW w:w="10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4"/>
              </w:rPr>
              <w:t>Industry</w:t>
            </w: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Coupon</w:t>
            </w:r>
          </w:p>
        </w:tc>
        <w:tc>
          <w:tcPr>
            <w:tcW w:w="48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380" w:type="dxa"/>
            <w:vAlign w:val="bottom"/>
          </w:tcPr>
          <w:p>
            <w:pPr>
              <w:spacing w:after="0"/>
              <w:rPr>
                <w:sz w:val="12"/>
                <w:szCs w:val="12"/>
                <w:color w:val="auto"/>
              </w:rPr>
            </w:pPr>
          </w:p>
        </w:tc>
        <w:tc>
          <w:tcPr>
            <w:tcW w:w="6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76"/>
              </w:rPr>
              <w:t>Cost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right"/>
              <w:ind w:right="26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80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Notes—0.3%</w:t>
            </w: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6/30/2020</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920" w:type="dxa"/>
            <w:vAlign w:val="bottom"/>
            <w:gridSpan w:val="2"/>
          </w:tcPr>
          <w:p>
            <w:pPr>
              <w:ind w:left="1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$1,200,000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1,200,000</w:t>
            </w:r>
          </w:p>
        </w:tc>
        <w:tc>
          <w:tcPr>
            <w:tcW w:w="10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1,142,398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Equity—0.4%</w:t>
            </w:r>
            <w:r>
              <w:rPr>
                <w:rFonts w:ascii="Arial" w:cs="Arial" w:eastAsia="Arial" w:hAnsi="Arial"/>
                <w:sz w:val="17"/>
                <w:szCs w:val="17"/>
                <w:b w:val="1"/>
                <w:bCs w:val="1"/>
                <w:color w:val="auto"/>
                <w:vertAlign w:val="superscript"/>
              </w:rPr>
              <w:t>(7)</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9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14.00%</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2,000,000</w:t>
            </w:r>
          </w:p>
        </w:tc>
        <w:tc>
          <w:tcPr>
            <w:tcW w:w="10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1,505,602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(7)</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Controlled, Affiliated Portfolio Companies</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10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Investments—172.0%</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5"/>
              </w:rPr>
              <w:t>656,708,503</w:t>
            </w:r>
          </w:p>
        </w:tc>
        <w:tc>
          <w:tcPr>
            <w:tcW w:w="24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664,724,406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Equivalents—0.5%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1,814,451</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240" w:type="dxa"/>
            <w:vAlign w:val="bottom"/>
            <w:shd w:val="clear" w:color="auto" w:fill="CCEEFF"/>
          </w:tcPr>
          <w:p>
            <w:pPr>
              <w:spacing w:after="0"/>
              <w:rPr>
                <w:sz w:val="12"/>
                <w:szCs w:val="12"/>
                <w:color w:val="auto"/>
              </w:rPr>
            </w:pPr>
          </w:p>
        </w:tc>
        <w:tc>
          <w:tcPr>
            <w:tcW w:w="8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Equivalents—172.5%</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658,522,954</w:t>
            </w:r>
          </w:p>
        </w:tc>
        <w:tc>
          <w:tcPr>
            <w:tcW w:w="10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666,538,857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Assets—(72.5%)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gridSpan w:val="5"/>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(279,963,634)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386,575,223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65" w:lineRule="exact"/>
        <w:rPr>
          <w:sz w:val="20"/>
          <w:szCs w:val="20"/>
          <w:color w:val="auto"/>
        </w:rPr>
      </w:pPr>
    </w:p>
    <w:p>
      <w:pPr>
        <w:jc w:val="both"/>
        <w:ind w:left="240" w:right="120"/>
        <w:spacing w:after="0" w:line="259"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 and its consolidated subsidiaries. “SBIC LP” refer to our wholly owned, consolidated Small Business Investment Company, or SBIC, PennantPark SBIC LP.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 is a closed-end, externally managed, non-diversified investment company that has elected to be treated as a business development company, or BDC, under the Investment Company Act of 1940, or the 1940 Act. PennantPark Investment’s objective is to generate both current income and capital appreciation through debt and equity investments. PennantPark Investment invests primarily in U.S. middle-market companies in the form of senior secured loans, mezzanine debt and equity investments.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April 24, 2007, PennantPark Investment closed its initial public offering and its common stock trades on the NASDAQ Global Select Market under the symbol “PNNT”. PennantPark Investment completed its initial public offering of common stock in 2007 and issued 21.0 million shares raising $294.1 million in net proceeds. Since PennantPark Investment’s initial public offering, it has sold 24.3 million shares of common stock through follow-on public offerings, resulting in net proceeds of $242.5 million. During the year ended September 30, 2011, PennantPark Investment sold 9.2 million shares in a follow-on public offering including the overallotment, resulting in net proceeds of $108.3 million.</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are externally managed by PennantPark Investment Advisers, LLC, the Investment Adviser or PennantPark Investment Advisers. PennantPark Investment Administration, LLC, or the Administrator or PennantPark Investment Administration provides the administrative services necessary for us to operate.</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PennantPark SBIC LP, or either SBIC LP or our SBIC and its general partner, PennantPark SBIC GP, LLC, the SBIC GP, were organized in Delaware as a limited partnership and a limited liability company, respectively, on May 7, 2010 and began operations on June 11, 2010. SBIC LP received a license from the Small Business Administration, or SBA, to operate as a SBIC, effective July 30, 2010 under Section 301(c) of the Small Business Investment Act of 1958, or the 1958 Act. Both SBIC LP and SBIC GP, or the Subsidiaries, are consolidated wholly owned subsidiaries of PennantPark Investment. The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PennantPark Investment, through the Investment Adviser, manages day-to-day operations of and provides investment advisory services to SBIC LP under a separate investment management agreement. PennantPark Investment, through the Administrator, also provides similar services to SBIC LP and our controlled affiliate SuttonPark Holdings, Inc. and its subsidiaries, or SPH, under separate administration agreements. For more information, See Note 3 to the Consolidated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or GAAP, requires management to make estimates and assumptions that affect the reported amount of PennantPark Investment’s and its Subsidiaries’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 all intercompany balances and transactions. References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are providing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1480" w:hanging="567"/>
        <w:spacing w:after="0"/>
        <w:tabs>
          <w:tab w:leader="none" w:pos="1480" w:val="left"/>
        </w:tabs>
        <w:numPr>
          <w:ilvl w:val="0"/>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900" w:right="300" w:hanging="446"/>
        <w:spacing w:after="0" w:line="33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2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262" w:lineRule="exact"/>
        <w:rPr>
          <w:sz w:val="20"/>
          <w:szCs w:val="20"/>
          <w:color w:val="auto"/>
        </w:rPr>
      </w:pPr>
    </w:p>
    <w:p>
      <w:pPr>
        <w:ind w:left="1480" w:hanging="479"/>
        <w:spacing w:after="0"/>
        <w:tabs>
          <w:tab w:leader="none" w:pos="1480" w:val="left"/>
        </w:tabs>
        <w:numPr>
          <w:ilvl w:val="0"/>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payment-in-kind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 or amortize such amounts using the effective interest method as interest income or interest expense as it relates to our deferred financing costs. We record prepayment premiums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479"/>
        <w:spacing w:after="0"/>
        <w:tabs>
          <w:tab w:leader="none" w:pos="1480"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or the Code, and expects to be subject to tax as a regulated investment company, or RIC. As a result, PennantPark Investment accounts for income taxes using the asset liability method prescribed by ASC 740, Income Taxes. Under this method, income taxes were provided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pay an excise tax of $0.2 million for the fiscal year ended September 30, 2011.</w:t>
      </w:r>
    </w:p>
    <w:p>
      <w:pPr>
        <w:spacing w:after="0" w:line="11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from 2008 to date remain subject to examination by the Internal Revenue Service.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 See Note 8 to the Consolidated Financial Statements.</w:t>
      </w:r>
    </w:p>
    <w:p>
      <w:pPr>
        <w:spacing w:after="0" w:line="262" w:lineRule="exact"/>
        <w:rPr>
          <w:sz w:val="20"/>
          <w:szCs w:val="20"/>
          <w:color w:val="auto"/>
        </w:rPr>
      </w:pPr>
    </w:p>
    <w:p>
      <w:pPr>
        <w:ind w:left="1480" w:hanging="479"/>
        <w:spacing w:after="0"/>
        <w:tabs>
          <w:tab w:leader="none" w:pos="148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479"/>
        <w:spacing w:after="0"/>
        <w:tabs>
          <w:tab w:leader="none" w:pos="1480"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the Subsidiaries in our Consolidated Financial Statements.</w:t>
      </w:r>
    </w:p>
    <w:p>
      <w:pPr>
        <w:spacing w:after="0" w:line="262" w:lineRule="exact"/>
        <w:rPr>
          <w:sz w:val="20"/>
          <w:szCs w:val="20"/>
          <w:color w:val="auto"/>
        </w:rPr>
      </w:pPr>
    </w:p>
    <w:p>
      <w:pPr>
        <w:ind w:left="1480" w:hanging="479"/>
        <w:spacing w:after="0"/>
        <w:tabs>
          <w:tab w:leader="none" w:pos="1480" w:val="left"/>
        </w:tabs>
        <w:numPr>
          <w:ilvl w:val="0"/>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 and Accounting Standards Updates (“ASU”)</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May 2011, the FASB issued Accounting Standards Update 2011-04, Amendments to Achieve Common Fair Value Measurement and Disclosure Requirements in U.S. GAAP and IFRSs (“ASU 2011-04”). ASU 2011-04 amends Accounting Standards Codification Topic 820, “Fair Value Measurements”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those fiscal years. The amendments of ASU 2011-04, when adopted, are not expected to have a material impact on our consolidated financial statements and the company is currently evaluating the impact on its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PennantPark Investment’s Management Agreement with the Investment Adviser, was re-approved by our board of directors, including a majority of our directors who are not interested persons of PennantPark Investment, in February 2011. Under the Investment Management Agreement the Investment Adviser, subject to the overall supervision of PennantPark Investment’s board of directors, manages the day-to-day operations of and provides investment advisory services to, PennantPark Investment. SBIC LP’s investment management agreement does not affect the management or incentive fees that we pay to the Investment Adviser on a consolidated basis. For providing these services, the Investment Adviser receives a fee from PennantPark Investment, consisting of two components-a base management fee and an incentive fee (collectively, “Management Fees”).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base management fee is calculated at an annual rate of 2.00% on PennantPark Investment’s “average adjusted gross assets” (net of U.S. Treasury Bills and/or temporary draws, if any, on the Credit Facility, as defined in Note 11). The base management fee is 2.00%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the fiscal years ended September 30, 2011, 2010 and 2009, the Investment Adviser earned a net base management fee of $14.9 million, $11.6 million and $7.7 million, respectively, from us.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2011, 2010 and 2009, the Investment Adviser received an incentive fee of $13.2 million, $8.0 million and $5.7 million, respectively, from us.</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PennantPark Investment’s Administration Agreement with the Administrator was reapproved by our board of directors including a majority of our directors who are not interested persons of PennantPark Investment, in February 2011. Under the Administration Agreement PennantPark Investment Administration provides administrative services for PennantPark Investment. TheAdministrator provides similar services to SBIC LP under its administration agreement with PennantPark Investments.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2011, 2010 and 2009, the Investment Adviser and Administrator, collectively, were reimbursed $2.6 million, $2.1 million and $1.7 million, respectively, from us, including expenses it incurred on behalf of the Administrator, for services described above.</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 For the fiscal years ended September 30, 2011 and 2010, PennantPark Investment was reimbursed $0.5 million and $0.1 million, respectively, for the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Purchases of long-term investments, including PIK, for the fiscal years ended September 30, 2011, 2010 and 2009 totaled $490.6 million, $315.8 million and $117.4 million, respectively. Sales and repayments of long-term investments for the fiscal years ended September 30, 2011, 2010 and 2009 totaled $304.0 million, $145.2 million and $28.0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September 30, 2011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2010</w:t>
            </w: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rPr>
              <w:t>Cost</w:t>
            </w:r>
          </w:p>
        </w:tc>
        <w:tc>
          <w:tcPr>
            <w:tcW w:w="10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$ 305,608,989</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$ 296,488,131</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236,707,418</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234,595,683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Second lien</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189,962,828</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165,272,201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159,611,934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156,671,151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325,318,958</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309,329,169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220,149,211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223,969,304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Preferred equity</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12,268,187</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9,762,932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11,894,692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9,271,682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33,163,874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46,696,082</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28,345,248</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40,216,586</w:t>
            </w:r>
          </w:p>
        </w:tc>
        <w:tc>
          <w:tcPr>
            <w:tcW w:w="100" w:type="dxa"/>
            <w:vAlign w:val="bottom"/>
            <w:shd w:val="clear" w:color="auto" w:fill="CCEEFF"/>
          </w:tcPr>
          <w:p>
            <w:pPr>
              <w:spacing w:after="0"/>
              <w:rPr>
                <w:sz w:val="18"/>
                <w:szCs w:val="18"/>
                <w:color w:val="auto"/>
              </w:rPr>
            </w:pPr>
          </w:p>
        </w:tc>
      </w:tr>
      <w:tr>
        <w:trPr>
          <w:trHeight w:val="221"/>
        </w:trPr>
        <w:tc>
          <w:tcPr>
            <w:tcW w:w="5820" w:type="dxa"/>
            <w:vAlign w:val="bottom"/>
          </w:tcPr>
          <w:p>
            <w:pPr>
              <w:spacing w:after="0"/>
              <w:rPr>
                <w:sz w:val="20"/>
                <w:szCs w:val="20"/>
                <w:color w:val="auto"/>
              </w:rPr>
            </w:pPr>
            <w:r>
              <w:rPr>
                <w:rFonts w:ascii="Arial" w:cs="Arial" w:eastAsia="Arial" w:hAnsi="Arial"/>
                <w:sz w:val="18"/>
                <w:szCs w:val="18"/>
                <w:color w:val="auto"/>
              </w:rPr>
              <w:t>Total Investments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866,322,836</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827,548,515</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656,708,503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664,724,406</w:t>
            </w:r>
          </w:p>
        </w:tc>
      </w:tr>
      <w:tr>
        <w:trPr>
          <w:trHeight w:val="218"/>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$ 937,927,355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$ 899,153,034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658,522,954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666,538,857</w:t>
            </w: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September 30, 2011 and September 30, 2010.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20" w:type="dxa"/>
            <w:vAlign w:val="bottom"/>
            <w:gridSpan w:val="3"/>
            <w:vMerge w:val="continue"/>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2011</w:t>
            </w:r>
          </w:p>
        </w:tc>
        <w:tc>
          <w:tcPr>
            <w:tcW w:w="78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1"/>
              </w:rPr>
              <w:t>Business Services</w:t>
            </w:r>
          </w:p>
        </w:tc>
        <w:tc>
          <w:tcPr>
            <w:tcW w:w="56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5640" w:type="dxa"/>
            <w:vAlign w:val="bottom"/>
            <w:vMerge w:val="continue"/>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11%</w:t>
            </w:r>
          </w:p>
        </w:tc>
        <w:tc>
          <w:tcPr>
            <w:tcW w:w="5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Transportation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Diversified / Conglomerate Services</w:t>
            </w:r>
          </w:p>
        </w:tc>
        <w:tc>
          <w:tcPr>
            <w:tcW w:w="11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&amp; Durable Consumer Products</w:t>
            </w:r>
          </w:p>
        </w:tc>
        <w:tc>
          <w:tcPr>
            <w:tcW w:w="112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1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12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100%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40" w:type="dxa"/>
            <w:vAlign w:val="bottom"/>
          </w:tcPr>
          <w:p>
            <w:pPr>
              <w:ind w:left="2780"/>
              <w:spacing w:after="0"/>
              <w:rPr>
                <w:sz w:val="20"/>
                <w:szCs w:val="20"/>
                <w:color w:val="auto"/>
              </w:rPr>
            </w:pPr>
            <w:r>
              <w:rPr>
                <w:rFonts w:ascii="Arial" w:cs="Arial" w:eastAsia="Arial" w:hAnsi="Arial"/>
                <w:sz w:val="18"/>
                <w:szCs w:val="18"/>
                <w:color w:val="auto"/>
              </w:rPr>
              <w:t>F-23</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impacting Level 3 of the fair value hierarchy are reported as transfers in or out of the Level 3 category as of the end of the quarter in which the reclassifications occur. During fiscal year ended September 30, 2011, our ability to observe valuation inputs has resulted in a reclassification of assets from Level 3 to Level 2. There were no investments transferred between Levels 1 and 2 during the fical year ended September 30, 2011.</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September 30, 2011 and 2010, our cash equivalents, investments and our Credit Facility were categorized as follows in the fair value hierarchy for ASC 820 purposes.</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5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4400" w:type="dxa"/>
            <w:vAlign w:val="bottom"/>
            <w:gridSpan w:val="10"/>
          </w:tcPr>
          <w:p>
            <w:pPr>
              <w:ind w:left="760"/>
              <w:spacing w:after="0"/>
              <w:rPr>
                <w:sz w:val="20"/>
                <w:szCs w:val="20"/>
                <w:color w:val="auto"/>
              </w:rPr>
            </w:pPr>
            <w:r>
              <w:rPr>
                <w:rFonts w:ascii="Arial" w:cs="Arial" w:eastAsia="Arial" w:hAnsi="Arial"/>
                <w:sz w:val="14"/>
                <w:szCs w:val="14"/>
                <w:b w:val="1"/>
                <w:bCs w:val="1"/>
                <w:color w:val="auto"/>
              </w:rPr>
              <w:t>Fair Value Measurements at September 30, 2011</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98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2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$771,089,501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38,395,050</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$732,694,451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56,459,014</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4,044,595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61,091</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827,548,515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4,044,595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38,456,141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71,604,519</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71,604,519</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2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899,153,034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75,649,114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38,456,141</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Credit Facility</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238,792,125</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238,792,125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520" w:type="dxa"/>
            <w:vAlign w:val="bottom"/>
            <w:vMerge w:val="restart"/>
          </w:tcPr>
          <w:p>
            <w:pPr>
              <w:spacing w:after="0"/>
              <w:rPr>
                <w:sz w:val="24"/>
                <w:szCs w:val="24"/>
                <w:color w:val="auto"/>
              </w:rPr>
            </w:pPr>
          </w:p>
        </w:tc>
        <w:tc>
          <w:tcPr>
            <w:tcW w:w="2220" w:type="dxa"/>
            <w:vAlign w:val="bottom"/>
          </w:tcPr>
          <w:p>
            <w:pPr>
              <w:spacing w:after="0"/>
              <w:rPr>
                <w:sz w:val="24"/>
                <w:szCs w:val="24"/>
                <w:color w:val="auto"/>
              </w:rPr>
            </w:pPr>
          </w:p>
        </w:tc>
        <w:tc>
          <w:tcPr>
            <w:tcW w:w="4400" w:type="dxa"/>
            <w:vAlign w:val="bottom"/>
            <w:gridSpan w:val="10"/>
          </w:tcPr>
          <w:p>
            <w:pPr>
              <w:ind w:left="760"/>
              <w:spacing w:after="0"/>
              <w:rPr>
                <w:sz w:val="20"/>
                <w:szCs w:val="20"/>
                <w:color w:val="auto"/>
              </w:rPr>
            </w:pPr>
            <w:r>
              <w:rPr>
                <w:rFonts w:ascii="Arial" w:cs="Arial" w:eastAsia="Arial" w:hAnsi="Arial"/>
                <w:sz w:val="14"/>
                <w:szCs w:val="14"/>
                <w:b w:val="1"/>
                <w:bCs w:val="1"/>
                <w:color w:val="auto"/>
              </w:rPr>
              <w:t>Fair Value Measurements at September 30, 2010</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98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2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$615,236,138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$615,236,138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49,488,268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4,350,440</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45,137,828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664,724,406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4,350,440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1,814,451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1,814,451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2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666,538,857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6,164,891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213,941,125</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213,941,125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200" w:type="dxa"/>
            <w:vAlign w:val="bottom"/>
            <w:gridSpan w:val="2"/>
          </w:tcPr>
          <w:p>
            <w:pPr>
              <w:jc w:val="right"/>
              <w:ind w:right="1758"/>
              <w:spacing w:after="0"/>
              <w:rPr>
                <w:sz w:val="20"/>
                <w:szCs w:val="20"/>
                <w:color w:val="auto"/>
              </w:rPr>
            </w:pPr>
            <w:r>
              <w:rPr>
                <w:rFonts w:ascii="Arial" w:cs="Arial" w:eastAsia="Arial" w:hAnsi="Arial"/>
                <w:sz w:val="18"/>
                <w:szCs w:val="18"/>
                <w:color w:val="auto"/>
              </w:rPr>
              <w:t>F-25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years ended September 30, 2011 and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5"/>
              </w:rPr>
              <w:t>Year Ended September 30, 2011</w:t>
            </w:r>
          </w:p>
        </w:tc>
        <w:tc>
          <w:tcPr>
            <w:tcW w:w="0" w:type="dxa"/>
            <w:vAlign w:val="bottom"/>
          </w:tcPr>
          <w:p>
            <w:pPr>
              <w:spacing w:after="0"/>
              <w:rPr>
                <w:sz w:val="1"/>
                <w:szCs w:val="1"/>
                <w:color w:val="auto"/>
              </w:rPr>
            </w:pPr>
          </w:p>
        </w:tc>
      </w:tr>
      <w:tr>
        <w:trPr>
          <w:trHeight w:val="12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9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Loan and debt</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3"/>
        </w:trPr>
        <w:tc>
          <w:tcPr>
            <w:tcW w:w="7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5"/>
              </w:rPr>
              <w:t>615,236,138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45,137,828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660,373,966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Realized (losses)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10,194,422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6,065,196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16,259,618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(48,568,848)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2,904,075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(45,664,773)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486,512,694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9,969,861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496,482,555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(292,284,905)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(11,723,632)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(304,008,537)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Non-cash exchanges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 /or out of Level 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(38,395,050)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(38,395,050)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Ending Balance, September 30, 2011</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732,694,451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52,353,328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785,047,779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9"/>
              </w:rPr>
              <w:t>Net change in unrealized appreciation (depreciation) for the period above reported within the net change in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unrealized (depreciation) appreciation on investments in our Consolidated Statement of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(24,916,057)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2,186,601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(22,729,456)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6"/>
              </w:rPr>
              <w:t>Year Ended September 30, 2010</w:t>
            </w:r>
          </w:p>
        </w:tc>
        <w:tc>
          <w:tcPr>
            <w:tcW w:w="0" w:type="dxa"/>
            <w:vAlign w:val="bottom"/>
          </w:tcPr>
          <w:p>
            <w:pPr>
              <w:spacing w:after="0"/>
              <w:rPr>
                <w:sz w:val="1"/>
                <w:szCs w:val="1"/>
                <w:color w:val="auto"/>
              </w:rPr>
            </w:pPr>
          </w:p>
        </w:tc>
      </w:tr>
      <w:tr>
        <w:trPr>
          <w:trHeight w:val="12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9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Loan and debt</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3"/>
        </w:trPr>
        <w:tc>
          <w:tcPr>
            <w:tcW w:w="7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2009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5"/>
              </w:rPr>
              <w:t>442,128,049</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27,632,024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469,760,073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Realized (losses)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(12,411,934)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(3,005,163)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(15,417,097)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(depreciation)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31,964,795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1,693,480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33,658,275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304,625,814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12,984,260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317,610,074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(138,765,449)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(138,772,371)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Non-cash exchanges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(12,305,137)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5,840,149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(6,464,988)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 /or out of Level 3</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Ending Balance, September 30, 2010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615,236,138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45,137,828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660,373,966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9"/>
              </w:rPr>
              <w:t>Net change in unrealized appreciation (depreciation) for the period above reported within the net change in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unrealized (depreciation) appreciation on investments in our Consolidated Statement of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15,408,002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(1,311,683)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14,096,319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fiscal years ended September 30, 2011 and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September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9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Credit Facility</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Fair Value</w:t>
            </w:r>
          </w:p>
        </w:tc>
      </w:tr>
      <w:tr>
        <w:trPr>
          <w:trHeight w:val="210"/>
        </w:trPr>
        <w:tc>
          <w:tcPr>
            <w:tcW w:w="92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 (Cost—$227,900,000)</w:t>
            </w:r>
          </w:p>
        </w:tc>
        <w:tc>
          <w:tcPr>
            <w:tcW w:w="1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213,941,125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Total unrealized appreciation included in earnings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11,851,000</w:t>
            </w:r>
          </w:p>
        </w:tc>
        <w:tc>
          <w:tcPr>
            <w:tcW w:w="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407,500,000</w:t>
            </w:r>
          </w:p>
        </w:tc>
        <w:tc>
          <w:tcPr>
            <w:tcW w:w="1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(394,500,000)</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Transfers in and/or out of Level 3</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5"/>
        </w:trPr>
        <w:tc>
          <w:tcPr>
            <w:tcW w:w="9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Ending balance of Credit Facility, September 30, 2011, at fair value,</w:t>
            </w:r>
          </w:p>
        </w:tc>
        <w:tc>
          <w:tcPr>
            <w:tcW w:w="1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(Cost—$240,900,000)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238,792,125</w:t>
            </w:r>
          </w:p>
        </w:tc>
        <w:tc>
          <w:tcPr>
            <w:tcW w:w="120" w:type="dxa"/>
            <w:vAlign w:val="bottom"/>
          </w:tcPr>
          <w:p>
            <w:pPr>
              <w:spacing w:after="0"/>
              <w:rPr>
                <w:sz w:val="19"/>
                <w:szCs w:val="19"/>
                <w:color w:val="auto"/>
              </w:rPr>
            </w:pPr>
          </w:p>
        </w:tc>
      </w:tr>
      <w:tr>
        <w:trPr>
          <w:trHeight w:val="466"/>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1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9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Credit Facility</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92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2009 (Cost—$218,100,000)</w:t>
            </w:r>
          </w:p>
        </w:tc>
        <w:tc>
          <w:tcPr>
            <w:tcW w:w="18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168,475,380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Total unrealized (appreciation) included in earnings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35,665,745</w:t>
            </w:r>
          </w:p>
        </w:tc>
        <w:tc>
          <w:tcPr>
            <w:tcW w:w="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177,700,000</w:t>
            </w:r>
          </w:p>
        </w:tc>
        <w:tc>
          <w:tcPr>
            <w:tcW w:w="1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(167,900,000)</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Transfers in and/or out of Level 3</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9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Ending balance of Credit Facility, September 30, 2010, at fair value,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920" w:type="dxa"/>
            <w:vAlign w:val="bottom"/>
          </w:tcPr>
          <w:p>
            <w:pPr>
              <w:spacing w:after="0"/>
              <w:rPr>
                <w:sz w:val="20"/>
                <w:szCs w:val="20"/>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(Cost—$227,900,000)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213,941,125</w:t>
            </w:r>
          </w:p>
        </w:tc>
        <w:tc>
          <w:tcPr>
            <w:tcW w:w="12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Temporary draw outstanding, at cost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5,200,000</w:t>
            </w:r>
          </w:p>
        </w:tc>
        <w:tc>
          <w:tcPr>
            <w:tcW w:w="12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Total Credit Facility, September 30, 2010 (Cost—$233,100,000)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219,141,125</w:t>
            </w:r>
          </w:p>
        </w:tc>
        <w:tc>
          <w:tcPr>
            <w:tcW w:w="12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temporary draws.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its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years ended September 30, 2011 and 2010, our Credit Facility had a net change in unrealized appreciation of $11.9 million and $35.7 million, respectively. As of September 30, 2011 and 2010, net unrealized depreciation on our Credit Facility totaled $2.1 million and $14.0 million, respectively. We use a nationally recognized independent valuation service to measure the fair value of our Credit Facility in a manner consistent with the valuation process that the board of directors uses to value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An affiliated company is a company in which we own 5% or more of the portfolio company’s voting securities. A controlled affiliate is a company in which we own 25% or more of a portfolio company’s voting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securities. Advances to and distributions from affiliates are included in the Consolidated Statements of Cash Flow under purchases. Transactions related to our investments with both controlled and non-controlled affiliates for the fiscal year ended September 30, 2011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Fair Value at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Advances to</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from</w:t>
            </w:r>
          </w:p>
        </w:tc>
        <w:tc>
          <w:tcPr>
            <w:tcW w:w="100" w:type="dxa"/>
            <w:vAlign w:val="bottom"/>
          </w:tcPr>
          <w:p>
            <w:pPr>
              <w:spacing w:after="0"/>
              <w:rPr>
                <w:sz w:val="12"/>
                <w:szCs w:val="12"/>
                <w:color w:val="auto"/>
              </w:rPr>
            </w:pPr>
          </w:p>
        </w:tc>
        <w:tc>
          <w:tcPr>
            <w:tcW w:w="7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8"/>
        </w:trPr>
        <w:tc>
          <w:tcPr>
            <w:tcW w:w="11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7"/>
              </w:rPr>
              <w:t>Name of Investment</w:t>
            </w: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6"/>
              <w:spacing w:after="0" w:line="148"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affiliates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7"/>
              </w:rPr>
              <w:t>affiliates</w:t>
            </w:r>
          </w:p>
        </w:tc>
        <w:tc>
          <w:tcPr>
            <w:tcW w:w="100" w:type="dxa"/>
            <w:vAlign w:val="bottom"/>
          </w:tcPr>
          <w:p>
            <w:pPr>
              <w:spacing w:after="0"/>
              <w:rPr>
                <w:sz w:val="14"/>
                <w:szCs w:val="14"/>
                <w:color w:val="auto"/>
              </w:rPr>
            </w:pPr>
          </w:p>
        </w:tc>
        <w:tc>
          <w:tcPr>
            <w:tcW w:w="700" w:type="dxa"/>
            <w:vAlign w:val="bottom"/>
          </w:tcPr>
          <w:p>
            <w:pPr>
              <w:jc w:val="right"/>
              <w:ind w:right="59"/>
              <w:spacing w:after="0" w:line="148" w:lineRule="exact"/>
              <w:rPr>
                <w:sz w:val="20"/>
                <w:szCs w:val="20"/>
                <w:color w:val="auto"/>
              </w:rPr>
            </w:pPr>
            <w:r>
              <w:rPr>
                <w:rFonts w:ascii="Arial" w:cs="Arial" w:eastAsia="Arial" w:hAnsi="Arial"/>
                <w:sz w:val="14"/>
                <w:szCs w:val="14"/>
                <w:b w:val="1"/>
                <w:bCs w:val="1"/>
                <w:color w:val="auto"/>
                <w:w w:val="87"/>
              </w:rPr>
              <w:t>Received</w:t>
            </w:r>
          </w:p>
        </w:tc>
        <w:tc>
          <w:tcPr>
            <w:tcW w:w="1080" w:type="dxa"/>
            <w:vAlign w:val="bottom"/>
            <w:gridSpan w:val="2"/>
          </w:tcPr>
          <w:p>
            <w:pPr>
              <w:jc w:val="center"/>
              <w:ind w:left="116"/>
              <w:spacing w:after="0" w:line="148"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Controlled Affiliates</w:t>
            </w: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8,000,100</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$5,500,000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785,167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$13,500,001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15,433,680</w:t>
            </w:r>
          </w:p>
        </w:tc>
        <w:tc>
          <w:tcPr>
            <w:tcW w:w="1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1,537,489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14,932,921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18,631,503</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1,305,502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366,901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25,740,212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42,065,283</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6,805,502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366,901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3,081,976</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54,173,134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5"/>
              </w:rPr>
              <w:t>Class and Year</w:t>
            </w:r>
          </w:p>
        </w:tc>
        <w:tc>
          <w:tcPr>
            <w:tcW w:w="72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8"/>
          </w:tcPr>
          <w:p>
            <w:pPr>
              <w:ind w:left="70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72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40"/>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(decrease) in net assets resulting from operations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10,263,474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16,535,491</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35,802,029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42,196,076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29,546,772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21,092,334*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Denominator for diluted weighted average shares is 21,094,745 based the over-allotment exercised subsequent to September 30,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2011 and 2010: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paid-in capital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(228,824)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(98,294)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(1,536)</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(Increase) in accumulated net realized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(87,991)</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98,294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89,527</w:t>
            </w: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2011 and 2010, the cost of investments for federal income tax purposes was $865.8 million and $659.4 million, respectively, resulting in a gross unrealized appreciation of $31.3 million and $28.8 million, respectively, and gross unrealized depreciation of $69.6 million and $23.5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6"/>
              </w:rPr>
              <w:t>Years ended September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12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9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$ 10,263,474</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$16,535,491</w:t>
            </w: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$ 35,802,029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realized gain(loss) on investments not taxable</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(16,259,622)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15,417,097</w:t>
            </w: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39,243,879</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investments and Credit Facility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58,641,223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122,029</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(52,326,993)</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Other temporary book-to-tax differences</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(3,178,194)</w:t>
            </w:r>
          </w:p>
        </w:tc>
        <w:tc>
          <w:tcPr>
            <w:tcW w:w="1700" w:type="dxa"/>
            <w:vAlign w:val="bottom"/>
            <w:gridSpan w:val="3"/>
          </w:tcPr>
          <w:p>
            <w:pPr>
              <w:jc w:val="right"/>
              <w:ind w:right="380"/>
              <w:spacing w:after="0"/>
              <w:rPr>
                <w:sz w:val="20"/>
                <w:szCs w:val="20"/>
                <w:color w:val="auto"/>
              </w:rPr>
            </w:pPr>
            <w:r>
              <w:rPr>
                <w:rFonts w:ascii="Arial" w:cs="Arial" w:eastAsia="Arial" w:hAnsi="Arial"/>
                <w:sz w:val="18"/>
                <w:szCs w:val="18"/>
                <w:color w:val="auto"/>
              </w:rPr>
              <w:t>(321,805)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827,527</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87"/>
              </w:rPr>
              <w:t>$ 49,695,705</w:t>
            </w: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31,752,812</w:t>
            </w:r>
          </w:p>
        </w:tc>
        <w:tc>
          <w:tcPr>
            <w:tcW w:w="4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$ 23,546,442</w:t>
            </w: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losses on book basis and reconciliation to accumulated losses on a tax basis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8"/>
              </w:rPr>
              <w:t>Years ended 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Undistributed ordinary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17,639,482</w:t>
            </w:r>
          </w:p>
        </w:tc>
        <w:tc>
          <w:tcPr>
            <w:tcW w:w="1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11,451,782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7,618,230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17,639,482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11,451,782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7,618,230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1"/>
                <w:szCs w:val="11"/>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(47,030,821)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(54,591,911)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(11,250,568)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Post-October capital losses</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(8,645,354)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(39,331,872)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Dividends payable and other temporary differences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(12,477,778)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(9,651,137)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(5,638,469)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(36,122,397)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19,300,499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22,096,807</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color w:val="auto"/>
              </w:rPr>
              <w:t>Total accumulated deficit</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3"/>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(77,991,514)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(42,136,121)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(26,505,872)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54"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of September 30, 2011, the capital loss carry forward of $47.0 million expires, if not utilized against future capital gains, as follows: $3.7 million in 2017 and $43.3 million in 2018.</w:t>
      </w:r>
    </w:p>
    <w:p>
      <w:pPr>
        <w:ind w:left="460" w:hanging="452"/>
        <w:spacing w:after="0"/>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Under federal tax law, capital losses realized after October 31 may be deferred and treated as having arisen on the first day of the following fiscal year.</w:t>
      </w:r>
    </w:p>
    <w:p>
      <w:pPr>
        <w:spacing w:after="0" w:line="32" w:lineRule="exact"/>
        <w:rPr>
          <w:rFonts w:ascii="Arial" w:cs="Arial" w:eastAsia="Arial" w:hAnsi="Arial"/>
          <w:sz w:val="16"/>
          <w:szCs w:val="16"/>
          <w:color w:val="auto"/>
        </w:rPr>
      </w:pPr>
    </w:p>
    <w:p>
      <w:pPr>
        <w:ind w:left="460" w:right="140" w:hanging="452"/>
        <w:spacing w:after="0" w:line="323"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9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tax characteristics of dividends during the fiscal years ended September 30, 2011 and 2010 were solely from ordinary income and totaled $46.3 million, or $1.10 per share, and $32.3 million, or $1.09 per share,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Cash equivalents represents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its total assets at quarter end. We may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accomplish this in several ways, including purchasing U.S. Treasury Bills and closing out its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2011, cash equivalents consisted of $71.6 million, including amounts in money market funds.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Below are the financial highlights for the respective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Year ended</w:t>
            </w:r>
          </w:p>
        </w:tc>
        <w:tc>
          <w:tcPr>
            <w:tcW w:w="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10.69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w:t>
            </w:r>
            <w:r>
              <w:rPr>
                <w:rFonts w:ascii="Arial" w:cs="Arial" w:eastAsia="Arial" w:hAnsi="Arial"/>
                <w:sz w:val="11"/>
                <w:szCs w:val="11"/>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Adjusted net asset value, beginning of period</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11.85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11.99</w:t>
            </w: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0.62</w:t>
            </w:r>
          </w:p>
        </w:tc>
        <w:tc>
          <w:tcPr>
            <w:tcW w:w="8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increase (decrease) in net assets resulting</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operations</w:t>
            </w: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Distributions to stockholders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(Dilutive) offering costs</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Initial issuance of common stock</w:t>
            </w:r>
          </w:p>
        </w:tc>
        <w:tc>
          <w:tcPr>
            <w:tcW w:w="10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Accretive (Dilutive) effect of common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w:t>
            </w: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(0.79)</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10.13</w:t>
            </w:r>
          </w:p>
        </w:tc>
        <w:tc>
          <w:tcPr>
            <w:tcW w:w="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3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 (4)</w:t>
            </w:r>
          </w:p>
        </w:tc>
        <w:tc>
          <w:tcPr>
            <w:tcW w:w="10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30.39%</w:t>
            </w:r>
          </w:p>
        </w:tc>
        <w:tc>
          <w:tcPr>
            <w:tcW w:w="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45,689,781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36,158,772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25,368,772</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21,068,772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Ratio** / Supplemental Data:</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r>
              <w:rPr>
                <w:rFonts w:ascii="Arial" w:cs="Arial" w:eastAsia="Arial" w:hAnsi="Arial"/>
                <w:sz w:val="11"/>
                <w:szCs w:val="11"/>
                <w:color w:val="auto"/>
              </w:rPr>
              <w:t>(5)</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Ratio of Credit Facility related expenses to</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average net assets</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8"/>
              </w:rPr>
              <w:t>Ratio of total expenses to average net assets</w:t>
            </w:r>
            <w:r>
              <w:rPr>
                <w:rFonts w:ascii="Arial" w:cs="Arial" w:eastAsia="Arial" w:hAnsi="Arial"/>
                <w:sz w:val="11"/>
                <w:szCs w:val="11"/>
                <w:color w:val="auto"/>
                <w:w w:val="98"/>
              </w:rPr>
              <w:t>(6)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Ratio of net investment income to average net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5"/>
              </w:rPr>
              <w:t>462,657,196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386,575,223</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300,580,268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210,728,260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Weighted average debt outstanding</w:t>
            </w:r>
            <w:r>
              <w:rPr>
                <w:rFonts w:ascii="Arial" w:cs="Arial" w:eastAsia="Arial" w:hAnsi="Arial"/>
                <w:sz w:val="11"/>
                <w:szCs w:val="11"/>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w w:val="85"/>
              </w:rPr>
              <w:t>278,294,433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246,216,548</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182,490,685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119,472,732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per share</w:t>
            </w:r>
            <w:r>
              <w:rPr>
                <w:rFonts w:ascii="Arial" w:cs="Arial" w:eastAsia="Arial" w:hAnsi="Arial"/>
                <w:sz w:val="11"/>
                <w:szCs w:val="11"/>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40.89%</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25.97%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*Not annualized for a period of less than a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340" w:right="140" w:hanging="332"/>
        <w:spacing w:after="0" w:line="286" w:lineRule="auto"/>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On October 1, 2008, PennantPark Investment adopted ASC 825 and made an irrevocable election to apply the fair value option to our Credit Facility. Upon our adoption Net Asset Value increased $41.8 million, or $1.99 per share, due to the fair value adjustment related to our Credit Facility.</w:t>
      </w: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Calculated based on the weighted average shares outstanding for the respective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and may differ from amounts determined under GAAP.</w:t>
      </w:r>
    </w:p>
    <w:p>
      <w:pPr>
        <w:spacing w:after="0" w:line="3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w:t>
      </w:r>
    </w:p>
    <w:p>
      <w:pPr>
        <w:ind w:left="340" w:right="320" w:hanging="332"/>
        <w:spacing w:after="0" w:line="250"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2011, 2010 and 2009, the ratios were 7.38%, 7.95% and 9.32%, respectively. The ratios before management fee waiver were 6.47% and 4.28%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340" w:right="300" w:hanging="332"/>
        <w:spacing w:after="0" w:line="250"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2011, 2010 and 2009, the ratios were 8.55%, 9.15% and (1.75%), respectively. The ratios before management fee waiver to average net assets were 9.13% and 5.78%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Includes the SBA debentures outstanding.</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 AND SBA DEBENTURES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June 25, 2007, we entered into a senior secured revolving credit agreement, or the Credit Facility, among us, various lenders and SunTrust Bank, as administrative agent for the lenders. As of September 30, 2011 and 2010, there was $240.9 million and $233.1 million in outstanding borrowings under the Credit Facility (including a $5.2 million temporary draw), with a weighted average interest rate at the time of 1.27% and 1.34% exclusive of the fee on undrawn commitment of 0.20%, respectively.</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Under our Credit Facility, the lenders agreed to extend credit to PennantPark Investment in an aggregate principal or face amount not exceeding $315.0 million at any one time outstanding. The Credit Facility is a five-year revolving facility (with a stated maturity date of June 25, 2012) and pricing is set at 100 basis points over LIBOR. The Credit Facility contains customary affirmative and negative covenants, including the maintenance of a minimum stockholders’ equity, the maintenance of an asset coverage ratio not less than 200% of total assets (less total liabilities other than indebtedness) to total indebtedness, and restrictions on certain payments and issuance of debt. In accordance with the 1940 Act, with certain limited exceptions, PennantPark Investment is only allowed to borrow amounts such that its asset coverage, as defined in the 1940 Act, is at least 200% after such borrowing. As of September 30, 2011, 2010, 2009, 2008 and 2007 our asset coverage ratio was 294%, 266%, 271%, 204% and 2,804%, respectively. As of September 30, 2011, we have excluded the SBA debentures from our asset coverage ratio pursuant to an SEC exemptive relief. For a complete list of such covenants, see our report on Form 8-K, filed June 28, 2007 and on Form 10-Q, filed May 5, 2010. As of September 30, 2011, we were in compliance with our covenants relating to our Credit Facility.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SBA Debentures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including but not limited to an examination by the SBA. As of September 30, 2011, we have committed $75.0 million to SBIC LP, funded it with equity capital and had 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Notes. SBA current regulations limit the amount that SBIC LP may borrow to a maximum of $150 million, which is up to twice its potential regulatory capital.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2011 the SBIC LP has accessed the maximum borrowing with its $75.0 million in regulatory capital.</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2011, $150.0 million in debt commitments were fully drawn with a weighted average interest rate of 3.70% exclusive of the 3.43% in upfront fees (4.04% inclusive of the 3.43% upfront fees). The SBA debenture’s upfront fees of 3.43% consists of a commitment fee of 1% and an issuance at a 2.43% discount to face. Both fees are amortized over the life of the loan.</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1"/>
              </w:rPr>
              <w:t>As of September 30, 2011</w:t>
            </w:r>
          </w:p>
        </w:tc>
        <w:tc>
          <w:tcPr>
            <w:tcW w:w="18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w w:val="97"/>
              </w:rPr>
              <w:t>As of September 30,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rPr>
              <w:t>All-in</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tcPr>
          <w:p>
            <w:pPr>
              <w:jc w:val="right"/>
              <w:ind w:right="5"/>
              <w:spacing w:after="0" w:line="129" w:lineRule="exact"/>
              <w:rPr>
                <w:sz w:val="20"/>
                <w:szCs w:val="20"/>
                <w:color w:val="auto"/>
              </w:rPr>
            </w:pPr>
            <w:r>
              <w:rPr>
                <w:rFonts w:ascii="Arial" w:cs="Arial" w:eastAsia="Arial" w:hAnsi="Arial"/>
                <w:sz w:val="14"/>
                <w:szCs w:val="14"/>
                <w:b w:val="1"/>
                <w:bCs w:val="1"/>
                <w:color w:val="auto"/>
              </w:rPr>
              <w:t>All-in</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0"/>
              </w:rPr>
              <w:t>Coupon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6"/>
              </w:rPr>
              <w:t>Coupon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Issuance Dates</w:t>
            </w:r>
          </w:p>
        </w:tc>
        <w:tc>
          <w:tcPr>
            <w:tcW w:w="52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2"/>
          </w:tcPr>
          <w:p>
            <w:pPr>
              <w:ind w:left="1140"/>
              <w:spacing w:after="0"/>
              <w:rPr>
                <w:sz w:val="20"/>
                <w:szCs w:val="20"/>
                <w:color w:val="auto"/>
              </w:rPr>
            </w:pPr>
            <w:r>
              <w:rPr>
                <w:rFonts w:ascii="Arial" w:cs="Arial" w:eastAsia="Arial" w:hAnsi="Arial"/>
                <w:sz w:val="14"/>
                <w:szCs w:val="14"/>
                <w:b w:val="1"/>
                <w:bCs w:val="1"/>
                <w:color w:val="auto"/>
              </w:rPr>
              <w:t>Maturity</w:t>
            </w:r>
          </w:p>
        </w:tc>
        <w:tc>
          <w:tcPr>
            <w:tcW w:w="520" w:type="dxa"/>
            <w:vAlign w:val="bottom"/>
          </w:tcPr>
          <w:p>
            <w:pPr>
              <w:ind w:left="60"/>
              <w:spacing w:after="0" w:line="162" w:lineRule="exact"/>
              <w:rPr>
                <w:sz w:val="20"/>
                <w:szCs w:val="20"/>
                <w:color w:val="auto"/>
              </w:rPr>
            </w:pPr>
            <w:r>
              <w:rPr>
                <w:rFonts w:ascii="Arial" w:cs="Arial" w:eastAsia="Arial" w:hAnsi="Arial"/>
                <w:sz w:val="12"/>
                <w:szCs w:val="12"/>
                <w:b w:val="1"/>
                <w:bCs w:val="1"/>
                <w:color w:val="auto"/>
              </w:rPr>
              <w:t>Rate</w:t>
            </w:r>
            <w:r>
              <w:rPr>
                <w:rFonts w:ascii="Arial" w:cs="Arial" w:eastAsia="Arial" w:hAnsi="Arial"/>
                <w:sz w:val="18"/>
                <w:szCs w:val="18"/>
                <w:b w:val="1"/>
                <w:bCs w:val="1"/>
                <w:color w:val="auto"/>
                <w:vertAlign w:val="superscript"/>
              </w:rPr>
              <w:t>(1)</w:t>
            </w: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w w:val="87"/>
              </w:rPr>
              <w:t>Principal Balance</w:t>
            </w:r>
          </w:p>
        </w:tc>
        <w:tc>
          <w:tcPr>
            <w:tcW w:w="180" w:type="dxa"/>
            <w:vAlign w:val="bottom"/>
          </w:tcPr>
          <w:p>
            <w:pPr>
              <w:spacing w:after="0"/>
              <w:rPr>
                <w:sz w:val="15"/>
                <w:szCs w:val="15"/>
                <w:color w:val="auto"/>
              </w:rPr>
            </w:pPr>
          </w:p>
        </w:tc>
        <w:tc>
          <w:tcPr>
            <w:tcW w:w="500" w:type="dxa"/>
            <w:vAlign w:val="bottom"/>
          </w:tcPr>
          <w:p>
            <w:pPr>
              <w:ind w:left="40"/>
              <w:spacing w:after="0" w:line="162" w:lineRule="exact"/>
              <w:rPr>
                <w:sz w:val="20"/>
                <w:szCs w:val="20"/>
                <w:color w:val="auto"/>
              </w:rPr>
            </w:pPr>
            <w:r>
              <w:rPr>
                <w:rFonts w:ascii="Arial" w:cs="Arial" w:eastAsia="Arial" w:hAnsi="Arial"/>
                <w:sz w:val="12"/>
                <w:szCs w:val="12"/>
                <w:b w:val="1"/>
                <w:bCs w:val="1"/>
                <w:color w:val="auto"/>
              </w:rPr>
              <w:t>Rate</w:t>
            </w:r>
            <w:r>
              <w:rPr>
                <w:rFonts w:ascii="Arial" w:cs="Arial" w:eastAsia="Arial" w:hAnsi="Arial"/>
                <w:sz w:val="18"/>
                <w:szCs w:val="18"/>
                <w:b w:val="1"/>
                <w:bCs w:val="1"/>
                <w:color w:val="auto"/>
                <w:vertAlign w:val="superscript"/>
              </w:rPr>
              <w:t>(1)</w:t>
            </w:r>
          </w:p>
        </w:tc>
        <w:tc>
          <w:tcPr>
            <w:tcW w:w="1300" w:type="dxa"/>
            <w:vAlign w:val="bottom"/>
            <w:gridSpan w:val="4"/>
          </w:tcPr>
          <w:p>
            <w:pPr>
              <w:ind w:left="180"/>
              <w:spacing w:after="0"/>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700" w:type="dxa"/>
            <w:vAlign w:val="bottom"/>
            <w:tcBorders>
              <w:top w:val="single" w:sz="8" w:color="CCEEFF"/>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6"/>
                <w:szCs w:val="16"/>
                <w:b w:val="1"/>
                <w:bCs w:val="1"/>
                <w:color w:val="auto"/>
                <w:w w:val="97"/>
              </w:rPr>
              <w:t>Fixed SBA Debentures</w:t>
            </w: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8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September 22, 2010</w:t>
            </w:r>
          </w:p>
        </w:tc>
        <w:tc>
          <w:tcPr>
            <w:tcW w:w="3220" w:type="dxa"/>
            <w:vAlign w:val="bottom"/>
            <w:gridSpan w:val="3"/>
          </w:tcPr>
          <w:p>
            <w:pPr>
              <w:ind w:left="340"/>
              <w:spacing w:after="0"/>
              <w:rPr>
                <w:sz w:val="20"/>
                <w:szCs w:val="20"/>
                <w:color w:val="auto"/>
              </w:rPr>
            </w:pPr>
            <w:r>
              <w:rPr>
                <w:rFonts w:ascii="Arial" w:cs="Arial" w:eastAsia="Arial" w:hAnsi="Arial"/>
                <w:sz w:val="18"/>
                <w:szCs w:val="18"/>
                <w:color w:val="auto"/>
              </w:rPr>
              <w:t>September 1, 2020</w:t>
            </w:r>
          </w:p>
        </w:tc>
        <w:tc>
          <w:tcPr>
            <w:tcW w:w="520" w:type="dxa"/>
            <w:vAlign w:val="bottom"/>
          </w:tcPr>
          <w:p>
            <w:pPr>
              <w:ind w:left="60"/>
              <w:spacing w:after="0"/>
              <w:rPr>
                <w:sz w:val="20"/>
                <w:szCs w:val="20"/>
                <w:color w:val="auto"/>
              </w:rPr>
            </w:pPr>
            <w:r>
              <w:rPr>
                <w:rFonts w:ascii="Arial" w:cs="Arial" w:eastAsia="Arial" w:hAnsi="Arial"/>
                <w:sz w:val="18"/>
                <w:szCs w:val="18"/>
                <w:color w:val="auto"/>
                <w:w w:val="86"/>
              </w:rPr>
              <w:t>3.50%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500,000</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86"/>
              </w:rPr>
              <w:t>3.50%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29, 2011</w:t>
            </w:r>
          </w:p>
        </w:tc>
        <w:tc>
          <w:tcPr>
            <w:tcW w:w="3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March 1, 2021</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4.46%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44,500,000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September 21, 2011</w:t>
            </w:r>
          </w:p>
        </w:tc>
        <w:tc>
          <w:tcPr>
            <w:tcW w:w="3220" w:type="dxa"/>
            <w:vAlign w:val="bottom"/>
            <w:gridSpan w:val="3"/>
          </w:tcPr>
          <w:p>
            <w:pPr>
              <w:ind w:left="340"/>
              <w:spacing w:after="0"/>
              <w:rPr>
                <w:sz w:val="20"/>
                <w:szCs w:val="20"/>
                <w:color w:val="auto"/>
              </w:rPr>
            </w:pPr>
            <w:r>
              <w:rPr>
                <w:rFonts w:ascii="Arial" w:cs="Arial" w:eastAsia="Arial" w:hAnsi="Arial"/>
                <w:sz w:val="18"/>
                <w:szCs w:val="18"/>
                <w:color w:val="auto"/>
              </w:rPr>
              <w:t>September 1, 2021</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3.38%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105,000,000</w:t>
            </w: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3.50%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gridSpan w:val="4"/>
          </w:tcPr>
          <w:p>
            <w:pPr>
              <w:spacing w:after="0"/>
              <w:rPr>
                <w:sz w:val="20"/>
                <w:szCs w:val="20"/>
                <w:color w:val="auto"/>
              </w:rPr>
            </w:pPr>
            <w:r>
              <w:rPr>
                <w:rFonts w:ascii="Arial" w:cs="Arial" w:eastAsia="Arial" w:hAnsi="Arial"/>
                <w:sz w:val="18"/>
                <w:szCs w:val="18"/>
                <w:b w:val="1"/>
                <w:bCs w:val="1"/>
                <w:color w:val="auto"/>
              </w:rPr>
              <w:t>Interim SBA Debentures</w:t>
            </w:r>
          </w:p>
        </w:tc>
        <w:tc>
          <w:tcPr>
            <w:tcW w:w="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6"/>
              </w:rPr>
              <w:t>0.84%</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SBA Debentures</w:t>
            </w:r>
          </w:p>
        </w:tc>
        <w:tc>
          <w:tcPr>
            <w:tcW w:w="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3.70%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0.93%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gridSpan w:val="5"/>
            <w:vMerge w:val="restart"/>
          </w:tcPr>
          <w:p>
            <w:pPr>
              <w:spacing w:after="0"/>
              <w:rPr>
                <w:sz w:val="20"/>
                <w:szCs w:val="20"/>
                <w:color w:val="auto"/>
              </w:rPr>
            </w:pPr>
            <w:r>
              <w:rPr>
                <w:rFonts w:ascii="Arial" w:cs="Arial" w:eastAsia="Arial" w:hAnsi="Arial"/>
                <w:sz w:val="18"/>
                <w:szCs w:val="18"/>
                <w:color w:val="auto"/>
              </w:rPr>
              <w:t>SBA Commitment</w:t>
            </w:r>
          </w:p>
        </w:tc>
        <w:tc>
          <w:tcPr>
            <w:tcW w:w="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20" w:type="dxa"/>
            <w:vAlign w:val="bottom"/>
            <w:gridSpan w:val="5"/>
            <w:vMerge w:val="continue"/>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150,000,000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33,500,000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Available Undrawn SBA Commitment</w:t>
            </w:r>
          </w:p>
        </w:tc>
        <w:tc>
          <w:tcPr>
            <w:tcW w:w="5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Excluding 3.43% of upfront fees.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Current SBA regulations limit the amount that SBIC LP may borrow to a maximum of $150 million, which is up to twice its potential regulatory capital. This means that SBIC LP may access the maximum borrowing if it has $75 million in regulatory capital.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 As of September 30, 2011, SBIC LP was in compliance with our requirements relating to our SBA debentures.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00" w:right="274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60"/>
          </w:cols>
          <w:pgMar w:left="240" w:top="460" w:right="399" w:bottom="1440" w:gutter="0" w:footer="0" w:header="0"/>
        </w:sectPr>
      </w:pPr>
    </w:p>
    <w:bookmarkStart w:id="195" w:name="page196"/>
    <w:bookmarkEnd w:id="1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503555</wp:posOffset>
            </wp:positionV>
            <wp:extent cx="2470150" cy="523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80"/>
        <w:spacing w:after="0"/>
        <w:rPr>
          <w:sz w:val="20"/>
          <w:szCs w:val="20"/>
          <w:color w:val="auto"/>
        </w:rPr>
      </w:pPr>
      <w:r>
        <w:rPr>
          <w:rFonts w:ascii="Arial" w:cs="Arial" w:eastAsia="Arial" w:hAnsi="Arial"/>
          <w:sz w:val="32"/>
          <w:szCs w:val="32"/>
          <w:b w:val="1"/>
          <w:bCs w:val="1"/>
          <w:color w:val="auto"/>
        </w:rPr>
        <w:t>9,000,000 shares</w:t>
      </w:r>
    </w:p>
    <w:p>
      <w:pPr>
        <w:spacing w:after="0" w:line="33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551180</wp:posOffset>
            </wp:positionV>
            <wp:extent cx="40563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198755</wp:posOffset>
            </wp:positionV>
            <wp:extent cx="40563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 Bookrunners</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Morgan Stanley</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Goldman, Sachs &amp; Co.</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RBC Capital Markets</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Credit Suisse</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Stifel Nicolaus Weisel</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SunTrust Robinson Humphrey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January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1)"/>
      <w:numFmt w:val="lowerLetter"/>
      <w:start w:val="2"/>
    </w:lvl>
    <w:lvl w:ilvl="1">
      <w:lvlJc w:val="left"/>
      <w:lvlText w:val="•"/>
      <w:numFmt w:val="bullet"/>
      <w:start w:val="1"/>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1)"/>
      <w:numFmt w:val="decimal"/>
      <w:start w:val="8"/>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1)"/>
      <w:numFmt w:val="decimal"/>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1)"/>
      <w:numFmt w:val="decimal"/>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1)"/>
      <w:numFmt w:val="lowerLetter"/>
      <w:start w:val="1"/>
    </w:lvl>
  </w:abstractNum>
  <w:abstractNum w:abstractNumId="12">
    <w:nsid w:val="579BE4F1"/>
    <w:multiLevelType w:val="hybridMultilevel"/>
    <w:lvl w:ilvl="0">
      <w:lvlJc w:val="left"/>
      <w:lvlText w:val="(%1)"/>
      <w:numFmt w:val="decimal"/>
      <w:start w:val="1"/>
    </w:lvl>
  </w:abstractNum>
  <w:abstractNum w:abstractNumId="13">
    <w:nsid w:val="310C50B3"/>
    <w:multiLevelType w:val="hybridMultilevel"/>
    <w:lvl w:ilvl="0">
      <w:lvlJc w:val="left"/>
      <w:lvlText w:val="(%1)"/>
      <w:numFmt w:val="decimal"/>
      <w:start w:val="1"/>
    </w:lvl>
  </w:abstractNum>
  <w:abstractNum w:abstractNumId="14">
    <w:nsid w:val="5FF87E05"/>
    <w:multiLevelType w:val="hybridMultilevel"/>
    <w:lvl w:ilvl="0">
      <w:lvlJc w:val="left"/>
      <w:lvlText w:val="(%1)"/>
      <w:numFmt w:val="decimal"/>
      <w:start w:val="7"/>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1)"/>
      <w:numFmt w:val="decimal"/>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1)"/>
      <w:numFmt w:val="decimal"/>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1)"/>
      <w:numFmt w:val="decimal"/>
      <w:start w:val="1"/>
    </w:lvl>
  </w:abstractNum>
  <w:abstractNum w:abstractNumId="35">
    <w:nsid w:val="7BD3EE7B"/>
    <w:multiLevelType w:val="hybridMultilevel"/>
    <w:lvl w:ilvl="0">
      <w:lvlJc w:val="left"/>
      <w:lvlText w:val="(%1)"/>
      <w:numFmt w:val="decimal"/>
      <w:start w:val="4"/>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1)"/>
      <w:numFmt w:val="decimal"/>
      <w:start w:val="5"/>
    </w:lvl>
  </w:abstractNum>
  <w:abstractNum w:abstractNumId="38">
    <w:nsid w:val="BF72B14"/>
    <w:multiLevelType w:val="hybridMultilevel"/>
    <w:lvl w:ilvl="0">
      <w:lvlJc w:val="left"/>
      <w:lvlText w:val="(%1)"/>
      <w:numFmt w:val="decimal"/>
      <w:start w:val="2"/>
    </w:lvl>
  </w:abstractNum>
  <w:abstractNum w:abstractNumId="39">
    <w:nsid w:val="11447B73"/>
    <w:multiLevelType w:val="hybridMultilevel"/>
    <w:lvl w:ilvl="0">
      <w:lvlJc w:val="left"/>
      <w:lvlText w:val="(%1)"/>
      <w:numFmt w:val="upperLetter"/>
      <w:start w:val="2"/>
    </w:lvl>
  </w:abstractNum>
  <w:abstractNum w:abstractNumId="40">
    <w:nsid w:val="42963E5A"/>
    <w:multiLevelType w:val="hybridMultilevel"/>
    <w:lvl w:ilvl="0">
      <w:lvlJc w:val="left"/>
      <w:lvlText w:val="(%1)"/>
      <w:numFmt w:val="decimal"/>
      <w:start w:val="1"/>
    </w:lvl>
  </w:abstractNum>
  <w:abstractNum w:abstractNumId="41">
    <w:nsid w:val="A0382C5"/>
    <w:multiLevelType w:val="hybridMultilevel"/>
    <w:lvl w:ilvl="0">
      <w:lvlJc w:val="left"/>
      <w:lvlText w:val="(%1)"/>
      <w:numFmt w:val="decimal"/>
      <w:start w:val="3"/>
    </w:lvl>
  </w:abstractNum>
  <w:abstractNum w:abstractNumId="42">
    <w:nsid w:val="8F2B15E"/>
    <w:multiLevelType w:val="hybridMultilevel"/>
    <w:lvl w:ilvl="0">
      <w:lvlJc w:val="left"/>
      <w:lvlText w:val="(%1)"/>
      <w:numFmt w:val="decimal"/>
      <w:start w:val="1"/>
    </w:lvl>
  </w:abstractNum>
  <w:abstractNum w:abstractNumId="43">
    <w:nsid w:val="1A32234B"/>
    <w:multiLevelType w:val="hybridMultilevel"/>
    <w:lvl w:ilvl="0">
      <w:lvlJc w:val="left"/>
      <w:lvlText w:val="(%1)"/>
      <w:numFmt w:val="decimal"/>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1)"/>
      <w:numFmt w:val="decimal"/>
      <w:start w:val="1"/>
    </w:lvl>
  </w:abstractNum>
  <w:abstractNum w:abstractNumId="48">
    <w:nsid w:val="6A5EE64"/>
    <w:multiLevelType w:val="hybridMultilevel"/>
    <w:lvl w:ilvl="0">
      <w:lvlJc w:val="left"/>
      <w:lvlText w:val="(%1)"/>
      <w:numFmt w:val="decimal"/>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1)"/>
      <w:numFmt w:val="lowerLetter"/>
      <w:start w:val="2"/>
    </w:lvl>
    <w:lvl w:ilvl="1">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1)"/>
      <w:numFmt w:val="decimal"/>
      <w:start w:val="1"/>
    </w:lvl>
  </w:abstractNum>
  <w:abstractNum w:abstractNumId="58">
    <w:nsid w:val="885E1B"/>
    <w:multiLevelType w:val="hybridMultilevel"/>
    <w:lvl w:ilvl="0">
      <w:lvlJc w:val="left"/>
      <w:lvlText w:val="(%1)"/>
      <w:numFmt w:val="decimal"/>
      <w:start w:val="1"/>
    </w:lvl>
  </w:abstractNum>
  <w:abstractNum w:abstractNumId="59">
    <w:nsid w:val="76272110"/>
    <w:multiLevelType w:val="hybridMultilevel"/>
    <w:lvl w:ilvl="0">
      <w:lvlJc w:val="left"/>
      <w:lvlText w:val="(%1)"/>
      <w:numFmt w:val="decimal"/>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1)"/>
      <w:numFmt w:val="decimal"/>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lvl w:ilvl="1">
      <w:lvlJc w:val="left"/>
      <w:lvlText w:val="="/>
      <w:numFmt w:val="bullet"/>
      <w:start w:val="1"/>
    </w:lvl>
  </w:abstractNum>
  <w:abstractNum w:abstractNumId="65">
    <w:nsid w:val="68EBC550"/>
    <w:multiLevelType w:val="hybridMultilevel"/>
    <w:lvl w:ilvl="0">
      <w:lvlJc w:val="left"/>
      <w:lvlText w:val="(%1)"/>
      <w:numFmt w:val="decimal"/>
      <w:start w:val="1"/>
    </w:lvl>
  </w:abstractNum>
  <w:abstractNum w:abstractNumId="66">
    <w:nsid w:val="2DF6D648"/>
    <w:multiLevelType w:val="hybridMultilevel"/>
    <w:lvl w:ilvl="0">
      <w:lvlJc w:val="left"/>
      <w:lvlText w:val="(%1)"/>
      <w:numFmt w:val="decimal"/>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
      <w:numFmt w:val="bullet"/>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
      <w:numFmt w:val="bullet"/>
      <w:start w:val="1"/>
    </w:lvl>
  </w:abstractNum>
  <w:abstractNum w:abstractNumId="93">
    <w:nsid w:val="6A3DD3E8"/>
    <w:multiLevelType w:val="hybridMultilevel"/>
    <w:lvl w:ilvl="0">
      <w:lvlJc w:val="left"/>
      <w:lvlText w:val="(%1)"/>
      <w:numFmt w:val="decimal"/>
      <w:start w:val="1"/>
    </w:lvl>
    <w:lvl w:ilvl="1">
      <w:lvlJc w:val="left"/>
      <w:lvlText w:val="(%2)"/>
      <w:numFmt w:val="lowerLetter"/>
      <w:start w:val="1"/>
    </w:lvl>
  </w:abstractNum>
  <w:abstractNum w:abstractNumId="94">
    <w:nsid w:val="71C91298"/>
    <w:multiLevelType w:val="hybridMultilevel"/>
    <w:lvl w:ilvl="0">
      <w:lvlJc w:val="left"/>
      <w:lvlText w:val="(%1)"/>
      <w:numFmt w:val="decimal"/>
      <w:start w:val="4"/>
    </w:lvl>
  </w:abstractNum>
  <w:abstractNum w:abstractNumId="95">
    <w:nsid w:val="9DAF632"/>
    <w:multiLevelType w:val="hybridMultilevel"/>
    <w:lvl w:ilvl="0">
      <w:lvlJc w:val="left"/>
      <w:lvlText w:val="•"/>
      <w:numFmt w:val="bullet"/>
      <w:start w:val="1"/>
    </w:lvl>
  </w:abstractNum>
  <w:abstractNum w:abstractNumId="96">
    <w:nsid w:val="53299938"/>
    <w:multiLevelType w:val="hybridMultilevel"/>
    <w:lvl w:ilvl="0">
      <w:lvlJc w:val="left"/>
      <w:lvlText w:val="•"/>
      <w:numFmt w:val="bullet"/>
      <w:start w:val="1"/>
    </w:lvl>
  </w:abstractNum>
  <w:abstractNum w:abstractNumId="97">
    <w:nsid w:val="1FBFE8E0"/>
    <w:multiLevelType w:val="hybridMultilevel"/>
    <w:lvl w:ilvl="0">
      <w:lvlJc w:val="left"/>
      <w:lvlText w:val="•"/>
      <w:numFmt w:val="bullet"/>
      <w:start w:val="1"/>
    </w:lvl>
  </w:abstractNum>
  <w:abstractNum w:abstractNumId="98">
    <w:nsid w:val="5092CA79"/>
    <w:multiLevelType w:val="hybridMultilevel"/>
    <w:lvl w:ilvl="0">
      <w:lvlJc w:val="left"/>
      <w:lvlText w:val="(%1)"/>
      <w:numFmt w:val="decimal"/>
      <w:start w:val="1"/>
    </w:lvl>
  </w:abstractNum>
  <w:abstractNum w:abstractNumId="99">
    <w:nsid w:val="1D545C4D"/>
    <w:multiLevelType w:val="hybridMultilevel"/>
    <w:lvl w:ilvl="0">
      <w:lvlJc w:val="left"/>
      <w:lvlText w:val="•"/>
      <w:numFmt w:val="bullet"/>
      <w:start w:val="1"/>
    </w:lvl>
    <w:lvl w:ilvl="1">
      <w:lvlJc w:val="left"/>
      <w:lvlText w:val="%2)"/>
      <w:numFmt w:val="decimal"/>
      <w:start w:val="1"/>
    </w:lvl>
  </w:abstractNum>
  <w:abstractNum w:abstractNumId="100">
    <w:nsid w:val="59ADEA3D"/>
    <w:multiLevelType w:val="hybridMultilevel"/>
    <w:lvl w:ilvl="0">
      <w:lvlJc w:val="left"/>
      <w:lvlText w:val="(%1)"/>
      <w:numFmt w:val="decimal"/>
      <w:start w:val="3"/>
    </w:lvl>
  </w:abstractNum>
  <w:abstractNum w:abstractNumId="101">
    <w:nsid w:val="288F1A34"/>
    <w:multiLevelType w:val="hybridMultilevel"/>
    <w:lvl w:ilvl="0">
      <w:lvlJc w:val="left"/>
      <w:lvlText w:val="•"/>
      <w:numFmt w:val="bullet"/>
      <w:start w:val="1"/>
    </w:lvl>
  </w:abstractNum>
  <w:abstractNum w:abstractNumId="102">
    <w:nsid w:val="2A155DBC"/>
    <w:multiLevelType w:val="hybridMultilevel"/>
    <w:lvl w:ilvl="0">
      <w:lvlJc w:val="left"/>
      <w:lvlText w:val="(%1)"/>
      <w:numFmt w:val="decimal"/>
      <w:start w:val="1"/>
    </w:lvl>
  </w:abstractNum>
  <w:abstractNum w:abstractNumId="103">
    <w:nsid w:val="1D9F6E5F"/>
    <w:multiLevelType w:val="hybridMultilevel"/>
    <w:lvl w:ilvl="0">
      <w:lvlJc w:val="left"/>
      <w:lvlText w:val="(%1)"/>
      <w:numFmt w:val="decimal"/>
      <w:start w:val="1"/>
    </w:lvl>
  </w:abstractNum>
  <w:abstractNum w:abstractNumId="104">
    <w:nsid w:val="97E1B4E"/>
    <w:multiLevelType w:val="hybridMultilevel"/>
    <w:lvl w:ilvl="0">
      <w:lvlJc w:val="left"/>
      <w:lvlText w:val="(%1)"/>
      <w:numFmt w:val="lowerLetter"/>
      <w:start w:val="1"/>
    </w:lvl>
  </w:abstractNum>
  <w:abstractNum w:abstractNumId="105">
    <w:nsid w:val="51088277"/>
    <w:multiLevelType w:val="hybridMultilevel"/>
    <w:lvl w:ilvl="0">
      <w:lvlJc w:val="left"/>
      <w:lvlText w:val="(%1)"/>
      <w:numFmt w:val="decimal"/>
      <w:start w:val="1"/>
    </w:lvl>
  </w:abstractNum>
  <w:abstractNum w:abstractNumId="106">
    <w:nsid w:val="1CA0C5FA"/>
    <w:multiLevelType w:val="hybridMultilevel"/>
    <w:lvl w:ilvl="0">
      <w:lvlJc w:val="left"/>
      <w:lvlText w:val="(%1)"/>
      <w:numFmt w:val="decimal"/>
      <w:start w:val="4"/>
    </w:lvl>
  </w:abstractNum>
  <w:abstractNum w:abstractNumId="107">
    <w:nsid w:val="53584BCB"/>
    <w:multiLevelType w:val="hybridMultilevel"/>
    <w:lvl w:ilvl="0">
      <w:lvlJc w:val="left"/>
      <w:lvlText w:val="(%1)"/>
      <w:numFmt w:val="lowerLetter"/>
      <w:start w:val="2"/>
    </w:lvl>
  </w:abstractNum>
  <w:abstractNum w:abstractNumId="108">
    <w:nsid w:val="415E286C"/>
    <w:multiLevelType w:val="hybridMultilevel"/>
    <w:lvl w:ilvl="0">
      <w:lvlJc w:val="left"/>
      <w:lvlText w:val="(%1)"/>
      <w:numFmt w:val="lowerLetter"/>
      <w:start w:val="3"/>
    </w:lvl>
  </w:abstractNum>
  <w:abstractNum w:abstractNumId="109">
    <w:nsid w:val="7C58FD05"/>
    <w:multiLevelType w:val="hybridMultilevel"/>
    <w:lvl w:ilvl="0">
      <w:lvlJc w:val="left"/>
      <w:lvlText w:val="(%1)"/>
      <w:numFmt w:val="lowerLetter"/>
      <w:start w:val="4"/>
    </w:lvl>
  </w:abstractNum>
  <w:abstractNum w:abstractNumId="110">
    <w:nsid w:val="23D86AAC"/>
    <w:multiLevelType w:val="hybridMultilevel"/>
    <w:lvl w:ilvl="0">
      <w:lvlJc w:val="left"/>
      <w:lvlText w:val="(%1)"/>
      <w:numFmt w:val="lowerLetter"/>
      <w:start w:val="5"/>
    </w:lvl>
  </w:abstractNum>
  <w:abstractNum w:abstractNumId="111">
    <w:nsid w:val="45E6D486"/>
    <w:multiLevelType w:val="hybridMultilevel"/>
    <w:lvl w:ilvl="0">
      <w:lvlJc w:val="left"/>
      <w:lvlText w:val="(%1)"/>
      <w:numFmt w:val="lowerLetter"/>
      <w:start w:val="6"/>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2019-12-09T18:22:37Z</dcterms:created>
  <dcterms:modified xsi:type="dcterms:W3CDTF">2019-12-09T18:22:37Z</dcterms:modified>
</cp:coreProperties>
</file>