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60"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58"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ind w:left="346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7380" w:type="dxa"/>
            <w:vAlign w:val="bottom"/>
            <w:gridSpan w:val="2"/>
          </w:tcPr>
          <w:p>
            <w:pPr>
              <w:jc w:val="center"/>
              <w:ind w:left="3801"/>
              <w:spacing w:after="0"/>
              <w:rPr>
                <w:sz w:val="20"/>
                <w:szCs w:val="20"/>
                <w:color w:val="auto"/>
              </w:rPr>
            </w:pPr>
            <w:r>
              <w:rPr>
                <w:rFonts w:ascii="Arial" w:cs="Arial" w:eastAsia="Arial" w:hAnsi="Arial"/>
                <w:sz w:val="18"/>
                <w:szCs w:val="18"/>
                <w:b w:val="1"/>
                <w:bCs w:val="1"/>
                <w:color w:val="auto"/>
                <w:w w:val="99"/>
              </w:rPr>
              <w:t>COMMISSION FILE NUMBER: 814-00736</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1240" w:type="dxa"/>
            <w:vAlign w:val="bottom"/>
            <w:gridSpan w:val="5"/>
          </w:tcPr>
          <w:p>
            <w:pPr>
              <w:jc w:val="center"/>
              <w:spacing w:after="0"/>
              <w:rPr>
                <w:sz w:val="20"/>
                <w:szCs w:val="20"/>
                <w:color w:val="auto"/>
              </w:rPr>
            </w:pPr>
            <w:r>
              <w:rPr>
                <w:rFonts w:ascii="Arial" w:cs="Arial" w:eastAsia="Arial" w:hAnsi="Arial"/>
                <w:sz w:val="31"/>
                <w:szCs w:val="31"/>
                <w:b w:val="1"/>
                <w:bCs w:val="1"/>
                <w:color w:val="auto"/>
                <w:w w:val="99"/>
              </w:rPr>
              <w:t>PENNANTPARK INVESTMENT CORPORATION</w:t>
            </w:r>
          </w:p>
        </w:tc>
        <w:tc>
          <w:tcPr>
            <w:tcW w:w="0" w:type="dxa"/>
            <w:vAlign w:val="bottom"/>
          </w:tcPr>
          <w:p>
            <w:pPr>
              <w:spacing w:after="0"/>
              <w:rPr>
                <w:sz w:val="1"/>
                <w:szCs w:val="1"/>
                <w:color w:val="auto"/>
              </w:rPr>
            </w:pPr>
          </w:p>
        </w:tc>
      </w:tr>
      <w:tr>
        <w:trPr>
          <w:trHeight w:val="186"/>
        </w:trPr>
        <w:tc>
          <w:tcPr>
            <w:tcW w:w="7380" w:type="dxa"/>
            <w:vAlign w:val="bottom"/>
            <w:gridSpan w:val="2"/>
          </w:tcPr>
          <w:p>
            <w:pPr>
              <w:jc w:val="center"/>
              <w:ind w:left="3801"/>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6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MARYLAND</w:t>
            </w:r>
          </w:p>
        </w:tc>
        <w:tc>
          <w:tcPr>
            <w:tcW w:w="3860" w:type="dxa"/>
            <w:vAlign w:val="bottom"/>
            <w:gridSpan w:val="3"/>
          </w:tcPr>
          <w:p>
            <w:pPr>
              <w:jc w:val="right"/>
              <w:ind w:right="2282"/>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168"/>
        </w:trPr>
        <w:tc>
          <w:tcPr>
            <w:tcW w:w="7380" w:type="dxa"/>
            <w:vAlign w:val="bottom"/>
            <w:gridSpan w:val="2"/>
          </w:tcPr>
          <w:p>
            <w:pPr>
              <w:jc w:val="center"/>
              <w:ind w:right="172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60" w:type="dxa"/>
            <w:vAlign w:val="bottom"/>
            <w:gridSpan w:val="3"/>
          </w:tcPr>
          <w:p>
            <w:pPr>
              <w:jc w:val="center"/>
              <w:ind w:right="1462"/>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7"/>
              </w:rPr>
              <w:t>New York, N.Y.</w:t>
            </w:r>
          </w:p>
        </w:tc>
        <w:tc>
          <w:tcPr>
            <w:tcW w:w="3860" w:type="dxa"/>
            <w:vAlign w:val="bottom"/>
            <w:gridSpan w:val="3"/>
            <w:vMerge w:val="restart"/>
          </w:tcPr>
          <w:p>
            <w:pPr>
              <w:jc w:val="right"/>
              <w:ind w:right="2462"/>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6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380" w:type="dxa"/>
            <w:vAlign w:val="bottom"/>
            <w:gridSpan w:val="2"/>
          </w:tcPr>
          <w:p>
            <w:pPr>
              <w:jc w:val="center"/>
              <w:ind w:right="1740"/>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jc w:val="center"/>
              <w:ind w:right="2342"/>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309"/>
        </w:trPr>
        <w:tc>
          <w:tcPr>
            <w:tcW w:w="6840" w:type="dxa"/>
            <w:vAlign w:val="bottom"/>
          </w:tcPr>
          <w:p>
            <w:pPr>
              <w:jc w:val="center"/>
              <w:ind w:left="4341"/>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380" w:type="dxa"/>
            <w:vAlign w:val="bottom"/>
            <w:gridSpan w:val="2"/>
          </w:tcPr>
          <w:p>
            <w:pPr>
              <w:jc w:val="center"/>
              <w:ind w:left="378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8" w:lineRule="exact"/>
        <w:rPr>
          <w:sz w:val="24"/>
          <w:szCs w:val="24"/>
          <w:color w:val="auto"/>
        </w:rPr>
      </w:pPr>
    </w:p>
    <w:p>
      <w:pPr>
        <w:ind w:right="160" w:firstLine="46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120" w:firstLine="468"/>
        <w:spacing w:after="0" w:line="238"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No</w:t>
      </w:r>
    </w:p>
    <w:p>
      <w:pPr>
        <w:spacing w:after="0" w:line="129" w:lineRule="exact"/>
        <w:rPr>
          <w:sz w:val="24"/>
          <w:szCs w:val="24"/>
          <w:color w:val="auto"/>
        </w:rPr>
      </w:pPr>
    </w:p>
    <w:p>
      <w:pPr>
        <w:ind w:right="60" w:firstLine="46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4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134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440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140" w:type="dxa"/>
            <w:vAlign w:val="bottom"/>
          </w:tcPr>
          <w:p>
            <w:pPr>
              <w:ind w:left="134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7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4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480"/>
        <w:spacing w:after="0" w:line="161" w:lineRule="exact"/>
        <w:tabs>
          <w:tab w:leader="none" w:pos="71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May 9, 2018 was 71,060,836.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MARCH 31, 2018</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ind w:left="35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100" w:type="dxa"/>
            <w:vAlign w:val="bottom"/>
          </w:tcPr>
          <w:p>
            <w:pPr>
              <w:spacing w:after="0"/>
              <w:rPr>
                <w:sz w:val="16"/>
                <w:szCs w:val="16"/>
                <w:color w:val="auto"/>
              </w:rPr>
            </w:pPr>
          </w:p>
        </w:tc>
      </w:tr>
      <w:tr>
        <w:trPr>
          <w:trHeight w:val="297"/>
        </w:trPr>
        <w:tc>
          <w:tcPr>
            <w:tcW w:w="916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100" w:type="dxa"/>
            <w:vAlign w:val="bottom"/>
          </w:tcPr>
          <w:p>
            <w:pPr>
              <w:spacing w:after="0"/>
              <w:rPr>
                <w:sz w:val="24"/>
                <w:szCs w:val="24"/>
                <w:color w:val="auto"/>
              </w:rPr>
            </w:pP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2018 (unaudited) and September 30, 2017</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2018 and 2017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six months ended March 31, 2018 and 2017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2018 and 2017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2018 (unaudited) and September 30, 2017</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Report of Independent Registered Public Accounting Firm</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25">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3. Quantitative and Qualitative Disclosures About Market Risk</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Controls and Procedures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160" w:type="dxa"/>
            <w:vAlign w:val="bottom"/>
          </w:tcPr>
          <w:p>
            <w:pPr>
              <w:ind w:left="4300"/>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PART II. OTHER INFORMATION</w:t>
              </w:r>
            </w:hyperlink>
          </w:p>
        </w:tc>
        <w:tc>
          <w:tcPr>
            <w:tcW w:w="2100" w:type="dxa"/>
            <w:vAlign w:val="bottom"/>
          </w:tcPr>
          <w:p>
            <w:pPr>
              <w:spacing w:after="0"/>
              <w:rPr>
                <w:sz w:val="24"/>
                <w:szCs w:val="24"/>
                <w:color w:val="auto"/>
              </w:rPr>
            </w:pPr>
          </w:p>
        </w:tc>
      </w:tr>
      <w:tr>
        <w:trPr>
          <w:trHeight w:val="337"/>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 Legal Proceedings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1A. Risk Factors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2. Unregistered Sales of Equity Securities and Use of Proceeds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3. Defaults Upon Senior Securities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Mine Safety Disclosures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5. Other Information</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6. Exhibits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SIGNATURES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661"/>
        </w:trPr>
        <w:tc>
          <w:tcPr>
            <w:tcW w:w="9160" w:type="dxa"/>
            <w:vAlign w:val="bottom"/>
          </w:tcPr>
          <w:p>
            <w:pPr>
              <w:ind w:left="5580"/>
              <w:spacing w:after="0"/>
              <w:rPr>
                <w:sz w:val="20"/>
                <w:szCs w:val="20"/>
                <w:color w:val="auto"/>
              </w:rPr>
            </w:pPr>
            <w:r>
              <w:rPr>
                <w:rFonts w:ascii="Arial" w:cs="Arial" w:eastAsia="Arial" w:hAnsi="Arial"/>
                <w:sz w:val="14"/>
                <w:szCs w:val="14"/>
                <w:color w:val="auto"/>
              </w:rPr>
              <w:t>2</w:t>
            </w:r>
          </w:p>
        </w:tc>
        <w:tc>
          <w:tcPr>
            <w:tcW w:w="2100" w:type="dxa"/>
            <w:vAlign w:val="bottom"/>
          </w:tcPr>
          <w:p>
            <w:pPr>
              <w:spacing w:after="0"/>
              <w:rPr>
                <w:sz w:val="24"/>
                <w:szCs w:val="24"/>
                <w:color w:val="auto"/>
              </w:rPr>
            </w:pPr>
          </w:p>
        </w:tc>
      </w:tr>
      <w:tr>
        <w:trPr>
          <w:trHeight w:val="100"/>
        </w:trPr>
        <w:tc>
          <w:tcPr>
            <w:tcW w:w="91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89"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We are filing this Quarterly Report on Form 10-Q, or the Report, in compliance with Rule 13a-13 promulgated by the Securities and Exchange Commission, or the SEC, under the Securities Exchange Act of 1934, as amended, or the Exchange Act.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I,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“Credit Facility” refers to our multi-currency, senior secured revolving credit facility, as amended and restated; “2025 Notes” refers to our 6.25% notes due 2025; “2019 Notes” refers to our 4.50% notes due 2019;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020" w:type="dxa"/>
            <w:vAlign w:val="bottom"/>
          </w:tcPr>
          <w:p>
            <w:pPr>
              <w:ind w:left="580"/>
              <w:spacing w:after="0"/>
              <w:rPr>
                <w:sz w:val="20"/>
                <w:szCs w:val="20"/>
                <w:color w:val="auto"/>
              </w:rPr>
            </w:pPr>
            <w:r>
              <w:rPr>
                <w:rFonts w:ascii="Arial" w:cs="Arial" w:eastAsia="Arial" w:hAnsi="Arial"/>
                <w:sz w:val="14"/>
                <w:szCs w:val="14"/>
                <w:b w:val="1"/>
                <w:bCs w:val="1"/>
                <w:color w:val="auto"/>
              </w:rPr>
              <w:t>Consolidated Financial Statements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9"/>
        </w:trPr>
        <w:tc>
          <w:tcPr>
            <w:tcW w:w="800" w:type="dxa"/>
            <w:vAlign w:val="bottom"/>
          </w:tcPr>
          <w:p>
            <w:pPr>
              <w:spacing w:after="0"/>
              <w:rPr>
                <w:sz w:val="22"/>
                <w:szCs w:val="22"/>
                <w:color w:val="auto"/>
              </w:rPr>
            </w:pPr>
          </w:p>
        </w:tc>
        <w:tc>
          <w:tcPr>
            <w:tcW w:w="7240" w:type="dxa"/>
            <w:vAlign w:val="bottom"/>
            <w:gridSpan w:val="2"/>
          </w:tcPr>
          <w:p>
            <w:pPr>
              <w:ind w:left="244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6"/>
        </w:trPr>
        <w:tc>
          <w:tcPr>
            <w:tcW w:w="800" w:type="dxa"/>
            <w:vAlign w:val="bottom"/>
          </w:tcPr>
          <w:p>
            <w:pPr>
              <w:spacing w:after="0"/>
              <w:rPr>
                <w:sz w:val="16"/>
                <w:szCs w:val="16"/>
                <w:color w:val="auto"/>
              </w:rPr>
            </w:pPr>
          </w:p>
        </w:tc>
        <w:tc>
          <w:tcPr>
            <w:tcW w:w="7020" w:type="dxa"/>
            <w:vAlign w:val="bottom"/>
          </w:tcPr>
          <w:p>
            <w:pPr>
              <w:ind w:left="264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516"/>
        </w:trPr>
        <w:tc>
          <w:tcPr>
            <w:tcW w:w="8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March 31, 2018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2017</w:t>
            </w:r>
          </w:p>
        </w:tc>
      </w:tr>
      <w:tr>
        <w:trPr>
          <w:trHeight w:val="171"/>
        </w:trPr>
        <w:tc>
          <w:tcPr>
            <w:tcW w:w="8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8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2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(cost—$705,364,389 and $824,106,322, respectively)</w:t>
            </w: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728,195,206</w:t>
            </w:r>
          </w:p>
        </w:tc>
        <w:tc>
          <w:tcPr>
            <w:tcW w:w="16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849,351,548</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(cost—$91,601,721 and $185,799,943, respectively)</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74,902,002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189,674,977</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(cost—$243,662,176 and $200,120,407, respectively)</w:t>
            </w:r>
          </w:p>
        </w:tc>
        <w:tc>
          <w:tcPr>
            <w:tcW w:w="22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144,842,821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114,550,983</w:t>
            </w:r>
          </w:p>
        </w:tc>
        <w:tc>
          <w:tcPr>
            <w:tcW w:w="120" w:type="dxa"/>
            <w:vAlign w:val="bottom"/>
            <w:shd w:val="clear" w:color="auto" w:fill="CCECFF"/>
          </w:tcPr>
          <w:p>
            <w:pPr>
              <w:spacing w:after="0"/>
              <w:rPr>
                <w:sz w:val="14"/>
                <w:szCs w:val="14"/>
                <w:color w:val="auto"/>
              </w:rPr>
            </w:pPr>
          </w:p>
        </w:tc>
      </w:tr>
      <w:tr>
        <w:trPr>
          <w:trHeight w:val="155"/>
        </w:trPr>
        <w:tc>
          <w:tcPr>
            <w:tcW w:w="782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of investments (cost—$1,040,628,286 and $1,210,026,672, respectively)</w:t>
            </w:r>
          </w:p>
        </w:tc>
        <w:tc>
          <w:tcPr>
            <w:tcW w:w="22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947,940,029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1,153,577,508</w:t>
            </w:r>
          </w:p>
        </w:tc>
        <w:tc>
          <w:tcPr>
            <w:tcW w:w="120" w:type="dxa"/>
            <w:vAlign w:val="bottom"/>
          </w:tcPr>
          <w:p>
            <w:pPr>
              <w:spacing w:after="0"/>
              <w:rPr>
                <w:sz w:val="13"/>
                <w:szCs w:val="13"/>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(cost—$170,265,666 and $38,182,373, respectively)</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170,219,549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38,202,068</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Interest receivable</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6,118,899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5,906,976</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Receivable for investments sold</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26,983,525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2,285,185</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4,509,289</w:t>
            </w:r>
          </w:p>
        </w:tc>
        <w:tc>
          <w:tcPr>
            <w:tcW w:w="120" w:type="dxa"/>
            <w:vAlign w:val="bottom"/>
            <w:tcBorders>
              <w:bottom w:val="single" w:sz="8" w:color="CCECFF"/>
            </w:tcBorders>
          </w:tcPr>
          <w:p>
            <w:pPr>
              <w:spacing w:after="0"/>
              <w:rPr>
                <w:sz w:val="14"/>
                <w:szCs w:val="14"/>
                <w:color w:val="auto"/>
              </w:rPr>
            </w:pPr>
          </w:p>
        </w:tc>
      </w:tr>
      <w:tr>
        <w:trPr>
          <w:trHeight w:val="155"/>
        </w:trPr>
        <w:tc>
          <w:tcPr>
            <w:tcW w:w="800" w:type="dxa"/>
            <w:vAlign w:val="bottom"/>
            <w:shd w:val="clear" w:color="auto" w:fill="CCECFF"/>
          </w:tcPr>
          <w:p>
            <w:pPr>
              <w:spacing w:after="0"/>
              <w:rPr>
                <w:sz w:val="13"/>
                <w:szCs w:val="13"/>
                <w:color w:val="auto"/>
              </w:rPr>
            </w:pPr>
          </w:p>
        </w:tc>
        <w:tc>
          <w:tcPr>
            <w:tcW w:w="7020" w:type="dxa"/>
            <w:vAlign w:val="bottom"/>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CFF"/>
          </w:tcPr>
          <w:p>
            <w:pPr>
              <w:spacing w:after="0"/>
              <w:rPr>
                <w:sz w:val="13"/>
                <w:szCs w:val="13"/>
                <w:color w:val="auto"/>
              </w:rPr>
            </w:pP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1,153,547,187</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1,202,195,841</w:t>
            </w:r>
          </w:p>
        </w:tc>
        <w:tc>
          <w:tcPr>
            <w:tcW w:w="120" w:type="dxa"/>
            <w:vAlign w:val="bottom"/>
            <w:shd w:val="clear" w:color="auto" w:fill="CCECFF"/>
          </w:tcPr>
          <w:p>
            <w:pPr>
              <w:spacing w:after="0"/>
              <w:rPr>
                <w:sz w:val="13"/>
                <w:szCs w:val="13"/>
                <w:color w:val="auto"/>
              </w:rPr>
            </w:pPr>
          </w:p>
        </w:tc>
      </w:tr>
      <w:tr>
        <w:trPr>
          <w:trHeight w:val="156"/>
        </w:trPr>
        <w:tc>
          <w:tcPr>
            <w:tcW w:w="80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Distributions payable</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12,790,950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12,790,950</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Payable for investments purchased</w:t>
            </w:r>
          </w:p>
        </w:tc>
        <w:tc>
          <w:tcPr>
            <w:tcW w:w="22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1,014,000</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Credit Facility payable (cost—$41,520,000 and $79,392,900, respectively) (See Notes 5 and 10)</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41,685,939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76,037,341</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2019 Notes payable (par—$250,000,000) (See Notes 5 and 10)</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250,617,500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255,665,000</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SBA debentures payable, net (par—$200,000,000 and $199,000,000, respectively) (See Notes 5 and 10)</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194,866,410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194,364,653</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Base management fee payable, net (See Note 3)</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3,873,738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4,845,237</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Performance-based incentive fee payable, net (See Note 3)</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2,845,616</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2,270,008</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Interest payable on debt</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6,444,374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6,876,756</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2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865,683</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1,523,425</w:t>
            </w:r>
          </w:p>
        </w:tc>
        <w:tc>
          <w:tcPr>
            <w:tcW w:w="120" w:type="dxa"/>
            <w:vAlign w:val="bottom"/>
            <w:shd w:val="clear" w:color="auto" w:fill="CCECFF"/>
          </w:tcPr>
          <w:p>
            <w:pPr>
              <w:spacing w:after="0"/>
              <w:rPr>
                <w:sz w:val="14"/>
                <w:szCs w:val="14"/>
                <w:color w:val="auto"/>
              </w:rPr>
            </w:pPr>
          </w:p>
        </w:tc>
      </w:tr>
      <w:tr>
        <w:trPr>
          <w:trHeight w:val="155"/>
        </w:trPr>
        <w:tc>
          <w:tcPr>
            <w:tcW w:w="800" w:type="dxa"/>
            <w:vAlign w:val="bottom"/>
            <w:tcBorders>
              <w:bottom w:val="single" w:sz="8" w:color="CCECFF"/>
            </w:tcBorders>
          </w:tcPr>
          <w:p>
            <w:pPr>
              <w:spacing w:after="0"/>
              <w:rPr>
                <w:sz w:val="13"/>
                <w:szCs w:val="13"/>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513,990,210</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555,387,370</w:t>
            </w:r>
          </w:p>
        </w:tc>
        <w:tc>
          <w:tcPr>
            <w:tcW w:w="120" w:type="dxa"/>
            <w:vAlign w:val="bottom"/>
            <w:tcBorders>
              <w:bottom w:val="single" w:sz="8" w:color="CCECFF"/>
            </w:tcBorders>
          </w:tcPr>
          <w:p>
            <w:pPr>
              <w:spacing w:after="0"/>
              <w:rPr>
                <w:sz w:val="13"/>
                <w:szCs w:val="13"/>
                <w:color w:val="auto"/>
              </w:rPr>
            </w:pPr>
          </w:p>
        </w:tc>
      </w:tr>
      <w:tr>
        <w:trPr>
          <w:trHeight w:val="156"/>
        </w:trPr>
        <w:tc>
          <w:tcPr>
            <w:tcW w:w="782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20" w:type="dxa"/>
            <w:vAlign w:val="bottom"/>
            <w:shd w:val="clear" w:color="auto" w:fill="CCECFF"/>
          </w:tcPr>
          <w:p>
            <w:pPr>
              <w:spacing w:after="0"/>
              <w:rPr>
                <w:sz w:val="13"/>
                <w:szCs w:val="13"/>
                <w:color w:val="auto"/>
              </w:rPr>
            </w:pPr>
          </w:p>
        </w:tc>
        <w:tc>
          <w:tcPr>
            <w:tcW w:w="12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80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7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82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Common stock, 71,060,836 shares issued and outstanding</w:t>
            </w:r>
          </w:p>
        </w:tc>
        <w:tc>
          <w:tcPr>
            <w:tcW w:w="220" w:type="dxa"/>
            <w:vAlign w:val="bottom"/>
            <w:shd w:val="clear" w:color="auto" w:fill="CCECFF"/>
          </w:tcPr>
          <w:p>
            <w:pPr>
              <w:spacing w:after="0"/>
              <w:rPr>
                <w:sz w:val="12"/>
                <w:szCs w:val="12"/>
                <w:color w:val="auto"/>
              </w:rPr>
            </w:pPr>
          </w:p>
        </w:tc>
        <w:tc>
          <w:tcPr>
            <w:tcW w:w="12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67"/>
        </w:trPr>
        <w:tc>
          <w:tcPr>
            <w:tcW w:w="782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71,061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71,061</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Paid-in capital in excess of par value</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818,737,784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818,737,784</w:t>
            </w:r>
          </w:p>
        </w:tc>
        <w:tc>
          <w:tcPr>
            <w:tcW w:w="120" w:type="dxa"/>
            <w:vAlign w:val="bottom"/>
          </w:tcPr>
          <w:p>
            <w:pPr>
              <w:spacing w:after="0"/>
              <w:rPr>
                <w:sz w:val="14"/>
                <w:szCs w:val="14"/>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Undistributed net investment income</w:t>
            </w:r>
          </w:p>
        </w:tc>
        <w:tc>
          <w:tcPr>
            <w:tcW w:w="22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5,334,784</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3,333,195</w:t>
            </w:r>
          </w:p>
        </w:tc>
        <w:tc>
          <w:tcPr>
            <w:tcW w:w="120" w:type="dxa"/>
            <w:vAlign w:val="bottom"/>
            <w:shd w:val="clear" w:color="auto" w:fill="CCECFF"/>
          </w:tcPr>
          <w:p>
            <w:pPr>
              <w:spacing w:after="0"/>
              <w:rPr>
                <w:sz w:val="14"/>
                <w:szCs w:val="14"/>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Accumulated net realized loss on investments</w:t>
            </w:r>
          </w:p>
        </w:tc>
        <w:tc>
          <w:tcPr>
            <w:tcW w:w="2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(91,071,422)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(116,598,355)</w:t>
            </w: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unrealized depreciation on investments</w:t>
            </w:r>
          </w:p>
        </w:tc>
        <w:tc>
          <w:tcPr>
            <w:tcW w:w="22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(92,731,791)</w:t>
            </w: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(56,425,773)</w:t>
            </w: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Net unrealized appreciation on debt</w:t>
            </w:r>
          </w:p>
        </w:tc>
        <w:tc>
          <w:tcPr>
            <w:tcW w:w="2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(783,439)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(2,309,441)</w:t>
            </w:r>
          </w:p>
        </w:tc>
      </w:tr>
      <w:tr>
        <w:trPr>
          <w:trHeight w:val="155"/>
        </w:trPr>
        <w:tc>
          <w:tcPr>
            <w:tcW w:w="800" w:type="dxa"/>
            <w:vAlign w:val="bottom"/>
            <w:tcBorders>
              <w:top w:val="single" w:sz="8" w:color="CCECFF"/>
            </w:tcBorders>
            <w:shd w:val="clear" w:color="auto" w:fill="CCECFF"/>
          </w:tcPr>
          <w:p>
            <w:pPr>
              <w:spacing w:after="0"/>
              <w:rPr>
                <w:sz w:val="13"/>
                <w:szCs w:val="13"/>
                <w:color w:val="auto"/>
              </w:rPr>
            </w:pPr>
          </w:p>
        </w:tc>
        <w:tc>
          <w:tcPr>
            <w:tcW w:w="7020" w:type="dxa"/>
            <w:vAlign w:val="bottom"/>
            <w:tcBorders>
              <w:top w:val="single" w:sz="8" w:color="CCECFF"/>
            </w:tcBorders>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net assets</w:t>
            </w:r>
          </w:p>
        </w:tc>
        <w:tc>
          <w:tcPr>
            <w:tcW w:w="220" w:type="dxa"/>
            <w:vAlign w:val="bottom"/>
            <w:tcBorders>
              <w:top w:val="single" w:sz="8" w:color="auto"/>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639,556,977</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646,808,471</w:t>
            </w:r>
          </w:p>
        </w:tc>
        <w:tc>
          <w:tcPr>
            <w:tcW w:w="120" w:type="dxa"/>
            <w:vAlign w:val="bottom"/>
            <w:tcBorders>
              <w:top w:val="single" w:sz="8" w:color="CCECFF"/>
            </w:tcBorders>
            <w:shd w:val="clear" w:color="auto" w:fill="CCECFF"/>
          </w:tcPr>
          <w:p>
            <w:pPr>
              <w:spacing w:after="0"/>
              <w:rPr>
                <w:sz w:val="13"/>
                <w:szCs w:val="13"/>
                <w:color w:val="auto"/>
              </w:rPr>
            </w:pPr>
          </w:p>
        </w:tc>
      </w:tr>
      <w:tr>
        <w:trPr>
          <w:trHeight w:val="195"/>
        </w:trPr>
        <w:tc>
          <w:tcPr>
            <w:tcW w:w="800" w:type="dxa"/>
            <w:vAlign w:val="bottom"/>
            <w:tcBorders>
              <w:bottom w:val="single" w:sz="8" w:color="CCECFF"/>
            </w:tcBorders>
          </w:tcPr>
          <w:p>
            <w:pPr>
              <w:spacing w:after="0"/>
              <w:rPr>
                <w:sz w:val="17"/>
                <w:szCs w:val="17"/>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1,153,547,187</w:t>
            </w: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1,202,195,841</w:t>
            </w:r>
          </w:p>
        </w:tc>
        <w:tc>
          <w:tcPr>
            <w:tcW w:w="120" w:type="dxa"/>
            <w:vAlign w:val="bottom"/>
            <w:tcBorders>
              <w:bottom w:val="single" w:sz="8" w:color="CCECFF"/>
            </w:tcBorders>
          </w:tcPr>
          <w:p>
            <w:pPr>
              <w:spacing w:after="0"/>
              <w:rPr>
                <w:sz w:val="17"/>
                <w:szCs w:val="17"/>
                <w:color w:val="auto"/>
              </w:rPr>
            </w:pPr>
          </w:p>
        </w:tc>
      </w:tr>
      <w:tr>
        <w:trPr>
          <w:trHeight w:val="143"/>
        </w:trPr>
        <w:tc>
          <w:tcPr>
            <w:tcW w:w="782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9.00</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9.10</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160" w:type="dxa"/>
            <w:vAlign w:val="bottom"/>
          </w:tcPr>
          <w:p>
            <w:pPr>
              <w:spacing w:after="0"/>
              <w:rPr>
                <w:sz w:val="14"/>
                <w:szCs w:val="14"/>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Six Months Ended March 31,</w:t>
            </w:r>
          </w:p>
        </w:tc>
        <w:tc>
          <w:tcPr>
            <w:tcW w:w="0" w:type="dxa"/>
            <w:vAlign w:val="bottom"/>
          </w:tcPr>
          <w:p>
            <w:pPr>
              <w:spacing w:after="0"/>
              <w:rPr>
                <w:sz w:val="1"/>
                <w:szCs w:val="1"/>
                <w:color w:val="auto"/>
              </w:rPr>
            </w:pPr>
          </w:p>
        </w:tc>
      </w:tr>
      <w:tr>
        <w:trPr>
          <w:trHeight w:val="156"/>
        </w:trPr>
        <w:tc>
          <w:tcPr>
            <w:tcW w:w="5700" w:type="dxa"/>
            <w:vAlign w:val="bottom"/>
            <w:tcBorders>
              <w:bottom w:val="single" w:sz="8" w:color="CCECFF"/>
            </w:tcBorders>
          </w:tcPr>
          <w:p>
            <w:pPr>
              <w:spacing w:after="0"/>
              <w:rPr>
                <w:sz w:val="13"/>
                <w:szCs w:val="13"/>
                <w:color w:val="auto"/>
              </w:rPr>
            </w:pPr>
          </w:p>
        </w:tc>
        <w:tc>
          <w:tcPr>
            <w:tcW w:w="70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19,734,120</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22,881,267</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41,117,339</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44,532,692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1,675,075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1,209,049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2,959,984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1,429,753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2,486,424</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1,565,617</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4,073,066</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3,668,153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1,376,065</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2,990,507</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2,591,899</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5,781,439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234,349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1,449,879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1,807,655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2,884,628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970,264</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210,809</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1,450,694</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390,544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Payment in kind</w:t>
            </w:r>
          </w:p>
        </w:tc>
        <w:tc>
          <w:tcPr>
            <w:tcW w:w="70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749,312</w:t>
            </w:r>
          </w:p>
        </w:tc>
        <w:tc>
          <w:tcPr>
            <w:tcW w:w="22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3,407,865</w:t>
            </w:r>
          </w:p>
        </w:tc>
        <w:tc>
          <w:tcPr>
            <w:tcW w:w="2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1,893,397</w:t>
            </w:r>
          </w:p>
        </w:tc>
        <w:tc>
          <w:tcPr>
            <w:tcW w:w="2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6,874,194</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70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27,225,609</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33,714,993</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55,894,034</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65,583,903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Base management fee (See Note 3)</w:t>
            </w: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3,873,739</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6,332,507</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9,608,876</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12,607,289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2,845,616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3,643,189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6,030,820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7,017,399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5,940,893</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7,179,057</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11,798,271</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13,914,631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521,625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894,000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1,043,250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1,788,000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70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628,290</w:t>
            </w:r>
          </w:p>
        </w:tc>
        <w:tc>
          <w:tcPr>
            <w:tcW w:w="22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668,483</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1,256,580</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1,336,990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Expenses before Management Fees waiver and provision for taxes</w:t>
            </w:r>
          </w:p>
        </w:tc>
        <w:tc>
          <w:tcPr>
            <w:tcW w:w="70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13,810,163</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18,717,236</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29,737,797</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36,664,309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Management Fees waiver (See Note 3)</w:t>
            </w: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(1,596,111)</w:t>
            </w: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(1,427,253)</w:t>
            </w: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(3,139,950)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Provision for taxes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425,000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7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13,810,163</w:t>
            </w:r>
          </w:p>
        </w:tc>
        <w:tc>
          <w:tcPr>
            <w:tcW w:w="2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17,546,125</w:t>
            </w: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28,310,544</w:t>
            </w:r>
          </w:p>
        </w:tc>
        <w:tc>
          <w:tcPr>
            <w:tcW w:w="2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34,374,359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70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13,415,446</w:t>
            </w:r>
          </w:p>
        </w:tc>
        <w:tc>
          <w:tcPr>
            <w:tcW w:w="22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16,168,868</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27,583,490</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31,209,544</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7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Net realized gain (loss) on investments 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12,876,286</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13,248,244</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14,669,329</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(8,947,090)</w:t>
            </w: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8,877,164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(31,990,981)</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10,857,604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(31,990,981)</w:t>
            </w:r>
          </w:p>
        </w:tc>
        <w:tc>
          <w:tcPr>
            <w:tcW w:w="0" w:type="dxa"/>
            <w:vAlign w:val="bottom"/>
          </w:tcPr>
          <w:p>
            <w:pPr>
              <w:spacing w:after="0"/>
              <w:rPr>
                <w:sz w:val="1"/>
                <w:szCs w:val="1"/>
                <w:color w:val="auto"/>
              </w:rPr>
            </w:pPr>
          </w:p>
        </w:tc>
      </w:tr>
      <w:tr>
        <w:trPr>
          <w:trHeight w:val="156"/>
        </w:trPr>
        <w:tc>
          <w:tcPr>
            <w:tcW w:w="570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gain (loss) on investments</w:t>
            </w:r>
          </w:p>
        </w:tc>
        <w:tc>
          <w:tcPr>
            <w:tcW w:w="7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21,753,450</w:t>
            </w:r>
          </w:p>
        </w:tc>
        <w:tc>
          <w:tcPr>
            <w:tcW w:w="2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(18,742,737)</w:t>
            </w: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25,526,933</w:t>
            </w:r>
          </w:p>
        </w:tc>
        <w:tc>
          <w:tcPr>
            <w:tcW w:w="2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(40,938,071)</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tcPr>
          <w:p>
            <w:pPr>
              <w:spacing w:after="0" w:line="155" w:lineRule="exact"/>
              <w:rPr>
                <w:sz w:val="20"/>
                <w:szCs w:val="20"/>
                <w:color w:val="auto"/>
              </w:rPr>
            </w:pPr>
            <w:r>
              <w:rPr>
                <w:rFonts w:ascii="Arial" w:cs="Arial" w:eastAsia="Arial" w:hAnsi="Arial"/>
                <w:sz w:val="14"/>
                <w:szCs w:val="14"/>
                <w:color w:val="auto"/>
              </w:rPr>
              <w:t>Net change in unrealized (depreciation) appreciation on: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(4,219,398)</w:t>
            </w: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(6,279,870)</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(2,481,333)</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13,356,331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(25,313,724)</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26,429,957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(33,824,685)</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32,166,856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depreciation (appreciation) (See Notes 5 and 10)</w:t>
            </w: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399,236</w:t>
            </w:r>
          </w:p>
        </w:tc>
        <w:tc>
          <w:tcPr>
            <w:tcW w:w="2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(6,116,548)</w:t>
            </w: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1,526,002</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(285,864)</w:t>
            </w:r>
          </w:p>
        </w:tc>
        <w:tc>
          <w:tcPr>
            <w:tcW w:w="0" w:type="dxa"/>
            <w:vAlign w:val="bottom"/>
          </w:tcPr>
          <w:p>
            <w:pPr>
              <w:spacing w:after="0"/>
              <w:rPr>
                <w:sz w:val="1"/>
                <w:szCs w:val="1"/>
                <w:color w:val="auto"/>
              </w:rPr>
            </w:pPr>
          </w:p>
        </w:tc>
      </w:tr>
      <w:tr>
        <w:trPr>
          <w:trHeight w:val="155"/>
        </w:trPr>
        <w:tc>
          <w:tcPr>
            <w:tcW w:w="57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70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(29,133,886)</w:t>
            </w:r>
          </w:p>
        </w:tc>
        <w:tc>
          <w:tcPr>
            <w:tcW w:w="22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14,033,539</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(34,780,016)</w:t>
            </w:r>
          </w:p>
        </w:tc>
        <w:tc>
          <w:tcPr>
            <w:tcW w:w="2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45,237,323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70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(7,380,436)</w:t>
            </w:r>
          </w:p>
        </w:tc>
        <w:tc>
          <w:tcPr>
            <w:tcW w:w="22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(4,709,198)</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(9,253,083)</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4,299,252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70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6,035,010</w:t>
            </w:r>
          </w:p>
        </w:tc>
        <w:tc>
          <w:tcPr>
            <w:tcW w:w="220" w:type="dxa"/>
            <w:vAlign w:val="bottom"/>
            <w:tcBorders>
              <w:bottom w:val="single" w:sz="8" w:color="CCECFF"/>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11,459,670</w:t>
            </w:r>
          </w:p>
        </w:tc>
        <w:tc>
          <w:tcPr>
            <w:tcW w:w="22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18,330,407</w:t>
            </w:r>
          </w:p>
        </w:tc>
        <w:tc>
          <w:tcPr>
            <w:tcW w:w="22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35,508,796</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70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7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0.08</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0.16</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0.26</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0.50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0.19</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0.23</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0.39</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27,583,490</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31,209,544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25,526,933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(40,938,071)</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(36,306,018)</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45,523,187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(appreciation)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1,526,002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(285,864)</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18,330,407</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35,508,796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(25,581,901)</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(32,687,985)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(7,251,494)</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2,820,811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646,808,471</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643,366,856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639,556,977</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646,187,667</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Undistributed net investment income, at end of period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5,334,784</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1,640,939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18,330,407</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35,508,796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provided by (used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depreciation (appreciation)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36,306,018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(45,523,187)</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(depreciation) appreciation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(1,526,002)</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285,864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(gain) loss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(25,526,933)</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40,938,071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(1,065,571)</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(1,791,876)</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(235,438,471)</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(289,692,765)</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(7,374,499)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(11,287,854)</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438,686,113</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266,232,636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1,223,507</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334,666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interest receivable</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(211,923)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(3,134,394)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in receivable for investments sold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(26,983,525)</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(12,086,044)</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prepaid expenses and other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2,224,104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340,117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payable for investments purchased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(1,014,000)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increase in interest payable on debt</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(432,382)</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129,187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base management fee payable, net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(971,499)</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244,475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performance-based incentive fee payable, net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575,608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194,836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accrued other expenses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(657,742)</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487,032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196,143,210</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(18,820,440)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Capitalized borrowing costs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(1,721,750)</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(25,581,900)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(39,794,068)</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SBA debentures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71,000,000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SBA debentures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(70,000,000)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Credit Facility</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132,520,000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345,760,000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Credit Facility</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(170,392,900)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(296,513,400)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(64,176,550)</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9,452,532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131,966,660</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(9,367,908)</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50,821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325,002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38,202,068</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75,608,113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170,219,549</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66,565,207</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11,007,147</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13,450,777</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498,102</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102,458</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31,942,605</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25,049,756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60" w:type="dxa"/>
            <w:vAlign w:val="bottom"/>
          </w:tcPr>
          <w:p>
            <w:pPr>
              <w:spacing w:after="0"/>
              <w:rPr>
                <w:sz w:val="11"/>
                <w:szCs w:val="11"/>
                <w:color w:val="auto"/>
              </w:rPr>
            </w:pPr>
          </w:p>
        </w:tc>
        <w:tc>
          <w:tcPr>
            <w:tcW w:w="9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Maturity /</w:t>
            </w: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Expiration</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5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Companies—113.9% </w:t>
            </w:r>
            <w:r>
              <w:rPr>
                <w:rFonts w:ascii="Arial" w:cs="Arial" w:eastAsia="Arial" w:hAnsi="Arial"/>
                <w:sz w:val="9"/>
                <w:szCs w:val="9"/>
                <w:b w:val="1"/>
                <w:bCs w:val="1"/>
                <w:color w:val="auto"/>
              </w:rPr>
              <w:t>(1), (2)</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Debt—43.2%</w:t>
            </w: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ACC of Tamarac, LLC</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06/20/2022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11.52%</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7,443,750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7,336,636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7,518,188</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Allied America, Inc.</w:t>
            </w:r>
          </w:p>
        </w:tc>
        <w:tc>
          <w:tcPr>
            <w:tcW w:w="980" w:type="dxa"/>
            <w:vAlign w:val="bottom"/>
          </w:tcPr>
          <w:p>
            <w:pPr>
              <w:ind w:left="180"/>
              <w:spacing w:after="0"/>
              <w:rPr>
                <w:sz w:val="20"/>
                <w:szCs w:val="20"/>
                <w:color w:val="auto"/>
              </w:rPr>
            </w:pPr>
            <w:r>
              <w:rPr>
                <w:rFonts w:ascii="Arial" w:cs="Arial" w:eastAsia="Arial" w:hAnsi="Arial"/>
                <w:sz w:val="12"/>
                <w:szCs w:val="12"/>
                <w:color w:val="auto"/>
              </w:rPr>
              <w:t>08/08/2022</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9.31%</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tcPr>
          <w:p>
            <w:pPr>
              <w:jc w:val="right"/>
              <w:spacing w:after="0"/>
              <w:rPr>
                <w:sz w:val="20"/>
                <w:szCs w:val="20"/>
                <w:color w:val="auto"/>
              </w:rPr>
            </w:pPr>
            <w:r>
              <w:rPr>
                <w:rFonts w:ascii="Arial" w:cs="Arial" w:eastAsia="Arial" w:hAnsi="Arial"/>
                <w:sz w:val="12"/>
                <w:szCs w:val="12"/>
                <w:color w:val="auto"/>
              </w:rPr>
              <w:t>21,548,654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21,193,027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21,656,397</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08/08/2022</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Bazaarvoice, Inc.</w:t>
            </w:r>
          </w:p>
        </w:tc>
        <w:tc>
          <w:tcPr>
            <w:tcW w:w="980" w:type="dxa"/>
            <w:vAlign w:val="bottom"/>
          </w:tcPr>
          <w:p>
            <w:pPr>
              <w:ind w:left="180"/>
              <w:spacing w:after="0"/>
              <w:rPr>
                <w:sz w:val="20"/>
                <w:szCs w:val="20"/>
                <w:color w:val="auto"/>
              </w:rPr>
            </w:pPr>
            <w:r>
              <w:rPr>
                <w:rFonts w:ascii="Arial" w:cs="Arial" w:eastAsia="Arial" w:hAnsi="Arial"/>
                <w:sz w:val="12"/>
                <w:szCs w:val="12"/>
                <w:color w:val="auto"/>
              </w:rPr>
              <w:t>02/01/2024</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9.77%</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14,858,965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14,850,000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Bottom Line Systems, LLC</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02/13/2023</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9.19%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19,494,826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19,750,000</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Cano Health, LLC</w:t>
            </w:r>
          </w:p>
        </w:tc>
        <w:tc>
          <w:tcPr>
            <w:tcW w:w="980" w:type="dxa"/>
            <w:vAlign w:val="bottom"/>
          </w:tcPr>
          <w:p>
            <w:pPr>
              <w:ind w:left="180"/>
              <w:spacing w:after="0"/>
              <w:rPr>
                <w:sz w:val="20"/>
                <w:szCs w:val="20"/>
                <w:color w:val="auto"/>
              </w:rPr>
            </w:pPr>
            <w:r>
              <w:rPr>
                <w:rFonts w:ascii="Arial" w:cs="Arial" w:eastAsia="Arial" w:hAnsi="Arial"/>
                <w:sz w:val="12"/>
                <w:szCs w:val="12"/>
                <w:color w:val="auto"/>
              </w:rPr>
              <w:t>12/23/2021</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10.17%</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25,512,022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24,954,691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25,512,022</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(7)</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09/21/2018</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80" w:type="dxa"/>
            <w:vAlign w:val="bottom"/>
          </w:tcPr>
          <w:p>
            <w:pPr>
              <w:ind w:left="180"/>
              <w:spacing w:after="0"/>
              <w:rPr>
                <w:sz w:val="20"/>
                <w:szCs w:val="20"/>
                <w:color w:val="auto"/>
              </w:rPr>
            </w:pPr>
            <w:r>
              <w:rPr>
                <w:rFonts w:ascii="Arial" w:cs="Arial" w:eastAsia="Arial" w:hAnsi="Arial"/>
                <w:sz w:val="12"/>
                <w:szCs w:val="12"/>
                <w:color w:val="auto"/>
              </w:rPr>
              <w:t>03/03/2022</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8.88%</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L+700</w:t>
            </w:r>
          </w:p>
        </w:tc>
        <w:tc>
          <w:tcPr>
            <w:tcW w:w="660" w:type="dxa"/>
            <w:vAlign w:val="bottom"/>
          </w:tcPr>
          <w:p>
            <w:pPr>
              <w:jc w:val="right"/>
              <w:spacing w:after="0"/>
              <w:rPr>
                <w:sz w:val="20"/>
                <w:szCs w:val="20"/>
                <w:color w:val="auto"/>
              </w:rPr>
            </w:pPr>
            <w:r>
              <w:rPr>
                <w:rFonts w:ascii="Arial" w:cs="Arial" w:eastAsia="Arial" w:hAnsi="Arial"/>
                <w:sz w:val="12"/>
                <w:szCs w:val="12"/>
                <w:color w:val="auto"/>
              </w:rPr>
              <w:t>9,900,000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9,775,710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9,706,178</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10/31/2023</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8.14%</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4,987,500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4,894,011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4,937,625</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980" w:type="dxa"/>
            <w:vAlign w:val="bottom"/>
          </w:tcPr>
          <w:p>
            <w:pPr>
              <w:ind w:left="180"/>
              <w:spacing w:after="0"/>
              <w:rPr>
                <w:sz w:val="20"/>
                <w:szCs w:val="20"/>
                <w:color w:val="auto"/>
              </w:rPr>
            </w:pPr>
            <w:r>
              <w:rPr>
                <w:rFonts w:ascii="Arial" w:cs="Arial" w:eastAsia="Arial" w:hAnsi="Arial"/>
                <w:sz w:val="12"/>
                <w:szCs w:val="12"/>
                <w:color w:val="auto"/>
              </w:rPr>
              <w:t>10/31/2022</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385,000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08/29/2022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9.39%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19,900,000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19,539,982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19,900,000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980" w:type="dxa"/>
            <w:vAlign w:val="bottom"/>
          </w:tcPr>
          <w:p>
            <w:pPr>
              <w:ind w:left="180"/>
              <w:spacing w:after="0"/>
              <w:rPr>
                <w:sz w:val="20"/>
                <w:szCs w:val="20"/>
                <w:color w:val="auto"/>
              </w:rPr>
            </w:pPr>
            <w:r>
              <w:rPr>
                <w:rFonts w:ascii="Arial" w:cs="Arial" w:eastAsia="Arial" w:hAnsi="Arial"/>
                <w:sz w:val="12"/>
                <w:szCs w:val="12"/>
                <w:color w:val="auto"/>
              </w:rPr>
              <w:t>08/29/2022</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w w:val="96"/>
              </w:rPr>
              <w:t xml:space="preserve">eCommission Financial Services, Inc. (Revolver) </w:t>
            </w:r>
            <w:r>
              <w:rPr>
                <w:rFonts w:ascii="Arial" w:cs="Arial" w:eastAsia="Arial" w:hAnsi="Arial"/>
                <w:sz w:val="9"/>
                <w:szCs w:val="9"/>
                <w:color w:val="auto"/>
                <w:w w:val="96"/>
              </w:rPr>
              <w:t>(7), (11)</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08/29/2022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80" w:type="dxa"/>
            <w:vAlign w:val="bottom"/>
          </w:tcPr>
          <w:p>
            <w:pPr>
              <w:ind w:left="180"/>
              <w:spacing w:after="0"/>
              <w:rPr>
                <w:sz w:val="20"/>
                <w:szCs w:val="20"/>
                <w:color w:val="auto"/>
              </w:rPr>
            </w:pPr>
            <w:r>
              <w:rPr>
                <w:rFonts w:ascii="Arial" w:cs="Arial" w:eastAsia="Arial" w:hAnsi="Arial"/>
                <w:sz w:val="12"/>
                <w:szCs w:val="12"/>
                <w:color w:val="auto"/>
              </w:rPr>
              <w:t>06/09/2023</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tcPr>
          <w:p>
            <w:pPr>
              <w:jc w:val="right"/>
              <w:spacing w:after="0"/>
              <w:rPr>
                <w:sz w:val="20"/>
                <w:szCs w:val="20"/>
                <w:color w:val="auto"/>
              </w:rPr>
            </w:pPr>
            <w:r>
              <w:rPr>
                <w:rFonts w:ascii="Arial" w:cs="Arial" w:eastAsia="Arial" w:hAnsi="Arial"/>
                <w:sz w:val="12"/>
                <w:szCs w:val="12"/>
                <w:color w:val="auto"/>
              </w:rPr>
              <w:t>19,713,838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19,359,189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19,713,838</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Home Town Cable TV, LLC</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06/20/2022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11.52%</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9,826,816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10,100,000</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Juniper Landscaping of Florida, LLC</w:t>
            </w:r>
          </w:p>
        </w:tc>
        <w:tc>
          <w:tcPr>
            <w:tcW w:w="980" w:type="dxa"/>
            <w:vAlign w:val="bottom"/>
          </w:tcPr>
          <w:p>
            <w:pPr>
              <w:ind w:left="180"/>
              <w:spacing w:after="0"/>
              <w:rPr>
                <w:sz w:val="20"/>
                <w:szCs w:val="20"/>
                <w:color w:val="auto"/>
              </w:rPr>
            </w:pPr>
            <w:r>
              <w:rPr>
                <w:rFonts w:ascii="Arial" w:cs="Arial" w:eastAsia="Arial" w:hAnsi="Arial"/>
                <w:sz w:val="12"/>
                <w:szCs w:val="12"/>
                <w:color w:val="auto"/>
              </w:rPr>
              <w:t>12/22/2021</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11.17%</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L+950</w:t>
            </w:r>
          </w:p>
        </w:tc>
        <w:tc>
          <w:tcPr>
            <w:tcW w:w="660" w:type="dxa"/>
            <w:vAlign w:val="bottom"/>
          </w:tcPr>
          <w:p>
            <w:pPr>
              <w:jc w:val="right"/>
              <w:spacing w:after="0"/>
              <w:rPr>
                <w:sz w:val="20"/>
                <w:szCs w:val="20"/>
                <w:color w:val="auto"/>
              </w:rPr>
            </w:pPr>
            <w:r>
              <w:rPr>
                <w:rFonts w:ascii="Arial" w:cs="Arial" w:eastAsia="Arial" w:hAnsi="Arial"/>
                <w:sz w:val="12"/>
                <w:szCs w:val="12"/>
                <w:color w:val="auto"/>
              </w:rPr>
              <w:t>13,722,750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13,504,645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13,722,750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K2 Pure Solutions NoCal, L.P.</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02/19/2021</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10.65%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14,522,529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14,298,884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14,522,529</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Ox Two, LLC</w:t>
            </w:r>
          </w:p>
        </w:tc>
        <w:tc>
          <w:tcPr>
            <w:tcW w:w="980" w:type="dxa"/>
            <w:vAlign w:val="bottom"/>
          </w:tcPr>
          <w:p>
            <w:pPr>
              <w:ind w:left="180"/>
              <w:spacing w:after="0"/>
              <w:rPr>
                <w:sz w:val="20"/>
                <w:szCs w:val="20"/>
                <w:color w:val="auto"/>
              </w:rPr>
            </w:pPr>
            <w:r>
              <w:rPr>
                <w:rFonts w:ascii="Arial" w:cs="Arial" w:eastAsia="Arial" w:hAnsi="Arial"/>
                <w:sz w:val="12"/>
                <w:szCs w:val="12"/>
                <w:color w:val="auto"/>
              </w:rPr>
              <w:t>02/27/2023</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12.00%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22,059,559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Ox Two, LLC (Revolver)</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02/27/2023</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980" w:type="dxa"/>
            <w:vAlign w:val="bottom"/>
          </w:tcPr>
          <w:p>
            <w:pPr>
              <w:ind w:left="180"/>
              <w:spacing w:after="0"/>
              <w:rPr>
                <w:sz w:val="20"/>
                <w:szCs w:val="20"/>
                <w:color w:val="auto"/>
              </w:rPr>
            </w:pPr>
            <w:r>
              <w:rPr>
                <w:rFonts w:ascii="Arial" w:cs="Arial" w:eastAsia="Arial" w:hAnsi="Arial"/>
                <w:sz w:val="12"/>
                <w:szCs w:val="12"/>
                <w:color w:val="auto"/>
              </w:rPr>
              <w:t>02/27/2023</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09/01/2022</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8.19%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20,581,250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20,270,628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20,581,250</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980" w:type="dxa"/>
            <w:vAlign w:val="bottom"/>
          </w:tcPr>
          <w:p>
            <w:pPr>
              <w:ind w:left="180"/>
              <w:spacing w:after="0"/>
              <w:rPr>
                <w:sz w:val="20"/>
                <w:szCs w:val="20"/>
                <w:color w:val="auto"/>
              </w:rPr>
            </w:pPr>
            <w:r>
              <w:rPr>
                <w:rFonts w:ascii="Arial" w:cs="Arial" w:eastAsia="Arial" w:hAnsi="Arial"/>
                <w:sz w:val="12"/>
                <w:szCs w:val="12"/>
                <w:color w:val="auto"/>
              </w:rPr>
              <w:t>09/01/2022</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1,875,000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09/01/2022</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980" w:type="dxa"/>
            <w:vAlign w:val="bottom"/>
          </w:tcPr>
          <w:p>
            <w:pPr>
              <w:ind w:left="180"/>
              <w:spacing w:after="0"/>
              <w:rPr>
                <w:sz w:val="20"/>
                <w:szCs w:val="20"/>
                <w:color w:val="auto"/>
              </w:rPr>
            </w:pPr>
            <w:r>
              <w:rPr>
                <w:rFonts w:ascii="Arial" w:cs="Arial" w:eastAsia="Arial" w:hAnsi="Arial"/>
                <w:sz w:val="12"/>
                <w:szCs w:val="12"/>
                <w:color w:val="auto"/>
              </w:rPr>
              <w:t>12/28/2020</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13.13%</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L+1,125</w:t>
            </w:r>
          </w:p>
        </w:tc>
        <w:tc>
          <w:tcPr>
            <w:tcW w:w="660" w:type="dxa"/>
            <w:vAlign w:val="bottom"/>
          </w:tcPr>
          <w:p>
            <w:pPr>
              <w:jc w:val="right"/>
              <w:spacing w:after="0"/>
              <w:rPr>
                <w:sz w:val="20"/>
                <w:szCs w:val="20"/>
                <w:color w:val="auto"/>
              </w:rPr>
            </w:pPr>
            <w:r>
              <w:rPr>
                <w:rFonts w:ascii="Arial" w:cs="Arial" w:eastAsia="Arial" w:hAnsi="Arial"/>
                <w:sz w:val="12"/>
                <w:szCs w:val="12"/>
                <w:color w:val="auto"/>
              </w:rPr>
              <w:t>23,718,379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23,419,360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23,599,787</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08/13/2021</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11.31%</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8,520,313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8,520,313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8,094,297</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Whitney, Bradley &amp; Brown, Inc.</w:t>
            </w:r>
          </w:p>
        </w:tc>
        <w:tc>
          <w:tcPr>
            <w:tcW w:w="980" w:type="dxa"/>
            <w:vAlign w:val="bottom"/>
          </w:tcPr>
          <w:p>
            <w:pPr>
              <w:ind w:left="180"/>
              <w:spacing w:after="0"/>
              <w:rPr>
                <w:sz w:val="20"/>
                <w:szCs w:val="20"/>
                <w:color w:val="auto"/>
              </w:rPr>
            </w:pPr>
            <w:r>
              <w:rPr>
                <w:rFonts w:ascii="Arial" w:cs="Arial" w:eastAsia="Arial" w:hAnsi="Arial"/>
                <w:sz w:val="12"/>
                <w:szCs w:val="12"/>
                <w:color w:val="auto"/>
              </w:rPr>
              <w:t>10/18/2022</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10.89%</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19,402,500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19,042,032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19,208,475</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 (Revolver)</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10/18/2022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550,000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544,500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Whitney, Bradley &amp; Brown, Inc. (Revolver) </w:t>
            </w:r>
            <w:r>
              <w:rPr>
                <w:rFonts w:ascii="Arial" w:cs="Arial" w:eastAsia="Arial" w:hAnsi="Arial"/>
                <w:sz w:val="9"/>
                <w:szCs w:val="9"/>
                <w:color w:val="auto"/>
              </w:rPr>
              <w:t>(7)</w:t>
            </w:r>
          </w:p>
        </w:tc>
        <w:tc>
          <w:tcPr>
            <w:tcW w:w="980" w:type="dxa"/>
            <w:vAlign w:val="bottom"/>
          </w:tcPr>
          <w:p>
            <w:pPr>
              <w:ind w:left="180"/>
              <w:spacing w:after="0"/>
              <w:rPr>
                <w:sz w:val="20"/>
                <w:szCs w:val="20"/>
                <w:color w:val="auto"/>
              </w:rPr>
            </w:pPr>
            <w:r>
              <w:rPr>
                <w:rFonts w:ascii="Arial" w:cs="Arial" w:eastAsia="Arial" w:hAnsi="Arial"/>
                <w:sz w:val="12"/>
                <w:szCs w:val="12"/>
                <w:color w:val="auto"/>
              </w:rPr>
              <w:t>10/18/2022</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916,667</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(9,167)</w:t>
            </w:r>
          </w:p>
        </w:tc>
      </w:tr>
      <w:tr>
        <w:trPr>
          <w:trHeight w:val="142"/>
        </w:trPr>
        <w:tc>
          <w:tcPr>
            <w:tcW w:w="28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80" w:type="dxa"/>
            <w:vAlign w:val="bottom"/>
            <w:tcBorders>
              <w:top w:val="single" w:sz="8" w:color="CCECFF"/>
            </w:tcBorders>
            <w:shd w:val="clear" w:color="auto" w:fill="CCECFF"/>
          </w:tcPr>
          <w:p>
            <w:pPr>
              <w:spacing w:after="0"/>
              <w:rPr>
                <w:sz w:val="12"/>
                <w:szCs w:val="12"/>
                <w:color w:val="auto"/>
              </w:rPr>
            </w:pPr>
          </w:p>
        </w:tc>
        <w:tc>
          <w:tcPr>
            <w:tcW w:w="25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9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273,399,274</w:t>
            </w: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276,458,669</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2860" w:type="dxa"/>
            <w:vAlign w:val="bottom"/>
          </w:tcPr>
          <w:p>
            <w:pPr>
              <w:spacing w:after="0"/>
              <w:rPr>
                <w:sz w:val="20"/>
                <w:szCs w:val="20"/>
                <w:color w:val="auto"/>
              </w:rPr>
            </w:pPr>
            <w:r>
              <w:rPr>
                <w:rFonts w:ascii="Arial" w:cs="Arial" w:eastAsia="Arial" w:hAnsi="Arial"/>
                <w:sz w:val="12"/>
                <w:szCs w:val="12"/>
                <w:b w:val="1"/>
                <w:bCs w:val="1"/>
                <w:color w:val="auto"/>
              </w:rPr>
              <w:t>Second Lien Secured Debt—57.7%</w:t>
            </w: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(11)</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03/04/2022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13.75%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28,306,638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28,500,000</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Condor Borrower, LLC</w:t>
            </w:r>
          </w:p>
        </w:tc>
        <w:tc>
          <w:tcPr>
            <w:tcW w:w="980" w:type="dxa"/>
            <w:vAlign w:val="bottom"/>
          </w:tcPr>
          <w:p>
            <w:pPr>
              <w:ind w:left="180"/>
              <w:spacing w:after="0"/>
              <w:rPr>
                <w:sz w:val="20"/>
                <w:szCs w:val="20"/>
                <w:color w:val="auto"/>
              </w:rPr>
            </w:pPr>
            <w:r>
              <w:rPr>
                <w:rFonts w:ascii="Arial" w:cs="Arial" w:eastAsia="Arial" w:hAnsi="Arial"/>
                <w:sz w:val="12"/>
                <w:szCs w:val="12"/>
                <w:color w:val="auto"/>
              </w:rPr>
              <w:t>04/25/2025</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10.51%</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12,260,065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DecoPac, Inc.</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03/31/2025</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10.56%</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22,585,242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100" w:type="dxa"/>
            <w:vAlign w:val="bottom"/>
            <w:shd w:val="clear" w:color="auto" w:fill="CCECFF"/>
          </w:tcPr>
          <w:p>
            <w:pPr>
              <w:spacing w:after="0"/>
              <w:rPr>
                <w:sz w:val="12"/>
                <w:szCs w:val="12"/>
                <w:color w:val="auto"/>
              </w:rPr>
            </w:pPr>
          </w:p>
        </w:tc>
      </w:tr>
      <w:tr>
        <w:trPr>
          <w:trHeight w:val="156"/>
        </w:trPr>
        <w:tc>
          <w:tcPr>
            <w:tcW w:w="2860" w:type="dxa"/>
            <w:vAlign w:val="bottom"/>
          </w:tcPr>
          <w:p>
            <w:pPr>
              <w:spacing w:after="0"/>
              <w:rPr>
                <w:sz w:val="20"/>
                <w:szCs w:val="20"/>
                <w:color w:val="auto"/>
              </w:rPr>
            </w:pPr>
            <w:r>
              <w:rPr>
                <w:rFonts w:ascii="Arial" w:cs="Arial" w:eastAsia="Arial" w:hAnsi="Arial"/>
                <w:sz w:val="12"/>
                <w:szCs w:val="12"/>
                <w:color w:val="auto"/>
              </w:rPr>
              <w:t>Howard Berger Co. LLC</w:t>
            </w:r>
          </w:p>
        </w:tc>
        <w:tc>
          <w:tcPr>
            <w:tcW w:w="980" w:type="dxa"/>
            <w:vAlign w:val="bottom"/>
          </w:tcPr>
          <w:p>
            <w:pPr>
              <w:ind w:left="180"/>
              <w:spacing w:after="0"/>
              <w:rPr>
                <w:sz w:val="20"/>
                <w:szCs w:val="20"/>
                <w:color w:val="auto"/>
              </w:rPr>
            </w:pPr>
            <w:r>
              <w:rPr>
                <w:rFonts w:ascii="Arial" w:cs="Arial" w:eastAsia="Arial" w:hAnsi="Arial"/>
                <w:sz w:val="12"/>
                <w:szCs w:val="12"/>
                <w:color w:val="auto"/>
              </w:rPr>
              <w:t>09/30/2020</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12.31%</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tcPr>
          <w:p>
            <w:pPr>
              <w:jc w:val="right"/>
              <w:spacing w:after="0"/>
              <w:rPr>
                <w:sz w:val="20"/>
                <w:szCs w:val="20"/>
                <w:color w:val="auto"/>
              </w:rPr>
            </w:pPr>
            <w:r>
              <w:rPr>
                <w:rFonts w:ascii="Arial" w:cs="Arial" w:eastAsia="Arial" w:hAnsi="Arial"/>
                <w:sz w:val="12"/>
                <w:szCs w:val="12"/>
                <w:color w:val="auto"/>
              </w:rPr>
              <w:t>44,062,500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42,823,514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41,859,375</w:t>
            </w:r>
          </w:p>
        </w:tc>
        <w:tc>
          <w:tcPr>
            <w:tcW w:w="100" w:type="dxa"/>
            <w:vAlign w:val="bottom"/>
          </w:tcPr>
          <w:p>
            <w:pPr>
              <w:spacing w:after="0"/>
              <w:rPr>
                <w:sz w:val="13"/>
                <w:szCs w:val="13"/>
                <w:color w:val="auto"/>
              </w:rPr>
            </w:pPr>
          </w:p>
        </w:tc>
      </w:tr>
      <w:tr>
        <w:trPr>
          <w:trHeight w:val="141"/>
        </w:trPr>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5.05%)</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Infogroup, Inc.</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04/03/2024</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10.94%</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20,033,258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20,094,000</w:t>
            </w:r>
          </w:p>
        </w:tc>
        <w:tc>
          <w:tcPr>
            <w:tcW w:w="100" w:type="dxa"/>
            <w:vAlign w:val="bottom"/>
            <w:shd w:val="clear" w:color="auto" w:fill="CCECFF"/>
          </w:tcPr>
          <w:p>
            <w:pPr>
              <w:spacing w:after="0"/>
              <w:rPr>
                <w:sz w:val="12"/>
                <w:szCs w:val="12"/>
                <w:color w:val="auto"/>
              </w:rPr>
            </w:pPr>
          </w:p>
        </w:tc>
      </w:tr>
      <w:tr>
        <w:trPr>
          <w:trHeight w:val="156"/>
        </w:trPr>
        <w:tc>
          <w:tcPr>
            <w:tcW w:w="2860" w:type="dxa"/>
            <w:vAlign w:val="bottom"/>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80" w:type="dxa"/>
            <w:vAlign w:val="bottom"/>
          </w:tcPr>
          <w:p>
            <w:pPr>
              <w:ind w:left="180"/>
              <w:spacing w:after="0"/>
              <w:rPr>
                <w:sz w:val="20"/>
                <w:szCs w:val="20"/>
                <w:color w:val="auto"/>
              </w:rPr>
            </w:pPr>
            <w:r>
              <w:rPr>
                <w:rFonts w:ascii="Arial" w:cs="Arial" w:eastAsia="Arial" w:hAnsi="Arial"/>
                <w:sz w:val="12"/>
                <w:szCs w:val="12"/>
                <w:color w:val="auto"/>
              </w:rPr>
              <w:t>03/01/2019</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11.00%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455,974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388,125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455,974</w:t>
            </w:r>
          </w:p>
        </w:tc>
        <w:tc>
          <w:tcPr>
            <w:tcW w:w="100" w:type="dxa"/>
            <w:vAlign w:val="bottom"/>
          </w:tcPr>
          <w:p>
            <w:pPr>
              <w:spacing w:after="0"/>
              <w:rPr>
                <w:sz w:val="13"/>
                <w:szCs w:val="13"/>
                <w:color w:val="auto"/>
              </w:rPr>
            </w:pPr>
          </w:p>
        </w:tc>
      </w:tr>
      <w:tr>
        <w:trPr>
          <w:trHeight w:val="141"/>
        </w:trPr>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color w:val="auto"/>
              </w:rPr>
              <w:t>(PIK 11.00%)</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10/22/2021</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12.19%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L+1,050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26,425,000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26,046,330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26,425,000</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980" w:type="dxa"/>
            <w:vAlign w:val="bottom"/>
          </w:tcPr>
          <w:p>
            <w:pPr>
              <w:ind w:left="180"/>
              <w:spacing w:after="0"/>
              <w:rPr>
                <w:sz w:val="20"/>
                <w:szCs w:val="20"/>
                <w:color w:val="auto"/>
              </w:rPr>
            </w:pPr>
            <w:r>
              <w:rPr>
                <w:rFonts w:ascii="Arial" w:cs="Arial" w:eastAsia="Arial" w:hAnsi="Arial"/>
                <w:sz w:val="12"/>
                <w:szCs w:val="12"/>
                <w:color w:val="auto"/>
              </w:rPr>
              <w:t>12/17/2021</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14.45%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6M L+1,200</w:t>
            </w:r>
          </w:p>
        </w:tc>
        <w:tc>
          <w:tcPr>
            <w:tcW w:w="660" w:type="dxa"/>
            <w:vAlign w:val="bottom"/>
          </w:tcPr>
          <w:p>
            <w:pPr>
              <w:jc w:val="right"/>
              <w:spacing w:after="0"/>
              <w:rPr>
                <w:sz w:val="20"/>
                <w:szCs w:val="20"/>
                <w:color w:val="auto"/>
              </w:rPr>
            </w:pPr>
            <w:r>
              <w:rPr>
                <w:rFonts w:ascii="Arial" w:cs="Arial" w:eastAsia="Arial" w:hAnsi="Arial"/>
                <w:sz w:val="12"/>
                <w:szCs w:val="12"/>
                <w:color w:val="auto"/>
              </w:rPr>
              <w:t>76,500,000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76,500,000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83,516,878</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Pathway Partners Vet Management LLC</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10/10/2025</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9.87%</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7,634,259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7,577,518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7,557,917</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980" w:type="dxa"/>
            <w:vAlign w:val="bottom"/>
          </w:tcPr>
          <w:p>
            <w:pPr>
              <w:ind w:left="180"/>
              <w:spacing w:after="0"/>
              <w:rPr>
                <w:sz w:val="20"/>
                <w:szCs w:val="20"/>
                <w:color w:val="auto"/>
              </w:rPr>
            </w:pPr>
            <w:r>
              <w:rPr>
                <w:rFonts w:ascii="Arial" w:cs="Arial" w:eastAsia="Arial" w:hAnsi="Arial"/>
                <w:sz w:val="12"/>
                <w:szCs w:val="12"/>
                <w:color w:val="auto"/>
              </w:rPr>
              <w:t>10/10/2025</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4,365,741</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(43,657)</w:t>
            </w: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Pre-Paid Legal Services, Inc.</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07/01/2020</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10.88%</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42,506,857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42,750,000</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PT Network, LLC</w:t>
            </w:r>
          </w:p>
        </w:tc>
        <w:tc>
          <w:tcPr>
            <w:tcW w:w="980" w:type="dxa"/>
            <w:vAlign w:val="bottom"/>
          </w:tcPr>
          <w:p>
            <w:pPr>
              <w:ind w:left="180"/>
              <w:spacing w:after="0"/>
              <w:rPr>
                <w:sz w:val="20"/>
                <w:szCs w:val="20"/>
                <w:color w:val="auto"/>
              </w:rPr>
            </w:pPr>
            <w:r>
              <w:rPr>
                <w:rFonts w:ascii="Arial" w:cs="Arial" w:eastAsia="Arial" w:hAnsi="Arial"/>
                <w:sz w:val="12"/>
                <w:szCs w:val="12"/>
                <w:color w:val="auto"/>
              </w:rPr>
              <w:t>04/12/2023</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11.71%</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tcPr>
          <w:p>
            <w:pPr>
              <w:jc w:val="right"/>
              <w:spacing w:after="0"/>
              <w:rPr>
                <w:sz w:val="20"/>
                <w:szCs w:val="20"/>
                <w:color w:val="auto"/>
              </w:rPr>
            </w:pPr>
            <w:r>
              <w:rPr>
                <w:rFonts w:ascii="Arial" w:cs="Arial" w:eastAsia="Arial" w:hAnsi="Arial"/>
                <w:sz w:val="12"/>
                <w:szCs w:val="12"/>
                <w:color w:val="auto"/>
              </w:rPr>
              <w:t>41,666,667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40,904,881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41,250,000</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04/12/2023</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8,333,333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(83,333)</w:t>
            </w:r>
          </w:p>
        </w:tc>
      </w:tr>
      <w:tr>
        <w:trPr>
          <w:trHeight w:val="155"/>
        </w:trPr>
        <w:tc>
          <w:tcPr>
            <w:tcW w:w="2860" w:type="dxa"/>
            <w:vAlign w:val="bottom"/>
          </w:tcPr>
          <w:p>
            <w:pPr>
              <w:spacing w:after="0"/>
              <w:rPr>
                <w:sz w:val="20"/>
                <w:szCs w:val="20"/>
                <w:color w:val="auto"/>
              </w:rPr>
            </w:pPr>
            <w:r>
              <w:rPr>
                <w:rFonts w:ascii="Arial" w:cs="Arial" w:eastAsia="Arial" w:hAnsi="Arial"/>
                <w:sz w:val="12"/>
                <w:szCs w:val="12"/>
                <w:color w:val="auto"/>
              </w:rPr>
              <w:t>Shift4 Payments, LLC (f/k/a Lighthouse</w:t>
            </w:r>
          </w:p>
        </w:tc>
        <w:tc>
          <w:tcPr>
            <w:tcW w:w="980" w:type="dxa"/>
            <w:vAlign w:val="bottom"/>
          </w:tcPr>
          <w:p>
            <w:pPr>
              <w:ind w:left="180"/>
              <w:spacing w:after="0"/>
              <w:rPr>
                <w:sz w:val="20"/>
                <w:szCs w:val="20"/>
                <w:color w:val="auto"/>
              </w:rPr>
            </w:pPr>
            <w:r>
              <w:rPr>
                <w:rFonts w:ascii="Arial" w:cs="Arial" w:eastAsia="Arial" w:hAnsi="Arial"/>
                <w:sz w:val="12"/>
                <w:szCs w:val="12"/>
                <w:color w:val="auto"/>
              </w:rPr>
              <w:t>11/28/2025</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10.38%</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21,785,817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21,917,500</w:t>
            </w:r>
          </w:p>
        </w:tc>
        <w:tc>
          <w:tcPr>
            <w:tcW w:w="100" w:type="dxa"/>
            <w:vAlign w:val="bottom"/>
          </w:tcPr>
          <w:p>
            <w:pPr>
              <w:spacing w:after="0"/>
              <w:rPr>
                <w:sz w:val="13"/>
                <w:szCs w:val="13"/>
                <w:color w:val="auto"/>
              </w:rPr>
            </w:pPr>
          </w:p>
        </w:tc>
      </w:tr>
      <w:tr>
        <w:trPr>
          <w:trHeight w:val="141"/>
        </w:trPr>
        <w:tc>
          <w:tcPr>
            <w:tcW w:w="2860" w:type="dxa"/>
            <w:vAlign w:val="bottom"/>
          </w:tcPr>
          <w:p>
            <w:pPr>
              <w:ind w:left="140"/>
              <w:spacing w:after="0"/>
              <w:rPr>
                <w:sz w:val="20"/>
                <w:szCs w:val="20"/>
                <w:color w:val="auto"/>
              </w:rPr>
            </w:pPr>
            <w:r>
              <w:rPr>
                <w:rFonts w:ascii="Arial" w:cs="Arial" w:eastAsia="Arial" w:hAnsi="Arial"/>
                <w:sz w:val="12"/>
                <w:szCs w:val="12"/>
                <w:color w:val="auto"/>
              </w:rPr>
              <w:t>Network, LLC)</w:t>
            </w: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Veritext Corp.</w:t>
            </w:r>
          </w:p>
        </w:tc>
        <w:tc>
          <w:tcPr>
            <w:tcW w:w="980" w:type="dxa"/>
            <w:vAlign w:val="bottom"/>
            <w:shd w:val="clear" w:color="auto" w:fill="CCECFF"/>
          </w:tcPr>
          <w:p>
            <w:pPr>
              <w:ind w:left="180"/>
              <w:spacing w:after="0"/>
              <w:rPr>
                <w:sz w:val="20"/>
                <w:szCs w:val="20"/>
                <w:color w:val="auto"/>
              </w:rPr>
            </w:pPr>
            <w:r>
              <w:rPr>
                <w:rFonts w:ascii="Arial" w:cs="Arial" w:eastAsia="Arial" w:hAnsi="Arial"/>
                <w:sz w:val="12"/>
                <w:szCs w:val="12"/>
                <w:color w:val="auto"/>
              </w:rPr>
              <w:t>01/30/2023</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18,834,375</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18,384,530</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18,834,374</w:t>
            </w:r>
          </w:p>
        </w:tc>
        <w:tc>
          <w:tcPr>
            <w:tcW w:w="100" w:type="dxa"/>
            <w:vAlign w:val="bottom"/>
            <w:shd w:val="clear" w:color="auto" w:fill="CCECFF"/>
          </w:tcPr>
          <w:p>
            <w:pPr>
              <w:spacing w:after="0"/>
              <w:rPr>
                <w:sz w:val="12"/>
                <w:szCs w:val="12"/>
                <w:color w:val="auto"/>
              </w:rPr>
            </w:pPr>
          </w:p>
        </w:tc>
      </w:tr>
      <w:tr>
        <w:trPr>
          <w:trHeight w:val="142"/>
        </w:trPr>
        <w:tc>
          <w:tcPr>
            <w:tcW w:w="286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360,102,775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368,558,287</w:t>
            </w:r>
          </w:p>
        </w:tc>
        <w:tc>
          <w:tcPr>
            <w:tcW w:w="100" w:type="dxa"/>
            <w:vAlign w:val="bottom"/>
          </w:tcPr>
          <w:p>
            <w:pPr>
              <w:spacing w:after="0"/>
              <w:rPr>
                <w:sz w:val="12"/>
                <w:szCs w:val="12"/>
                <w:color w:val="auto"/>
              </w:rPr>
            </w:pPr>
          </w:p>
        </w:tc>
      </w:tr>
      <w:tr>
        <w:trPr>
          <w:trHeight w:val="142"/>
        </w:trPr>
        <w:tc>
          <w:tcPr>
            <w:tcW w:w="28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Notes—5.0%</w:t>
            </w:r>
          </w:p>
        </w:tc>
        <w:tc>
          <w:tcPr>
            <w:tcW w:w="980" w:type="dxa"/>
            <w:vAlign w:val="bottom"/>
            <w:tcBorders>
              <w:top w:val="single" w:sz="8" w:color="CCECFF"/>
            </w:tcBorders>
            <w:shd w:val="clear" w:color="auto" w:fill="CCECFF"/>
          </w:tcPr>
          <w:p>
            <w:pPr>
              <w:spacing w:after="0"/>
              <w:rPr>
                <w:sz w:val="12"/>
                <w:szCs w:val="12"/>
                <w:color w:val="auto"/>
              </w:rPr>
            </w:pPr>
          </w:p>
        </w:tc>
        <w:tc>
          <w:tcPr>
            <w:tcW w:w="25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9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Cascade Environmental LLC</w:t>
            </w:r>
          </w:p>
        </w:tc>
        <w:tc>
          <w:tcPr>
            <w:tcW w:w="980" w:type="dxa"/>
            <w:vAlign w:val="bottom"/>
          </w:tcPr>
          <w:p>
            <w:pPr>
              <w:ind w:left="180"/>
              <w:spacing w:after="0"/>
              <w:rPr>
                <w:sz w:val="20"/>
                <w:szCs w:val="20"/>
                <w:color w:val="auto"/>
              </w:rPr>
            </w:pPr>
            <w:r>
              <w:rPr>
                <w:rFonts w:ascii="Arial" w:cs="Arial" w:eastAsia="Arial" w:hAnsi="Arial"/>
                <w:sz w:val="12"/>
                <w:szCs w:val="12"/>
                <w:color w:val="auto"/>
              </w:rPr>
              <w:t>08/20/2021</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14.00%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33,696,872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33,233,494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32,348,997</w:t>
            </w:r>
          </w:p>
        </w:tc>
        <w:tc>
          <w:tcPr>
            <w:tcW w:w="100" w:type="dxa"/>
            <w:vAlign w:val="bottom"/>
          </w:tcPr>
          <w:p>
            <w:pPr>
              <w:spacing w:after="0"/>
              <w:rPr>
                <w:sz w:val="12"/>
                <w:szCs w:val="12"/>
                <w:color w:val="auto"/>
              </w:rPr>
            </w:pPr>
          </w:p>
        </w:tc>
      </w:tr>
      <w:tr>
        <w:trPr>
          <w:trHeight w:val="142"/>
        </w:trPr>
        <w:tc>
          <w:tcPr>
            <w:tcW w:w="2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color w:val="auto"/>
              </w:rPr>
              <w:t>(PIK 12.00%)</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Equity/Partnership Interests—0.7% </w:t>
            </w:r>
            <w:r>
              <w:rPr>
                <w:rFonts w:ascii="Arial" w:cs="Arial" w:eastAsia="Arial" w:hAnsi="Arial"/>
                <w:sz w:val="9"/>
                <w:szCs w:val="9"/>
                <w:b w:val="1"/>
                <w:bCs w:val="1"/>
                <w:color w:val="auto"/>
              </w:rPr>
              <w:t>(6)</w:t>
            </w:r>
          </w:p>
        </w:tc>
        <w:tc>
          <w:tcPr>
            <w:tcW w:w="98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AH Holdings, Inc.</w:t>
            </w:r>
          </w:p>
        </w:tc>
        <w:tc>
          <w:tcPr>
            <w:tcW w:w="980" w:type="dxa"/>
            <w:vAlign w:val="bottom"/>
          </w:tcPr>
          <w:p>
            <w:pPr>
              <w:ind w:left="44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6.00%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211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582,040</w:t>
            </w:r>
          </w:p>
        </w:tc>
        <w:tc>
          <w:tcPr>
            <w:tcW w:w="100" w:type="dxa"/>
            <w:vAlign w:val="bottom"/>
          </w:tcPr>
          <w:p>
            <w:pPr>
              <w:spacing w:after="0"/>
              <w:rPr>
                <w:sz w:val="12"/>
                <w:szCs w:val="12"/>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80" w:type="dxa"/>
            <w:vAlign w:val="bottom"/>
            <w:shd w:val="clear" w:color="auto" w:fill="CCECFF"/>
          </w:tcPr>
          <w:p>
            <w:pPr>
              <w:ind w:left="44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949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949,050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1,400,905</w:t>
            </w:r>
          </w:p>
        </w:tc>
        <w:tc>
          <w:tcPr>
            <w:tcW w:w="100" w:type="dxa"/>
            <w:vAlign w:val="bottom"/>
            <w:shd w:val="clear" w:color="auto" w:fill="CCECFF"/>
          </w:tcPr>
          <w:p>
            <w:pPr>
              <w:spacing w:after="0"/>
              <w:rPr>
                <w:sz w:val="12"/>
                <w:szCs w:val="12"/>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980" w:type="dxa"/>
            <w:vAlign w:val="bottom"/>
          </w:tcPr>
          <w:p>
            <w:pPr>
              <w:ind w:left="44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64,277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64,277</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980" w:type="dxa"/>
            <w:vAlign w:val="bottom"/>
            <w:shd w:val="clear" w:color="auto" w:fill="CCECFF"/>
          </w:tcPr>
          <w:p>
            <w:pPr>
              <w:ind w:left="44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491,723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491,723</w:t>
            </w:r>
          </w:p>
        </w:tc>
        <w:tc>
          <w:tcPr>
            <w:tcW w:w="100" w:type="dxa"/>
            <w:vAlign w:val="bottom"/>
            <w:shd w:val="clear" w:color="auto" w:fill="CCECFF"/>
          </w:tcPr>
          <w:p>
            <w:pPr>
              <w:spacing w:after="0"/>
              <w:rPr>
                <w:sz w:val="12"/>
                <w:szCs w:val="12"/>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HW Holdco, LLC</w:t>
            </w:r>
          </w:p>
        </w:tc>
        <w:tc>
          <w:tcPr>
            <w:tcW w:w="980" w:type="dxa"/>
            <w:vAlign w:val="bottom"/>
          </w:tcPr>
          <w:p>
            <w:pPr>
              <w:ind w:left="44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3,591</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25,264</w:t>
            </w:r>
          </w:p>
        </w:tc>
        <w:tc>
          <w:tcPr>
            <w:tcW w:w="100" w:type="dxa"/>
            <w:vAlign w:val="bottom"/>
          </w:tcPr>
          <w:p>
            <w:pPr>
              <w:spacing w:after="0"/>
              <w:rPr>
                <w:sz w:val="12"/>
                <w:szCs w:val="12"/>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Roto Holdings, Inc.</w:t>
            </w:r>
          </w:p>
        </w:tc>
        <w:tc>
          <w:tcPr>
            <w:tcW w:w="980" w:type="dxa"/>
            <w:vAlign w:val="bottom"/>
            <w:shd w:val="clear" w:color="auto" w:fill="CCECFF"/>
          </w:tcPr>
          <w:p>
            <w:pPr>
              <w:ind w:left="44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1,197</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1,197,000</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1,608,385</w:t>
            </w:r>
          </w:p>
        </w:tc>
        <w:tc>
          <w:tcPr>
            <w:tcW w:w="100" w:type="dxa"/>
            <w:vAlign w:val="bottom"/>
            <w:shd w:val="clear" w:color="auto" w:fill="CCECFF"/>
          </w:tcPr>
          <w:p>
            <w:pPr>
              <w:spacing w:after="0"/>
              <w:rPr>
                <w:sz w:val="12"/>
                <w:szCs w:val="12"/>
                <w:color w:val="auto"/>
              </w:rPr>
            </w:pPr>
          </w:p>
        </w:tc>
      </w:tr>
      <w:tr>
        <w:trPr>
          <w:trHeight w:val="142"/>
        </w:trPr>
        <w:tc>
          <w:tcPr>
            <w:tcW w:w="286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3,202,050</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4,172,594</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Maturity /</w:t>
            </w: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Expiration</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Interests/Warrants—7.3% </w:t>
            </w:r>
            <w:r>
              <w:rPr>
                <w:rFonts w:ascii="Arial" w:cs="Arial" w:eastAsia="Arial" w:hAnsi="Arial"/>
                <w:sz w:val="9"/>
                <w:szCs w:val="9"/>
                <w:b w:val="1"/>
                <w:bCs w:val="1"/>
                <w:color w:val="auto"/>
                <w:w w:val="91"/>
              </w:rPr>
              <w:t>(6)</w:t>
            </w:r>
          </w:p>
        </w:tc>
        <w:tc>
          <w:tcPr>
            <w:tcW w:w="980" w:type="dxa"/>
            <w:vAlign w:val="bottom"/>
            <w:tcBorders>
              <w:top w:val="single" w:sz="8" w:color="auto"/>
            </w:tcBorders>
            <w:shd w:val="clear" w:color="auto" w:fill="CCECFF"/>
          </w:tcPr>
          <w:p>
            <w:pPr>
              <w:spacing w:after="0"/>
              <w:rPr>
                <w:sz w:val="12"/>
                <w:szCs w:val="12"/>
                <w:color w:val="auto"/>
              </w:rPr>
            </w:pPr>
          </w:p>
        </w:tc>
        <w:tc>
          <w:tcPr>
            <w:tcW w:w="24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80" w:type="dxa"/>
            <w:vAlign w:val="bottom"/>
          </w:tcPr>
          <w:p>
            <w:pPr>
              <w:ind w:left="40"/>
              <w:spacing w:after="0"/>
              <w:rPr>
                <w:sz w:val="20"/>
                <w:szCs w:val="20"/>
                <w:color w:val="auto"/>
              </w:rPr>
            </w:pPr>
            <w:r>
              <w:rPr>
                <w:rFonts w:ascii="Arial" w:cs="Arial" w:eastAsia="Arial" w:hAnsi="Arial"/>
                <w:sz w:val="12"/>
                <w:szCs w:val="12"/>
                <w:color w:val="auto"/>
              </w:rPr>
              <w:t>03/23/2021</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Financial Services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1,402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980" w:type="dxa"/>
            <w:vAlign w:val="bottom"/>
          </w:tcPr>
          <w:p>
            <w:pPr>
              <w:ind w:left="40"/>
              <w:spacing w:after="0"/>
              <w:rPr>
                <w:sz w:val="20"/>
                <w:szCs w:val="20"/>
                <w:color w:val="auto"/>
              </w:rPr>
            </w:pPr>
            <w:r>
              <w:rPr>
                <w:rFonts w:ascii="Arial" w:cs="Arial" w:eastAsia="Arial" w:hAnsi="Arial"/>
                <w:sz w:val="12"/>
                <w:szCs w:val="12"/>
                <w:color w:val="auto"/>
              </w:rPr>
              <w:t>05/05/2026</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Education</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933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1,643,285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Broadcasting and Entertainment</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Cardinal Logistics Holdings LLC</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Cargo Transport</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3,950,525</w:t>
            </w:r>
          </w:p>
        </w:tc>
        <w:tc>
          <w:tcPr>
            <w:tcW w:w="100" w:type="dxa"/>
            <w:vAlign w:val="bottom"/>
          </w:tcPr>
          <w:p>
            <w:pPr>
              <w:spacing w:after="0"/>
              <w:rPr>
                <w:sz w:val="13"/>
                <w:szCs w:val="13"/>
                <w:color w:val="auto"/>
              </w:rPr>
            </w:pPr>
          </w:p>
        </w:tc>
      </w:tr>
      <w:tr>
        <w:trPr>
          <w:trHeight w:val="142"/>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(9)</w:t>
            </w:r>
          </w:p>
        </w:tc>
        <w:tc>
          <w:tcPr>
            <w:tcW w:w="9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2,518,909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853,368</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CI (Allied) Investment Holdings, LLC</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84,000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840,004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881,389</w:t>
            </w:r>
          </w:p>
        </w:tc>
        <w:tc>
          <w:tcPr>
            <w:tcW w:w="100" w:type="dxa"/>
            <w:vAlign w:val="bottom"/>
          </w:tcPr>
          <w:p>
            <w:pPr>
              <w:spacing w:after="0"/>
              <w:rPr>
                <w:sz w:val="13"/>
                <w:szCs w:val="13"/>
                <w:color w:val="auto"/>
              </w:rPr>
            </w:pPr>
          </w:p>
        </w:tc>
      </w:tr>
      <w:tr>
        <w:trPr>
          <w:trHeight w:val="141"/>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(9)</w:t>
            </w:r>
          </w:p>
        </w:tc>
        <w:tc>
          <w:tcPr>
            <w:tcW w:w="9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CI (PTN) Investment Holdings II, LLC</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333,333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98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CI (Summit) Investment Holdings LLC</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Buildings and Real Estate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1,179,510</w:t>
            </w:r>
          </w:p>
        </w:tc>
        <w:tc>
          <w:tcPr>
            <w:tcW w:w="100" w:type="dxa"/>
            <w:vAlign w:val="bottom"/>
          </w:tcPr>
          <w:p>
            <w:pPr>
              <w:spacing w:after="0"/>
              <w:rPr>
                <w:sz w:val="13"/>
                <w:szCs w:val="13"/>
                <w:color w:val="auto"/>
              </w:rPr>
            </w:pPr>
          </w:p>
        </w:tc>
      </w:tr>
      <w:tr>
        <w:trPr>
          <w:trHeight w:val="142"/>
        </w:trPr>
        <w:tc>
          <w:tcPr>
            <w:tcW w:w="3000" w:type="dxa"/>
            <w:vAlign w:val="bottom"/>
          </w:tcPr>
          <w:p>
            <w:pPr>
              <w:ind w:left="140"/>
              <w:spacing w:after="0"/>
              <w:rPr>
                <w:sz w:val="20"/>
                <w:szCs w:val="20"/>
                <w:color w:val="auto"/>
              </w:rPr>
            </w:pPr>
            <w:r>
              <w:rPr>
                <w:rFonts w:ascii="Arial" w:cs="Arial" w:eastAsia="Arial" w:hAnsi="Arial"/>
                <w:sz w:val="12"/>
                <w:szCs w:val="12"/>
                <w:color w:val="auto"/>
              </w:rPr>
              <w:t>(SFP Holdings, Inc.)</w:t>
            </w:r>
          </w:p>
        </w:tc>
        <w:tc>
          <w:tcPr>
            <w:tcW w:w="9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3,747,129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Financial Services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1,080,768</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2"/>
              </w:rPr>
              <w:t>Building Materials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927,598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HW Holdco, LLC</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2,732,404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Infogroup Parent Holdings, Inc.</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2,018,487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3,220,651</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1,071,060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Distribution</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601,032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MidOcean PPL Holdings, Corp.</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Personal, Food and Miscellaneous Services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14,000,000</w:t>
            </w:r>
          </w:p>
        </w:tc>
        <w:tc>
          <w:tcPr>
            <w:tcW w:w="100" w:type="dxa"/>
            <w:vAlign w:val="bottom"/>
          </w:tcPr>
          <w:p>
            <w:pPr>
              <w:spacing w:after="0"/>
              <w:rPr>
                <w:sz w:val="13"/>
                <w:szCs w:val="13"/>
                <w:color w:val="auto"/>
              </w:rPr>
            </w:pPr>
          </w:p>
        </w:tc>
      </w:tr>
      <w:tr>
        <w:trPr>
          <w:trHeight w:val="142"/>
        </w:trPr>
        <w:tc>
          <w:tcPr>
            <w:tcW w:w="3000" w:type="dxa"/>
            <w:vAlign w:val="bottom"/>
          </w:tcPr>
          <w:p>
            <w:pPr>
              <w:ind w:left="140"/>
              <w:spacing w:after="0"/>
              <w:rPr>
                <w:sz w:val="20"/>
                <w:szCs w:val="20"/>
                <w:color w:val="auto"/>
              </w:rPr>
            </w:pPr>
            <w:r>
              <w:rPr>
                <w:rFonts w:ascii="Arial" w:cs="Arial" w:eastAsia="Arial" w:hAnsi="Arial"/>
                <w:sz w:val="12"/>
                <w:szCs w:val="12"/>
                <w:color w:val="auto"/>
              </w:rPr>
              <w:t>(Pre-Paid Legal Services, Inc.)</w:t>
            </w:r>
          </w:p>
        </w:tc>
        <w:tc>
          <w:tcPr>
            <w:tcW w:w="9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(12)</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Insurance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100,885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1,402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Roto Holdings, Inc.</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Manufacturing / Basic Industries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2,335,734</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WBB Equity, LLC</w:t>
            </w:r>
          </w:p>
        </w:tc>
        <w:tc>
          <w:tcPr>
            <w:tcW w:w="98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647,429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(Whitney, Bradley &amp; Brown, Inc.) </w:t>
            </w:r>
            <w:r>
              <w:rPr>
                <w:rFonts w:ascii="Arial" w:cs="Arial" w:eastAsia="Arial" w:hAnsi="Arial"/>
                <w:sz w:val="9"/>
                <w:szCs w:val="9"/>
                <w:color w:val="auto"/>
              </w:rPr>
              <w:t>(9)</w:t>
            </w:r>
          </w:p>
        </w:tc>
        <w:tc>
          <w:tcPr>
            <w:tcW w:w="98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ZS Juniper L.P.</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Personal, Food and Miscellaneous Services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754,264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763,486</w:t>
            </w:r>
          </w:p>
        </w:tc>
        <w:tc>
          <w:tcPr>
            <w:tcW w:w="100" w:type="dxa"/>
            <w:vAlign w:val="bottom"/>
          </w:tcPr>
          <w:p>
            <w:pPr>
              <w:spacing w:after="0"/>
              <w:rPr>
                <w:sz w:val="13"/>
                <w:szCs w:val="13"/>
                <w:color w:val="auto"/>
              </w:rPr>
            </w:pPr>
          </w:p>
        </w:tc>
      </w:tr>
      <w:tr>
        <w:trPr>
          <w:trHeight w:val="141"/>
        </w:trPr>
        <w:tc>
          <w:tcPr>
            <w:tcW w:w="3000" w:type="dxa"/>
            <w:vAlign w:val="bottom"/>
            <w:tcBorders>
              <w:bottom w:val="single" w:sz="8" w:color="CCECFF"/>
            </w:tcBorders>
          </w:tcPr>
          <w:p>
            <w:pPr>
              <w:ind w:left="14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(9)</w:t>
            </w:r>
          </w:p>
        </w:tc>
        <w:tc>
          <w:tcPr>
            <w:tcW w:w="98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8"/>
              </w:rPr>
              <w:t>Total Common Equity/Partnership Interests/Warrants</w:t>
            </w:r>
          </w:p>
        </w:tc>
        <w:tc>
          <w:tcPr>
            <w:tcW w:w="98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35,426,796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46,656,659</w:t>
            </w:r>
          </w:p>
        </w:tc>
        <w:tc>
          <w:tcPr>
            <w:tcW w:w="100" w:type="dxa"/>
            <w:vAlign w:val="bottom"/>
            <w:shd w:val="clear" w:color="auto" w:fill="CCECFF"/>
          </w:tcPr>
          <w:p>
            <w:pPr>
              <w:spacing w:after="0"/>
              <w:rPr>
                <w:sz w:val="12"/>
                <w:szCs w:val="12"/>
                <w:color w:val="auto"/>
              </w:rPr>
            </w:pPr>
          </w:p>
        </w:tc>
      </w:tr>
      <w:tr>
        <w:trPr>
          <w:trHeight w:val="142"/>
        </w:trPr>
        <w:tc>
          <w:tcPr>
            <w:tcW w:w="398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5"/>
              </w:rPr>
              <w:t>Total Investments in Non-Controlled, Non-Affiliated Portfolio Companies</w:t>
            </w: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705,364,389</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728,195,206</w:t>
            </w:r>
          </w:p>
        </w:tc>
        <w:tc>
          <w:tcPr>
            <w:tcW w:w="100" w:type="dxa"/>
            <w:vAlign w:val="bottom"/>
            <w:tcBorders>
              <w:bottom w:val="single" w:sz="8" w:color="CCECFF"/>
            </w:tcBorders>
          </w:tcPr>
          <w:p>
            <w:pPr>
              <w:spacing w:after="0"/>
              <w:rPr>
                <w:sz w:val="12"/>
                <w:szCs w:val="12"/>
                <w:color w:val="auto"/>
              </w:rPr>
            </w:pPr>
          </w:p>
        </w:tc>
      </w:tr>
      <w:tr>
        <w:trPr>
          <w:trHeight w:val="142"/>
        </w:trPr>
        <w:tc>
          <w:tcPr>
            <w:tcW w:w="398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 xml:space="preserve">Investments in Non-Controlled, Affiliated Portfolio Companies—11.7% </w:t>
            </w:r>
            <w:r>
              <w:rPr>
                <w:rFonts w:ascii="Arial" w:cs="Arial" w:eastAsia="Arial" w:hAnsi="Arial"/>
                <w:sz w:val="9"/>
                <w:szCs w:val="9"/>
                <w:b w:val="1"/>
                <w:bCs w:val="1"/>
                <w:color w:val="auto"/>
                <w:w w:val="92"/>
              </w:rPr>
              <w:t>(1), (2)</w:t>
            </w: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b w:val="1"/>
                <w:bCs w:val="1"/>
                <w:color w:val="auto"/>
              </w:rPr>
              <w:t>First Lien Secured Debt—1.9%</w:t>
            </w:r>
          </w:p>
        </w:tc>
        <w:tc>
          <w:tcPr>
            <w:tcW w:w="9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w:t>
            </w:r>
          </w:p>
        </w:tc>
        <w:tc>
          <w:tcPr>
            <w:tcW w:w="980" w:type="dxa"/>
            <w:vAlign w:val="bottom"/>
            <w:shd w:val="clear" w:color="auto" w:fill="CCECFF"/>
          </w:tcPr>
          <w:p>
            <w:pPr>
              <w:ind w:left="40"/>
              <w:spacing w:after="0"/>
              <w:rPr>
                <w:sz w:val="20"/>
                <w:szCs w:val="20"/>
                <w:color w:val="auto"/>
              </w:rPr>
            </w:pPr>
            <w:r>
              <w:rPr>
                <w:rFonts w:ascii="Arial" w:cs="Arial" w:eastAsia="Arial" w:hAnsi="Arial"/>
                <w:sz w:val="12"/>
                <w:szCs w:val="12"/>
                <w:color w:val="auto"/>
              </w:rPr>
              <w:t>02/02/2022</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10.65%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10,256,131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10,185,372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10,256,131</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U.S. Well Services, LLC (Revolver)</w:t>
            </w:r>
          </w:p>
        </w:tc>
        <w:tc>
          <w:tcPr>
            <w:tcW w:w="980" w:type="dxa"/>
            <w:vAlign w:val="bottom"/>
          </w:tcPr>
          <w:p>
            <w:pPr>
              <w:ind w:left="40"/>
              <w:spacing w:after="0"/>
              <w:rPr>
                <w:sz w:val="20"/>
                <w:szCs w:val="20"/>
                <w:color w:val="auto"/>
              </w:rPr>
            </w:pPr>
            <w:r>
              <w:rPr>
                <w:rFonts w:ascii="Arial" w:cs="Arial" w:eastAsia="Arial" w:hAnsi="Arial"/>
                <w:sz w:val="12"/>
                <w:szCs w:val="12"/>
                <w:color w:val="auto"/>
              </w:rPr>
              <w:t>02/02/2022</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7.65%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rPr>
                <w:sz w:val="20"/>
                <w:szCs w:val="20"/>
                <w:color w:val="auto"/>
              </w:rPr>
            </w:pPr>
            <w:r>
              <w:rPr>
                <w:rFonts w:ascii="Arial" w:cs="Arial" w:eastAsia="Arial" w:hAnsi="Arial"/>
                <w:sz w:val="12"/>
                <w:szCs w:val="12"/>
                <w:color w:val="auto"/>
              </w:rPr>
              <w:t>1,680,528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1,680,528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1,680,528</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980" w:type="dxa"/>
            <w:vAlign w:val="bottom"/>
            <w:shd w:val="clear" w:color="auto" w:fill="CCECFF"/>
          </w:tcPr>
          <w:p>
            <w:pPr>
              <w:ind w:left="40"/>
              <w:spacing w:after="0"/>
              <w:rPr>
                <w:sz w:val="20"/>
                <w:szCs w:val="20"/>
                <w:color w:val="auto"/>
              </w:rPr>
            </w:pPr>
            <w:r>
              <w:rPr>
                <w:rFonts w:ascii="Arial" w:cs="Arial" w:eastAsia="Arial" w:hAnsi="Arial"/>
                <w:sz w:val="12"/>
                <w:szCs w:val="12"/>
                <w:color w:val="auto"/>
              </w:rPr>
              <w:t>02/02/2022</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511,893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8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11,865,900</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11,936,659</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Interests/Warrants—9.8% </w:t>
            </w:r>
            <w:r>
              <w:rPr>
                <w:rFonts w:ascii="Arial" w:cs="Arial" w:eastAsia="Arial" w:hAnsi="Arial"/>
                <w:sz w:val="9"/>
                <w:szCs w:val="9"/>
                <w:b w:val="1"/>
                <w:bCs w:val="1"/>
                <w:color w:val="auto"/>
                <w:w w:val="91"/>
              </w:rPr>
              <w:t>(6)</w:t>
            </w:r>
          </w:p>
        </w:tc>
        <w:tc>
          <w:tcPr>
            <w:tcW w:w="98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17,867,050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10,265,973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44,498</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Big Run, Inc.</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143,668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674,943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674,943</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1,658,389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29,711,576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31,896,700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ETX Energy Management Company, LLC</w:t>
            </w:r>
          </w:p>
        </w:tc>
        <w:tc>
          <w:tcPr>
            <w:tcW w:w="980" w:type="dxa"/>
            <w:vAlign w:val="bottom"/>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1,754,104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1,556,086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1,676,319</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USWS Holdings, LLC - Class A and Class B </w:t>
            </w:r>
            <w:r>
              <w:rPr>
                <w:rFonts w:ascii="Arial" w:cs="Arial" w:eastAsia="Arial" w:hAnsi="Arial"/>
                <w:sz w:val="9"/>
                <w:szCs w:val="9"/>
                <w:color w:val="auto"/>
              </w:rPr>
              <w:t>(9)</w:t>
            </w:r>
          </w:p>
        </w:tc>
        <w:tc>
          <w:tcPr>
            <w:tcW w:w="98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8,190,817</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10,805,833</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w w:val="98"/>
              </w:rPr>
              <w:t>Total Common Equity/Partnership Interests/Warrants</w:t>
            </w:r>
          </w:p>
        </w:tc>
        <w:tc>
          <w:tcPr>
            <w:tcW w:w="98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79,735,821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62,965,343</w:t>
            </w:r>
          </w:p>
        </w:tc>
        <w:tc>
          <w:tcPr>
            <w:tcW w:w="100" w:type="dxa"/>
            <w:vAlign w:val="bottom"/>
            <w:tcBorders>
              <w:bottom w:val="single" w:sz="8" w:color="CCECFF"/>
            </w:tcBorders>
          </w:tcPr>
          <w:p>
            <w:pPr>
              <w:spacing w:after="0"/>
              <w:rPr>
                <w:sz w:val="12"/>
                <w:szCs w:val="12"/>
                <w:color w:val="auto"/>
              </w:rPr>
            </w:pPr>
          </w:p>
        </w:tc>
      </w:tr>
      <w:tr>
        <w:trPr>
          <w:trHeight w:val="142"/>
        </w:trPr>
        <w:tc>
          <w:tcPr>
            <w:tcW w:w="398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91,601,721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74,902,002</w:t>
            </w:r>
          </w:p>
        </w:tc>
        <w:tc>
          <w:tcPr>
            <w:tcW w:w="100" w:type="dxa"/>
            <w:vAlign w:val="bottom"/>
            <w:shd w:val="clear" w:color="auto" w:fill="CCECFF"/>
          </w:tcPr>
          <w:p>
            <w:pPr>
              <w:spacing w:after="0"/>
              <w:rPr>
                <w:sz w:val="12"/>
                <w:szCs w:val="12"/>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360" w:type="dxa"/>
            <w:vAlign w:val="bottom"/>
          </w:tcPr>
          <w:p>
            <w:pPr>
              <w:spacing w:after="0"/>
              <w:rPr>
                <w:sz w:val="11"/>
                <w:szCs w:val="11"/>
                <w:color w:val="auto"/>
              </w:rPr>
            </w:pPr>
          </w:p>
        </w:tc>
        <w:tc>
          <w:tcPr>
            <w:tcW w:w="106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22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39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7"/>
              </w:rPr>
              <w:t xml:space="preserve">Investments in Controlled, Affiliated Portfolio Companies—22.6% </w:t>
            </w:r>
            <w:r>
              <w:rPr>
                <w:rFonts w:ascii="Arial" w:cs="Arial" w:eastAsia="Arial" w:hAnsi="Arial"/>
                <w:sz w:val="9"/>
                <w:szCs w:val="9"/>
                <w:b w:val="1"/>
                <w:bCs w:val="1"/>
                <w:color w:val="auto"/>
                <w:w w:val="97"/>
              </w:rPr>
              <w:t>(1), (2)</w:t>
            </w:r>
          </w:p>
        </w:tc>
        <w:tc>
          <w:tcPr>
            <w:tcW w:w="236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Debt—14.7%</w:t>
            </w: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03/13/2024</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6.35%</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L+575</w:t>
            </w:r>
          </w:p>
        </w:tc>
        <w:tc>
          <w:tcPr>
            <w:tcW w:w="2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39,051,600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39,250,316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LLC</w:t>
            </w:r>
          </w:p>
        </w:tc>
        <w:tc>
          <w:tcPr>
            <w:tcW w:w="1020" w:type="dxa"/>
            <w:vAlign w:val="bottom"/>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12/31/2018</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7.20%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L+550</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23,970,765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23,267,294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19,800,000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(PIK 7.20%)</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97,318,894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94,050,316</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Equity—2.2% </w:t>
            </w:r>
            <w:r>
              <w:rPr>
                <w:rFonts w:ascii="Arial" w:cs="Arial" w:eastAsia="Arial" w:hAnsi="Arial"/>
                <w:sz w:val="9"/>
                <w:szCs w:val="9"/>
                <w:b w:val="1"/>
                <w:bCs w:val="1"/>
                <w:color w:val="auto"/>
              </w:rPr>
              <w:t>(6)</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MidOcean JF Holdings Corp.</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spacing w:after="0"/>
              <w:rPr>
                <w:sz w:val="20"/>
                <w:szCs w:val="20"/>
                <w:color w:val="auto"/>
              </w:rPr>
            </w:pPr>
            <w:r>
              <w:rPr>
                <w:rFonts w:ascii="Arial" w:cs="Arial" w:eastAsia="Arial" w:hAnsi="Arial"/>
                <w:sz w:val="12"/>
                <w:szCs w:val="12"/>
                <w:color w:val="auto"/>
                <w:w w:val="93"/>
              </w:rPr>
              <w:t>Distribution</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153,922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15,392,189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14,302,880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792,042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27,581,026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42,973,215</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14,302,880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Equity—5.7% </w:t>
            </w:r>
            <w:r>
              <w:rPr>
                <w:rFonts w:ascii="Arial" w:cs="Arial" w:eastAsia="Arial" w:hAnsi="Arial"/>
                <w:sz w:val="9"/>
                <w:szCs w:val="9"/>
                <w:b w:val="1"/>
                <w:bCs w:val="1"/>
                <w:color w:val="auto"/>
              </w:rPr>
              <w:t>(6)</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132,497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133,171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36,356,454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103,370,067</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36,489,625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243,662,176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144,842,821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Investments—148.2%</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1,040,628,286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947,940,029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Equivalents—26.6%</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91,864,773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91,864,773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78,400,893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78,354,776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170,265,666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170,219,549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Equivalents—174.8%</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1,210,893,952</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1,118,159,578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Assets—(74.8%)</w:t>
            </w:r>
          </w:p>
        </w:tc>
        <w:tc>
          <w:tcPr>
            <w:tcW w:w="1020" w:type="dxa"/>
            <w:vAlign w:val="bottom"/>
            <w:tcBorders>
              <w:top w:val="single" w:sz="8" w:color="CCECFF"/>
            </w:tcBorders>
          </w:tcPr>
          <w:p>
            <w:pPr>
              <w:spacing w:after="0" w:line="20" w:lineRule="exact"/>
              <w:rPr>
                <w:sz w:val="1"/>
                <w:szCs w:val="1"/>
                <w:color w:val="auto"/>
              </w:rPr>
            </w:pPr>
          </w:p>
        </w:tc>
        <w:tc>
          <w:tcPr>
            <w:tcW w:w="236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(478,602,601)</w:t>
            </w: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639,556,977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020" w:type="dxa"/>
            <w:vAlign w:val="bottom"/>
            <w:tcBorders>
              <w:top w:val="single" w:sz="8" w:color="CCECFF"/>
            </w:tcBorders>
          </w:tcPr>
          <w:p>
            <w:pPr>
              <w:spacing w:after="0" w:line="20" w:lineRule="exact"/>
              <w:rPr>
                <w:sz w:val="1"/>
                <w:szCs w:val="1"/>
                <w:color w:val="auto"/>
              </w:rPr>
            </w:pPr>
          </w:p>
        </w:tc>
        <w:tc>
          <w:tcPr>
            <w:tcW w:w="236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0" w:lineRule="exact"/>
        <w:rPr>
          <w:sz w:val="20"/>
          <w:szCs w:val="20"/>
          <w:color w:val="auto"/>
        </w:rPr>
      </w:pPr>
    </w:p>
    <w:p>
      <w:pPr>
        <w:ind w:left="380" w:hanging="372"/>
        <w:spacing w:after="0" w:line="243"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120" w:hanging="372"/>
        <w:spacing w:after="0" w:line="256"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ind w:left="380" w:right="36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380" w:right="20" w:hanging="372"/>
        <w:spacing w:after="0" w:line="256"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2018, qualifying assets represent 85% of the Company’s total assets and non-qualifying assets represent 15% of the Company’s total assets.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7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Companies—131.3% </w:t>
            </w:r>
            <w:r>
              <w:rPr>
                <w:rFonts w:ascii="Arial" w:cs="Arial" w:eastAsia="Arial" w:hAnsi="Arial"/>
                <w:sz w:val="9"/>
                <w:szCs w:val="9"/>
                <w:b w:val="1"/>
                <w:bCs w:val="1"/>
                <w:color w:val="auto"/>
              </w:rPr>
              <w:t>(1), (2)</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b w:val="1"/>
                <w:bCs w:val="1"/>
                <w:color w:val="auto"/>
              </w:rPr>
              <w:t>First Lien Secured Debt—52.8%</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ACC of Tamarac,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7,481,250</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7,362,571</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7,331,625</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Allied America, Inc.</w:t>
            </w:r>
          </w:p>
        </w:tc>
        <w:tc>
          <w:tcPr>
            <w:tcW w:w="900" w:type="dxa"/>
            <w:vAlign w:val="bottom"/>
          </w:tcPr>
          <w:p>
            <w:pPr>
              <w:ind w:left="120"/>
              <w:spacing w:after="0"/>
              <w:rPr>
                <w:sz w:val="20"/>
                <w:szCs w:val="20"/>
                <w:color w:val="auto"/>
              </w:rPr>
            </w:pPr>
            <w:r>
              <w:rPr>
                <w:rFonts w:ascii="Arial" w:cs="Arial" w:eastAsia="Arial" w:hAnsi="Arial"/>
                <w:sz w:val="12"/>
                <w:szCs w:val="12"/>
                <w:color w:val="auto"/>
              </w:rPr>
              <w:t>08/08/2022</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8.32%</w:t>
            </w:r>
          </w:p>
        </w:tc>
        <w:tc>
          <w:tcPr>
            <w:tcW w:w="680" w:type="dxa"/>
            <w:vAlign w:val="bottom"/>
          </w:tcPr>
          <w:p>
            <w:pPr>
              <w:jc w:val="right"/>
              <w:spacing w:after="0"/>
              <w:rPr>
                <w:sz w:val="20"/>
                <w:szCs w:val="20"/>
                <w:color w:val="auto"/>
              </w:rPr>
            </w:pPr>
            <w:r>
              <w:rPr>
                <w:rFonts w:ascii="Arial" w:cs="Arial" w:eastAsia="Arial" w:hAnsi="Arial"/>
                <w:sz w:val="12"/>
                <w:szCs w:val="12"/>
                <w:color w:val="auto"/>
              </w:rPr>
              <w:t>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19,557,525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19,551,000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08/08/2022</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00" w:type="dxa"/>
            <w:vAlign w:val="bottom"/>
          </w:tcPr>
          <w:p>
            <w:pPr>
              <w:ind w:left="120"/>
              <w:spacing w:after="0"/>
              <w:rPr>
                <w:sz w:val="20"/>
                <w:szCs w:val="20"/>
                <w:color w:val="auto"/>
              </w:rPr>
            </w:pPr>
            <w:r>
              <w:rPr>
                <w:rFonts w:ascii="Arial" w:cs="Arial" w:eastAsia="Arial" w:hAnsi="Arial"/>
                <w:sz w:val="12"/>
                <w:szCs w:val="12"/>
                <w:color w:val="auto"/>
              </w:rPr>
              <w:t>02/13/2023</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8.83%</w:t>
            </w:r>
          </w:p>
        </w:tc>
        <w:tc>
          <w:tcPr>
            <w:tcW w:w="680" w:type="dxa"/>
            <w:vAlign w:val="bottom"/>
          </w:tcPr>
          <w:p>
            <w:pPr>
              <w:jc w:val="right"/>
              <w:spacing w:after="0"/>
              <w:rPr>
                <w:sz w:val="20"/>
                <w:szCs w:val="20"/>
                <w:color w:val="auto"/>
              </w:rPr>
            </w:pPr>
            <w:r>
              <w:rPr>
                <w:rFonts w:ascii="Arial" w:cs="Arial" w:eastAsia="Arial" w:hAnsi="Arial"/>
                <w:sz w:val="12"/>
                <w:szCs w:val="12"/>
                <w:color w:val="auto"/>
              </w:rPr>
              <w:t>L+750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19,850,000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19,573,919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19,773,923</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A</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06/03/2021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8,398,102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8,279,029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8,398,102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Broder Bros., Co., Tranche B</w:t>
            </w:r>
          </w:p>
        </w:tc>
        <w:tc>
          <w:tcPr>
            <w:tcW w:w="900" w:type="dxa"/>
            <w:vAlign w:val="bottom"/>
          </w:tcPr>
          <w:p>
            <w:pPr>
              <w:ind w:left="120"/>
              <w:spacing w:after="0"/>
              <w:rPr>
                <w:sz w:val="20"/>
                <w:szCs w:val="20"/>
                <w:color w:val="auto"/>
              </w:rPr>
            </w:pPr>
            <w:r>
              <w:rPr>
                <w:rFonts w:ascii="Arial" w:cs="Arial" w:eastAsia="Arial" w:hAnsi="Arial"/>
                <w:sz w:val="12"/>
                <w:szCs w:val="12"/>
                <w:color w:val="auto"/>
              </w:rPr>
              <w:t>06/03/2021</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13.58%</w:t>
            </w:r>
          </w:p>
        </w:tc>
        <w:tc>
          <w:tcPr>
            <w:tcW w:w="680" w:type="dxa"/>
            <w:vAlign w:val="bottom"/>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8,723,735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8,593,867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8,723,735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23,538,688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22,997,008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23,538,687</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Cano Health, LLC (Revolver)</w:t>
            </w:r>
          </w:p>
        </w:tc>
        <w:tc>
          <w:tcPr>
            <w:tcW w:w="900" w:type="dxa"/>
            <w:vAlign w:val="bottom"/>
          </w:tcPr>
          <w:p>
            <w:pPr>
              <w:ind w:left="120"/>
              <w:spacing w:after="0"/>
              <w:rPr>
                <w:sz w:val="20"/>
                <w:szCs w:val="20"/>
                <w:color w:val="auto"/>
              </w:rPr>
            </w:pPr>
            <w:r>
              <w:rPr>
                <w:rFonts w:ascii="Arial" w:cs="Arial" w:eastAsia="Arial" w:hAnsi="Arial"/>
                <w:sz w:val="12"/>
                <w:szCs w:val="12"/>
                <w:color w:val="auto"/>
              </w:rPr>
              <w:t>09/21/2018</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9.74%</w:t>
            </w:r>
          </w:p>
        </w:tc>
        <w:tc>
          <w:tcPr>
            <w:tcW w:w="680" w:type="dxa"/>
            <w:vAlign w:val="bottom"/>
          </w:tcPr>
          <w:p>
            <w:pPr>
              <w:jc w:val="right"/>
              <w:spacing w:after="0"/>
              <w:rPr>
                <w:sz w:val="20"/>
                <w:szCs w:val="20"/>
                <w:color w:val="auto"/>
              </w:rPr>
            </w:pPr>
            <w:r>
              <w:rPr>
                <w:rFonts w:ascii="Arial" w:cs="Arial" w:eastAsia="Arial" w:hAnsi="Arial"/>
                <w:sz w:val="12"/>
                <w:szCs w:val="12"/>
                <w:color w:val="auto"/>
              </w:rPr>
              <w:t>L+850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540,000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09/21/2018</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00" w:type="dxa"/>
            <w:vAlign w:val="bottom"/>
          </w:tcPr>
          <w:p>
            <w:pPr>
              <w:ind w:left="120"/>
              <w:spacing w:after="0"/>
              <w:rPr>
                <w:sz w:val="20"/>
                <w:szCs w:val="20"/>
                <w:color w:val="auto"/>
              </w:rPr>
            </w:pPr>
            <w:r>
              <w:rPr>
                <w:rFonts w:ascii="Arial" w:cs="Arial" w:eastAsia="Arial" w:hAnsi="Arial"/>
                <w:sz w:val="12"/>
                <w:szCs w:val="12"/>
                <w:color w:val="auto"/>
              </w:rPr>
              <w:t>03/03/2022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8.24%</w:t>
            </w:r>
          </w:p>
        </w:tc>
        <w:tc>
          <w:tcPr>
            <w:tcW w:w="680" w:type="dxa"/>
            <w:vAlign w:val="bottom"/>
          </w:tcPr>
          <w:p>
            <w:pPr>
              <w:jc w:val="right"/>
              <w:spacing w:after="0"/>
              <w:rPr>
                <w:sz w:val="20"/>
                <w:szCs w:val="20"/>
                <w:color w:val="auto"/>
              </w:rPr>
            </w:pPr>
            <w:r>
              <w:rPr>
                <w:rFonts w:ascii="Arial" w:cs="Arial" w:eastAsia="Arial" w:hAnsi="Arial"/>
                <w:sz w:val="12"/>
                <w:szCs w:val="12"/>
                <w:color w:val="auto"/>
              </w:rPr>
              <w:t>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9,814,043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9,938,114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19,605,736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19,600,000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(8), (12)</w:t>
            </w:r>
          </w:p>
        </w:tc>
        <w:tc>
          <w:tcPr>
            <w:tcW w:w="900" w:type="dxa"/>
            <w:vAlign w:val="bottom"/>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(80,000)</w:t>
            </w: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(8),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(80,000)</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00" w:type="dxa"/>
            <w:vAlign w:val="bottom"/>
          </w:tcPr>
          <w:p>
            <w:pPr>
              <w:ind w:left="120"/>
              <w:spacing w:after="0"/>
              <w:rPr>
                <w:sz w:val="20"/>
                <w:szCs w:val="20"/>
                <w:color w:val="auto"/>
              </w:rPr>
            </w:pPr>
            <w:r>
              <w:rPr>
                <w:rFonts w:ascii="Arial" w:cs="Arial" w:eastAsia="Arial" w:hAnsi="Arial"/>
                <w:sz w:val="12"/>
                <w:szCs w:val="12"/>
                <w:color w:val="auto"/>
              </w:rPr>
              <w:t>06/09/2023</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9.30%</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22,443,750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22,010,693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22,219,312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Home Town Cable TV,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9,806,795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Interior Specialists, Inc.</w:t>
            </w:r>
          </w:p>
        </w:tc>
        <w:tc>
          <w:tcPr>
            <w:tcW w:w="900" w:type="dxa"/>
            <w:vAlign w:val="bottom"/>
          </w:tcPr>
          <w:p>
            <w:pPr>
              <w:ind w:left="120"/>
              <w:spacing w:after="0"/>
              <w:rPr>
                <w:sz w:val="20"/>
                <w:szCs w:val="20"/>
                <w:color w:val="auto"/>
              </w:rPr>
            </w:pPr>
            <w:r>
              <w:rPr>
                <w:rFonts w:ascii="Arial" w:cs="Arial" w:eastAsia="Arial" w:hAnsi="Arial"/>
                <w:sz w:val="12"/>
                <w:szCs w:val="12"/>
                <w:color w:val="auto"/>
              </w:rPr>
              <w:t>06/30/2020</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9.25%</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24,470,390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24,323,542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24,470,390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12/22/2021</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14,083,875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13,836,409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14,083,875</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0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10.24%</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14,522,529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14,290,133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14,111,098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03/03/2022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L+918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15,953,520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16,250,000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00" w:type="dxa"/>
            <w:vAlign w:val="bottom"/>
          </w:tcPr>
          <w:p>
            <w:pPr>
              <w:ind w:left="120"/>
              <w:spacing w:after="0"/>
              <w:rPr>
                <w:sz w:val="20"/>
                <w:szCs w:val="20"/>
                <w:color w:val="auto"/>
              </w:rPr>
            </w:pPr>
            <w:r>
              <w:rPr>
                <w:rFonts w:ascii="Arial" w:cs="Arial" w:eastAsia="Arial" w:hAnsi="Arial"/>
                <w:sz w:val="12"/>
                <w:szCs w:val="12"/>
                <w:color w:val="auto"/>
              </w:rPr>
              <w:t>12/16/2019</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Mining, Steel, Iron and Non-Precious Metals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14,184,265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14,820,000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17,155,691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(8)</w:t>
            </w:r>
          </w:p>
        </w:tc>
        <w:tc>
          <w:tcPr>
            <w:tcW w:w="90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(100,000)</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 xml:space="preserve">Sunborn Oy, Sunborn Saga Oy </w:t>
            </w:r>
            <w:r>
              <w:rPr>
                <w:rFonts w:ascii="Arial" w:cs="Arial" w:eastAsia="Arial" w:hAnsi="Arial"/>
                <w:sz w:val="9"/>
                <w:szCs w:val="9"/>
                <w:color w:val="auto"/>
              </w:rPr>
              <w:t>(9), (11), (12)</w:t>
            </w:r>
          </w:p>
        </w:tc>
        <w:tc>
          <w:tcPr>
            <w:tcW w:w="900" w:type="dxa"/>
            <w:vAlign w:val="bottom"/>
          </w:tcPr>
          <w:p>
            <w:pPr>
              <w:ind w:left="120"/>
              <w:spacing w:after="0"/>
              <w:rPr>
                <w:sz w:val="20"/>
                <w:szCs w:val="20"/>
                <w:color w:val="auto"/>
              </w:rPr>
            </w:pPr>
            <w:r>
              <w:rPr>
                <w:rFonts w:ascii="Arial" w:cs="Arial" w:eastAsia="Arial" w:hAnsi="Arial"/>
                <w:sz w:val="12"/>
                <w:szCs w:val="12"/>
                <w:color w:val="auto"/>
              </w:rPr>
              <w:t>06/28/2019</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11.50%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30,150,294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31,228,529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35,821,926</w:t>
            </w: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3.50%)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12/28/2020</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24,797,823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24,446,831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24,673,834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900" w:type="dxa"/>
            <w:vAlign w:val="bottom"/>
          </w:tcPr>
          <w:p>
            <w:pPr>
              <w:ind w:left="120"/>
              <w:spacing w:after="0"/>
              <w:rPr>
                <w:sz w:val="20"/>
                <w:szCs w:val="20"/>
                <w:color w:val="auto"/>
              </w:rPr>
            </w:pPr>
            <w:r>
              <w:rPr>
                <w:rFonts w:ascii="Arial" w:cs="Arial" w:eastAsia="Arial" w:hAnsi="Arial"/>
                <w:sz w:val="12"/>
                <w:szCs w:val="12"/>
                <w:color w:val="auto"/>
              </w:rPr>
              <w:t>02/12/2020</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10.83%</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340" w:type="dxa"/>
            <w:vAlign w:val="bottom"/>
            <w:gridSpan w:val="2"/>
          </w:tcPr>
          <w:p>
            <w:pPr>
              <w:jc w:val="right"/>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16,890,936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27,246,877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22,817,525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8,564,063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8,564,063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8,135,859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0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339,371,046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341,489,005</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Debt—60.3%</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Acre Operating Company, LLC</w:t>
            </w:r>
          </w:p>
        </w:tc>
        <w:tc>
          <w:tcPr>
            <w:tcW w:w="900" w:type="dxa"/>
            <w:vAlign w:val="bottom"/>
          </w:tcPr>
          <w:p>
            <w:pPr>
              <w:ind w:left="120"/>
              <w:spacing w:after="0"/>
              <w:rPr>
                <w:sz w:val="20"/>
                <w:szCs w:val="20"/>
                <w:color w:val="auto"/>
              </w:rPr>
            </w:pPr>
            <w:r>
              <w:rPr>
                <w:rFonts w:ascii="Arial" w:cs="Arial" w:eastAsia="Arial" w:hAnsi="Arial"/>
                <w:sz w:val="12"/>
                <w:szCs w:val="12"/>
                <w:color w:val="auto"/>
              </w:rPr>
              <w:t>12/12/2023</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38,800,000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38,164,636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39,576,000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03/04/2022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28,288,480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28,500,000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DecoPac, Inc.</w:t>
            </w:r>
          </w:p>
        </w:tc>
        <w:tc>
          <w:tcPr>
            <w:tcW w:w="900" w:type="dxa"/>
            <w:vAlign w:val="bottom"/>
          </w:tcPr>
          <w:p>
            <w:pPr>
              <w:ind w:left="120"/>
              <w:spacing w:after="0"/>
              <w:rPr>
                <w:sz w:val="20"/>
                <w:szCs w:val="20"/>
                <w:color w:val="auto"/>
              </w:rPr>
            </w:pPr>
            <w:r>
              <w:rPr>
                <w:rFonts w:ascii="Arial" w:cs="Arial" w:eastAsia="Arial" w:hAnsi="Arial"/>
                <w:sz w:val="12"/>
                <w:szCs w:val="12"/>
                <w:color w:val="auto"/>
              </w:rPr>
              <w:t>03/31/2025</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9.58%</w:t>
            </w:r>
          </w:p>
        </w:tc>
        <w:tc>
          <w:tcPr>
            <w:tcW w:w="680" w:type="dxa"/>
            <w:vAlign w:val="bottom"/>
          </w:tcPr>
          <w:p>
            <w:pPr>
              <w:jc w:val="right"/>
              <w:spacing w:after="0"/>
              <w:rPr>
                <w:sz w:val="20"/>
                <w:szCs w:val="20"/>
                <w:color w:val="auto"/>
              </w:rPr>
            </w:pPr>
            <w:r>
              <w:rPr>
                <w:rFonts w:ascii="Arial" w:cs="Arial" w:eastAsia="Arial" w:hAnsi="Arial"/>
                <w:sz w:val="12"/>
                <w:szCs w:val="12"/>
                <w:color w:val="auto"/>
              </w:rPr>
              <w:t>L+825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34,790,399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34,790,000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09/30/2020</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42,937,500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41,491,290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41,220,000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5.18%)</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Infogroup, Inc.</w:t>
            </w:r>
          </w:p>
        </w:tc>
        <w:tc>
          <w:tcPr>
            <w:tcW w:w="900" w:type="dxa"/>
            <w:vAlign w:val="bottom"/>
          </w:tcPr>
          <w:p>
            <w:pPr>
              <w:ind w:left="120"/>
              <w:spacing w:after="0"/>
              <w:rPr>
                <w:sz w:val="20"/>
                <w:szCs w:val="20"/>
                <w:color w:val="auto"/>
              </w:rPr>
            </w:pPr>
            <w:r>
              <w:rPr>
                <w:rFonts w:ascii="Arial" w:cs="Arial" w:eastAsia="Arial" w:hAnsi="Arial"/>
                <w:sz w:val="12"/>
                <w:szCs w:val="12"/>
                <w:color w:val="auto"/>
              </w:rPr>
              <w:t>04/03/2024</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10.58%</w:t>
            </w:r>
          </w:p>
        </w:tc>
        <w:tc>
          <w:tcPr>
            <w:tcW w:w="680" w:type="dxa"/>
            <w:vAlign w:val="bottom"/>
          </w:tcPr>
          <w:p>
            <w:pPr>
              <w:jc w:val="right"/>
              <w:spacing w:after="0"/>
              <w:rPr>
                <w:sz w:val="20"/>
                <w:szCs w:val="20"/>
                <w:color w:val="auto"/>
              </w:rPr>
            </w:pPr>
            <w:r>
              <w:rPr>
                <w:rFonts w:ascii="Arial" w:cs="Arial" w:eastAsia="Arial" w:hAnsi="Arial"/>
                <w:sz w:val="12"/>
                <w:szCs w:val="12"/>
                <w:color w:val="auto"/>
              </w:rPr>
              <w:t>L+925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20,400,000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20,011,940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19,992,000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03/01/2019</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334,401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432,203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11.00%)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color w:val="auto"/>
              </w:rPr>
              <w:t>Lighthouse Network, LLC</w:t>
            </w:r>
          </w:p>
        </w:tc>
        <w:tc>
          <w:tcPr>
            <w:tcW w:w="900" w:type="dxa"/>
            <w:vAlign w:val="bottom"/>
          </w:tcPr>
          <w:p>
            <w:pPr>
              <w:ind w:left="120"/>
              <w:spacing w:after="0"/>
              <w:rPr>
                <w:sz w:val="20"/>
                <w:szCs w:val="20"/>
                <w:color w:val="auto"/>
              </w:rPr>
            </w:pPr>
            <w:r>
              <w:rPr>
                <w:rFonts w:ascii="Arial" w:cs="Arial" w:eastAsia="Arial" w:hAnsi="Arial"/>
                <w:sz w:val="12"/>
                <w:szCs w:val="12"/>
                <w:color w:val="auto"/>
              </w:rPr>
              <w:t>10/11/2024</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33,900,000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33,633,877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33,900,000</w:t>
            </w:r>
          </w:p>
        </w:tc>
        <w:tc>
          <w:tcPr>
            <w:tcW w:w="100" w:type="dxa"/>
            <w:vAlign w:val="bottom"/>
          </w:tcPr>
          <w:p>
            <w:pPr>
              <w:spacing w:after="0"/>
              <w:rPr>
                <w:sz w:val="12"/>
                <w:szCs w:val="12"/>
                <w:color w:val="auto"/>
              </w:rPr>
            </w:pPr>
          </w:p>
        </w:tc>
      </w:tr>
      <w:tr>
        <w:trPr>
          <w:trHeight w:val="141"/>
        </w:trPr>
        <w:tc>
          <w:tcPr>
            <w:tcW w:w="3020" w:type="dxa"/>
            <w:vAlign w:val="bottom"/>
          </w:tcPr>
          <w:p>
            <w:pPr>
              <w:ind w:left="100"/>
              <w:spacing w:after="0"/>
              <w:rPr>
                <w:sz w:val="20"/>
                <w:szCs w:val="20"/>
                <w:color w:val="auto"/>
              </w:rPr>
            </w:pPr>
            <w:r>
              <w:rPr>
                <w:rFonts w:ascii="Arial" w:cs="Arial" w:eastAsia="Arial" w:hAnsi="Arial"/>
                <w:sz w:val="12"/>
                <w:szCs w:val="12"/>
                <w:color w:val="auto"/>
              </w:rPr>
              <w:t>(f/k/a Harbortouch Payments, LLC)</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10/22/2021</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26,425,000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26,004,601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26,689,250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900" w:type="dxa"/>
            <w:vAlign w:val="bottom"/>
          </w:tcPr>
          <w:p>
            <w:pPr>
              <w:ind w:left="120"/>
              <w:spacing w:after="0"/>
              <w:rPr>
                <w:sz w:val="20"/>
                <w:szCs w:val="20"/>
                <w:color w:val="auto"/>
              </w:rPr>
            </w:pPr>
            <w:r>
              <w:rPr>
                <w:rFonts w:ascii="Arial" w:cs="Arial" w:eastAsia="Arial" w:hAnsi="Arial"/>
                <w:sz w:val="12"/>
                <w:szCs w:val="12"/>
                <w:color w:val="auto"/>
              </w:rPr>
              <w:t>12/17/2021</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13.24%</w:t>
            </w:r>
          </w:p>
        </w:tc>
        <w:tc>
          <w:tcPr>
            <w:tcW w:w="680" w:type="dxa"/>
            <w:vAlign w:val="bottom"/>
          </w:tcPr>
          <w:p>
            <w:pPr>
              <w:jc w:val="right"/>
              <w:spacing w:after="0"/>
              <w:rPr>
                <w:sz w:val="20"/>
                <w:szCs w:val="20"/>
                <w:color w:val="auto"/>
              </w:rPr>
            </w:pPr>
            <w:r>
              <w:rPr>
                <w:rFonts w:ascii="Arial" w:cs="Arial" w:eastAsia="Arial" w:hAnsi="Arial"/>
                <w:sz w:val="12"/>
                <w:szCs w:val="12"/>
                <w:color w:val="auto"/>
              </w:rPr>
              <w:t>L+1,200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76,500,000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76,500,000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83,295,634</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Pre-Paid Legal Services,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07/01/2020</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62,750,000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62,291,419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62,985,313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Veritext Corp.</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01/30/2023</w:t>
            </w:r>
          </w:p>
        </w:tc>
        <w:tc>
          <w:tcPr>
            <w:tcW w:w="27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10.33%</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9"/>
              </w:rPr>
              <w:t>18,834,375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18,351,647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18,646,031</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379,862,690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390,026,431</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Subordinated Debt/Corporate Notes—10.6%</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32,675,553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32,158,389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31,940,353</w:t>
            </w:r>
          </w:p>
        </w:tc>
        <w:tc>
          <w:tcPr>
            <w:tcW w:w="10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Credit Infonet, Inc.</w:t>
            </w:r>
          </w:p>
        </w:tc>
        <w:tc>
          <w:tcPr>
            <w:tcW w:w="900" w:type="dxa"/>
            <w:vAlign w:val="bottom"/>
          </w:tcPr>
          <w:p>
            <w:pPr>
              <w:ind w:left="120"/>
              <w:spacing w:after="0"/>
              <w:rPr>
                <w:sz w:val="20"/>
                <w:szCs w:val="20"/>
                <w:color w:val="auto"/>
              </w:rPr>
            </w:pPr>
            <w:r>
              <w:rPr>
                <w:rFonts w:ascii="Arial" w:cs="Arial" w:eastAsia="Arial" w:hAnsi="Arial"/>
                <w:sz w:val="12"/>
                <w:szCs w:val="12"/>
                <w:color w:val="auto"/>
              </w:rPr>
              <w:t>10/26/2020</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11,151,903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10,939,903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11,151,903</w:t>
            </w:r>
          </w:p>
        </w:tc>
        <w:tc>
          <w:tcPr>
            <w:tcW w:w="10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02/19/2018</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20.50%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L+1,600</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9,112,485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13,280,807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12,225,783</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12.00%)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Sonny’s Enterprises, LLC</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06/01/2023</w:t>
            </w:r>
          </w:p>
        </w:tc>
        <w:tc>
          <w:tcPr>
            <w:tcW w:w="278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11.00%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9"/>
              </w:rPr>
              <w:t>13,300,000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13,055,456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13,300,000</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69,434,555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68,618,039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Interests—0.9%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AH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327,380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Alegeus Technologies Holdings Corp.</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949,050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1,144,391</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Convergint Technologies Holdings, LLC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2,088,121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2,552,034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HW Holdco, LLC</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24,971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Roto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1,197,000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1,537,236</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4,734,171</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5,586,012</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Maturity /</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Interests/Warrants—6.7% </w:t>
            </w:r>
            <w:r>
              <w:rPr>
                <w:rFonts w:ascii="Arial" w:cs="Arial" w:eastAsia="Arial" w:hAnsi="Arial"/>
                <w:sz w:val="9"/>
                <w:szCs w:val="9"/>
                <w:b w:val="1"/>
                <w:bCs w:val="1"/>
                <w:color w:val="auto"/>
                <w:w w:val="93"/>
              </w:rPr>
              <w:t>(6)</w:t>
            </w:r>
          </w:p>
        </w:tc>
        <w:tc>
          <w:tcPr>
            <w:tcW w:w="880" w:type="dxa"/>
            <w:vAlign w:val="bottom"/>
            <w:tcBorders>
              <w:top w:val="single" w:sz="8" w:color="auto"/>
            </w:tcBorders>
            <w:shd w:val="clear" w:color="auto" w:fill="CCECFF"/>
          </w:tcPr>
          <w:p>
            <w:pPr>
              <w:spacing w:after="0"/>
              <w:rPr>
                <w:sz w:val="12"/>
                <w:szCs w:val="12"/>
                <w:color w:val="auto"/>
              </w:rPr>
            </w:pPr>
          </w:p>
        </w:tc>
        <w:tc>
          <w:tcPr>
            <w:tcW w:w="25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880" w:type="dxa"/>
            <w:vAlign w:val="bottom"/>
          </w:tcPr>
          <w:p>
            <w:pPr>
              <w:ind w:left="60"/>
              <w:spacing w:after="0"/>
              <w:rPr>
                <w:sz w:val="20"/>
                <w:szCs w:val="20"/>
                <w:color w:val="auto"/>
              </w:rPr>
            </w:pPr>
            <w:r>
              <w:rPr>
                <w:rFonts w:ascii="Arial" w:cs="Arial" w:eastAsia="Arial" w:hAnsi="Arial"/>
                <w:sz w:val="12"/>
                <w:szCs w:val="12"/>
                <w:color w:val="auto"/>
              </w:rPr>
              <w:t>03/23/2021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1,146</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880" w:type="dxa"/>
            <w:vAlign w:val="bottom"/>
          </w:tcPr>
          <w:p>
            <w:pPr>
              <w:ind w:left="60"/>
              <w:spacing w:after="0"/>
              <w:rPr>
                <w:sz w:val="20"/>
                <w:szCs w:val="20"/>
                <w:color w:val="auto"/>
              </w:rPr>
            </w:pPr>
            <w:r>
              <w:rPr>
                <w:rFonts w:ascii="Arial" w:cs="Arial" w:eastAsia="Arial" w:hAnsi="Arial"/>
                <w:sz w:val="12"/>
                <w:szCs w:val="12"/>
                <w:color w:val="auto"/>
              </w:rPr>
              <w:t>05/05/2026</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Education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933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1,752,663</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Broadcasting and Entertainment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Cargo Transport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3,688,211</w:t>
            </w:r>
          </w:p>
        </w:tc>
        <w:tc>
          <w:tcPr>
            <w:tcW w:w="100" w:type="dxa"/>
            <w:vAlign w:val="bottom"/>
          </w:tcPr>
          <w:p>
            <w:pPr>
              <w:spacing w:after="0"/>
              <w:rPr>
                <w:sz w:val="12"/>
                <w:szCs w:val="12"/>
                <w:color w:val="auto"/>
              </w:rPr>
            </w:pPr>
          </w:p>
        </w:tc>
      </w:tr>
      <w:tr>
        <w:trPr>
          <w:trHeight w:val="141"/>
        </w:trPr>
        <w:tc>
          <w:tcPr>
            <w:tcW w:w="3060" w:type="dxa"/>
            <w:vAlign w:val="bottom"/>
          </w:tcPr>
          <w:p>
            <w:pPr>
              <w:ind w:left="100"/>
              <w:spacing w:after="0"/>
              <w:rPr>
                <w:sz w:val="20"/>
                <w:szCs w:val="20"/>
                <w:color w:val="auto"/>
              </w:rPr>
            </w:pPr>
            <w:r>
              <w:rPr>
                <w:rFonts w:ascii="Arial" w:cs="Arial" w:eastAsia="Arial" w:hAnsi="Arial"/>
                <w:sz w:val="12"/>
                <w:szCs w:val="12"/>
                <w:color w:val="auto"/>
              </w:rPr>
              <w:t>(Intermediate Transportation 100, LLC)</w:t>
            </w: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2,518,909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2,438,193</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1,745,639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3,928,695</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Convergint Technologies Holdings, LLC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2,375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4,612,054</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(12)</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767,569</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HW Holdco, LLC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2,700,680</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Infogroup Parent Holdings,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1,934,243</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2,197,752</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(13)</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844,247</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803,665</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MidOcean PPL Holdings, Corp.</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9,786,996</w:t>
            </w:r>
          </w:p>
        </w:tc>
        <w:tc>
          <w:tcPr>
            <w:tcW w:w="100" w:type="dxa"/>
            <w:vAlign w:val="bottom"/>
          </w:tcPr>
          <w:p>
            <w:pPr>
              <w:spacing w:after="0"/>
              <w:rPr>
                <w:sz w:val="12"/>
                <w:szCs w:val="12"/>
                <w:color w:val="auto"/>
              </w:rPr>
            </w:pPr>
          </w:p>
        </w:tc>
      </w:tr>
      <w:tr>
        <w:trPr>
          <w:trHeight w:val="141"/>
        </w:trPr>
        <w:tc>
          <w:tcPr>
            <w:tcW w:w="3060" w:type="dxa"/>
            <w:vAlign w:val="bottom"/>
          </w:tcPr>
          <w:p>
            <w:pPr>
              <w:ind w:left="100"/>
              <w:spacing w:after="0"/>
              <w:rPr>
                <w:sz w:val="20"/>
                <w:szCs w:val="20"/>
                <w:color w:val="auto"/>
              </w:rPr>
            </w:pPr>
            <w:r>
              <w:rPr>
                <w:rFonts w:ascii="Arial" w:cs="Arial" w:eastAsia="Arial" w:hAnsi="Arial"/>
                <w:sz w:val="12"/>
                <w:szCs w:val="12"/>
                <w:color w:val="auto"/>
              </w:rPr>
              <w:t>(Pre-Paid Legal Services, Inc.)</w:t>
            </w: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Insurance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100,885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136,195</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Roto Holdings, Inc.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2,036,830</w:t>
            </w:r>
          </w:p>
        </w:tc>
        <w:tc>
          <w:tcPr>
            <w:tcW w:w="100" w:type="dxa"/>
            <w:vAlign w:val="bottom"/>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ZS Juniper L.P.</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1"/>
        </w:trPr>
        <w:tc>
          <w:tcPr>
            <w:tcW w:w="306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30,703,860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43,632,061</w:t>
            </w:r>
          </w:p>
        </w:tc>
        <w:tc>
          <w:tcPr>
            <w:tcW w:w="100" w:type="dxa"/>
            <w:vAlign w:val="bottom"/>
            <w:tcBorders>
              <w:bottom w:val="single" w:sz="8" w:color="CCECFF"/>
            </w:tcBorders>
          </w:tcPr>
          <w:p>
            <w:pPr>
              <w:spacing w:after="0"/>
              <w:rPr>
                <w:sz w:val="12"/>
                <w:szCs w:val="12"/>
                <w:color w:val="auto"/>
              </w:rPr>
            </w:pPr>
          </w:p>
        </w:tc>
      </w:tr>
      <w:tr>
        <w:trPr>
          <w:trHeight w:val="142"/>
        </w:trPr>
        <w:tc>
          <w:tcPr>
            <w:tcW w:w="3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824,106,322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849,351,548</w:t>
            </w:r>
          </w:p>
        </w:tc>
        <w:tc>
          <w:tcPr>
            <w:tcW w:w="100" w:type="dxa"/>
            <w:vAlign w:val="bottom"/>
            <w:shd w:val="clear" w:color="auto" w:fill="CCECFF"/>
          </w:tcPr>
          <w:p>
            <w:pPr>
              <w:spacing w:after="0"/>
              <w:rPr>
                <w:sz w:val="12"/>
                <w:szCs w:val="12"/>
                <w:color w:val="auto"/>
              </w:rPr>
            </w:pPr>
          </w:p>
        </w:tc>
      </w:tr>
      <w:tr>
        <w:trPr>
          <w:trHeight w:val="142"/>
        </w:trPr>
        <w:tc>
          <w:tcPr>
            <w:tcW w:w="3940" w:type="dxa"/>
            <w:vAlign w:val="bottom"/>
            <w:gridSpan w:val="2"/>
          </w:tcPr>
          <w:p>
            <w:pPr>
              <w:spacing w:after="0"/>
              <w:rPr>
                <w:sz w:val="20"/>
                <w:szCs w:val="20"/>
                <w:color w:val="auto"/>
              </w:rPr>
            </w:pPr>
            <w:r>
              <w:rPr>
                <w:rFonts w:ascii="Arial" w:cs="Arial" w:eastAsia="Arial" w:hAnsi="Arial"/>
                <w:sz w:val="12"/>
                <w:szCs w:val="12"/>
                <w:b w:val="1"/>
                <w:bCs w:val="1"/>
                <w:color w:val="auto"/>
                <w:w w:val="91"/>
              </w:rPr>
              <w:t xml:space="preserve">Investments in Non-Controlled, Affiliated Portfolio Companies—29.3% </w:t>
            </w:r>
            <w:r>
              <w:rPr>
                <w:rFonts w:ascii="Arial" w:cs="Arial" w:eastAsia="Arial" w:hAnsi="Arial"/>
                <w:sz w:val="9"/>
                <w:szCs w:val="9"/>
                <w:b w:val="1"/>
                <w:bCs w:val="1"/>
                <w:color w:val="auto"/>
                <w:w w:val="91"/>
              </w:rPr>
              <w:t>(1), (2)</w:t>
            </w: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Debt—9.8%</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880" w:type="dxa"/>
            <w:vAlign w:val="bottom"/>
          </w:tcPr>
          <w:p>
            <w:pPr>
              <w:ind w:left="60"/>
              <w:spacing w:after="0"/>
              <w:rPr>
                <w:sz w:val="20"/>
                <w:szCs w:val="20"/>
                <w:color w:val="auto"/>
              </w:rPr>
            </w:pPr>
            <w:r>
              <w:rPr>
                <w:rFonts w:ascii="Arial" w:cs="Arial" w:eastAsia="Arial" w:hAnsi="Arial"/>
                <w:sz w:val="12"/>
                <w:szCs w:val="12"/>
                <w:color w:val="auto"/>
              </w:rPr>
              <w:t>12/31/2021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3,257,511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3,168,502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3,583,262</w:t>
            </w:r>
          </w:p>
        </w:tc>
        <w:tc>
          <w:tcPr>
            <w:tcW w:w="100" w:type="dxa"/>
            <w:vAlign w:val="bottom"/>
          </w:tcPr>
          <w:p>
            <w:pPr>
              <w:spacing w:after="0"/>
              <w:rPr>
                <w:sz w:val="13"/>
                <w:szCs w:val="13"/>
                <w:color w:val="auto"/>
              </w:rPr>
            </w:pPr>
          </w:p>
        </w:tc>
      </w:tr>
      <w:tr>
        <w:trPr>
          <w:trHeight w:val="142"/>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Precious Metals and Minerals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5.00%)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Corfin Industries LLC</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11/25/2020</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10.99%</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22,593,352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22,280,645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22,480,385</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880" w:type="dxa"/>
            <w:vAlign w:val="bottom"/>
          </w:tcPr>
          <w:p>
            <w:pPr>
              <w:ind w:left="60"/>
              <w:spacing w:after="0"/>
              <w:rPr>
                <w:sz w:val="20"/>
                <w:szCs w:val="20"/>
                <w:color w:val="auto"/>
              </w:rPr>
            </w:pPr>
            <w:r>
              <w:rPr>
                <w:rFonts w:ascii="Arial" w:cs="Arial" w:eastAsia="Arial" w:hAnsi="Arial"/>
                <w:sz w:val="12"/>
                <w:szCs w:val="12"/>
                <w:color w:val="auto"/>
              </w:rPr>
              <w:t>11/25/2020</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1,942,623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TRAK Acquisition Corp.</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04/30/2018</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21,202,411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21,136,798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21,202,411</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TRAK Acquisition Corp. (Revolver)</w:t>
            </w:r>
          </w:p>
        </w:tc>
        <w:tc>
          <w:tcPr>
            <w:tcW w:w="880" w:type="dxa"/>
            <w:vAlign w:val="bottom"/>
          </w:tcPr>
          <w:p>
            <w:pPr>
              <w:ind w:left="60"/>
              <w:spacing w:after="0"/>
              <w:rPr>
                <w:sz w:val="20"/>
                <w:szCs w:val="20"/>
                <w:color w:val="auto"/>
              </w:rPr>
            </w:pPr>
            <w:r>
              <w:rPr>
                <w:rFonts w:ascii="Arial" w:cs="Arial" w:eastAsia="Arial" w:hAnsi="Arial"/>
                <w:sz w:val="12"/>
                <w:szCs w:val="12"/>
                <w:color w:val="auto"/>
              </w:rPr>
              <w:t>04/30/2018</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tcPr>
          <w:p>
            <w:pPr>
              <w:jc w:val="right"/>
              <w:spacing w:after="0"/>
              <w:rPr>
                <w:sz w:val="20"/>
                <w:szCs w:val="20"/>
                <w:color w:val="auto"/>
              </w:rPr>
            </w:pPr>
            <w:r>
              <w:rPr>
                <w:rFonts w:ascii="Arial" w:cs="Arial" w:eastAsia="Arial" w:hAnsi="Arial"/>
                <w:sz w:val="12"/>
                <w:szCs w:val="12"/>
                <w:color w:val="auto"/>
              </w:rPr>
              <w:t>5,000,000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02/02/2022</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12.24%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9,644,284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9,566,510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9,644,284</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12.24%)</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U.S. Well Services, LLC (Revolver)</w:t>
            </w:r>
          </w:p>
        </w:tc>
        <w:tc>
          <w:tcPr>
            <w:tcW w:w="880" w:type="dxa"/>
            <w:vAlign w:val="bottom"/>
          </w:tcPr>
          <w:p>
            <w:pPr>
              <w:ind w:left="60"/>
              <w:spacing w:after="0"/>
              <w:rPr>
                <w:sz w:val="20"/>
                <w:szCs w:val="20"/>
                <w:color w:val="auto"/>
              </w:rPr>
            </w:pPr>
            <w:r>
              <w:rPr>
                <w:rFonts w:ascii="Arial" w:cs="Arial" w:eastAsia="Arial" w:hAnsi="Arial"/>
                <w:sz w:val="12"/>
                <w:szCs w:val="12"/>
                <w:color w:val="auto"/>
              </w:rPr>
              <w:t>02/02/2022</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1,478,151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1,478,151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1,478,151</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(8)</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02/02/2022</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714,270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62,630,606</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63,388,493</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Debt—1.5%</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EnviroSolutions Real Property Holdings, Inc. -</w:t>
            </w:r>
          </w:p>
        </w:tc>
        <w:tc>
          <w:tcPr>
            <w:tcW w:w="880" w:type="dxa"/>
            <w:vAlign w:val="bottom"/>
          </w:tcPr>
          <w:p>
            <w:pPr>
              <w:ind w:left="60"/>
              <w:spacing w:after="0"/>
              <w:rPr>
                <w:sz w:val="20"/>
                <w:szCs w:val="20"/>
                <w:color w:val="auto"/>
              </w:rPr>
            </w:pPr>
            <w:r>
              <w:rPr>
                <w:rFonts w:ascii="Arial" w:cs="Arial" w:eastAsia="Arial" w:hAnsi="Arial"/>
                <w:sz w:val="12"/>
                <w:szCs w:val="12"/>
                <w:color w:val="auto"/>
              </w:rPr>
              <w:t>12/23/2019</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9.34%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Pr>
          <w:p>
            <w:pPr>
              <w:jc w:val="right"/>
              <w:spacing w:after="0"/>
              <w:rPr>
                <w:sz w:val="20"/>
                <w:szCs w:val="20"/>
                <w:color w:val="auto"/>
              </w:rPr>
            </w:pPr>
            <w:r>
              <w:rPr>
                <w:rFonts w:ascii="Arial" w:cs="Arial" w:eastAsia="Arial" w:hAnsi="Arial"/>
                <w:sz w:val="12"/>
                <w:szCs w:val="12"/>
                <w:color w:val="auto"/>
              </w:rPr>
              <w:t>4,856,640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4,834,021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4,856,640</w:t>
            </w:r>
          </w:p>
        </w:tc>
        <w:tc>
          <w:tcPr>
            <w:tcW w:w="100" w:type="dxa"/>
            <w:vAlign w:val="bottom"/>
          </w:tcPr>
          <w:p>
            <w:pPr>
              <w:spacing w:after="0"/>
              <w:rPr>
                <w:sz w:val="12"/>
                <w:szCs w:val="12"/>
                <w:color w:val="auto"/>
              </w:rPr>
            </w:pPr>
          </w:p>
        </w:tc>
      </w:tr>
      <w:tr>
        <w:trPr>
          <w:trHeight w:val="141"/>
        </w:trPr>
        <w:tc>
          <w:tcPr>
            <w:tcW w:w="3060" w:type="dxa"/>
            <w:vAlign w:val="bottom"/>
          </w:tcPr>
          <w:p>
            <w:pPr>
              <w:ind w:left="100"/>
              <w:spacing w:after="0"/>
              <w:rPr>
                <w:sz w:val="20"/>
                <w:szCs w:val="20"/>
                <w:color w:val="auto"/>
              </w:rPr>
            </w:pPr>
            <w:r>
              <w:rPr>
                <w:rFonts w:ascii="Arial" w:cs="Arial" w:eastAsia="Arial" w:hAnsi="Arial"/>
                <w:sz w:val="12"/>
                <w:szCs w:val="12"/>
                <w:color w:val="auto"/>
              </w:rPr>
              <w:t>Tranche A</w:t>
            </w: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Real Property Holdings, Inc. -</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08/03/2020</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9.34%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4,661,312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4,639,603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4,661,312</w:t>
            </w:r>
          </w:p>
        </w:tc>
        <w:tc>
          <w:tcPr>
            <w:tcW w:w="100" w:type="dxa"/>
            <w:vAlign w:val="bottom"/>
            <w:shd w:val="clear" w:color="auto" w:fill="CCECFF"/>
          </w:tcPr>
          <w:p>
            <w:pPr>
              <w:spacing w:after="0"/>
              <w:rPr>
                <w:sz w:val="12"/>
                <w:szCs w:val="12"/>
                <w:color w:val="auto"/>
              </w:rPr>
            </w:pPr>
          </w:p>
        </w:tc>
      </w:tr>
      <w:tr>
        <w:trPr>
          <w:trHeight w:val="141"/>
        </w:trPr>
        <w:tc>
          <w:tcPr>
            <w:tcW w:w="3060" w:type="dxa"/>
            <w:vAlign w:val="bottom"/>
            <w:shd w:val="clear" w:color="auto" w:fill="CCECFF"/>
          </w:tcPr>
          <w:p>
            <w:pPr>
              <w:ind w:left="100"/>
              <w:spacing w:after="0"/>
              <w:rPr>
                <w:sz w:val="20"/>
                <w:szCs w:val="20"/>
                <w:color w:val="auto"/>
              </w:rPr>
            </w:pPr>
            <w:r>
              <w:rPr>
                <w:rFonts w:ascii="Arial" w:cs="Arial" w:eastAsia="Arial" w:hAnsi="Arial"/>
                <w:sz w:val="12"/>
                <w:szCs w:val="12"/>
                <w:color w:val="auto"/>
              </w:rPr>
              <w:t>Tranche B</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9.34%)</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9,473,624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9,517,952</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Notes—8.0%</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6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880" w:type="dxa"/>
            <w:vAlign w:val="bottom"/>
          </w:tcPr>
          <w:p>
            <w:pPr>
              <w:ind w:left="60"/>
              <w:spacing w:after="0"/>
              <w:rPr>
                <w:sz w:val="20"/>
                <w:szCs w:val="20"/>
                <w:color w:val="auto"/>
              </w:rPr>
            </w:pPr>
            <w:r>
              <w:rPr>
                <w:rFonts w:ascii="Arial" w:cs="Arial" w:eastAsia="Arial" w:hAnsi="Arial"/>
                <w:sz w:val="12"/>
                <w:szCs w:val="12"/>
                <w:color w:val="auto"/>
              </w:rPr>
              <w:t>12/31/2021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9,727,948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9,727,948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10,603,464</w:t>
            </w:r>
          </w:p>
        </w:tc>
        <w:tc>
          <w:tcPr>
            <w:tcW w:w="100" w:type="dxa"/>
            <w:vAlign w:val="bottom"/>
          </w:tcPr>
          <w:p>
            <w:pPr>
              <w:spacing w:after="0"/>
              <w:rPr>
                <w:sz w:val="13"/>
                <w:szCs w:val="13"/>
                <w:color w:val="auto"/>
              </w:rPr>
            </w:pPr>
          </w:p>
        </w:tc>
      </w:tr>
      <w:tr>
        <w:trPr>
          <w:trHeight w:val="141"/>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Precious Metals and Minerals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17.00%)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Convertible Note </w:t>
            </w:r>
            <w:r>
              <w:rPr>
                <w:rFonts w:ascii="Arial" w:cs="Arial" w:eastAsia="Arial" w:hAnsi="Arial"/>
                <w:sz w:val="9"/>
                <w:szCs w:val="9"/>
                <w:color w:val="auto"/>
              </w:rPr>
              <w:t>(5)</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05/03/2021</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28,611,214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37,434,384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41,486,260</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12.50%)</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47,162,332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52,089,724</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Interests/Warrants—10.0% </w:t>
            </w:r>
            <w:r>
              <w:rPr>
                <w:rFonts w:ascii="Arial" w:cs="Arial" w:eastAsia="Arial" w:hAnsi="Arial"/>
                <w:sz w:val="9"/>
                <w:szCs w:val="9"/>
                <w:b w:val="1"/>
                <w:bCs w:val="1"/>
                <w:color w:val="auto"/>
                <w:w w:val="91"/>
              </w:rPr>
              <w:t>(6)</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19,648,795</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10,265,972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55,344</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880" w:type="dxa"/>
            <w:vAlign w:val="bottom"/>
          </w:tcPr>
          <w:p>
            <w:pPr>
              <w:spacing w:after="0"/>
              <w:rPr>
                <w:sz w:val="12"/>
                <w:szCs w:val="12"/>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Diversified Natural Resources, Precious Metals and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060" w:type="dxa"/>
            <w:vAlign w:val="bottom"/>
          </w:tcPr>
          <w:p>
            <w:pPr>
              <w:spacing w:after="0"/>
              <w:rPr>
                <w:sz w:val="12"/>
                <w:szCs w:val="12"/>
                <w:color w:val="auto"/>
              </w:rPr>
            </w:pP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2"/>
              </w:rPr>
              <w:t>Minerals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25,400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5,465,627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8,620,806</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1,609,091</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11,250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Holdings,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143,668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11,960,702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15,718,184</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113,610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2,797,423</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Management Company,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119,603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147,249</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TRAK Acquisition Corp.</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491,755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188,837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5,972,967</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USWS Holdings, LLC - Class A and Class B</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8,190,817</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10,108,949</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66,533,381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64,678,808</w:t>
            </w:r>
          </w:p>
        </w:tc>
        <w:tc>
          <w:tcPr>
            <w:tcW w:w="100" w:type="dxa"/>
            <w:vAlign w:val="bottom"/>
            <w:tcBorders>
              <w:bottom w:val="single" w:sz="8" w:color="CCECFF"/>
            </w:tcBorders>
          </w:tcPr>
          <w:p>
            <w:pPr>
              <w:spacing w:after="0"/>
              <w:rPr>
                <w:sz w:val="12"/>
                <w:szCs w:val="12"/>
                <w:color w:val="auto"/>
              </w:rPr>
            </w:pPr>
          </w:p>
        </w:tc>
      </w:tr>
      <w:tr>
        <w:trPr>
          <w:trHeight w:val="142"/>
        </w:trPr>
        <w:tc>
          <w:tcPr>
            <w:tcW w:w="3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185,799,943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189,674,977</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1980" w:type="dxa"/>
            <w:vAlign w:val="bottom"/>
          </w:tcPr>
          <w:p>
            <w:pPr>
              <w:spacing w:after="0"/>
              <w:rPr>
                <w:sz w:val="11"/>
                <w:szCs w:val="11"/>
                <w:color w:val="auto"/>
              </w:rPr>
            </w:pPr>
          </w:p>
        </w:tc>
        <w:tc>
          <w:tcPr>
            <w:tcW w:w="126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60" w:type="dxa"/>
            <w:vAlign w:val="bottom"/>
            <w:gridSpan w:val="2"/>
          </w:tcPr>
          <w:p>
            <w:pPr>
              <w:ind w:left="56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Companies—17.8% </w:t>
            </w:r>
            <w:r>
              <w:rPr>
                <w:rFonts w:ascii="Arial" w:cs="Arial" w:eastAsia="Arial" w:hAnsi="Arial"/>
                <w:sz w:val="9"/>
                <w:szCs w:val="9"/>
                <w:b w:val="1"/>
                <w:bCs w:val="1"/>
                <w:color w:val="auto"/>
              </w:rPr>
              <w:t>(1), (2)</w:t>
            </w:r>
          </w:p>
        </w:tc>
        <w:tc>
          <w:tcPr>
            <w:tcW w:w="1980" w:type="dxa"/>
            <w:vAlign w:val="bottom"/>
            <w:tcBorders>
              <w:top w:val="single" w:sz="8" w:color="auto"/>
            </w:tcBorders>
            <w:shd w:val="clear" w:color="auto" w:fill="CCECFF"/>
          </w:tcPr>
          <w:p>
            <w:pPr>
              <w:spacing w:after="0"/>
              <w:rPr>
                <w:sz w:val="12"/>
                <w:szCs w:val="12"/>
                <w:color w:val="auto"/>
              </w:rPr>
            </w:pPr>
          </w:p>
        </w:tc>
        <w:tc>
          <w:tcPr>
            <w:tcW w:w="11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Debt—9.5%</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07/01/2022</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0"/>
              </w:rPr>
              <w:t>Energy and Utilities</w:t>
            </w:r>
          </w:p>
        </w:tc>
        <w:tc>
          <w:tcPr>
            <w:tcW w:w="12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ind w:left="620"/>
              <w:spacing w:after="0"/>
              <w:rPr>
                <w:sz w:val="20"/>
                <w:szCs w:val="20"/>
                <w:color w:val="auto"/>
              </w:rPr>
            </w:pPr>
            <w:r>
              <w:rPr>
                <w:rFonts w:ascii="Arial" w:cs="Arial" w:eastAsia="Arial" w:hAnsi="Arial"/>
                <w:sz w:val="12"/>
                <w:szCs w:val="12"/>
                <w:color w:val="auto"/>
                <w:w w:val="95"/>
              </w:rPr>
              <w:t>(PIK 4.00%)</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LLC</w:t>
            </w:r>
          </w:p>
        </w:tc>
        <w:tc>
          <w:tcPr>
            <w:tcW w:w="1200" w:type="dxa"/>
            <w:vAlign w:val="bottom"/>
          </w:tcPr>
          <w:p>
            <w:pPr>
              <w:ind w:left="120"/>
              <w:spacing w:after="0"/>
              <w:rPr>
                <w:sz w:val="20"/>
                <w:szCs w:val="20"/>
                <w:color w:val="auto"/>
              </w:rPr>
            </w:pPr>
            <w:r>
              <w:rPr>
                <w:rFonts w:ascii="Arial" w:cs="Arial" w:eastAsia="Arial" w:hAnsi="Arial"/>
                <w:sz w:val="12"/>
                <w:szCs w:val="12"/>
                <w:color w:val="auto"/>
              </w:rPr>
              <w:t>12/31/2018</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10.30%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L+900</w:t>
            </w:r>
          </w:p>
        </w:tc>
        <w:tc>
          <w:tcPr>
            <w:tcW w:w="800" w:type="dxa"/>
            <w:vAlign w:val="bottom"/>
          </w:tcPr>
          <w:p>
            <w:pPr>
              <w:jc w:val="right"/>
              <w:spacing w:after="0"/>
              <w:rPr>
                <w:sz w:val="20"/>
                <w:szCs w:val="20"/>
                <w:color w:val="auto"/>
              </w:rPr>
            </w:pPr>
            <w:r>
              <w:rPr>
                <w:rFonts w:ascii="Arial" w:cs="Arial" w:eastAsia="Arial" w:hAnsi="Arial"/>
                <w:sz w:val="12"/>
                <w:szCs w:val="12"/>
                <w:color w:val="auto"/>
              </w:rPr>
              <w:t>29,386,130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28,233,485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26,198,854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12"/>
                <w:szCs w:val="12"/>
                <w:color w:val="auto"/>
              </w:rPr>
            </w:pP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260" w:type="dxa"/>
            <w:vAlign w:val="bottom"/>
            <w:tcBorders>
              <w:bottom w:val="single" w:sz="8" w:color="CCECFF"/>
            </w:tcBorders>
            <w:gridSpan w:val="2"/>
          </w:tcPr>
          <w:p>
            <w:pPr>
              <w:ind w:left="560"/>
              <w:spacing w:after="0"/>
              <w:rPr>
                <w:sz w:val="20"/>
                <w:szCs w:val="20"/>
                <w:color w:val="auto"/>
              </w:rPr>
            </w:pPr>
            <w:r>
              <w:rPr>
                <w:rFonts w:ascii="Arial" w:cs="Arial" w:eastAsia="Arial" w:hAnsi="Arial"/>
                <w:sz w:val="12"/>
                <w:szCs w:val="12"/>
                <w:color w:val="auto"/>
                <w:w w:val="95"/>
              </w:rPr>
              <w:t>(PIK 10.30%)</w:t>
            </w: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63,233,485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61,198,854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Equity—2.5%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16,117,208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516,204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19,331,027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0" w:type="dxa"/>
            <w:vAlign w:val="bottom"/>
            <w:tcBorders>
              <w:top w:val="single" w:sz="8" w:color="CCECFF"/>
            </w:tcBorders>
            <w:shd w:val="clear" w:color="auto" w:fill="CCECFF"/>
          </w:tcPr>
          <w:p>
            <w:pPr>
              <w:spacing w:after="0"/>
              <w:rPr>
                <w:sz w:val="12"/>
                <w:szCs w:val="12"/>
                <w:color w:val="auto"/>
              </w:rPr>
            </w:pPr>
          </w:p>
        </w:tc>
        <w:tc>
          <w:tcPr>
            <w:tcW w:w="1980" w:type="dxa"/>
            <w:vAlign w:val="bottom"/>
            <w:tcBorders>
              <w:top w:val="single" w:sz="8" w:color="CCECFF"/>
            </w:tcBorders>
            <w:shd w:val="clear" w:color="auto" w:fill="CCECFF"/>
          </w:tcPr>
          <w:p>
            <w:pPr>
              <w:spacing w:after="0"/>
              <w:rPr>
                <w:sz w:val="12"/>
                <w:szCs w:val="12"/>
                <w:color w:val="auto"/>
              </w:rPr>
            </w:pPr>
          </w:p>
        </w:tc>
        <w:tc>
          <w:tcPr>
            <w:tcW w:w="11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33,649,352</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16,117,208</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Common Equity—5.8%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828,349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0"/>
              </w:rPr>
              <w:t>Energy and Utilities</w:t>
            </w: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36,406,572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103,237,570</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37,234,921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200,120,407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114,550,983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Investments—178.4%</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1,210,026,672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1,153,577,508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Equivalents—5.9%</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20,490,740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20,490,740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17,691,633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17,711,328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38,182,373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38,202,068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Equivalents—184.3%</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1,248,209,045</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1,191,779,576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Assets—(84.3%)</w:t>
            </w: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(544,971,105)</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646,808,471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0" w:lineRule="exact"/>
        <w:rPr>
          <w:sz w:val="20"/>
          <w:szCs w:val="20"/>
          <w:color w:val="auto"/>
        </w:rPr>
      </w:pPr>
    </w:p>
    <w:p>
      <w:pPr>
        <w:ind w:left="380" w:hanging="372"/>
        <w:spacing w:after="0" w:line="243"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16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British Pounds (£) or in Euros (€) as denoted.</w:t>
      </w:r>
    </w:p>
    <w:p>
      <w:pPr>
        <w:ind w:left="380" w:right="20" w:hanging="372"/>
        <w:spacing w:after="0" w:line="25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83% of the Company’s total assets and non-qualifying assets represent 17% of the Company’s total assets.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07" w:lineRule="exact"/>
        <w:rPr>
          <w:sz w:val="20"/>
          <w:szCs w:val="20"/>
          <w:color w:val="auto"/>
        </w:rPr>
      </w:pPr>
    </w:p>
    <w:p>
      <w:pPr>
        <w:ind w:right="220" w:firstLine="456"/>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200" w:firstLine="456"/>
        <w:spacing w:after="0" w:line="253" w:lineRule="auto"/>
        <w:rPr>
          <w:sz w:val="20"/>
          <w:szCs w:val="20"/>
          <w:color w:val="auto"/>
        </w:rPr>
      </w:pPr>
      <w:r>
        <w:rPr>
          <w:rFonts w:ascii="Arial" w:cs="Arial" w:eastAsia="Arial" w:hAnsi="Arial"/>
          <w:sz w:val="14"/>
          <w:szCs w:val="14"/>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40" w:firstLine="46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 or FASB,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1080" w:hanging="824"/>
        <w:spacing w:after="0"/>
        <w:tabs>
          <w:tab w:leader="none" w:pos="108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120" w:firstLine="45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400" w:firstLine="44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80" w:right="22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80" w:hanging="432"/>
        <w:spacing w:after="0"/>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ind w:left="980" w:right="120" w:hanging="432"/>
        <w:spacing w:after="0" w:line="264" w:lineRule="auto"/>
        <w:tabs>
          <w:tab w:leader="none" w:pos="9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80" w:right="260" w:hanging="432"/>
        <w:spacing w:after="0" w:line="238"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80" w:right="24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680" w:firstLine="452"/>
        <w:spacing w:after="0" w:line="290"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jc w:val="both"/>
        <w:ind w:right="240"/>
        <w:spacing w:after="0" w:line="238" w:lineRule="auto"/>
        <w:rPr>
          <w:sz w:val="20"/>
          <w:szCs w:val="20"/>
          <w:color w:val="auto"/>
        </w:rPr>
      </w:pPr>
      <w:r>
        <w:rPr>
          <w:rFonts w:ascii="Arial" w:cs="Arial" w:eastAsia="Arial" w:hAnsi="Arial"/>
          <w:sz w:val="14"/>
          <w:szCs w:val="14"/>
          <w:color w:val="auto"/>
        </w:rPr>
        <w:t>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5" w:lineRule="exact"/>
        <w:rPr>
          <w:sz w:val="20"/>
          <w:szCs w:val="20"/>
          <w:color w:val="auto"/>
        </w:rPr>
      </w:pPr>
    </w:p>
    <w:p>
      <w:pPr>
        <w:ind w:left="1080" w:hanging="824"/>
        <w:spacing w:after="0"/>
        <w:tabs>
          <w:tab w:leader="none" w:pos="108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36" w:lineRule="exact"/>
        <w:rPr>
          <w:sz w:val="20"/>
          <w:szCs w:val="20"/>
          <w:color w:val="auto"/>
        </w:rPr>
      </w:pPr>
    </w:p>
    <w:p>
      <w:pPr>
        <w:ind w:right="40" w:firstLine="452"/>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our Credit Facility, the 2019 Notes and, prior to their redemption, the 2025 Notes during the reporting period, including any reversal of previously recorded unrealized appreciation or depreciation, when gains or losses are realized.</w:t>
      </w:r>
    </w:p>
    <w:p>
      <w:pPr>
        <w:spacing w:after="0" w:line="107" w:lineRule="exact"/>
        <w:rPr>
          <w:sz w:val="20"/>
          <w:szCs w:val="20"/>
          <w:color w:val="auto"/>
        </w:rPr>
      </w:pPr>
    </w:p>
    <w:p>
      <w:pPr>
        <w:ind w:right="140" w:firstLine="452"/>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ind w:right="320" w:firstLine="454"/>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3" w:lineRule="exact"/>
        <w:rPr>
          <w:sz w:val="20"/>
          <w:szCs w:val="20"/>
          <w:color w:val="auto"/>
        </w:rPr>
      </w:pPr>
    </w:p>
    <w:p>
      <w:pPr>
        <w:ind w:left="1060" w:hanging="804"/>
        <w:spacing w:after="0"/>
        <w:tabs>
          <w:tab w:leader="none" w:pos="106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ind w:right="60" w:firstLine="452"/>
        <w:spacing w:after="0" w:line="271" w:lineRule="auto"/>
        <w:rPr>
          <w:sz w:val="20"/>
          <w:szCs w:val="20"/>
          <w:color w:val="auto"/>
        </w:rPr>
      </w:pPr>
      <w:r>
        <w:rPr>
          <w:rFonts w:ascii="Arial" w:cs="Arial" w:eastAsia="Arial" w:hAnsi="Arial"/>
          <w:sz w:val="12"/>
          <w:szCs w:val="12"/>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level of federal income taxes. However, we may elect to retain a portion of our calendar year income, which may result in the imposition of an excise tax. Additionally, certain of the Company’s consolidated subsidiaries are subject to U.S. federal and state income taxes. For both the three and six months ended March 31, 2018, we did not record a provision for taxes. For the three and six months ended March 31, 2017, we recorded a provision for taxes of $0.4 million ($0.1 million of excise tax and $0.3 million of U.S. federal and state income taxes related to Taxable Subsidiaries) and $0.9 million ($0.3 million of excise tax and $0.6 million of U.S. federal and state income taxes related to Taxable Subsidiaries), respectively.</w:t>
      </w:r>
    </w:p>
    <w:p>
      <w:pPr>
        <w:spacing w:after="0" w:line="97"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March 31, 2018, there were no tax accruals relating to uncertain tax positions and no amounts accrued for interest or penalties.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45" w:lineRule="exact"/>
        <w:rPr>
          <w:sz w:val="20"/>
          <w:szCs w:val="20"/>
          <w:color w:val="auto"/>
        </w:rPr>
      </w:pPr>
    </w:p>
    <w:p>
      <w:pPr>
        <w:jc w:val="both"/>
        <w:ind w:right="340" w:firstLine="45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1080" w:hanging="824"/>
        <w:spacing w:after="0"/>
        <w:tabs>
          <w:tab w:leader="none" w:pos="108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136" w:lineRule="exact"/>
        <w:rPr>
          <w:sz w:val="20"/>
          <w:szCs w:val="20"/>
          <w:color w:val="auto"/>
        </w:rPr>
      </w:pPr>
    </w:p>
    <w:p>
      <w:pPr>
        <w:ind w:right="340" w:firstLine="45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right="160" w:firstLine="434"/>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1060" w:hanging="804"/>
        <w:spacing w:after="0"/>
        <w:tabs>
          <w:tab w:leader="none" w:pos="106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14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ind w:right="80" w:firstLine="45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5" w:name="page16"/>
    <w:bookmarkEnd w:id="15"/>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40"/>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1040" w:hanging="784"/>
        <w:spacing w:after="0"/>
        <w:tabs>
          <w:tab w:leader="none" w:pos="104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36" w:lineRule="exact"/>
        <w:rPr>
          <w:sz w:val="20"/>
          <w:szCs w:val="20"/>
          <w:color w:val="auto"/>
        </w:rPr>
      </w:pPr>
    </w:p>
    <w:p>
      <w:pPr>
        <w:jc w:val="both"/>
        <w:ind w:right="420" w:firstLine="452"/>
        <w:spacing w:after="0" w:line="238" w:lineRule="auto"/>
        <w:rPr>
          <w:sz w:val="20"/>
          <w:szCs w:val="20"/>
          <w:color w:val="auto"/>
        </w:rPr>
      </w:pPr>
      <w:r>
        <w:rPr>
          <w:rFonts w:ascii="Arial" w:cs="Arial" w:eastAsia="Arial" w:hAnsi="Arial"/>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Recent Accounting Pronouncements</w:t>
      </w:r>
    </w:p>
    <w:p>
      <w:pPr>
        <w:spacing w:after="0" w:line="163"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80" w:firstLine="452"/>
        <w:spacing w:after="0" w:line="229" w:lineRule="auto"/>
        <w:rPr>
          <w:sz w:val="20"/>
          <w:szCs w:val="20"/>
          <w:color w:val="auto"/>
        </w:rPr>
      </w:pPr>
      <w:r>
        <w:rPr>
          <w:rFonts w:ascii="Arial" w:cs="Arial" w:eastAsia="Arial" w:hAnsi="Arial"/>
          <w:sz w:val="14"/>
          <w:szCs w:val="14"/>
          <w:color w:val="auto"/>
        </w:rPr>
        <w:t>Under the Investment Management Agreement, as amended and restated on February 6, 2018,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18" w:lineRule="exact"/>
        <w:rPr>
          <w:sz w:val="20"/>
          <w:szCs w:val="20"/>
          <w:color w:val="auto"/>
        </w:rPr>
      </w:pPr>
    </w:p>
    <w:p>
      <w:pPr>
        <w:ind w:right="80" w:firstLine="452"/>
        <w:spacing w:after="0" w:line="243" w:lineRule="auto"/>
        <w:rPr>
          <w:sz w:val="20"/>
          <w:szCs w:val="20"/>
          <w:color w:val="auto"/>
        </w:rPr>
      </w:pPr>
      <w:r>
        <w:rPr>
          <w:rFonts w:ascii="Arial" w:cs="Arial" w:eastAsia="Arial" w:hAnsi="Arial"/>
          <w:sz w:val="13"/>
          <w:szCs w:val="13"/>
          <w:color w:val="auto"/>
        </w:rPr>
        <w:t>Effective January 1, 2018, the base management fee is calculated at an annual rate of 1.50%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and six months ended March 31, 2018, the Investment Adviser earned a base management fee of $3.9 million and $8.7 million (after a waiver of $0.9 million), respectively, from us. For the three and six months ended March 31, 2017, the Investment Adviser earned a base management fee of $5.3 million (after a waiver of $1.0 million) and $10.6 million (after a waiver of $2.0 million), respectively, from us.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62"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three and six months ended March 31, 2018, the Investment Adviser earned $2.8 million and $5.5 million (after a waiver of $0.5 million), respectively, in incentive fees on net investment income from us. For the three and six months ended March 31, 2017, the Investment Adviser earned $3.1 million (after a waiver of $0.6 million) and $5.9 million (after a waiver of $1.1 million), respectively, in incentive fees on net investment income from us.</w:t>
      </w:r>
    </w:p>
    <w:p>
      <w:pPr>
        <w:spacing w:after="0" w:line="135" w:lineRule="exact"/>
        <w:rPr>
          <w:sz w:val="20"/>
          <w:szCs w:val="20"/>
          <w:color w:val="auto"/>
        </w:rPr>
      </w:pPr>
    </w:p>
    <w:p>
      <w:pPr>
        <w:ind w:right="40" w:firstLine="438"/>
        <w:spacing w:after="0" w:line="283"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six months ended March 31, 2018 and 2017, the Investment Adviser did not earn an incentive fee on capital gains as calculated under the Investment Management Agreement (as described above).</w:t>
      </w:r>
    </w:p>
    <w:p>
      <w:pPr>
        <w:spacing w:after="0" w:line="132" w:lineRule="exact"/>
        <w:rPr>
          <w:sz w:val="20"/>
          <w:szCs w:val="20"/>
          <w:color w:val="auto"/>
        </w:rPr>
      </w:pPr>
    </w:p>
    <w:p>
      <w:pPr>
        <w:ind w:right="180" w:firstLine="432"/>
        <w:spacing w:after="0" w:line="248"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such amount is negative, then there is no accrual for such year. There can be no assurance that such unrealized capital appreciation will be realized in the future. For each of the three and six months ended March 31, 2018 and 2017, the Investment Adviser did not accrue an incentive fee on capital gains as calculated under GAAP.</w:t>
      </w:r>
    </w:p>
    <w:p>
      <w:pPr>
        <w:spacing w:after="0" w:line="106" w:lineRule="exact"/>
        <w:rPr>
          <w:sz w:val="20"/>
          <w:szCs w:val="20"/>
          <w:color w:val="auto"/>
        </w:rPr>
      </w:pPr>
    </w:p>
    <w:p>
      <w:pPr>
        <w:ind w:right="180" w:firstLine="434"/>
        <w:spacing w:after="0" w:line="244"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2018.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2018, we reimbursed the Investment Adviser approximately $0.7 million and $1.0 million, respectively, including expenses the Investment Adviser incurred on behalf of the Administrator, for services described above. For the three and six months ended March 31, 2017, we reimbursed the Investment Adviser approximately $1.2 million and $1.7 million, respectively, including expenses the Investment Adviser incurred on behalf of the Administrator, for services described above.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During the three and six months ended March 31, 2018, there were no transactions with any affiliated fund managed by our Investment Adviser. During the three and six months ended</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March 31, 2017, the Company purchased zero and $5.0 million, respectively, from and sold $45.6 million and $45.6 million in total investments, respectively, to affiliated funds managed by our</w:t>
      </w:r>
    </w:p>
    <w:p>
      <w:pPr>
        <w:spacing w:after="0"/>
        <w:rPr>
          <w:sz w:val="20"/>
          <w:szCs w:val="20"/>
          <w:color w:val="auto"/>
        </w:rPr>
      </w:pPr>
      <w:r>
        <w:rPr>
          <w:rFonts w:ascii="Arial" w:cs="Arial" w:eastAsia="Arial" w:hAnsi="Arial"/>
          <w:sz w:val="14"/>
          <w:szCs w:val="14"/>
          <w:color w:val="auto"/>
        </w:rPr>
        <w:t>Investment Adviser in accordance with, and pursuant to procedures adopted under, Rule 17a-7 under the 1940 Act. Realized gains on those sales amounted to $1.1 million</w:t>
      </w:r>
      <w:r>
        <w:rPr>
          <w:rFonts w:ascii="Arial" w:cs="Arial" w:eastAsia="Arial" w:hAnsi="Arial"/>
          <w:sz w:val="13"/>
          <w:szCs w:val="13"/>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jc w:val="both"/>
        <w:ind w:right="320" w:firstLine="434"/>
        <w:spacing w:after="0" w:line="296" w:lineRule="auto"/>
        <w:rPr>
          <w:sz w:val="20"/>
          <w:szCs w:val="20"/>
          <w:color w:val="auto"/>
        </w:rPr>
      </w:pPr>
      <w:r>
        <w:rPr>
          <w:rFonts w:ascii="Arial" w:cs="Arial" w:eastAsia="Arial" w:hAnsi="Arial"/>
          <w:sz w:val="12"/>
          <w:szCs w:val="12"/>
          <w:color w:val="auto"/>
        </w:rPr>
        <w:t>Purchases of investments, including PIK interest, for the three and six months ended March 31, 2018 totaled $100.7 million and $242.8 million, respectively. For the same periods in the prior year, purchases of investments, including PIK interest, totaled $68.8 million and $301.0 million, respectively. Sales and repayments of investments for the three and six months ended March 31, 2018 totaled $246.4 million and $438.7 million, respectively. For the same periods in the prior year, sales and repayments of investments totaled $202.0 million and $266.2 million, respectively.</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382,584,068</w:t>
            </w:r>
          </w:p>
        </w:tc>
        <w:tc>
          <w:tcPr>
            <w:tcW w:w="26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382,445,644</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465,235,137</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466,076,352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360,102,775</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368,558,287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389,336,314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399,544,383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33,233,494</w:t>
            </w:r>
          </w:p>
        </w:tc>
        <w:tc>
          <w:tcPr>
            <w:tcW w:w="2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32,348,997</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116,596,887</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120,707,763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264,707,949</w:t>
            </w:r>
          </w:p>
        </w:tc>
        <w:tc>
          <w:tcPr>
            <w:tcW w:w="260" w:type="dxa"/>
            <w:vAlign w:val="bottom"/>
            <w:tcBorders>
              <w:bottom w:val="single" w:sz="8" w:color="CCEC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164,587,101</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238,858,334</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167,249,010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1,040,628,286</w:t>
            </w:r>
          </w:p>
        </w:tc>
        <w:tc>
          <w:tcPr>
            <w:tcW w:w="260" w:type="dxa"/>
            <w:vAlign w:val="bottom"/>
            <w:shd w:val="clear" w:color="auto" w:fill="CCECFF"/>
          </w:tcPr>
          <w:p>
            <w:pPr>
              <w:spacing w:after="0"/>
              <w:rPr>
                <w:sz w:val="13"/>
                <w:szCs w:val="13"/>
                <w:color w:val="auto"/>
              </w:rPr>
            </w:pPr>
          </w:p>
        </w:tc>
        <w:tc>
          <w:tcPr>
            <w:tcW w:w="38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947,940,029</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1,210,026,672</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1,153,577,508</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170,265,666</w:t>
            </w:r>
          </w:p>
        </w:tc>
        <w:tc>
          <w:tcPr>
            <w:tcW w:w="26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170,219,549</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38,182,373</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38,202,068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1,210,893,952</w:t>
            </w:r>
          </w:p>
        </w:tc>
        <w:tc>
          <w:tcPr>
            <w:tcW w:w="260" w:type="dxa"/>
            <w:vAlign w:val="bottom"/>
            <w:tcBorders>
              <w:bottom w:val="single" w:sz="8" w:color="CCECFF"/>
            </w:tcBorders>
            <w:shd w:val="clear" w:color="auto" w:fill="CCECFF"/>
          </w:tcPr>
          <w:p>
            <w:pPr>
              <w:spacing w:after="0"/>
              <w:rPr>
                <w:sz w:val="13"/>
                <w:szCs w:val="13"/>
                <w:color w:val="auto"/>
              </w:rPr>
            </w:pPr>
          </w:p>
        </w:tc>
        <w:tc>
          <w:tcPr>
            <w:tcW w:w="380" w:type="dxa"/>
            <w:vAlign w:val="bottom"/>
            <w:tcBorders>
              <w:bottom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1,118,159,578</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1,248,209,045</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1,191,779,576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840" w:firstLine="413"/>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4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March 31, 2018</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Borders>
              <w:bottom w:val="single" w:sz="8" w:color="CCECFF"/>
            </w:tcBorders>
          </w:tcPr>
          <w:p>
            <w:pPr>
              <w:spacing w:after="0"/>
              <w:rPr>
                <w:sz w:val="14"/>
                <w:szCs w:val="14"/>
                <w:color w:val="auto"/>
              </w:rPr>
            </w:pPr>
          </w:p>
        </w:tc>
      </w:tr>
      <w:tr>
        <w:trPr>
          <w:trHeight w:val="155"/>
        </w:trPr>
        <w:tc>
          <w:tcPr>
            <w:tcW w:w="62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16%</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6%</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Hotels, Motels, Inns and Gaming</w:t>
            </w:r>
          </w:p>
        </w:tc>
        <w:tc>
          <w:tcPr>
            <w:tcW w:w="2140" w:type="dxa"/>
            <w:vAlign w:val="bottom"/>
          </w:tcPr>
          <w:p>
            <w:pPr>
              <w:jc w:val="right"/>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Energy and Utilities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Financial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8</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Personal, Food and Miscellaneous Services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Oil and Gas</w:t>
            </w: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Products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Environmental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Manufacturing / Basic Industries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Printing and Publishing</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Other Media</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Building Materials</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Buildings and Real Estate</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Media</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Diversified Natural Resources, Precious Metals and Minerals</w:t>
            </w:r>
          </w:p>
        </w:tc>
        <w:tc>
          <w:tcPr>
            <w:tcW w:w="25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Electronics</w:t>
            </w:r>
          </w:p>
        </w:tc>
        <w:tc>
          <w:tcPr>
            <w:tcW w:w="2520" w:type="dxa"/>
            <w:vAlign w:val="bottom"/>
            <w:gridSpan w:val="2"/>
            <w:shd w:val="clear" w:color="auto" w:fill="CCECFF"/>
          </w:tcPr>
          <w:p>
            <w:pPr>
              <w:jc w:val="right"/>
              <w:ind w:right="400"/>
              <w:spacing w:after="0"/>
              <w:rPr>
                <w:sz w:val="20"/>
                <w:szCs w:val="20"/>
                <w:color w:val="auto"/>
              </w:rPr>
            </w:pPr>
            <w:r>
              <w:rPr>
                <w:rFonts w:ascii="Arial" w:cs="Arial" w:eastAsia="Arial" w:hAnsi="Arial"/>
                <w:sz w:val="14"/>
                <w:szCs w:val="14"/>
                <w:color w:val="auto"/>
              </w:rPr>
              <w:t>—</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Other</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CECFF"/>
            </w:tcBorders>
          </w:tcPr>
          <w:p>
            <w:pPr>
              <w:spacing w:after="0"/>
              <w:rPr>
                <w:sz w:val="14"/>
                <w:szCs w:val="14"/>
                <w:color w:val="auto"/>
              </w:rPr>
            </w:pPr>
          </w:p>
        </w:tc>
      </w:tr>
      <w:tr>
        <w:trPr>
          <w:trHeight w:val="156"/>
        </w:trPr>
        <w:tc>
          <w:tcPr>
            <w:tcW w:w="64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100%</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62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300" w:firstLine="454"/>
        <w:spacing w:after="0" w:line="253" w:lineRule="auto"/>
        <w:rPr>
          <w:sz w:val="20"/>
          <w:szCs w:val="20"/>
          <w:color w:val="auto"/>
        </w:rPr>
      </w:pPr>
      <w:r>
        <w:rPr>
          <w:rFonts w:ascii="Arial" w:cs="Arial" w:eastAsia="Arial" w:hAnsi="Arial"/>
          <w:sz w:val="14"/>
          <w:szCs w:val="14"/>
          <w:color w:val="auto"/>
        </w:rPr>
        <w:t>Fair value, as defined under ASC Topic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120"/>
        <w:spacing w:after="0" w:line="233" w:lineRule="auto"/>
        <w:rPr>
          <w:sz w:val="20"/>
          <w:szCs w:val="20"/>
          <w:color w:val="auto"/>
        </w:rPr>
      </w:pPr>
      <w:r>
        <w:rPr>
          <w:rFonts w:ascii="Arial" w:cs="Arial" w:eastAsia="Arial" w:hAnsi="Arial"/>
          <w:sz w:val="14"/>
          <w:szCs w:val="14"/>
          <w:color w:val="auto"/>
        </w:rPr>
        <w:t>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2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4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240" w:firstLine="43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ind w:right="400" w:firstLine="432"/>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360" w:firstLine="425"/>
        <w:spacing w:after="0" w:line="238"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six months ended March 31, 2018 and 2017, our ability to observe valuation inputs resulted in no reclassifications.</w:t>
      </w:r>
    </w:p>
    <w:p>
      <w:pPr>
        <w:spacing w:after="0" w:line="115" w:lineRule="exact"/>
        <w:rPr>
          <w:sz w:val="20"/>
          <w:szCs w:val="20"/>
          <w:color w:val="auto"/>
        </w:rPr>
      </w:pPr>
    </w:p>
    <w:p>
      <w:pPr>
        <w:ind w:right="400" w:firstLine="425"/>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540" w:firstLine="425"/>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07" w:lineRule="exact"/>
        <w:rPr>
          <w:sz w:val="20"/>
          <w:szCs w:val="20"/>
          <w:color w:val="auto"/>
        </w:rPr>
      </w:pPr>
    </w:p>
    <w:p>
      <w:pPr>
        <w:ind w:right="380" w:firstLine="425"/>
        <w:spacing w:after="0" w:line="244" w:lineRule="auto"/>
        <w:rPr>
          <w:sz w:val="20"/>
          <w:szCs w:val="20"/>
          <w:color w:val="auto"/>
        </w:rPr>
      </w:pPr>
      <w:r>
        <w:rPr>
          <w:rFonts w:ascii="Arial" w:cs="Arial" w:eastAsia="Arial" w:hAnsi="Arial"/>
          <w:sz w:val="13"/>
          <w:szCs w:val="13"/>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Range of Input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Second lien</w:t>
            </w: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92,275,760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1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382,445,644</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6.4% – 15.2% (10.4%)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276,282,527</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10.5% – 16.8% (13.5%)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32,348,997</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13.5% – 13.5% (13.5%)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163,514,639</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4"/>
              </w:rPr>
              <w:t>3.0x – 16.3x (8.5x)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5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946,867,567</w:t>
            </w:r>
          </w:p>
        </w:tc>
        <w:tc>
          <w:tcPr>
            <w:tcW w:w="2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10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41,685,939</w:t>
            </w:r>
          </w:p>
        </w:tc>
        <w:tc>
          <w:tcPr>
            <w:tcW w:w="260" w:type="dxa"/>
            <w:vAlign w:val="bottom"/>
            <w:tcBorders>
              <w:bottom w:val="single" w:sz="8" w:color="CCECFF"/>
            </w:tcBorders>
            <w:shd w:val="clear" w:color="auto" w:fill="CCECFF"/>
          </w:tcPr>
          <w:p>
            <w:pPr>
              <w:spacing w:after="0"/>
              <w:rPr>
                <w:sz w:val="12"/>
                <w:szCs w:val="12"/>
                <w:color w:val="auto"/>
              </w:rPr>
            </w:pP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10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5.2%</w:t>
            </w:r>
          </w:p>
        </w:tc>
        <w:tc>
          <w:tcPr>
            <w:tcW w:w="120" w:type="dxa"/>
            <w:vAlign w:val="bottom"/>
            <w:tcBorders>
              <w:bottom w:val="single" w:sz="8" w:color="CCECFF"/>
            </w:tcBorders>
            <w:shd w:val="clear" w:color="auto" w:fill="CCEC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300" w:type="dxa"/>
            <w:vAlign w:val="bottom"/>
            <w:gridSpan w:val="2"/>
            <w:vMerge w:val="restart"/>
          </w:tcPr>
          <w:p>
            <w:pPr>
              <w:jc w:val="center"/>
              <w:ind w:left="168"/>
              <w:spacing w:after="0"/>
              <w:rPr>
                <w:sz w:val="20"/>
                <w:szCs w:val="20"/>
                <w:color w:val="auto"/>
              </w:rPr>
            </w:pPr>
            <w:r>
              <w:rPr>
                <w:rFonts w:ascii="Arial" w:cs="Arial" w:eastAsia="Arial" w:hAnsi="Arial"/>
                <w:sz w:val="14"/>
                <w:szCs w:val="14"/>
                <w:color w:val="auto"/>
                <w:w w:val="89"/>
              </w:rPr>
              <w:t>18</w:t>
            </w: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8" w:name="page19"/>
    <w:bookmarkEnd w:id="1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2017</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56"/>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14,820,000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1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96,885,313</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451,256,352</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4"/>
              </w:rPr>
              <w:t>8.1% – 14.0% (11.0%)</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302,659,070</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9.6% – 14.6% (12.2%)</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120,707,763</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11.6% – 20.5% (14.3%)</w:t>
            </w:r>
          </w:p>
        </w:tc>
        <w:tc>
          <w:tcPr>
            <w:tcW w:w="0" w:type="dxa"/>
            <w:vAlign w:val="bottom"/>
          </w:tcPr>
          <w:p>
            <w:pPr>
              <w:spacing w:after="0"/>
              <w:rPr>
                <w:sz w:val="1"/>
                <w:szCs w:val="1"/>
                <w:color w:val="auto"/>
              </w:rPr>
            </w:pPr>
          </w:p>
        </w:tc>
      </w:tr>
      <w:tr>
        <w:trPr>
          <w:trHeight w:val="162"/>
        </w:trPr>
        <w:tc>
          <w:tcPr>
            <w:tcW w:w="27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166,268,568</w:t>
            </w:r>
          </w:p>
        </w:tc>
        <w:tc>
          <w:tcPr>
            <w:tcW w:w="260" w:type="dxa"/>
            <w:vAlign w:val="bottom"/>
            <w:tcBorders>
              <w:bottom w:val="single" w:sz="8" w:color="CCECFF"/>
            </w:tcBorders>
          </w:tcPr>
          <w:p>
            <w:pPr>
              <w:spacing w:after="0"/>
              <w:rPr>
                <w:sz w:val="14"/>
                <w:szCs w:val="14"/>
                <w:color w:val="auto"/>
              </w:rPr>
            </w:pP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4"/>
              </w:rPr>
              <w:t>4.8x – 15.8x (8.2x)</w:t>
            </w:r>
          </w:p>
        </w:tc>
        <w:tc>
          <w:tcPr>
            <w:tcW w:w="0" w:type="dxa"/>
            <w:vAlign w:val="bottom"/>
          </w:tcPr>
          <w:p>
            <w:pPr>
              <w:spacing w:after="0"/>
              <w:rPr>
                <w:sz w:val="1"/>
                <w:szCs w:val="1"/>
                <w:color w:val="auto"/>
              </w:rPr>
            </w:pPr>
          </w:p>
        </w:tc>
      </w:tr>
      <w:tr>
        <w:trPr>
          <w:trHeight w:val="155"/>
        </w:trPr>
        <w:tc>
          <w:tcPr>
            <w:tcW w:w="274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1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100" w:type="dxa"/>
            <w:vAlign w:val="bottom"/>
            <w:vMerge w:val="restart"/>
          </w:tcPr>
          <w:p>
            <w:pPr>
              <w:jc w:val="right"/>
              <w:ind w:right="78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investments, cash and cash equivalents, Credit Facility and the 2019 Notes were categorized as follows in the fair value hierarchy for ASC 820 purposes: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ind w:left="400"/>
              <w:spacing w:after="0"/>
              <w:rPr>
                <w:sz w:val="20"/>
                <w:szCs w:val="20"/>
                <w:color w:val="auto"/>
              </w:rPr>
            </w:pPr>
            <w:r>
              <w:rPr>
                <w:rFonts w:ascii="Arial" w:cs="Arial" w:eastAsia="Arial" w:hAnsi="Arial"/>
                <w:sz w:val="14"/>
                <w:szCs w:val="14"/>
                <w:b w:val="1"/>
                <w:bCs w:val="1"/>
                <w:color w:val="auto"/>
              </w:rPr>
              <w:t>Fair Value at March 31, 2018</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783,352,928</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783,352,928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164,587,101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1,072,462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163,514,639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947,940,029</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1,072,462</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946,867,567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170,219,549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170,219,549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1,118,159,578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171,292,011</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946,867,567</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41,685,939</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41,685,939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250,617,500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250,617,500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292,303,439</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250,617,500</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41,685,939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rPr>
              <w:t>Fair Value at September 30, 2017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580"/>
              <w:spacing w:after="0" w:line="155"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740"/>
              <w:spacing w:after="0" w:line="155"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ind w:right="7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167,249,010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980,442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166,268,568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1,153,577,508</w:t>
            </w:r>
          </w:p>
        </w:tc>
        <w:tc>
          <w:tcPr>
            <w:tcW w:w="2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980,442</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38,202,068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38,202,068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1,191,779,576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39,182,510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6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80"/>
              <w:spacing w:after="0" w:line="143"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331,702,341</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255,665,000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76,037,341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000" w:type="dxa"/>
            <w:vAlign w:val="bottom"/>
            <w:gridSpan w:val="20"/>
          </w:tcPr>
          <w:p>
            <w:pPr>
              <w:jc w:val="center"/>
              <w:ind w:left="228"/>
              <w:spacing w:after="0"/>
              <w:rPr>
                <w:sz w:val="20"/>
                <w:szCs w:val="20"/>
                <w:color w:val="auto"/>
              </w:rPr>
            </w:pPr>
            <w:r>
              <w:rPr>
                <w:rFonts w:ascii="Arial" w:cs="Arial" w:eastAsia="Arial" w:hAnsi="Arial"/>
                <w:sz w:val="14"/>
                <w:szCs w:val="14"/>
                <w:color w:val="auto"/>
                <w:w w:val="93"/>
              </w:rPr>
              <w:t>The tables below show a reconciliation of the beginning and ending balances for fair valued investments measured using significant unobservable inputs (Level 3):</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360" w:type="dxa"/>
            <w:vAlign w:val="bottom"/>
            <w:gridSpan w:val="10"/>
          </w:tcPr>
          <w:p>
            <w:pPr>
              <w:jc w:val="center"/>
              <w:ind w:right="48"/>
              <w:spacing w:after="0"/>
              <w:rPr>
                <w:sz w:val="20"/>
                <w:szCs w:val="20"/>
                <w:color w:val="auto"/>
              </w:rPr>
            </w:pPr>
            <w:r>
              <w:rPr>
                <w:rFonts w:ascii="Arial" w:cs="Arial" w:eastAsia="Arial" w:hAnsi="Arial"/>
                <w:sz w:val="14"/>
                <w:szCs w:val="14"/>
                <w:b w:val="1"/>
                <w:bCs w:val="1"/>
                <w:color w:val="auto"/>
                <w:w w:val="94"/>
              </w:rPr>
              <w:t>Six Months Ended March 31, 2018</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166,268,568</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1,152,597,066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228,516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25,180,672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25,409,188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(7,727,570)</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(28,603,544)</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(36,331,114)</w:t>
            </w:r>
          </w:p>
        </w:tc>
        <w:tc>
          <w:tcPr>
            <w:tcW w:w="0" w:type="dxa"/>
            <w:vAlign w:val="bottom"/>
          </w:tcPr>
          <w:p>
            <w:pPr>
              <w:spacing w:after="0"/>
              <w:rPr>
                <w:sz w:val="1"/>
                <w:szCs w:val="1"/>
                <w:color w:val="auto"/>
              </w:rPr>
            </w:pPr>
          </w:p>
        </w:tc>
      </w:tr>
      <w:tr>
        <w:trPr>
          <w:trHeight w:val="162"/>
        </w:trPr>
        <w:tc>
          <w:tcPr>
            <w:tcW w:w="4720" w:type="dxa"/>
            <w:vAlign w:val="bottom"/>
            <w:gridSpan w:val="3"/>
          </w:tcPr>
          <w:p>
            <w:pPr>
              <w:ind w:left="500"/>
              <w:spacing w:after="0"/>
              <w:rPr>
                <w:sz w:val="20"/>
                <w:szCs w:val="20"/>
                <w:color w:val="auto"/>
              </w:rPr>
            </w:pPr>
            <w:r>
              <w:rPr>
                <w:rFonts w:ascii="Arial" w:cs="Arial" w:eastAsia="Arial" w:hAnsi="Arial"/>
                <w:sz w:val="14"/>
                <w:szCs w:val="14"/>
                <w:color w:val="auto"/>
                <w:w w:val="93"/>
              </w:rPr>
              <w:t>Purchases, PIK interest, net discount accretion and non-cash exchanges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196,129,942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47,748,598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243,878,540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(391,606,458)</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(47,079,655)</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(438,686,113)</w:t>
            </w: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783,352,928</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163,514,639</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946,867,567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20" w:type="dxa"/>
            <w:vAlign w:val="bottom"/>
            <w:gridSpan w:val="7"/>
          </w:tcPr>
          <w:p>
            <w:pPr>
              <w:spacing w:after="0" w:line="149" w:lineRule="exact"/>
              <w:rPr>
                <w:sz w:val="20"/>
                <w:szCs w:val="20"/>
                <w:color w:val="auto"/>
              </w:rPr>
            </w:pPr>
            <w:r>
              <w:rPr>
                <w:rFonts w:ascii="Arial" w:cs="Arial" w:eastAsia="Arial" w:hAnsi="Arial"/>
                <w:sz w:val="14"/>
                <w:szCs w:val="14"/>
                <w:color w:val="auto"/>
                <w:w w:val="94"/>
              </w:rPr>
              <w:t>(depreciation) appreciation on investments in our Consolidated Statements of Operations attributable to our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Level 3 assets still held at the reporting date.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495,319</w:t>
            </w:r>
          </w:p>
        </w:tc>
        <w:tc>
          <w:tcPr>
            <w:tcW w:w="80" w:type="dxa"/>
            <w:vAlign w:val="bottom"/>
          </w:tcPr>
          <w:p>
            <w:pPr>
              <w:spacing w:after="0"/>
              <w:rPr>
                <w:sz w:val="14"/>
                <w:szCs w:val="14"/>
                <w:color w:val="auto"/>
              </w:rPr>
            </w:pPr>
          </w:p>
        </w:tc>
        <w:tc>
          <w:tcPr>
            <w:tcW w:w="40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(8,163,639)</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(7,668,320)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gridSpan w:val="10"/>
          </w:tcPr>
          <w:p>
            <w:pPr>
              <w:jc w:val="center"/>
              <w:ind w:right="48"/>
              <w:spacing w:after="0"/>
              <w:rPr>
                <w:sz w:val="20"/>
                <w:szCs w:val="20"/>
                <w:color w:val="auto"/>
              </w:rPr>
            </w:pPr>
            <w:r>
              <w:rPr>
                <w:rFonts w:ascii="Arial" w:cs="Arial" w:eastAsia="Arial" w:hAnsi="Arial"/>
                <w:sz w:val="14"/>
                <w:szCs w:val="14"/>
                <w:b w:val="1"/>
                <w:bCs w:val="1"/>
                <w:color w:val="auto"/>
                <w:w w:val="94"/>
              </w:rPr>
              <w:t>Six Months Ended March 31, 2017</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1,000,146,681</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125,633,017</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1,125,779,698</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losses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(44,208,630)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(7,874,848)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(52,083,478)</w:t>
            </w: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51,972,266</w:t>
            </w: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5,894,209</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57,866,475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gridSpan w:val="3"/>
          </w:tcPr>
          <w:p>
            <w:pPr>
              <w:ind w:left="500"/>
              <w:spacing w:after="0"/>
              <w:rPr>
                <w:sz w:val="20"/>
                <w:szCs w:val="20"/>
                <w:color w:val="auto"/>
              </w:rPr>
            </w:pPr>
            <w:r>
              <w:rPr>
                <w:rFonts w:ascii="Arial" w:cs="Arial" w:eastAsia="Arial" w:hAnsi="Arial"/>
                <w:sz w:val="14"/>
                <w:szCs w:val="14"/>
                <w:color w:val="auto"/>
                <w:w w:val="93"/>
              </w:rPr>
              <w:t>Purchases, PIK interest, net discount accretion and non-cash exchanges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295,459,322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19,802,551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315,261,873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(248,458,961)</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(18,177,009)</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(266,635,970)</w:t>
            </w: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1,054,910,678</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125,277,920</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1,180,188,598</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20" w:type="dxa"/>
            <w:vAlign w:val="bottom"/>
            <w:gridSpan w:val="7"/>
          </w:tcPr>
          <w:p>
            <w:pPr>
              <w:spacing w:after="0" w:line="149" w:lineRule="exact"/>
              <w:rPr>
                <w:sz w:val="20"/>
                <w:szCs w:val="20"/>
                <w:color w:val="auto"/>
              </w:rPr>
            </w:pPr>
            <w:r>
              <w:rPr>
                <w:rFonts w:ascii="Arial" w:cs="Arial" w:eastAsia="Arial" w:hAnsi="Arial"/>
                <w:sz w:val="14"/>
                <w:szCs w:val="14"/>
                <w:color w:val="auto"/>
                <w:w w:val="94"/>
              </w:rPr>
              <w:t>appreciation (depreciation) on investments in our Consolidated Statements of Operations attributable to our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Level 3 assets still held at the reporting date.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18,366,054</w:t>
            </w:r>
          </w:p>
        </w:tc>
        <w:tc>
          <w:tcPr>
            <w:tcW w:w="80" w:type="dxa"/>
            <w:vAlign w:val="bottom"/>
          </w:tcPr>
          <w:p>
            <w:pPr>
              <w:spacing w:after="0"/>
              <w:rPr>
                <w:sz w:val="14"/>
                <w:szCs w:val="14"/>
                <w:color w:val="auto"/>
              </w:rPr>
            </w:pPr>
          </w:p>
        </w:tc>
        <w:tc>
          <w:tcPr>
            <w:tcW w:w="40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(1,093,728)</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17,272,326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gridSpan w:val="6"/>
          </w:tcPr>
          <w:p>
            <w:pPr>
              <w:ind w:left="460"/>
              <w:spacing w:after="0"/>
              <w:rPr>
                <w:sz w:val="20"/>
                <w:szCs w:val="20"/>
                <w:color w:val="auto"/>
              </w:rPr>
            </w:pPr>
            <w:r>
              <w:rPr>
                <w:rFonts w:ascii="Arial" w:cs="Arial" w:eastAsia="Arial" w:hAnsi="Arial"/>
                <w:sz w:val="14"/>
                <w:szCs w:val="14"/>
                <w:color w:val="auto"/>
                <w:w w:val="96"/>
              </w:rPr>
              <w:t>The table below shows a reconciliation of the beginning and ending balances for fair valued liabilities measured using significant unobservable inputs (Level 3):</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$79,392,900 and $50,339,700,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76,037,341</w:t>
            </w:r>
          </w:p>
        </w:tc>
        <w:tc>
          <w:tcPr>
            <w:tcW w:w="28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39,551,187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appreciation (depreciation) included in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3,521,498</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(306,136)</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76,520,000</w:t>
            </w:r>
          </w:p>
        </w:tc>
        <w:tc>
          <w:tcPr>
            <w:tcW w:w="28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219,760,000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(114,392,900)</w:t>
            </w:r>
          </w:p>
        </w:tc>
        <w:tc>
          <w:tcPr>
            <w:tcW w:w="38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(172,513,400)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$41,520,000 and $97,586,300, respectively)</w:t>
            </w: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41,685,939</w:t>
            </w:r>
          </w:p>
        </w:tc>
        <w:tc>
          <w:tcPr>
            <w:tcW w:w="280" w:type="dxa"/>
            <w:vAlign w:val="bottom"/>
          </w:tcPr>
          <w:p>
            <w:pPr>
              <w:spacing w:after="0"/>
              <w:rPr>
                <w:sz w:val="13"/>
                <w:szCs w:val="13"/>
                <w:color w:val="auto"/>
              </w:rPr>
            </w:pPr>
          </w:p>
        </w:tc>
        <w:tc>
          <w:tcPr>
            <w:tcW w:w="380" w:type="dxa"/>
            <w:vAlign w:val="bottom"/>
            <w:tcBorders>
              <w:top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86,491,651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$41,520,000 and $99,586,300,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41,685,939</w:t>
            </w:r>
          </w:p>
        </w:tc>
        <w:tc>
          <w:tcPr>
            <w:tcW w:w="2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88,491,651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right="460" w:firstLine="443"/>
        <w:spacing w:after="0" w:line="253" w:lineRule="auto"/>
        <w:rPr>
          <w:sz w:val="20"/>
          <w:szCs w:val="20"/>
          <w:color w:val="auto"/>
        </w:rPr>
      </w:pPr>
      <w:r>
        <w:rPr>
          <w:rFonts w:ascii="Arial" w:cs="Arial" w:eastAsia="Arial" w:hAnsi="Arial"/>
          <w:sz w:val="14"/>
          <w:szCs w:val="14"/>
          <w:color w:val="auto"/>
        </w:rPr>
        <w:t>As of March 31, 2018, we had outstanding non-U.S. dollar borrowings on our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41,520,000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42,053,910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9"/>
              </w:rPr>
              <w:t>April 3, 2018</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533,910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360" w:firstLine="443"/>
        <w:spacing w:after="0" w:line="253" w:lineRule="auto"/>
        <w:rPr>
          <w:sz w:val="20"/>
          <w:szCs w:val="20"/>
          <w:color w:val="auto"/>
        </w:rPr>
      </w:pPr>
      <w:r>
        <w:rPr>
          <w:rFonts w:ascii="Arial" w:cs="Arial" w:eastAsia="Arial" w:hAnsi="Arial"/>
          <w:sz w:val="14"/>
          <w:szCs w:val="14"/>
          <w:color w:val="auto"/>
        </w:rPr>
        <w:t>As of September 30, 2017, we had outstanding non-U.S. dollar borrowings on our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44,032,900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36,224,604</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4, 2017</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(7,808,296)</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19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20" w:type="dxa"/>
            <w:vAlign w:val="bottom"/>
            <w:tcBorders>
              <w:bottom w:val="single" w:sz="8" w:color="CCECFF"/>
            </w:tcBorders>
            <w:gridSpan w:val="2"/>
          </w:tcPr>
          <w:p>
            <w:pPr>
              <w:ind w:left="18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34,000,000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35,360,000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40,194,834</w:t>
            </w:r>
          </w:p>
        </w:tc>
        <w:tc>
          <w:tcPr>
            <w:tcW w:w="280" w:type="dxa"/>
            <w:vAlign w:val="bottom"/>
            <w:tcBorders>
              <w:bottom w:val="single" w:sz="8" w:color="CCECFF"/>
            </w:tcBorders>
          </w:tcPr>
          <w:p>
            <w:pPr>
              <w:spacing w:after="0"/>
              <w:rPr>
                <w:sz w:val="14"/>
                <w:szCs w:val="14"/>
                <w:color w:val="auto"/>
              </w:rPr>
            </w:pPr>
          </w:p>
        </w:tc>
        <w:tc>
          <w:tcPr>
            <w:tcW w:w="188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3"/>
              </w:rPr>
              <w:t>October 4, 2017</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4,834,834</w:t>
            </w:r>
          </w:p>
        </w:tc>
        <w:tc>
          <w:tcPr>
            <w:tcW w:w="100" w:type="dxa"/>
            <w:vAlign w:val="bottom"/>
            <w:tcBorders>
              <w:bottom w:val="single" w:sz="8" w:color="CCECFF"/>
            </w:tcBorders>
          </w:tcPr>
          <w:p>
            <w:pPr>
              <w:spacing w:after="0"/>
              <w:rPr>
                <w:sz w:val="14"/>
                <w:szCs w:val="14"/>
                <w:color w:val="auto"/>
              </w:rPr>
            </w:pPr>
          </w:p>
        </w:tc>
      </w:tr>
      <w:tr>
        <w:trPr>
          <w:trHeight w:val="156"/>
        </w:trPr>
        <w:tc>
          <w:tcPr>
            <w:tcW w:w="19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4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79,392,900</w:t>
            </w: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76,419,438</w:t>
            </w:r>
          </w:p>
        </w:tc>
        <w:tc>
          <w:tcPr>
            <w:tcW w:w="28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(2,973,462)</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380" w:firstLine="443"/>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the 2025 Notes to align the measurement attributes of both our assets and liabilities while mitigating volatility in earnings from using different measurement attributes. During both the three and six months ended March 31, 2018 and 2017, we did not incur any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prior to their redemption, the 2025 Notes are reported in our Consolidated Statements of Operations. We elected not to apply ASC 825-10 to any other financial assets or liabilities, including the SBA debentures. For the three and six months ended March 31, 2018, our Credit Facility and the 2019 Notes had a net change in unrealized depreciation of $0.4 million and $1.5 million, respectively. For the three and six months ended March 31, 2017, our Credit Facility, the 2019 Notes and the 2025 Notes had a net change in unrealized appreciation of $6.1 million and $0.3 million, respectively. As of March 31, 2018 and September 30, 2017, net unrealized appreciation on our Credit Facility and the 2019 Notes totaled $0.8 million and $2.3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six months ended March 31,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Purchases of /</w:t>
            </w: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Sale of /</w:t>
            </w:r>
          </w:p>
        </w:tc>
        <w:tc>
          <w:tcPr>
            <w:tcW w:w="100" w:type="dxa"/>
            <w:vAlign w:val="bottom"/>
          </w:tcPr>
          <w:p>
            <w:pPr>
              <w:spacing w:after="0"/>
              <w:rPr>
                <w:sz w:val="14"/>
                <w:szCs w:val="14"/>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Income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Net Change 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Appreciation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Realized Gains</w:t>
            </w:r>
          </w:p>
        </w:tc>
        <w:tc>
          <w:tcPr>
            <w:tcW w:w="0" w:type="dxa"/>
            <w:vAlign w:val="bottom"/>
          </w:tcPr>
          <w:p>
            <w:pPr>
              <w:spacing w:after="0"/>
              <w:rPr>
                <w:sz w:val="1"/>
                <w:szCs w:val="1"/>
                <w:color w:val="auto"/>
              </w:rPr>
            </w:pPr>
          </w:p>
        </w:tc>
      </w:tr>
      <w:tr>
        <w:trPr>
          <w:trHeight w:val="171"/>
        </w:trPr>
        <w:tc>
          <w:tcPr>
            <w:tcW w:w="1920" w:type="dxa"/>
            <w:vAlign w:val="bottom"/>
            <w:vMerge w:val="continue"/>
          </w:tcPr>
          <w:p>
            <w:pPr>
              <w:spacing w:after="0"/>
              <w:rPr>
                <w:sz w:val="14"/>
                <w:szCs w:val="14"/>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w w:val="92"/>
              </w:rPr>
              <w:t xml:space="preserve">September 30, 2017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xml:space="preserve">Affiliates </w:t>
            </w:r>
            <w:r>
              <w:rPr>
                <w:rFonts w:ascii="Arial" w:cs="Arial" w:eastAsia="Arial" w:hAnsi="Arial"/>
                <w:sz w:val="12"/>
                <w:szCs w:val="12"/>
                <w:b w:val="1"/>
                <w:bCs w:val="1"/>
                <w:color w:val="auto"/>
                <w:w w:val="94"/>
              </w:rPr>
              <w:t>(1), (2)</w:t>
            </w: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xml:space="preserve">from Affiliates </w:t>
            </w:r>
            <w:r>
              <w:rPr>
                <w:rFonts w:ascii="Arial" w:cs="Arial" w:eastAsia="Arial" w:hAnsi="Arial"/>
                <w:sz w:val="12"/>
                <w:szCs w:val="12"/>
                <w:b w:val="1"/>
                <w:bCs w:val="1"/>
                <w:color w:val="auto"/>
                <w:w w:val="94"/>
              </w:rPr>
              <w:t>(1)</w:t>
            </w:r>
          </w:p>
        </w:tc>
        <w:tc>
          <w:tcPr>
            <w:tcW w:w="1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w w:val="92"/>
              </w:rPr>
              <w:t>Accrued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8"/>
              </w:rPr>
              <w:t xml:space="preserve">March 31, 2018 </w:t>
            </w:r>
            <w:r>
              <w:rPr>
                <w:rFonts w:ascii="Arial" w:cs="Arial" w:eastAsia="Arial" w:hAnsi="Arial"/>
                <w:sz w:val="12"/>
                <w:szCs w:val="12"/>
                <w:b w:val="1"/>
                <w:bCs w:val="1"/>
                <w:color w:val="auto"/>
                <w:w w:val="98"/>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 xml:space="preserve">AKW Holdings Limited </w:t>
            </w:r>
            <w:r>
              <w:rPr>
                <w:rFonts w:ascii="Arial" w:cs="Arial" w:eastAsia="Arial" w:hAnsi="Arial"/>
                <w:sz w:val="12"/>
                <w:szCs w:val="12"/>
                <w:color w:val="auto"/>
              </w:rPr>
              <w:t>(3)</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39,184,097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116,122</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199,390</w:t>
            </w:r>
          </w:p>
        </w:tc>
        <w:tc>
          <w:tcPr>
            <w:tcW w:w="140" w:type="dxa"/>
            <w:vAlign w:val="bottom"/>
          </w:tcPr>
          <w:p>
            <w:pPr>
              <w:spacing w:after="0"/>
              <w:rPr>
                <w:sz w:val="14"/>
                <w:szCs w:val="14"/>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39,383,487</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9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MidOcean JF Holdings Corp.</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(JF Acquisition, LLC)</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16,945,557</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1,073,864</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(3,716,541)</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14,302,880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RAM Energy LLC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71,406,572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1,422,633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(50,118)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71,356,454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9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Superior Digital Displays</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Holdings, Inc.</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26,198,854</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9,834,635</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(7,000,000)</w:t>
            </w: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1,805,336</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(9,682,663)</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19,800,000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187,236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b w:val="1"/>
                <w:bCs w:val="1"/>
                <w:color w:val="auto"/>
              </w:rPr>
              <w:t>Non-Controlled Affiliates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CFF"/>
          </w:tcPr>
          <w:p>
            <w:pPr>
              <w:spacing w:after="0"/>
              <w:rPr>
                <w:sz w:val="20"/>
                <w:szCs w:val="20"/>
                <w:color w:val="auto"/>
              </w:rPr>
            </w:pPr>
            <w:r>
              <w:rPr>
                <w:rFonts w:ascii="Arial" w:cs="Arial" w:eastAsia="Arial" w:hAnsi="Arial"/>
                <w:sz w:val="14"/>
                <w:szCs w:val="14"/>
                <w:color w:val="auto"/>
              </w:rPr>
              <w:t>Affinion Group Holdings, Inc.</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19,704,139</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(1,792,591)</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17,911,548</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American Gilsonite Company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22,807,532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504,246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(26,983,525)</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1,102,999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(4,445,455)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8,106,203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Big Run, Inc. </w:t>
            </w:r>
            <w:r>
              <w:rPr>
                <w:rFonts w:ascii="Arial" w:cs="Arial" w:eastAsia="Arial" w:hAnsi="Arial"/>
                <w:sz w:val="12"/>
                <w:szCs w:val="12"/>
                <w:color w:val="auto"/>
              </w:rPr>
              <w:t>(4)</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674,943</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674,943</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Corfin Industries LLC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24,089,476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(26,718,516)</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993,423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(683,831)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3,275,558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CFF"/>
          </w:tcPr>
          <w:p>
            <w:pPr>
              <w:spacing w:after="0"/>
              <w:rPr>
                <w:sz w:val="20"/>
                <w:szCs w:val="20"/>
                <w:color w:val="auto"/>
              </w:rPr>
            </w:pPr>
            <w:r>
              <w:rPr>
                <w:rFonts w:ascii="Arial" w:cs="Arial" w:eastAsia="Arial" w:hAnsi="Arial"/>
                <w:sz w:val="14"/>
                <w:szCs w:val="14"/>
                <w:color w:val="auto"/>
              </w:rPr>
              <w:t>EnviroSolutions Holdings, Inc.</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25,236,136</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103,947</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(18,941,616)</w:t>
            </w: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454,098</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(3,801,810)</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(2,607,337)</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ETX Energy, LLC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44,430,932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894,101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281,289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(4,691,191)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33,573,019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(6,458,849)</w:t>
            </w:r>
          </w:p>
        </w:tc>
        <w:tc>
          <w:tcPr>
            <w:tcW w:w="0" w:type="dxa"/>
            <w:vAlign w:val="bottom"/>
          </w:tcPr>
          <w:p>
            <w:pPr>
              <w:spacing w:after="0"/>
              <w:rPr>
                <w:sz w:val="1"/>
                <w:szCs w:val="1"/>
                <w:color w:val="auto"/>
              </w:rPr>
            </w:pPr>
          </w:p>
        </w:tc>
      </w:tr>
      <w:tr>
        <w:trPr>
          <w:trHeight w:val="162"/>
        </w:trPr>
        <w:tc>
          <w:tcPr>
            <w:tcW w:w="1920" w:type="dxa"/>
            <w:vAlign w:val="bottom"/>
            <w:shd w:val="clear" w:color="auto" w:fill="CCECFF"/>
          </w:tcPr>
          <w:p>
            <w:pPr>
              <w:spacing w:after="0"/>
              <w:rPr>
                <w:sz w:val="20"/>
                <w:szCs w:val="20"/>
                <w:color w:val="auto"/>
              </w:rPr>
            </w:pPr>
            <w:r>
              <w:rPr>
                <w:rFonts w:ascii="Arial" w:cs="Arial" w:eastAsia="Arial" w:hAnsi="Arial"/>
                <w:sz w:val="14"/>
                <w:szCs w:val="14"/>
                <w:color w:val="auto"/>
              </w:rPr>
              <w:t>TRAK Acquisition Corp.</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32,175,378</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15,000,000</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(48,318,847)</w:t>
            </w: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895,459</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(5,849,743)</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6,955,332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U.S. Well Services, LLC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21,231,384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814,224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672,285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689,868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22,742,492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1920" w:type="dxa"/>
            <w:vAlign w:val="bottom"/>
            <w:tcBorders>
              <w:top w:val="single" w:sz="8" w:color="CCECFF"/>
            </w:tcBorders>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2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12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10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0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10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1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shd w:val="clear" w:color="auto" w:fill="CCECFF"/>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30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304,225,960</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68,434,057</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(128,312,504)</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7,743,644</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(33,824,685)</w:t>
            </w:r>
          </w:p>
        </w:tc>
        <w:tc>
          <w:tcPr>
            <w:tcW w:w="240" w:type="dxa"/>
            <w:vAlign w:val="bottom"/>
            <w:gridSpan w:val="2"/>
            <w:shd w:val="clear" w:color="auto" w:fill="CCEC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219,744,823</w:t>
            </w:r>
          </w:p>
        </w:tc>
        <w:tc>
          <w:tcPr>
            <w:tcW w:w="360" w:type="dxa"/>
            <w:vAlign w:val="bottom"/>
            <w:gridSpan w:val="2"/>
            <w:shd w:val="clear" w:color="auto" w:fill="CCECFF"/>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9,458,143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380" w:hanging="372"/>
        <w:spacing w:after="0" w:line="221"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Includes PIK.</w:t>
      </w:r>
    </w:p>
    <w:p>
      <w:pPr>
        <w:ind w:left="380" w:hanging="372"/>
        <w:spacing w:after="0" w:line="221"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Became a controlled affiliate during the three months ended March 31, 2018.</w:t>
      </w:r>
    </w:p>
    <w:p>
      <w:pPr>
        <w:ind w:left="380" w:hanging="372"/>
        <w:spacing w:after="0"/>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13455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252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March 31,</w:t>
            </w:r>
          </w:p>
        </w:tc>
      </w:tr>
      <w:tr>
        <w:trPr>
          <w:trHeight w:val="25"/>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56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r>
      <w:tr>
        <w:trPr>
          <w:trHeight w:val="155"/>
        </w:trPr>
        <w:tc>
          <w:tcPr>
            <w:tcW w:w="56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00" w:type="dxa"/>
            <w:vAlign w:val="bottom"/>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6,035,010</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11,459,670</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18,330,407</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35,508,796</w:t>
            </w:r>
          </w:p>
        </w:tc>
        <w:tc>
          <w:tcPr>
            <w:tcW w:w="120" w:type="dxa"/>
            <w:vAlign w:val="bottom"/>
            <w:shd w:val="clear" w:color="auto" w:fill="CCECFF"/>
          </w:tcPr>
          <w:p>
            <w:pPr>
              <w:spacing w:after="0"/>
              <w:rPr>
                <w:sz w:val="13"/>
                <w:szCs w:val="13"/>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71,060,836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71,060,836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71,060,836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71,060,836</w:t>
            </w:r>
          </w:p>
        </w:tc>
        <w:tc>
          <w:tcPr>
            <w:tcW w:w="120" w:type="dxa"/>
            <w:vAlign w:val="bottom"/>
          </w:tcPr>
          <w:p>
            <w:pPr>
              <w:spacing w:after="0"/>
              <w:rPr>
                <w:sz w:val="14"/>
                <w:szCs w:val="14"/>
                <w:color w:val="auto"/>
              </w:rPr>
            </w:pPr>
          </w:p>
        </w:tc>
      </w:tr>
      <w:tr>
        <w:trPr>
          <w:trHeight w:val="162"/>
        </w:trPr>
        <w:tc>
          <w:tcPr>
            <w:tcW w:w="562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0.08</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0.16</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50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0.50</w:t>
            </w:r>
          </w:p>
        </w:tc>
        <w:tc>
          <w:tcPr>
            <w:tcW w:w="12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60" w:firstLine="432"/>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2018 and September 30, 2017, cash and cash equivalents consisted of money market funds in the amounts of $170.2 million and $38.2 million at fair value,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840" w:type="dxa"/>
            <w:vAlign w:val="bottom"/>
          </w:tcPr>
          <w:p>
            <w:pPr>
              <w:ind w:left="160"/>
              <w:spacing w:after="0"/>
              <w:rPr>
                <w:sz w:val="20"/>
                <w:szCs w:val="20"/>
                <w:color w:val="auto"/>
              </w:rPr>
            </w:pPr>
            <w:r>
              <w:rPr>
                <w:rFonts w:ascii="Arial" w:cs="Arial" w:eastAsia="Arial" w:hAnsi="Arial"/>
                <w:sz w:val="14"/>
                <w:szCs w:val="14"/>
                <w:color w:val="auto"/>
              </w:rPr>
              <w:t>Below are the financial highlights:</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7"/>
              </w:rPr>
              <w:t>Six Months Ended March 31,</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8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84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14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1140" w:type="dxa"/>
            <w:vAlign w:val="bottom"/>
          </w:tcPr>
          <w:p>
            <w:pPr>
              <w:jc w:val="right"/>
              <w:ind w:right="9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9.10</w:t>
            </w:r>
          </w:p>
        </w:tc>
        <w:tc>
          <w:tcPr>
            <w:tcW w:w="300" w:type="dxa"/>
            <w:vAlign w:val="bottom"/>
          </w:tcPr>
          <w:p>
            <w:pPr>
              <w:spacing w:after="0"/>
              <w:rPr>
                <w:sz w:val="14"/>
                <w:szCs w:val="14"/>
                <w:color w:val="auto"/>
              </w:rPr>
            </w:pPr>
          </w:p>
        </w:tc>
        <w:tc>
          <w:tcPr>
            <w:tcW w:w="86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0.39</w:t>
            </w:r>
          </w:p>
        </w:tc>
        <w:tc>
          <w:tcPr>
            <w:tcW w:w="3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1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0.26</w:t>
            </w:r>
          </w:p>
        </w:tc>
        <w:tc>
          <w:tcPr>
            <w:tcW w:w="3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0.50</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14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56"/>
        </w:trPr>
        <w:tc>
          <w:tcPr>
            <w:tcW w:w="68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140" w:type="dxa"/>
            <w:vAlign w:val="bottom"/>
            <w:tcBorders>
              <w:top w:val="single" w:sz="8" w:color="auto"/>
              <w:bottom w:val="single" w:sz="8" w:color="auto"/>
            </w:tcBorders>
            <w:shd w:val="clear" w:color="auto" w:fill="CCECFF"/>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9.00</w:t>
            </w: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740" w:type="dxa"/>
            <w:vAlign w:val="bottom"/>
            <w:tcBorders>
              <w:top w:val="single" w:sz="8" w:color="auto"/>
              <w:bottom w:val="single" w:sz="8" w:color="auto"/>
            </w:tcBorders>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9.09</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tcBorders>
              <w:bottom w:val="single" w:sz="8" w:color="CCECFF"/>
            </w:tcBorders>
            <w:vMerge w:val="continue"/>
          </w:tcPr>
          <w:p>
            <w:pPr>
              <w:spacing w:after="0"/>
              <w:rPr>
                <w:sz w:val="15"/>
                <w:szCs w:val="15"/>
                <w:color w:val="auto"/>
              </w:rPr>
            </w:pPr>
          </w:p>
        </w:tc>
        <w:tc>
          <w:tcPr>
            <w:tcW w:w="1140" w:type="dxa"/>
            <w:vAlign w:val="bottom"/>
            <w:tcBorders>
              <w:top w:val="single" w:sz="8" w:color="auto"/>
              <w:bottom w:val="single" w:sz="8" w:color="auto"/>
            </w:tcBorders>
          </w:tcPr>
          <w:p>
            <w:pPr>
              <w:jc w:val="right"/>
              <w:ind w:right="98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6.68</w:t>
            </w:r>
          </w:p>
        </w:tc>
        <w:tc>
          <w:tcPr>
            <w:tcW w:w="30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8.14</w:t>
            </w:r>
          </w:p>
        </w:tc>
        <w:tc>
          <w:tcPr>
            <w:tcW w:w="1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4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14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120"/>
              <w:spacing w:after="0" w:line="143" w:lineRule="exact"/>
              <w:rPr>
                <w:sz w:val="20"/>
                <w:szCs w:val="20"/>
                <w:color w:val="auto"/>
              </w:rPr>
            </w:pPr>
            <w:r>
              <w:rPr>
                <w:rFonts w:ascii="Arial" w:cs="Arial" w:eastAsia="Arial" w:hAnsi="Arial"/>
                <w:sz w:val="14"/>
                <w:szCs w:val="14"/>
                <w:color w:val="auto"/>
              </w:rPr>
              <w:t>(6.38)%</w:t>
            </w: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32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202"/>
        </w:trPr>
        <w:tc>
          <w:tcPr>
            <w:tcW w:w="68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period</w:t>
            </w:r>
          </w:p>
        </w:tc>
        <w:tc>
          <w:tcPr>
            <w:tcW w:w="1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71,060,836</w:t>
            </w:r>
          </w:p>
        </w:tc>
        <w:tc>
          <w:tcPr>
            <w:tcW w:w="30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71,060,836</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84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Ratios**/ Supplemental Data:</w:t>
            </w:r>
          </w:p>
        </w:tc>
        <w:tc>
          <w:tcPr>
            <w:tcW w:w="11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1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 (6)</w:t>
            </w:r>
          </w:p>
        </w:tc>
        <w:tc>
          <w:tcPr>
            <w:tcW w:w="1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5.09%</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Ratio of interest and expenses on debt to average net assets</w:t>
            </w:r>
          </w:p>
        </w:tc>
        <w:tc>
          <w:tcPr>
            <w:tcW w:w="11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8.73%</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(6)</w:t>
            </w:r>
          </w:p>
        </w:tc>
        <w:tc>
          <w:tcPr>
            <w:tcW w:w="11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20"/>
                <w:szCs w:val="20"/>
                <w:color w:val="auto"/>
              </w:rPr>
            </w:pPr>
            <w:r>
              <w:rPr>
                <w:rFonts w:ascii="Arial" w:cs="Arial" w:eastAsia="Arial" w:hAnsi="Arial"/>
                <w:sz w:val="14"/>
                <w:szCs w:val="14"/>
                <w:color w:val="auto"/>
              </w:rPr>
              <w:t>Net assets at end of period</w:t>
            </w:r>
          </w:p>
        </w:tc>
        <w:tc>
          <w:tcPr>
            <w:tcW w:w="1140" w:type="dxa"/>
            <w:vAlign w:val="bottom"/>
          </w:tcPr>
          <w:p>
            <w:pPr>
              <w:jc w:val="right"/>
              <w:ind w:right="9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7"/>
              </w:rPr>
              <w:t>639,556,977</w:t>
            </w:r>
          </w:p>
        </w:tc>
        <w:tc>
          <w:tcPr>
            <w:tcW w:w="300" w:type="dxa"/>
            <w:vAlign w:val="bottom"/>
          </w:tcPr>
          <w:p>
            <w:pPr>
              <w:spacing w:after="0"/>
              <w:rPr>
                <w:sz w:val="14"/>
                <w:szCs w:val="14"/>
                <w:color w:val="auto"/>
              </w:rPr>
            </w:pPr>
          </w:p>
        </w:tc>
        <w:tc>
          <w:tcPr>
            <w:tcW w:w="86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646,187,667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1140" w:type="dxa"/>
            <w:vAlign w:val="bottom"/>
            <w:tcBorders>
              <w:top w:val="single" w:sz="8" w:color="auto"/>
              <w:bottom w:val="single" w:sz="8" w:color="auto"/>
            </w:tcBorders>
            <w:shd w:val="clear" w:color="auto" w:fill="CCECFF"/>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7"/>
              </w:rPr>
              <w:t>515,320,931</w:t>
            </w:r>
          </w:p>
        </w:tc>
        <w:tc>
          <w:tcPr>
            <w:tcW w:w="3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740" w:type="dxa"/>
            <w:vAlign w:val="bottom"/>
            <w:tcBorders>
              <w:top w:val="single" w:sz="8" w:color="auto"/>
              <w:bottom w:val="single" w:sz="8" w:color="auto"/>
            </w:tcBorders>
            <w:shd w:val="clear" w:color="auto" w:fill="CCECFF"/>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635,354,299</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4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140" w:type="dxa"/>
            <w:vAlign w:val="bottom"/>
          </w:tcPr>
          <w:p>
            <w:pPr>
              <w:jc w:val="right"/>
              <w:ind w:right="98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7.25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6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8.94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140" w:type="dxa"/>
            <w:vAlign w:val="bottom"/>
            <w:shd w:val="clear" w:color="auto" w:fill="CCECFF"/>
          </w:tcPr>
          <w:p>
            <w:pPr>
              <w:jc w:val="right"/>
              <w:ind w:right="9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3,188</w:t>
            </w:r>
          </w:p>
        </w:tc>
        <w:tc>
          <w:tcPr>
            <w:tcW w:w="300" w:type="dxa"/>
            <w:vAlign w:val="bottom"/>
            <w:shd w:val="clear" w:color="auto" w:fill="CCECFF"/>
          </w:tcPr>
          <w:p>
            <w:pPr>
              <w:spacing w:after="0"/>
              <w:rPr>
                <w:sz w:val="14"/>
                <w:szCs w:val="14"/>
                <w:color w:val="auto"/>
              </w:rPr>
            </w:pPr>
          </w:p>
        </w:tc>
        <w:tc>
          <w:tcPr>
            <w:tcW w:w="860" w:type="dxa"/>
            <w:vAlign w:val="bottom"/>
            <w:gridSpan w:val="2"/>
            <w:shd w:val="clear" w:color="auto" w:fill="CCECFF"/>
          </w:tcPr>
          <w:p>
            <w:pPr>
              <w:jc w:val="right"/>
              <w:ind w:right="62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84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43.45%</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44.13%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84" w:lineRule="exact"/>
        <w:rPr>
          <w:sz w:val="20"/>
          <w:szCs w:val="20"/>
          <w:color w:val="auto"/>
        </w:rPr>
      </w:pPr>
    </w:p>
    <w:p>
      <w:pPr>
        <w:ind w:right="8240" w:firstLine="8"/>
        <w:spacing w:after="0" w:line="276" w:lineRule="auto"/>
        <w:tabs>
          <w:tab w:leader="none" w:pos="364"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80" w:hanging="372"/>
        <w:spacing w:after="0"/>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4" w:lineRule="exact"/>
        <w:rPr>
          <w:rFonts w:ascii="Arial" w:cs="Arial" w:eastAsia="Arial" w:hAnsi="Arial"/>
          <w:sz w:val="12"/>
          <w:szCs w:val="12"/>
          <w:color w:val="auto"/>
        </w:rPr>
      </w:pPr>
    </w:p>
    <w:p>
      <w:pPr>
        <w:ind w:left="380" w:right="20" w:hanging="372"/>
        <w:spacing w:after="0" w:line="26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hanging="352"/>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14" w:lineRule="exact"/>
        <w:rPr>
          <w:rFonts w:ascii="Arial" w:cs="Arial" w:eastAsia="Arial" w:hAnsi="Arial"/>
          <w:sz w:val="12"/>
          <w:szCs w:val="12"/>
          <w:color w:val="auto"/>
        </w:rPr>
      </w:pPr>
    </w:p>
    <w:p>
      <w:pPr>
        <w:ind w:left="360" w:right="780" w:hanging="352"/>
        <w:spacing w:after="0" w:line="281" w:lineRule="auto"/>
        <w:tabs>
          <w:tab w:leader="none" w:pos="360" w:val="left"/>
        </w:tabs>
        <w:numPr>
          <w:ilvl w:val="0"/>
          <w:numId w:val="16"/>
        </w:numPr>
        <w:rPr>
          <w:rFonts w:ascii="Arial" w:cs="Arial" w:eastAsia="Arial" w:hAnsi="Arial"/>
          <w:sz w:val="11"/>
          <w:szCs w:val="11"/>
          <w:color w:val="auto"/>
        </w:rPr>
      </w:pPr>
      <w:r>
        <w:rPr>
          <w:rFonts w:ascii="Arial" w:cs="Arial" w:eastAsia="Arial" w:hAnsi="Arial"/>
          <w:sz w:val="13"/>
          <w:szCs w:val="13"/>
          <w:color w:val="auto"/>
        </w:rPr>
        <w:t>For the six months ended March 31, 2018 and 2017, the ratio of operating expenses before the waiver of certain Management Fees to average net assets was 5.53% and 7.27%, respectively, and the ratio of total expenses before the waiver of certain Management Fees to average net assets was 9.17% and 11.55%, respectively.</w:t>
      </w:r>
    </w:p>
    <w:p>
      <w:pPr>
        <w:ind w:left="360" w:hanging="352"/>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Does not annualize non-recurring provision for taxes.</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14" w:lineRule="exact"/>
        <w:rPr>
          <w:rFonts w:ascii="Arial" w:cs="Arial" w:eastAsia="Arial" w:hAnsi="Arial"/>
          <w:sz w:val="12"/>
          <w:szCs w:val="12"/>
          <w:color w:val="auto"/>
        </w:rPr>
      </w:pPr>
    </w:p>
    <w:p>
      <w:pPr>
        <w:ind w:left="360" w:right="120" w:hanging="352"/>
        <w:spacing w:after="0" w:line="272" w:lineRule="auto"/>
        <w:tabs>
          <w:tab w:leader="none" w:pos="3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exemptive relief received from the SEC in June 2011.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Our annualized weighted average cost of debt for the six months ended March 31, 2018 and 2017, inclusive of the fee on the undrawn commitment and amendment costs on the Credit Facility, amortized upfront fees on SBA debentures and debt issuance costs, was 4.58% and 4.38%, respectively. As of March 31, 2018, in accordance with the 1940 Act, with certain limited exceptions, we are only allowed to borrow amounts such that we are in compliance with a 200% asset coverage ratio after such borrowing, excluding SBA debentures pursuant to exemptive relief from the SEC received in June 2011.</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As of March 31, 2018, we had a $445 million multi-currency Credit Facility with certain lenders and SunTrust Bank, acting as administrative agent, and JPMorgan Chase Bank, N.A., acting as syndication agent for the lenders. As of March 31, 2018 and September 30, 2017, there was $41.5 million and $79.4 million, respectively, in outstanding borrowings under the Credit Facility. The Credit Facility had a weighted average interest rate of 2.88% and 2.42%, respectively, exclusive of the fee on undrawn commitments of 0.375%, as of March 31, 2018 and September 30, 2017. The Credit Facility is a five-year revolving facility with a stated maturity date of May 25, 2022, a one-year term-out period following its fourth year and pricing set at 225 basis points over LIBOR. The Credit Facility is secured by substantially all of our assets excluding assets held by our SBIC Funds.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jc w:val="both"/>
        <w:ind w:right="300" w:firstLine="434"/>
        <w:spacing w:after="0" w:line="233"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$50.0 million as of March 31, 2018. We have funded SBIC II with $75.0 million of equity capital and it had SBA debentures outstanding of $150.0 million as of March 31, 2018. SBA debentures are non-recourse to us and may be prepaid at any time without penalty. The interest rate of SBA debentures is fixed at the time of issuance, often referred to as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MARCH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color w:val="auto"/>
        </w:rPr>
        <w:t>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106" w:lineRule="exact"/>
        <w:rPr>
          <w:sz w:val="20"/>
          <w:szCs w:val="20"/>
          <w:color w:val="auto"/>
        </w:rPr>
      </w:pPr>
    </w:p>
    <w:p>
      <w:pPr>
        <w:jc w:val="both"/>
        <w:ind w:right="200" w:firstLine="434"/>
        <w:spacing w:after="0" w:line="238" w:lineRule="auto"/>
        <w:rPr>
          <w:sz w:val="20"/>
          <w:szCs w:val="20"/>
          <w:color w:val="auto"/>
        </w:rPr>
      </w:pPr>
      <w:r>
        <w:rPr>
          <w:rFonts w:ascii="Arial" w:cs="Arial" w:eastAsia="Arial" w:hAnsi="Arial"/>
          <w:sz w:val="14"/>
          <w:szCs w:val="14"/>
          <w:color w:val="auto"/>
        </w:rPr>
        <w:t>As of March 31, 2018 and September 30, 2017, our SBIC Funds had $300.0 million in debt commitments, respectively, of which $200.0 million and $199.0 million was drawn, respectively. As of March 31, 2018 and September 30, 2017, the unamortized fees on the SBA debentures was $5.1 million and $4.6 million, respectively. The SBA debentures’ upfront fees of 3.43% consist of a commitment fee of 1.00% and an issuance discount of 2.43%, which are being amortized.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6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As of March 31, 2018</w:t>
            </w:r>
          </w:p>
        </w:tc>
        <w:tc>
          <w:tcPr>
            <w:tcW w:w="0" w:type="dxa"/>
            <w:vAlign w:val="bottom"/>
          </w:tcPr>
          <w:p>
            <w:pPr>
              <w:spacing w:after="0"/>
              <w:rPr>
                <w:sz w:val="1"/>
                <w:szCs w:val="1"/>
                <w:color w:val="auto"/>
              </w:rPr>
            </w:pPr>
          </w:p>
        </w:tc>
      </w:tr>
      <w:tr>
        <w:trPr>
          <w:trHeight w:val="124"/>
        </w:trPr>
        <w:tc>
          <w:tcPr>
            <w:tcW w:w="34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10"/>
                <w:szCs w:val="10"/>
                <w:color w:val="auto"/>
              </w:rPr>
            </w:pPr>
          </w:p>
        </w:tc>
        <w:tc>
          <w:tcPr>
            <w:tcW w:w="20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0"/>
                <w:szCs w:val="10"/>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6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2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C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2"/>
              </w:rPr>
              <w:t>Principal 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2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20" w:type="dxa"/>
            <w:vAlign w:val="bottom"/>
            <w:shd w:val="clear" w:color="auto" w:fill="CCECFF"/>
          </w:tcPr>
          <w:p>
            <w:pPr>
              <w:spacing w:after="0"/>
              <w:rPr>
                <w:sz w:val="13"/>
                <w:szCs w:val="13"/>
                <w:color w:val="auto"/>
              </w:rPr>
            </w:pPr>
          </w:p>
        </w:tc>
        <w:tc>
          <w:tcPr>
            <w:tcW w:w="2420" w:type="dxa"/>
            <w:vAlign w:val="bottom"/>
            <w:gridSpan w:val="2"/>
            <w:shd w:val="clear" w:color="auto" w:fill="CCECFF"/>
          </w:tcPr>
          <w:p>
            <w:pPr>
              <w:ind w:left="1680"/>
              <w:spacing w:after="0" w:line="155" w:lineRule="exact"/>
              <w:rPr>
                <w:sz w:val="20"/>
                <w:szCs w:val="20"/>
                <w:color w:val="auto"/>
              </w:rPr>
            </w:pPr>
            <w:r>
              <w:rPr>
                <w:rFonts w:ascii="Arial" w:cs="Arial" w:eastAsia="Arial" w:hAnsi="Arial"/>
                <w:sz w:val="14"/>
                <w:szCs w:val="14"/>
                <w:color w:val="auto"/>
              </w:rPr>
              <w:t>3.36%</w:t>
            </w: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24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50,000,000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March 23, 2016</w:t>
            </w:r>
          </w:p>
        </w:tc>
        <w:tc>
          <w:tcPr>
            <w:tcW w:w="2280" w:type="dxa"/>
            <w:vAlign w:val="bottom"/>
            <w:gridSpan w:val="2"/>
          </w:tcPr>
          <w:p>
            <w:pPr>
              <w:spacing w:after="0"/>
              <w:rPr>
                <w:sz w:val="20"/>
                <w:szCs w:val="20"/>
                <w:color w:val="auto"/>
              </w:rPr>
            </w:pPr>
            <w:r>
              <w:rPr>
                <w:rFonts w:ascii="Arial" w:cs="Arial" w:eastAsia="Arial" w:hAnsi="Arial"/>
                <w:sz w:val="14"/>
                <w:szCs w:val="14"/>
                <w:color w:val="auto"/>
              </w:rPr>
              <w:t>March 1, 2026</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2.86</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2026</w:t>
            </w:r>
          </w:p>
        </w:tc>
        <w:tc>
          <w:tcPr>
            <w:tcW w:w="1960" w:type="dxa"/>
            <w:vAlign w:val="bottom"/>
            <w:shd w:val="clear" w:color="auto" w:fill="CCECFF"/>
          </w:tcPr>
          <w:p>
            <w:pPr>
              <w:ind w:left="1680"/>
              <w:spacing w:after="0"/>
              <w:rPr>
                <w:sz w:val="20"/>
                <w:szCs w:val="20"/>
                <w:color w:val="auto"/>
              </w:rPr>
            </w:pPr>
            <w:r>
              <w:rPr>
                <w:rFonts w:ascii="Arial" w:cs="Arial" w:eastAsia="Arial" w:hAnsi="Arial"/>
                <w:sz w:val="14"/>
                <w:szCs w:val="14"/>
                <w:color w:val="auto"/>
                <w:w w:val="95"/>
              </w:rPr>
              <w:t>2.41</w:t>
            </w:r>
          </w:p>
        </w:tc>
        <w:tc>
          <w:tcPr>
            <w:tcW w:w="4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28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2.87</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2028</w:t>
            </w:r>
          </w:p>
        </w:tc>
        <w:tc>
          <w:tcPr>
            <w:tcW w:w="1960" w:type="dxa"/>
            <w:vAlign w:val="bottom"/>
            <w:tcBorders>
              <w:bottom w:val="single" w:sz="8" w:color="auto"/>
            </w:tcBorders>
            <w:shd w:val="clear" w:color="auto" w:fill="CCECFF"/>
          </w:tcPr>
          <w:p>
            <w:pPr>
              <w:ind w:left="1680"/>
              <w:spacing w:after="0"/>
              <w:rPr>
                <w:sz w:val="20"/>
                <w:szCs w:val="20"/>
                <w:color w:val="auto"/>
              </w:rPr>
            </w:pPr>
            <w:r>
              <w:rPr>
                <w:rFonts w:ascii="Arial" w:cs="Arial" w:eastAsia="Arial" w:hAnsi="Arial"/>
                <w:sz w:val="14"/>
                <w:szCs w:val="14"/>
                <w:color w:val="auto"/>
                <w:w w:val="95"/>
              </w:rPr>
              <w:t>3.53</w:t>
            </w:r>
          </w:p>
        </w:tc>
        <w:tc>
          <w:tcPr>
            <w:tcW w:w="46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2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6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2"/>
          </w:tcPr>
          <w:p>
            <w:pPr>
              <w:ind w:left="1680"/>
              <w:spacing w:after="0" w:line="155" w:lineRule="exact"/>
              <w:rPr>
                <w:sz w:val="20"/>
                <w:szCs w:val="20"/>
                <w:color w:val="auto"/>
              </w:rPr>
            </w:pPr>
            <w:r>
              <w:rPr>
                <w:rFonts w:ascii="Arial" w:cs="Arial" w:eastAsia="Arial" w:hAnsi="Arial"/>
                <w:sz w:val="14"/>
                <w:szCs w:val="14"/>
                <w:color w:val="auto"/>
              </w:rPr>
              <w:t>3.17%</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2480" w:type="dxa"/>
            <w:vAlign w:val="bottom"/>
          </w:tcPr>
          <w:p>
            <w:pPr>
              <w:jc w:val="right"/>
              <w:spacing w:after="0" w:line="155" w:lineRule="exact"/>
              <w:rPr>
                <w:sz w:val="20"/>
                <w:szCs w:val="20"/>
                <w:color w:val="auto"/>
              </w:rPr>
            </w:pPr>
            <w:r>
              <w:rPr>
                <w:rFonts w:ascii="Arial" w:cs="Arial" w:eastAsia="Arial" w:hAnsi="Arial"/>
                <w:sz w:val="14"/>
                <w:szCs w:val="14"/>
                <w:color w:val="auto"/>
              </w:rPr>
              <w:t>200,000,000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4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24"/>
                <w:szCs w:val="24"/>
                <w:color w:val="auto"/>
              </w:rPr>
            </w:pPr>
          </w:p>
        </w:tc>
        <w:tc>
          <w:tcPr>
            <w:tcW w:w="20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6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 September 30, 2017</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C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2"/>
              </w:rPr>
              <w:t>Principal 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29, 2011</w:t>
            </w:r>
          </w:p>
        </w:tc>
        <w:tc>
          <w:tcPr>
            <w:tcW w:w="22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2021</w:t>
            </w:r>
          </w:p>
        </w:tc>
        <w:tc>
          <w:tcPr>
            <w:tcW w:w="220" w:type="dxa"/>
            <w:vAlign w:val="bottom"/>
            <w:shd w:val="clear" w:color="auto" w:fill="CCECFF"/>
          </w:tcPr>
          <w:p>
            <w:pPr>
              <w:spacing w:after="0"/>
              <w:rPr>
                <w:sz w:val="13"/>
                <w:szCs w:val="13"/>
                <w:color w:val="auto"/>
              </w:rPr>
            </w:pPr>
          </w:p>
        </w:tc>
        <w:tc>
          <w:tcPr>
            <w:tcW w:w="2420" w:type="dxa"/>
            <w:vAlign w:val="bottom"/>
            <w:gridSpan w:val="2"/>
            <w:shd w:val="clear" w:color="auto" w:fill="CCECFF"/>
          </w:tcPr>
          <w:p>
            <w:pPr>
              <w:ind w:left="1680"/>
              <w:spacing w:after="0" w:line="155" w:lineRule="exact"/>
              <w:rPr>
                <w:sz w:val="20"/>
                <w:szCs w:val="20"/>
                <w:color w:val="auto"/>
              </w:rPr>
            </w:pPr>
            <w:r>
              <w:rPr>
                <w:rFonts w:ascii="Arial" w:cs="Arial" w:eastAsia="Arial" w:hAnsi="Arial"/>
                <w:sz w:val="14"/>
                <w:szCs w:val="14"/>
                <w:color w:val="auto"/>
              </w:rPr>
              <w:t>4.37%</w:t>
            </w: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24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September 21, 2011</w:t>
            </w:r>
          </w:p>
        </w:tc>
        <w:tc>
          <w:tcPr>
            <w:tcW w:w="2280" w:type="dxa"/>
            <w:vAlign w:val="bottom"/>
            <w:gridSpan w:val="2"/>
          </w:tcPr>
          <w:p>
            <w:pPr>
              <w:spacing w:after="0"/>
              <w:rPr>
                <w:sz w:val="20"/>
                <w:szCs w:val="20"/>
                <w:color w:val="auto"/>
              </w:rPr>
            </w:pPr>
            <w:r>
              <w:rPr>
                <w:rFonts w:ascii="Arial" w:cs="Arial" w:eastAsia="Arial" w:hAnsi="Arial"/>
                <w:sz w:val="14"/>
                <w:szCs w:val="14"/>
                <w:color w:val="auto"/>
              </w:rPr>
              <w:t>September 1, 2021</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3.38</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105,000,000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23, 2016</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2026</w:t>
            </w:r>
          </w:p>
        </w:tc>
        <w:tc>
          <w:tcPr>
            <w:tcW w:w="1960" w:type="dxa"/>
            <w:vAlign w:val="bottom"/>
            <w:shd w:val="clear" w:color="auto" w:fill="CCECFF"/>
          </w:tcPr>
          <w:p>
            <w:pPr>
              <w:ind w:left="1680"/>
              <w:spacing w:after="0"/>
              <w:rPr>
                <w:sz w:val="20"/>
                <w:szCs w:val="20"/>
                <w:color w:val="auto"/>
              </w:rPr>
            </w:pPr>
            <w:r>
              <w:rPr>
                <w:rFonts w:ascii="Arial" w:cs="Arial" w:eastAsia="Arial" w:hAnsi="Arial"/>
                <w:sz w:val="14"/>
                <w:szCs w:val="14"/>
                <w:color w:val="auto"/>
                <w:w w:val="95"/>
              </w:rPr>
              <w:t>2.86</w:t>
            </w:r>
          </w:p>
        </w:tc>
        <w:tc>
          <w:tcPr>
            <w:tcW w:w="4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2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2.41</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1960" w:type="dxa"/>
            <w:vAlign w:val="bottom"/>
            <w:tcBorders>
              <w:bottom w:val="single" w:sz="8" w:color="auto"/>
            </w:tcBorders>
            <w:shd w:val="clear" w:color="auto" w:fill="CCECFF"/>
          </w:tcPr>
          <w:p>
            <w:pPr>
              <w:ind w:left="1680"/>
              <w:spacing w:after="0"/>
              <w:rPr>
                <w:sz w:val="20"/>
                <w:szCs w:val="20"/>
                <w:color w:val="auto"/>
              </w:rPr>
            </w:pPr>
            <w:r>
              <w:rPr>
                <w:rFonts w:ascii="Arial" w:cs="Arial" w:eastAsia="Arial" w:hAnsi="Arial"/>
                <w:sz w:val="14"/>
                <w:szCs w:val="14"/>
                <w:color w:val="auto"/>
                <w:w w:val="95"/>
              </w:rPr>
              <w:t>2.87</w:t>
            </w:r>
          </w:p>
        </w:tc>
        <w:tc>
          <w:tcPr>
            <w:tcW w:w="46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2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2"/>
          </w:tcPr>
          <w:p>
            <w:pPr>
              <w:ind w:left="1680"/>
              <w:spacing w:after="0" w:line="155" w:lineRule="exact"/>
              <w:rPr>
                <w:sz w:val="20"/>
                <w:szCs w:val="20"/>
                <w:color w:val="auto"/>
              </w:rPr>
            </w:pPr>
            <w:r>
              <w:rPr>
                <w:rFonts w:ascii="Arial" w:cs="Arial" w:eastAsia="Arial" w:hAnsi="Arial"/>
                <w:sz w:val="14"/>
                <w:szCs w:val="14"/>
                <w:color w:val="auto"/>
              </w:rPr>
              <w:t>3.19%</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2480" w:type="dxa"/>
            <w:vAlign w:val="bottom"/>
          </w:tcPr>
          <w:p>
            <w:pPr>
              <w:jc w:val="right"/>
              <w:spacing w:after="0" w:line="155" w:lineRule="exact"/>
              <w:rPr>
                <w:sz w:val="20"/>
                <w:szCs w:val="20"/>
                <w:color w:val="auto"/>
              </w:rPr>
            </w:pPr>
            <w:r>
              <w:rPr>
                <w:rFonts w:ascii="Arial" w:cs="Arial" w:eastAsia="Arial" w:hAnsi="Arial"/>
                <w:sz w:val="14"/>
                <w:szCs w:val="14"/>
                <w:color w:val="auto"/>
              </w:rPr>
              <w:t>199,000,000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16" w:lineRule="exact"/>
        <w:rPr>
          <w:sz w:val="20"/>
          <w:szCs w:val="20"/>
          <w:color w:val="auto"/>
        </w:rPr>
      </w:pPr>
    </w:p>
    <w:p>
      <w:pPr>
        <w:ind w:right="220" w:firstLine="456"/>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2018, our SBIC Funds were in compliance with their regulatory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As of March 31, 2018 and September 30, 2017,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firstLine="456"/>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March 31, 2018 and September 30, 2017, we had $31.8 million and $21.6 million, respectively, in commitments to fund investments. For the same periods, there were no letters of credit issued.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SUBSEQUENT EVENTS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Subsequent to quarter-end, we announced a share repurchase plan which allows us to repurchase up to $30.0 million of our outstanding common stock in the open market at prices below our net asset value as reported in our then most recently published consolidated financial statements. The program will expire on May 8, 2019.</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Subsequent to quarter-end, we repaid $15.0 million of SBA debentures.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9" w:lineRule="exact"/>
        <w:rPr>
          <w:sz w:val="20"/>
          <w:szCs w:val="20"/>
          <w:color w:val="auto"/>
        </w:rPr>
      </w:pPr>
    </w:p>
    <w:p>
      <w:pPr>
        <w:ind w:right="5240"/>
        <w:spacing w:after="0" w:line="442" w:lineRule="auto"/>
        <w:rPr>
          <w:sz w:val="20"/>
          <w:szCs w:val="20"/>
          <w:color w:val="auto"/>
        </w:rPr>
      </w:pPr>
      <w:r>
        <w:rPr>
          <w:rFonts w:ascii="Arial" w:cs="Arial" w:eastAsia="Arial" w:hAnsi="Arial"/>
          <w:sz w:val="14"/>
          <w:szCs w:val="14"/>
          <w:color w:val="auto"/>
        </w:rPr>
        <w:t xml:space="preserve">To the Board of Directors and Stockholders of PennantPark Investment Corporation and its Subsidiaries </w:t>
      </w:r>
      <w:r>
        <w:rPr>
          <w:rFonts w:ascii="Arial" w:cs="Arial" w:eastAsia="Arial" w:hAnsi="Arial"/>
          <w:sz w:val="14"/>
          <w:szCs w:val="14"/>
          <w:b w:val="1"/>
          <w:bCs w:val="1"/>
          <w:color w:val="auto"/>
        </w:rPr>
        <w:t>Results of Review of Interim Financial Statements</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We have reviewed the accompanying consolidated statement of assets and liabilities of PennantPark Investment Corporation and its Subsidiaries (collectively referred to as the “Company”), including the consolidated schedule of investments, as of March 31, 2018, the related consolidated statements of operations for the three-month and six-month periods ended March 31, 2018 and 2017, the related consolidated statements of changes in net assets and cash flows for the six-month periods ended March 31, 2018 and 2017 and the related notes to the consolidated financial statements (collectively, the interim financial statements). Based on our reviews, we are not aware of any material modifications that should be made to the condensed financial statements referred to above for them to be in conformity with accounting principles generally accepted in the United States of America.</w:t>
      </w:r>
    </w:p>
    <w:p>
      <w:pPr>
        <w:spacing w:after="0" w:line="116"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2017, and the related consolidated statement of operations, changes in net assets, and cash flows for the year then ended (not presented herein); and in our report dated November 29, 2017, we expressed an unqualified opinion on those financial statements. In our opinion, the information set forth in the accompanying consolidated statements of assets and liabilities as of September 30, 2017, is fairly stated, in all material respects, in relation to the balance sheet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May 9, 2018</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tabs>
          <w:tab w:leader="none" w:pos="13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80" w:firstLine="434"/>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136" w:lineRule="exact"/>
        <w:rPr>
          <w:sz w:val="20"/>
          <w:szCs w:val="20"/>
          <w:color w:val="auto"/>
        </w:rPr>
      </w:pPr>
    </w:p>
    <w:p>
      <w:pPr>
        <w:ind w:firstLine="434"/>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280" w:firstLine="434"/>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160" w:firstLine="434"/>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200" w:firstLine="434"/>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460" w:firstLine="434"/>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84" w:lineRule="exact"/>
        <w:rPr>
          <w:sz w:val="20"/>
          <w:szCs w:val="20"/>
          <w:color w:val="auto"/>
        </w:rPr>
      </w:pPr>
    </w:p>
    <w:p>
      <w:pPr>
        <w:ind w:right="40" w:firstLine="434"/>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25" w:name="page26"/>
    <w:bookmarkEnd w:id="25"/>
    <w:p>
      <w:pPr>
        <w:ind w:firstLine="496"/>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360" w:firstLine="434"/>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80" w:firstLine="434"/>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4"/>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 on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jc w:val="both"/>
        <w:ind w:right="140" w:firstLine="434"/>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20" w:hanging="372"/>
        <w:spacing w:after="0" w:line="253" w:lineRule="auto"/>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hanging="372"/>
        <w:spacing w:after="0" w:line="264" w:lineRule="auto"/>
        <w:tabs>
          <w:tab w:leader="none" w:pos="9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6" w:name="page27"/>
    <w:bookmarkEnd w:id="26"/>
    <w:p>
      <w:pPr>
        <w:ind w:right="240" w:firstLine="434"/>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140" w:firstLine="434"/>
        <w:spacing w:after="0" w:line="231" w:lineRule="auto"/>
        <w:rPr>
          <w:sz w:val="20"/>
          <w:szCs w:val="20"/>
          <w:color w:val="auto"/>
        </w:rPr>
      </w:pPr>
      <w:r>
        <w:rPr>
          <w:rFonts w:ascii="Arial" w:cs="Arial" w:eastAsia="Arial" w:hAnsi="Arial"/>
          <w:sz w:val="14"/>
          <w:szCs w:val="14"/>
          <w:color w:val="auto"/>
        </w:rPr>
        <w:t>As of March 31, 2018, our portfolio totaled $947.9 million and consisted of $382.4 million of first lien secured debt, $368.6 million of second lien secured debt, $32.3 million of subordinated debt and $164.6 million of preferred and common equity. Our debt portfolio consisted of 87% variable-rate investments (including 8% where LIBOR was below the floor) and 13% fixed-rate investments. As of March 31, 2018, we had no companies on non-accrual. Overall, the portfolio had net unrealized depreciation of $92.7 million as of March 31, 2018. Our overall portfolio consisted of 49 companies with an average investment size of $19.3 million, had a weighted average yield on interest bearing debt investments of 11.5% and was invested 40% in first lien secured debt, 39% in second lien secured debt, 4% in subordinated debt and 17% in preferred and common equity.</w:t>
      </w:r>
    </w:p>
    <w:p>
      <w:pPr>
        <w:spacing w:after="0" w:line="11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LIBOR was below the floor) and 18% fixed-rate investments. As of September 30, 2017, we had no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16" w:lineRule="exact"/>
        <w:rPr>
          <w:sz w:val="20"/>
          <w:szCs w:val="20"/>
          <w:color w:val="auto"/>
        </w:rPr>
      </w:pPr>
    </w:p>
    <w:p>
      <w:pPr>
        <w:ind w:right="100" w:firstLine="434"/>
        <w:spacing w:after="0" w:line="296" w:lineRule="auto"/>
        <w:rPr>
          <w:sz w:val="20"/>
          <w:szCs w:val="20"/>
          <w:color w:val="auto"/>
        </w:rPr>
      </w:pPr>
      <w:r>
        <w:rPr>
          <w:rFonts w:ascii="Arial" w:cs="Arial" w:eastAsia="Arial" w:hAnsi="Arial"/>
          <w:sz w:val="12"/>
          <w:szCs w:val="12"/>
          <w:color w:val="auto"/>
        </w:rPr>
        <w:t>For the three months ended March 31, 2018, we invested $97.0 million in three new and six existing portfolio companies with a weighted average yield on debt investments of 8.9%. Sales and repayments of investments for the three months ended March 31, 2018 totaled $246.4 million. For the six months ended March 31, 2018, we invested $235.4 million in eight new and 13 existing portfolio companies with a weighted average yield on debt investments of 10.0%. Sales and repayments of investments for the six months ended March 31, 2018 totaled $438.7 million.</w:t>
      </w:r>
    </w:p>
    <w:p>
      <w:pPr>
        <w:spacing w:after="0" w:line="83" w:lineRule="exact"/>
        <w:rPr>
          <w:sz w:val="20"/>
          <w:szCs w:val="20"/>
          <w:color w:val="auto"/>
        </w:rPr>
      </w:pPr>
    </w:p>
    <w:p>
      <w:pPr>
        <w:ind w:right="180" w:firstLine="434"/>
        <w:spacing w:after="0" w:line="296" w:lineRule="auto"/>
        <w:rPr>
          <w:sz w:val="20"/>
          <w:szCs w:val="20"/>
          <w:color w:val="auto"/>
        </w:rPr>
      </w:pPr>
      <w:r>
        <w:rPr>
          <w:rFonts w:ascii="Arial" w:cs="Arial" w:eastAsia="Arial" w:hAnsi="Arial"/>
          <w:sz w:val="12"/>
          <w:szCs w:val="12"/>
          <w:color w:val="auto"/>
        </w:rPr>
        <w:t>For the three months ended March 31, 2017, we invested $60.5 million in three new and seven existing portfolio companies with a weighted average yield on debt investments of 9.5%. Sales and repayments of investments for the three months ended March 31, 2017 totaled $202.0 million. For the six months ended March 31, 2017, we invested $289.7 million in 12 new and 14 existing portfolio companies with a weighted average yield on debt investments of 10.8%. Sales and repayments of investments for the six months ended March 31, 2017 totaled $266.2 million.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right="120" w:firstLine="434"/>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120" w:firstLine="434"/>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40" w:firstLine="43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20" w:right="120" w:hanging="367"/>
        <w:spacing w:after="0" w:line="253"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20" w:hanging="367"/>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20" w:right="180" w:hanging="367"/>
        <w:spacing w:after="0" w:line="264" w:lineRule="auto"/>
        <w:tabs>
          <w:tab w:leader="none" w:pos="8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20" w:right="420" w:hanging="367"/>
        <w:spacing w:after="0" w:line="238"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20" w:right="180" w:hanging="367"/>
        <w:spacing w:after="0" w:line="253"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0" w:firstLine="434"/>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firstLine="434"/>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1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200" w:firstLine="434"/>
        <w:spacing w:after="0" w:line="335" w:lineRule="auto"/>
        <w:rPr>
          <w:sz w:val="20"/>
          <w:szCs w:val="20"/>
          <w:color w:val="auto"/>
        </w:rPr>
      </w:pPr>
      <w:r>
        <w:rPr>
          <w:rFonts w:ascii="Arial" w:cs="Arial" w:eastAsia="Arial" w:hAnsi="Arial"/>
          <w:sz w:val="12"/>
          <w:szCs w:val="12"/>
          <w:color w:val="auto"/>
        </w:rPr>
        <w:t>In addition to using the above inputs in cash equivalents, investments, our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60" w:lineRule="exact"/>
        <w:rPr>
          <w:sz w:val="20"/>
          <w:szCs w:val="20"/>
          <w:color w:val="auto"/>
        </w:rPr>
      </w:pPr>
    </w:p>
    <w:p>
      <w:pPr>
        <w:ind w:firstLine="435"/>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the 2025 Notes to align the measurement attributes of both our assets and liabilities while mitigating volatility in earnings from using different measurement attributes. During both the three and six months ended March 31, 2018 and 2017, we did not incur any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prior to their redemption, the 2025 Notes are reported in our Consolidated Statements of Operations. We elected not to apply ASC 825-10 to any other financial assets or liabilities, including the SBA debentures. For the three and six months ended March 31, 2018, our Credit Facility and the 2019 Notes had a net change in unrealized depreciation of $0.4 million and $1.5 million, respectively. For the three and six months ended March 31, 2017, our Credit Facility, the 2019 Notes and the 2025 Notes had a net change in unrealized appreciation of $6.1 million and $0.3 million, respectively. As of March 31, 2018 and September 30, 2017, net unrealized appreciation on our Credit Facility and the 2019 Notes totaled $0.8 million and $2.3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4"/>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our Credit Facility, the 2019 Notes and, prior to their redemption, the 2025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ind w:right="16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36" w:lineRule="exact"/>
        <w:rPr>
          <w:sz w:val="20"/>
          <w:szCs w:val="20"/>
          <w:color w:val="auto"/>
        </w:rPr>
      </w:pPr>
    </w:p>
    <w:p>
      <w:pPr>
        <w:ind w:right="120" w:firstLine="434"/>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right="120" w:firstLine="434"/>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60" w:firstLine="434"/>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in order to provide us with additional liquidity.</w:t>
      </w:r>
    </w:p>
    <w:p>
      <w:pPr>
        <w:spacing w:after="0" w:line="111" w:lineRule="exact"/>
        <w:rPr>
          <w:sz w:val="20"/>
          <w:szCs w:val="20"/>
          <w:color w:val="auto"/>
        </w:rPr>
      </w:pPr>
    </w:p>
    <w:p>
      <w:pPr>
        <w:ind w:right="380" w:firstLine="434"/>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60" w:firstLine="434"/>
        <w:spacing w:after="0" w:line="253" w:lineRule="auto"/>
        <w:rPr>
          <w:sz w:val="20"/>
          <w:szCs w:val="20"/>
          <w:color w:val="auto"/>
        </w:rPr>
      </w:pPr>
      <w:r>
        <w:rPr>
          <w:rFonts w:ascii="Arial" w:cs="Arial" w:eastAsia="Arial" w:hAnsi="Arial"/>
          <w:sz w:val="14"/>
          <w:szCs w:val="14"/>
          <w:color w:val="auto"/>
        </w:rPr>
        <w:t>We have formed and expect to continue to form certain Taxable Subsidiaries, which are taxed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six months ended March 31, 2018 and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20" w:firstLine="434"/>
        <w:spacing w:after="0" w:line="251" w:lineRule="auto"/>
        <w:rPr>
          <w:sz w:val="20"/>
          <w:szCs w:val="20"/>
          <w:color w:val="auto"/>
        </w:rPr>
      </w:pPr>
      <w:r>
        <w:rPr>
          <w:rFonts w:ascii="Arial" w:cs="Arial" w:eastAsia="Arial" w:hAnsi="Arial"/>
          <w:sz w:val="13"/>
          <w:szCs w:val="13"/>
          <w:color w:val="auto"/>
        </w:rPr>
        <w:t>Investment income for the three and six months ended March 31, 2018 was $27.2 million and $55.9 million, respectively, and was attributable to $12.7 million and $25.4 million from first lien secured debt, $11.3 million and $24.2 million from second lien secured debt and $3.2 million and $6.3 million from subordinated debt, preferred and common equity, respectively. This compares to investment income for the three and six months ended March 31, 2017, which was $33.7 million and $65.6 million, respectively, and was attributable to $15.2 million and $28.3 million from first lien secured debt, $13.0 million and $25.6 million from second lien secured debt and $5.5 million and $11.7 million from subordinated debt, preferred and common equity, respectively. The decrease in investment income compared to the same periods in the prior year was primarily due to a reduction of our portfolio at cost.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20" w:firstLine="434"/>
        <w:spacing w:after="0" w:line="227" w:lineRule="auto"/>
        <w:rPr>
          <w:sz w:val="20"/>
          <w:szCs w:val="20"/>
          <w:color w:val="auto"/>
        </w:rPr>
      </w:pPr>
      <w:r>
        <w:rPr>
          <w:rFonts w:ascii="Arial" w:cs="Arial" w:eastAsia="Arial" w:hAnsi="Arial"/>
          <w:sz w:val="14"/>
          <w:szCs w:val="14"/>
          <w:color w:val="auto"/>
        </w:rPr>
        <w:t>Net expenses for the three and six months ended March 31, 2018 totaled $13.8 million and $28.3 million, respectively. Base management fee for the same periods totaled $3.9 million and $8.7 million (after a base management fee waiver of $0.9 million), incentive fee totaled $2.8 million and $5.5 million (after an incentive fee waiver of $0.5 million), debt related interest and expenses totaled $5.9 million and $11.8 million and general and administrative expenses totaled $1.2 million and $2.3 million, respectively. This compares to net expenses for the three and six months ended March 31, 2017, which totaled $17.5 million and $34.4 million, respectively. Base management fee for the same periods totaled $5.3 million (after a base management fee waiver of $1.0 million) and $10.6 million (after a base management fee waiver of $2.0 million), incentive fee totaled $3.1 million (after an incentive fee waiver of $0.6 million) and $5.9 million (after an incentive fee waiver of $1.1 million), debt related interest and expenses totaled $7.2 million and $13.9 million, general and administrative expenses totaled $1.5 million and $3.1 million and provision for taxes totaled $0.4 million and $0.9 million, respectively. The decrease in expenses compared to the same periods in the prior year was primarily due to a reduction of our portfolio at cost, a decrease in debt related interest and expenses and base management fees.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20" w:firstLine="434"/>
        <w:spacing w:after="0" w:line="238" w:lineRule="auto"/>
        <w:rPr>
          <w:sz w:val="20"/>
          <w:szCs w:val="20"/>
          <w:color w:val="auto"/>
        </w:rPr>
      </w:pPr>
      <w:r>
        <w:rPr>
          <w:rFonts w:ascii="Arial" w:cs="Arial" w:eastAsia="Arial" w:hAnsi="Arial"/>
          <w:sz w:val="14"/>
          <w:szCs w:val="14"/>
          <w:color w:val="auto"/>
        </w:rPr>
        <w:t>Net investment income totaled $13.4 million and $27.6 million, or $0.19 and $0.39 per share, for the three and six months ended March 31, 2018, respectively. Net investment income totaled $16.2 million and $31.2 million, or $0.23 and $0.44 per share, for the three and six months ended March 31, 2017, respectively. The decrease in net investment income per share compared to the same periods in the prior year was primarily due to a reduction of our portfolio at cost.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80" w:firstLine="434"/>
        <w:spacing w:after="0" w:line="233" w:lineRule="auto"/>
        <w:rPr>
          <w:sz w:val="20"/>
          <w:szCs w:val="20"/>
          <w:color w:val="auto"/>
        </w:rPr>
      </w:pPr>
      <w:r>
        <w:rPr>
          <w:rFonts w:ascii="Arial" w:cs="Arial" w:eastAsia="Arial" w:hAnsi="Arial"/>
          <w:sz w:val="14"/>
          <w:szCs w:val="14"/>
          <w:color w:val="auto"/>
        </w:rPr>
        <w:t>Sales and repayments of investments for the three and six months ended March 31, 2018 totaled $246.4 million and $438.7 million, respectively, and net realized gains totaled $21.8 million and $25.5 million, respectively. Sales and repayments of investments for the three and six months ended March 31, 2017 totaled $202.0 million and $266.2 million, respectively, and net realized losses totaled $18.7 million and $40.9 million, respectively. The change in realized gains/losses was primarily due to changes in the market conditions of our investments and the values at which they were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the 2019 Notes and the 2025 Notes</w:t>
      </w:r>
    </w:p>
    <w:p>
      <w:pPr>
        <w:spacing w:after="0" w:line="136" w:lineRule="exact"/>
        <w:rPr>
          <w:sz w:val="20"/>
          <w:szCs w:val="20"/>
          <w:color w:val="auto"/>
        </w:rPr>
      </w:pPr>
    </w:p>
    <w:p>
      <w:pPr>
        <w:ind w:right="80" w:firstLine="456"/>
        <w:spacing w:after="0" w:line="255" w:lineRule="auto"/>
        <w:rPr>
          <w:sz w:val="20"/>
          <w:szCs w:val="20"/>
          <w:color w:val="auto"/>
        </w:rPr>
      </w:pPr>
      <w:r>
        <w:rPr>
          <w:rFonts w:ascii="Arial" w:cs="Arial" w:eastAsia="Arial" w:hAnsi="Arial"/>
          <w:sz w:val="13"/>
          <w:szCs w:val="13"/>
          <w:color w:val="auto"/>
        </w:rPr>
        <w:t>For the three and six months ended March 31, 2018, we reported net change in unrealized depreciation on investments of $29.5 million and $36.3 million, respectively. For the three and six months ended March 31, 2017, we reported net change in unrealized appreciation on investments of $20.2 million and $45.5 million, respectively. As of March 31, 2018 and September 30, 2017, our net unrealized depreciation on investments totaled $92.7 million and $56.4 million, respectively. The net change in unrealized depreciation on our investments was driven primarily by changes in the capital market conditions, the financial performance of certain portfolio companies and the reversal of unrealized appreciation/depreciation of investments that were realized.</w:t>
      </w:r>
    </w:p>
    <w:p>
      <w:pPr>
        <w:spacing w:after="0" w:line="107"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For the three and six months ended March 31, 2018, our Credit Facility and the 2019 Notes had a net change in unrealized depreciation of $0.4 million and $1.5 million, respectively. For the three and six months ended March 31, 2017, our Credit Facility, the 2019 Notes and the 2025 Notes had a net change in unrealized appreciation of $6.1 million and $0.3 million, respectively. As of March 31, 2018 and September 30, 2017, our net unrealized appreciation on the Credit Facility and the 2019 Notes totaled $0.8 million and $2.3 million, respectively. The net change in unrealized depreciation compared to the same periods in the prior year was primarily due to changes in the capital markets.</w:t>
      </w: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120" w:firstLine="434"/>
        <w:spacing w:after="0" w:line="296" w:lineRule="auto"/>
        <w:rPr>
          <w:sz w:val="20"/>
          <w:szCs w:val="20"/>
          <w:color w:val="auto"/>
        </w:rPr>
      </w:pPr>
      <w:r>
        <w:rPr>
          <w:rFonts w:ascii="Arial" w:cs="Arial" w:eastAsia="Arial" w:hAnsi="Arial"/>
          <w:sz w:val="12"/>
          <w:szCs w:val="12"/>
          <w:color w:val="auto"/>
        </w:rPr>
        <w:t>Net change in net assets resulting from operations totaled $6.0 million and $18.3 million, or $0.08 and $0.26 per share, for the three and six months ended March 31, 2018, respectively. This compares to a net change in net assets resulting from operations of $11.5 million and $35.5 million, or $0.16 and $0.50 per share, for the three and six months ended March 31, 2017, respectively. The decrease in the net change in net assets from operations compared to the same periods in the prior year was primarily due to a reduction of our portfolio and depreciation of our investments.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right="40" w:firstLine="456"/>
        <w:spacing w:after="0" w:line="231"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March 31, 2018, in accordance with the 1940 Act, with certain limited exceptions, we are only allowed to borrow amounts such that we are in compliance with a 200% asset coverage ratio after such borrowing, excluding SBA debentures pursuant to exemptive relief from the SEC received in June 2011.</w:t>
      </w:r>
    </w:p>
    <w:p>
      <w:pPr>
        <w:spacing w:after="0" w:line="116" w:lineRule="exact"/>
        <w:rPr>
          <w:sz w:val="20"/>
          <w:szCs w:val="20"/>
          <w:color w:val="auto"/>
        </w:rPr>
      </w:pPr>
    </w:p>
    <w:p>
      <w:pPr>
        <w:ind w:right="580" w:firstLine="434"/>
        <w:spacing w:after="0" w:line="253" w:lineRule="auto"/>
        <w:rPr>
          <w:sz w:val="20"/>
          <w:szCs w:val="20"/>
          <w:color w:val="auto"/>
        </w:rPr>
      </w:pPr>
      <w:r>
        <w:rPr>
          <w:rFonts w:ascii="Arial" w:cs="Arial" w:eastAsia="Arial" w:hAnsi="Arial"/>
          <w:sz w:val="14"/>
          <w:szCs w:val="14"/>
          <w:color w:val="auto"/>
        </w:rPr>
        <w:t>The annualized weighted average cost of debt for the six months ended March 31, 2018 and 2017, inclusive of the fee on the undrawn commitment and amendment costs on the Credit Facility, amortized upfront fees on SBA debentures and debt issuance costs, was 4.58% and 4.38%, respectively.</w:t>
      </w:r>
    </w:p>
    <w:p>
      <w:pPr>
        <w:spacing w:after="0" w:line="10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As of March 31, 2018, we had a $445 million multi-currency Credit Facility with certain lenders and SunTrust Bank, acting as administrative agent, and JPMorgan Chase Bank, N.A., acting as syndication agent for the lenders. As of March 31, 2018 and September 30, 2017, we had $41.5 million and $79.4 million, respectively, in outstanding borrowings under the Credit Facility. The Credit Facility had a weighted average interest rate of 2.88% and 2.42%, respectively, exclusive of the fee on undrawn commitments of 0.375%, as of March 31, 2018 and September 30, 2017. The Credit Facility is a five-year revolving facility with a stated maturity date of May 25, 2022, a one-year term-out period following its fourth year and pricing set at 225 basis points over LIBOR. As of March 31, 2018 and September 30, 2017, we had $403.5 million and $365.6 million of unused borrowing capacity under our Credit Facility, respectively, subject to the regulatory restrictions. The Credit Facility is secured by substantially all of our assets excluding assets held by our SBIC Funds.</w:t>
      </w:r>
    </w:p>
    <w:p>
      <w:pPr>
        <w:spacing w:after="0" w:line="113" w:lineRule="exact"/>
        <w:rPr>
          <w:sz w:val="20"/>
          <w:szCs w:val="20"/>
          <w:color w:val="auto"/>
        </w:rPr>
      </w:pPr>
    </w:p>
    <w:p>
      <w:pPr>
        <w:ind w:right="240" w:firstLine="434"/>
        <w:spacing w:after="0" w:line="253" w:lineRule="auto"/>
        <w:rPr>
          <w:sz w:val="20"/>
          <w:szCs w:val="20"/>
          <w:color w:val="auto"/>
        </w:rPr>
      </w:pPr>
      <w:r>
        <w:rPr>
          <w:rFonts w:ascii="Arial" w:cs="Arial" w:eastAsia="Arial" w:hAnsi="Arial"/>
          <w:sz w:val="14"/>
          <w:szCs w:val="14"/>
          <w:color w:val="auto"/>
        </w:rPr>
        <w:t>For a complete list of covenants contained in the Credit Facility, see the Credit Facility agreement filed as Exhibit 10.1 on our Form 10-Q filed August 7, 2017 and incorporated by reference therein. As of March 31, 2018, we were in compliance with the terms of our Credit Facility.</w:t>
      </w:r>
    </w:p>
    <w:p>
      <w:pPr>
        <w:spacing w:after="0" w:line="106" w:lineRule="exact"/>
        <w:rPr>
          <w:sz w:val="20"/>
          <w:szCs w:val="20"/>
          <w:color w:val="auto"/>
        </w:rPr>
      </w:pPr>
    </w:p>
    <w:p>
      <w:pPr>
        <w:ind w:right="100" w:firstLine="452"/>
        <w:spacing w:after="0" w:line="229"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 Please refer to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118" w:lineRule="exact"/>
        <w:rPr>
          <w:sz w:val="20"/>
          <w:szCs w:val="20"/>
          <w:color w:val="auto"/>
        </w:rPr>
      </w:pPr>
    </w:p>
    <w:p>
      <w:pPr>
        <w:ind w:right="140" w:firstLine="434"/>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2019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16" w:lineRule="exact"/>
        <w:rPr>
          <w:sz w:val="20"/>
          <w:szCs w:val="20"/>
          <w:color w:val="auto"/>
        </w:rPr>
      </w:pPr>
    </w:p>
    <w:p>
      <w:pPr>
        <w:ind w:right="120" w:firstLine="434"/>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$50.0 million as of March 31, 2018. We have funded SBIC II with $75.0 million of equity capital and it had SBA debentures outstanding of $150.0 million as of March 31,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118" w:lineRule="exact"/>
        <w:rPr>
          <w:sz w:val="20"/>
          <w:szCs w:val="20"/>
          <w:color w:val="auto"/>
        </w:rPr>
      </w:pPr>
    </w:p>
    <w:p>
      <w:pPr>
        <w:jc w:val="both"/>
        <w:ind w:right="200" w:firstLine="434"/>
        <w:spacing w:after="0" w:line="238" w:lineRule="auto"/>
        <w:rPr>
          <w:sz w:val="20"/>
          <w:szCs w:val="20"/>
          <w:color w:val="auto"/>
        </w:rPr>
      </w:pPr>
      <w:r>
        <w:rPr>
          <w:rFonts w:ascii="Arial" w:cs="Arial" w:eastAsia="Arial" w:hAnsi="Arial"/>
          <w:sz w:val="14"/>
          <w:szCs w:val="14"/>
          <w:color w:val="auto"/>
        </w:rPr>
        <w:t>As of March 31, 2018 and September 30, 2017, our SBIC Funds had $300.0 million in debt commitments, respectively, of which $200.0 million and $199.0 million was drawn, respectively. As of March 31, 2018 and September 30, 2017, the unamortized fees on the SBA debentures was $5.1 million and $4.6 million, respectively. The SBA debentures’ upfront fees of 3.43% consist of a commitment fee of 1.00% and an issuance discount of 2.43%, which are being amortized.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6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4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23"/>
                <w:szCs w:val="23"/>
                <w:color w:val="auto"/>
              </w:rPr>
            </w:pPr>
          </w:p>
        </w:tc>
        <w:tc>
          <w:tcPr>
            <w:tcW w:w="20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3"/>
                <w:szCs w:val="23"/>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60" w:type="dxa"/>
            <w:vAlign w:val="bottom"/>
            <w:vMerge w:val="restart"/>
          </w:tcPr>
          <w:p>
            <w:pPr>
              <w:spacing w:after="0"/>
              <w:rPr>
                <w:sz w:val="23"/>
                <w:szCs w:val="23"/>
                <w:color w:val="auto"/>
              </w:rPr>
            </w:pPr>
          </w:p>
        </w:tc>
        <w:tc>
          <w:tcPr>
            <w:tcW w:w="340" w:type="dxa"/>
            <w:vAlign w:val="bottom"/>
          </w:tcPr>
          <w:p>
            <w:pPr>
              <w:spacing w:after="0"/>
              <w:rPr>
                <w:sz w:val="23"/>
                <w:szCs w:val="23"/>
                <w:color w:val="auto"/>
              </w:rPr>
            </w:pPr>
          </w:p>
        </w:tc>
        <w:tc>
          <w:tcPr>
            <w:tcW w:w="2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As of March 31, 2018</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C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2"/>
              </w:rPr>
              <w:t>Principal 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2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20" w:type="dxa"/>
            <w:vAlign w:val="bottom"/>
            <w:shd w:val="clear" w:color="auto" w:fill="CCECFF"/>
          </w:tcPr>
          <w:p>
            <w:pPr>
              <w:spacing w:after="0"/>
              <w:rPr>
                <w:sz w:val="13"/>
                <w:szCs w:val="13"/>
                <w:color w:val="auto"/>
              </w:rPr>
            </w:pPr>
          </w:p>
        </w:tc>
        <w:tc>
          <w:tcPr>
            <w:tcW w:w="2420" w:type="dxa"/>
            <w:vAlign w:val="bottom"/>
            <w:gridSpan w:val="2"/>
            <w:shd w:val="clear" w:color="auto" w:fill="CCECFF"/>
          </w:tcPr>
          <w:p>
            <w:pPr>
              <w:ind w:left="1680"/>
              <w:spacing w:after="0" w:line="155" w:lineRule="exact"/>
              <w:rPr>
                <w:sz w:val="20"/>
                <w:szCs w:val="20"/>
                <w:color w:val="auto"/>
              </w:rPr>
            </w:pPr>
            <w:r>
              <w:rPr>
                <w:rFonts w:ascii="Arial" w:cs="Arial" w:eastAsia="Arial" w:hAnsi="Arial"/>
                <w:sz w:val="14"/>
                <w:szCs w:val="14"/>
                <w:color w:val="auto"/>
              </w:rPr>
              <w:t>3.36%</w:t>
            </w: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24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50,000,000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March 23, 2016</w:t>
            </w:r>
          </w:p>
        </w:tc>
        <w:tc>
          <w:tcPr>
            <w:tcW w:w="2280" w:type="dxa"/>
            <w:vAlign w:val="bottom"/>
            <w:gridSpan w:val="2"/>
          </w:tcPr>
          <w:p>
            <w:pPr>
              <w:spacing w:after="0"/>
              <w:rPr>
                <w:sz w:val="20"/>
                <w:szCs w:val="20"/>
                <w:color w:val="auto"/>
              </w:rPr>
            </w:pPr>
            <w:r>
              <w:rPr>
                <w:rFonts w:ascii="Arial" w:cs="Arial" w:eastAsia="Arial" w:hAnsi="Arial"/>
                <w:sz w:val="14"/>
                <w:szCs w:val="14"/>
                <w:color w:val="auto"/>
              </w:rPr>
              <w:t>March 1, 2026</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2.86</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2026</w:t>
            </w:r>
          </w:p>
        </w:tc>
        <w:tc>
          <w:tcPr>
            <w:tcW w:w="1960" w:type="dxa"/>
            <w:vAlign w:val="bottom"/>
            <w:shd w:val="clear" w:color="auto" w:fill="CCECFF"/>
          </w:tcPr>
          <w:p>
            <w:pPr>
              <w:ind w:left="1680"/>
              <w:spacing w:after="0"/>
              <w:rPr>
                <w:sz w:val="20"/>
                <w:szCs w:val="20"/>
                <w:color w:val="auto"/>
              </w:rPr>
            </w:pPr>
            <w:r>
              <w:rPr>
                <w:rFonts w:ascii="Arial" w:cs="Arial" w:eastAsia="Arial" w:hAnsi="Arial"/>
                <w:sz w:val="14"/>
                <w:szCs w:val="14"/>
                <w:color w:val="auto"/>
                <w:w w:val="95"/>
              </w:rPr>
              <w:t>2.41</w:t>
            </w:r>
          </w:p>
        </w:tc>
        <w:tc>
          <w:tcPr>
            <w:tcW w:w="4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28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2.87</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2028</w:t>
            </w:r>
          </w:p>
        </w:tc>
        <w:tc>
          <w:tcPr>
            <w:tcW w:w="1960" w:type="dxa"/>
            <w:vAlign w:val="bottom"/>
            <w:tcBorders>
              <w:bottom w:val="single" w:sz="8" w:color="auto"/>
            </w:tcBorders>
            <w:shd w:val="clear" w:color="auto" w:fill="CCECFF"/>
          </w:tcPr>
          <w:p>
            <w:pPr>
              <w:ind w:left="1680"/>
              <w:spacing w:after="0"/>
              <w:rPr>
                <w:sz w:val="20"/>
                <w:szCs w:val="20"/>
                <w:color w:val="auto"/>
              </w:rPr>
            </w:pPr>
            <w:r>
              <w:rPr>
                <w:rFonts w:ascii="Arial" w:cs="Arial" w:eastAsia="Arial" w:hAnsi="Arial"/>
                <w:sz w:val="14"/>
                <w:szCs w:val="14"/>
                <w:color w:val="auto"/>
                <w:w w:val="95"/>
              </w:rPr>
              <w:t>3.53</w:t>
            </w:r>
          </w:p>
        </w:tc>
        <w:tc>
          <w:tcPr>
            <w:tcW w:w="46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2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6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2"/>
          </w:tcPr>
          <w:p>
            <w:pPr>
              <w:ind w:left="1680"/>
              <w:spacing w:after="0" w:line="155" w:lineRule="exact"/>
              <w:rPr>
                <w:sz w:val="20"/>
                <w:szCs w:val="20"/>
                <w:color w:val="auto"/>
              </w:rPr>
            </w:pPr>
            <w:r>
              <w:rPr>
                <w:rFonts w:ascii="Arial" w:cs="Arial" w:eastAsia="Arial" w:hAnsi="Arial"/>
                <w:sz w:val="14"/>
                <w:szCs w:val="14"/>
                <w:color w:val="auto"/>
              </w:rPr>
              <w:t>3.17%</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2480" w:type="dxa"/>
            <w:vAlign w:val="bottom"/>
          </w:tcPr>
          <w:p>
            <w:pPr>
              <w:jc w:val="right"/>
              <w:spacing w:after="0" w:line="155" w:lineRule="exact"/>
              <w:rPr>
                <w:sz w:val="20"/>
                <w:szCs w:val="20"/>
                <w:color w:val="auto"/>
              </w:rPr>
            </w:pPr>
            <w:r>
              <w:rPr>
                <w:rFonts w:ascii="Arial" w:cs="Arial" w:eastAsia="Arial" w:hAnsi="Arial"/>
                <w:sz w:val="14"/>
                <w:szCs w:val="14"/>
                <w:color w:val="auto"/>
              </w:rPr>
              <w:t>200,000,000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4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24"/>
                <w:szCs w:val="24"/>
                <w:color w:val="auto"/>
              </w:rPr>
            </w:pPr>
          </w:p>
        </w:tc>
        <w:tc>
          <w:tcPr>
            <w:tcW w:w="20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6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 September 30, 2017</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C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2"/>
              </w:rPr>
              <w:t>Principal Balance</w:t>
            </w:r>
          </w:p>
        </w:tc>
        <w:tc>
          <w:tcPr>
            <w:tcW w:w="6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29, 2011</w:t>
            </w:r>
          </w:p>
        </w:tc>
        <w:tc>
          <w:tcPr>
            <w:tcW w:w="22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2021</w:t>
            </w:r>
          </w:p>
        </w:tc>
        <w:tc>
          <w:tcPr>
            <w:tcW w:w="220" w:type="dxa"/>
            <w:vAlign w:val="bottom"/>
            <w:shd w:val="clear" w:color="auto" w:fill="CCECFF"/>
          </w:tcPr>
          <w:p>
            <w:pPr>
              <w:spacing w:after="0"/>
              <w:rPr>
                <w:sz w:val="13"/>
                <w:szCs w:val="13"/>
                <w:color w:val="auto"/>
              </w:rPr>
            </w:pPr>
          </w:p>
        </w:tc>
        <w:tc>
          <w:tcPr>
            <w:tcW w:w="2420" w:type="dxa"/>
            <w:vAlign w:val="bottom"/>
            <w:gridSpan w:val="2"/>
            <w:shd w:val="clear" w:color="auto" w:fill="CCECFF"/>
          </w:tcPr>
          <w:p>
            <w:pPr>
              <w:ind w:left="1680"/>
              <w:spacing w:after="0" w:line="155" w:lineRule="exact"/>
              <w:rPr>
                <w:sz w:val="20"/>
                <w:szCs w:val="20"/>
                <w:color w:val="auto"/>
              </w:rPr>
            </w:pPr>
            <w:r>
              <w:rPr>
                <w:rFonts w:ascii="Arial" w:cs="Arial" w:eastAsia="Arial" w:hAnsi="Arial"/>
                <w:sz w:val="14"/>
                <w:szCs w:val="14"/>
                <w:color w:val="auto"/>
              </w:rPr>
              <w:t>4.37%</w:t>
            </w: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24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September 21, 2011</w:t>
            </w:r>
          </w:p>
        </w:tc>
        <w:tc>
          <w:tcPr>
            <w:tcW w:w="2280" w:type="dxa"/>
            <w:vAlign w:val="bottom"/>
            <w:gridSpan w:val="2"/>
          </w:tcPr>
          <w:p>
            <w:pPr>
              <w:spacing w:after="0"/>
              <w:rPr>
                <w:sz w:val="20"/>
                <w:szCs w:val="20"/>
                <w:color w:val="auto"/>
              </w:rPr>
            </w:pPr>
            <w:r>
              <w:rPr>
                <w:rFonts w:ascii="Arial" w:cs="Arial" w:eastAsia="Arial" w:hAnsi="Arial"/>
                <w:sz w:val="14"/>
                <w:szCs w:val="14"/>
                <w:color w:val="auto"/>
              </w:rPr>
              <w:t>September 1, 2021</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3.38</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105,000,000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23, 2016</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2026</w:t>
            </w:r>
          </w:p>
        </w:tc>
        <w:tc>
          <w:tcPr>
            <w:tcW w:w="1960" w:type="dxa"/>
            <w:vAlign w:val="bottom"/>
            <w:shd w:val="clear" w:color="auto" w:fill="CCECFF"/>
          </w:tcPr>
          <w:p>
            <w:pPr>
              <w:ind w:left="1680"/>
              <w:spacing w:after="0"/>
              <w:rPr>
                <w:sz w:val="20"/>
                <w:szCs w:val="20"/>
                <w:color w:val="auto"/>
              </w:rPr>
            </w:pPr>
            <w:r>
              <w:rPr>
                <w:rFonts w:ascii="Arial" w:cs="Arial" w:eastAsia="Arial" w:hAnsi="Arial"/>
                <w:sz w:val="14"/>
                <w:szCs w:val="14"/>
                <w:color w:val="auto"/>
                <w:w w:val="95"/>
              </w:rPr>
              <w:t>2.86</w:t>
            </w:r>
          </w:p>
        </w:tc>
        <w:tc>
          <w:tcPr>
            <w:tcW w:w="4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2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2.41</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25,000,000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1960" w:type="dxa"/>
            <w:vAlign w:val="bottom"/>
            <w:tcBorders>
              <w:bottom w:val="single" w:sz="8" w:color="auto"/>
            </w:tcBorders>
            <w:shd w:val="clear" w:color="auto" w:fill="CCECFF"/>
          </w:tcPr>
          <w:p>
            <w:pPr>
              <w:ind w:left="1680"/>
              <w:spacing w:after="0"/>
              <w:rPr>
                <w:sz w:val="20"/>
                <w:szCs w:val="20"/>
                <w:color w:val="auto"/>
              </w:rPr>
            </w:pPr>
            <w:r>
              <w:rPr>
                <w:rFonts w:ascii="Arial" w:cs="Arial" w:eastAsia="Arial" w:hAnsi="Arial"/>
                <w:sz w:val="14"/>
                <w:szCs w:val="14"/>
                <w:color w:val="auto"/>
                <w:w w:val="95"/>
              </w:rPr>
              <w:t>2.87</w:t>
            </w:r>
          </w:p>
        </w:tc>
        <w:tc>
          <w:tcPr>
            <w:tcW w:w="46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2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6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2"/>
          </w:tcPr>
          <w:p>
            <w:pPr>
              <w:ind w:left="1680"/>
              <w:spacing w:after="0" w:line="155" w:lineRule="exact"/>
              <w:rPr>
                <w:sz w:val="20"/>
                <w:szCs w:val="20"/>
                <w:color w:val="auto"/>
              </w:rPr>
            </w:pPr>
            <w:r>
              <w:rPr>
                <w:rFonts w:ascii="Arial" w:cs="Arial" w:eastAsia="Arial" w:hAnsi="Arial"/>
                <w:sz w:val="14"/>
                <w:szCs w:val="14"/>
                <w:color w:val="auto"/>
              </w:rPr>
              <w:t>3.19%</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2480" w:type="dxa"/>
            <w:vAlign w:val="bottom"/>
          </w:tcPr>
          <w:p>
            <w:pPr>
              <w:jc w:val="right"/>
              <w:spacing w:after="0" w:line="155" w:lineRule="exact"/>
              <w:rPr>
                <w:sz w:val="20"/>
                <w:szCs w:val="20"/>
                <w:color w:val="auto"/>
              </w:rPr>
            </w:pPr>
            <w:r>
              <w:rPr>
                <w:rFonts w:ascii="Arial" w:cs="Arial" w:eastAsia="Arial" w:hAnsi="Arial"/>
                <w:sz w:val="14"/>
                <w:szCs w:val="14"/>
                <w:color w:val="auto"/>
              </w:rPr>
              <w:t>199,000,000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right="220" w:firstLine="434"/>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2018, our SBIC Funds were in compliance with their regulatory requirements.</w:t>
      </w:r>
    </w:p>
    <w:p>
      <w:pPr>
        <w:spacing w:after="0" w:line="116" w:lineRule="exact"/>
        <w:rPr>
          <w:sz w:val="20"/>
          <w:szCs w:val="20"/>
          <w:color w:val="auto"/>
        </w:rPr>
      </w:pPr>
    </w:p>
    <w:p>
      <w:pPr>
        <w:ind w:right="220" w:firstLine="434"/>
        <w:spacing w:after="0" w:line="283" w:lineRule="auto"/>
        <w:rPr>
          <w:sz w:val="20"/>
          <w:szCs w:val="20"/>
          <w:color w:val="auto"/>
        </w:rPr>
      </w:pPr>
      <w:r>
        <w:rPr>
          <w:rFonts w:ascii="Arial" w:cs="Arial" w:eastAsia="Arial" w:hAnsi="Arial"/>
          <w:sz w:val="12"/>
          <w:szCs w:val="12"/>
          <w:color w:val="auto"/>
        </w:rPr>
        <w:t>In accordance with the 1940 Act, with certain limited exceptions, PennantPark Investment is only allowed to borrow amounts such that our required 200% asset coverage ratio is met after such borrowing. As of March 31, 2018 and September 30, 2017,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92" w:lineRule="exact"/>
        <w:rPr>
          <w:sz w:val="20"/>
          <w:szCs w:val="20"/>
          <w:color w:val="auto"/>
        </w:rPr>
      </w:pPr>
    </w:p>
    <w:p>
      <w:pPr>
        <w:ind w:right="140" w:firstLine="434"/>
        <w:spacing w:after="0" w:line="253" w:lineRule="auto"/>
        <w:rPr>
          <w:sz w:val="20"/>
          <w:szCs w:val="20"/>
          <w:color w:val="auto"/>
        </w:rPr>
      </w:pPr>
      <w:r>
        <w:rPr>
          <w:rFonts w:ascii="Arial" w:cs="Arial" w:eastAsia="Arial" w:hAnsi="Arial"/>
          <w:sz w:val="14"/>
          <w:szCs w:val="14"/>
          <w:color w:val="auto"/>
        </w:rPr>
        <w:t>As of March 31, 2018 and September 30, 2017, we had cash and cash equivalents of $170.2 million and $38.2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260" w:firstLine="434"/>
        <w:spacing w:after="0" w:line="238" w:lineRule="auto"/>
        <w:rPr>
          <w:sz w:val="20"/>
          <w:szCs w:val="20"/>
          <w:color w:val="auto"/>
        </w:rPr>
      </w:pPr>
      <w:r>
        <w:rPr>
          <w:rFonts w:ascii="Arial" w:cs="Arial" w:eastAsia="Arial" w:hAnsi="Arial"/>
          <w:sz w:val="14"/>
          <w:szCs w:val="14"/>
          <w:color w:val="auto"/>
        </w:rPr>
        <w:t>Our operating activities provided cash of $196.1 million for the six months ended March 31, 2018, and our financing activities used cash of $64.2 million for the same period. Our operating activities provided cash from sales and repayments on our investments and our financing activities used cash primarily to pay distributions to stockholders and for net repayments under the Credit Facility.</w:t>
      </w:r>
    </w:p>
    <w:p>
      <w:pPr>
        <w:spacing w:after="0" w:line="115" w:lineRule="exact"/>
        <w:rPr>
          <w:sz w:val="20"/>
          <w:szCs w:val="20"/>
          <w:color w:val="auto"/>
        </w:rPr>
      </w:pPr>
    </w:p>
    <w:p>
      <w:pPr>
        <w:ind w:right="400" w:firstLine="434"/>
        <w:spacing w:after="0" w:line="253" w:lineRule="auto"/>
        <w:rPr>
          <w:sz w:val="20"/>
          <w:szCs w:val="20"/>
          <w:color w:val="auto"/>
        </w:rPr>
      </w:pPr>
      <w:r>
        <w:rPr>
          <w:rFonts w:ascii="Arial" w:cs="Arial" w:eastAsia="Arial" w:hAnsi="Arial"/>
          <w:sz w:val="14"/>
          <w:szCs w:val="14"/>
          <w:color w:val="auto"/>
        </w:rPr>
        <w:t>Our operating activities used cash of $18.8 million for the six months ended March 31, 2017, and our financing activities provided cash of $9.5 million for the same period. Our operating activities used cash primarily for our investment activities and our financing activities provided cash primarily for net borrowings under the Credit Facility.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460" w:firstLine="434"/>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March 31, 2018, including borrowings under our various debt facilities and other contractual obligations,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156"/>
        </w:trPr>
        <w:tc>
          <w:tcPr>
            <w:tcW w:w="368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41.5</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41.5</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gridSpan w:val="3"/>
          </w:tcPr>
          <w:p>
            <w:pPr>
              <w:spacing w:after="0"/>
              <w:rPr>
                <w:sz w:val="20"/>
                <w:szCs w:val="20"/>
                <w:color w:val="auto"/>
              </w:rPr>
            </w:pPr>
            <w:r>
              <w:rPr>
                <w:rFonts w:ascii="Arial" w:cs="Arial" w:eastAsia="Arial" w:hAnsi="Arial"/>
                <w:sz w:val="14"/>
                <w:szCs w:val="14"/>
                <w:color w:val="auto"/>
              </w:rPr>
              <w:t>SBA debentures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4"/>
                <w:szCs w:val="14"/>
                <w:color w:val="auto"/>
              </w:rPr>
            </w:pPr>
          </w:p>
        </w:tc>
      </w:tr>
      <w:tr>
        <w:trPr>
          <w:trHeight w:val="162"/>
        </w:trPr>
        <w:tc>
          <w:tcPr>
            <w:tcW w:w="3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2019 Notes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3680" w:type="dxa"/>
            <w:vAlign w:val="bottom"/>
            <w:gridSpan w:val="3"/>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491.5</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250.0</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91.5</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150.0</w:t>
            </w:r>
          </w:p>
        </w:tc>
        <w:tc>
          <w:tcPr>
            <w:tcW w:w="120" w:type="dxa"/>
            <w:vAlign w:val="bottom"/>
          </w:tcPr>
          <w:p>
            <w:pPr>
              <w:spacing w:after="0"/>
              <w:rPr>
                <w:sz w:val="13"/>
                <w:szCs w:val="13"/>
                <w:color w:val="auto"/>
              </w:rPr>
            </w:pPr>
          </w:p>
        </w:tc>
      </w:tr>
      <w:tr>
        <w:trPr>
          <w:trHeight w:val="162"/>
        </w:trPr>
        <w:tc>
          <w:tcPr>
            <w:tcW w:w="3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31.8</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0.9</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18.2</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CFF"/>
          </w:tcPr>
          <w:p>
            <w:pPr>
              <w:spacing w:after="0"/>
              <w:rPr>
                <w:sz w:val="14"/>
                <w:szCs w:val="14"/>
                <w:color w:val="auto"/>
              </w:rPr>
            </w:pPr>
          </w:p>
        </w:tc>
      </w:tr>
      <w:tr>
        <w:trPr>
          <w:trHeight w:val="156"/>
        </w:trPr>
        <w:tc>
          <w:tcPr>
            <w:tcW w:w="3680" w:type="dxa"/>
            <w:vAlign w:val="bottom"/>
            <w:gridSpan w:val="3"/>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523.3</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0.9</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250.0</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109.7</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162.7</w:t>
            </w:r>
          </w:p>
        </w:tc>
        <w:tc>
          <w:tcPr>
            <w:tcW w:w="120" w:type="dxa"/>
            <w:vAlign w:val="bottom"/>
          </w:tcPr>
          <w:p>
            <w:pPr>
              <w:spacing w:after="0"/>
              <w:rPr>
                <w:sz w:val="13"/>
                <w:szCs w:val="13"/>
                <w:color w:val="auto"/>
              </w:rPr>
            </w:pPr>
          </w:p>
        </w:tc>
      </w:tr>
      <w:tr>
        <w:trPr>
          <w:trHeight w:val="20"/>
        </w:trPr>
        <w:tc>
          <w:tcPr>
            <w:tcW w:w="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380" w:type="dxa"/>
            <w:vAlign w:val="bottom"/>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89" w:lineRule="exact"/>
        <w:rPr>
          <w:sz w:val="20"/>
          <w:szCs w:val="20"/>
          <w:color w:val="auto"/>
        </w:rPr>
      </w:pPr>
    </w:p>
    <w:p>
      <w:pPr>
        <w:ind w:left="380" w:right="140" w:hanging="372"/>
        <w:spacing w:after="0" w:line="230" w:lineRule="auto"/>
        <w:tabs>
          <w:tab w:leader="none" w:pos="380" w:val="left"/>
        </w:tabs>
        <w:numPr>
          <w:ilvl w:val="0"/>
          <w:numId w:val="21"/>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March 31, 2018, excluding debt issuance costs, was 3.82% exclusive of the fee on the undrawn commitment on the Credit Facility and 3.43% of upfront fees on SBA debentures.</w:t>
      </w:r>
    </w:p>
    <w:p>
      <w:pPr>
        <w:ind w:left="380" w:hanging="3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11" w:lineRule="exact"/>
        <w:rPr>
          <w:sz w:val="20"/>
          <w:szCs w:val="20"/>
          <w:color w:val="auto"/>
        </w:rPr>
      </w:pPr>
    </w:p>
    <w:p>
      <w:pPr>
        <w:ind w:right="120" w:firstLine="434"/>
        <w:spacing w:after="0" w:line="277"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2018,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95" w:lineRule="exact"/>
        <w:rPr>
          <w:sz w:val="20"/>
          <w:szCs w:val="20"/>
          <w:color w:val="auto"/>
        </w:rPr>
      </w:pPr>
    </w:p>
    <w:p>
      <w:pPr>
        <w:ind w:right="260" w:firstLine="434"/>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2018, the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8" w:lineRule="exact"/>
        <w:rPr>
          <w:sz w:val="20"/>
          <w:szCs w:val="20"/>
          <w:color w:val="auto"/>
        </w:rPr>
      </w:pPr>
    </w:p>
    <w:p>
      <w:pPr>
        <w:ind w:right="420" w:firstLine="434"/>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Subsequent to quarter-end, we announced a share repurchase plan which allows us to repurchase up to $30.0 million of our outstanding common stock in the open market at prices below our net asset value as reported in our then most recently published consolidated financial statements. The program will expire on May 8, 2019.</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Subsequent to quarter-end, we repaid $15.0 million of SBA debentures.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280" w:firstLine="434"/>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our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jc w:val="both"/>
        <w:ind w:right="200" w:firstLine="434"/>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our ability to be subject to tax as a RIC, in order to provide us with additional liquidity.</w:t>
      </w:r>
    </w:p>
    <w:p>
      <w:pPr>
        <w:spacing w:after="0" w:line="117" w:lineRule="exact"/>
        <w:rPr>
          <w:sz w:val="20"/>
          <w:szCs w:val="20"/>
          <w:color w:val="auto"/>
        </w:rPr>
      </w:pPr>
    </w:p>
    <w:p>
      <w:pPr>
        <w:ind w:right="280" w:firstLine="434"/>
        <w:spacing w:after="0" w:line="251" w:lineRule="auto"/>
        <w:rPr>
          <w:sz w:val="20"/>
          <w:szCs w:val="20"/>
          <w:color w:val="auto"/>
        </w:rPr>
      </w:pPr>
      <w:r>
        <w:rPr>
          <w:rFonts w:ascii="Arial" w:cs="Arial" w:eastAsia="Arial" w:hAnsi="Arial"/>
          <w:sz w:val="13"/>
          <w:szCs w:val="13"/>
          <w:color w:val="auto"/>
        </w:rPr>
        <w:t>During the three and six months ended March 31, 2018, we declared distributions of $0.18 and $0.36 per share, respectively, for total distributions of $12.8 million and $25.6 million, respectively. For the same periods in the prior year, we declared distributions of $0.18 and $0.46 per share, respectively, for total distributions of $12.8 million and $32.7 million, respectively. We monitor available net investment income to determine if a return of capital for taxation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136" w:lineRule="exact"/>
        <w:rPr>
          <w:sz w:val="20"/>
          <w:szCs w:val="20"/>
          <w:color w:val="auto"/>
        </w:rPr>
      </w:pPr>
    </w:p>
    <w:p>
      <w:pPr>
        <w:ind w:right="600" w:firstLine="434"/>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06" w:lineRule="exact"/>
        <w:rPr>
          <w:sz w:val="20"/>
          <w:szCs w:val="20"/>
          <w:color w:val="auto"/>
        </w:rPr>
      </w:pPr>
    </w:p>
    <w:p>
      <w:pPr>
        <w:ind w:right="140" w:firstLine="434"/>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6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the new guidance early, but not before the original effective date (i.e., interim periods within annual periods beginning after December 15, 2016). The Company has evaluated this guidance and determined it will have no material impact on its financial statements.</w:t>
      </w:r>
    </w:p>
    <w:p>
      <w:pPr>
        <w:spacing w:after="0" w:line="10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120" w:firstLine="43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2018, our debt portfolio consisted of 87% variable-rate investments (including 8% where LIBOR was below the floor) and 13%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260" w:firstLine="43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(5,815)</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6,141</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12,613</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19,085</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25,557</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0" w:firstLine="434"/>
        <w:spacing w:after="0" w:line="264"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1" w:lineRule="exact"/>
        <w:rPr>
          <w:sz w:val="20"/>
          <w:szCs w:val="20"/>
          <w:color w:val="auto"/>
        </w:rPr>
      </w:pPr>
    </w:p>
    <w:p>
      <w:pPr>
        <w:jc w:val="both"/>
        <w:ind w:right="100" w:firstLine="43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200" w:firstLine="434"/>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firstLine="43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80" w:firstLine="43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2018 that have materially affected, or are reasonably likely to materially affect, our internal control over financial reporting.</w:t>
      </w:r>
    </w:p>
    <w:p>
      <w:pPr>
        <w:spacing w:after="0" w:line="32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333" w:right="6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jc w:val="both"/>
        <w:ind w:firstLine="43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right="80" w:firstLine="434"/>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2017,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passed legislation may allow us to incur additional leverage.</w:t>
      </w:r>
    </w:p>
    <w:p>
      <w:pPr>
        <w:spacing w:after="0" w:line="136" w:lineRule="exact"/>
        <w:rPr>
          <w:sz w:val="20"/>
          <w:szCs w:val="20"/>
          <w:color w:val="auto"/>
        </w:rPr>
      </w:pPr>
    </w:p>
    <w:p>
      <w:pPr>
        <w:ind w:right="60" w:firstLine="362"/>
        <w:spacing w:after="0" w:line="248"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the 1940 Act, equals at least 200% after such incurrence or issuance. In March 2018, the Small Business Credit Availability Act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As a result, if we receive the relevant approval and we comply with the applicable disclosure requirements, we will be able to incur additional indebtedness on April 5, 2019, which may increase the risk of investing in us. In addition, since our base management fee is payable based upon our average adjusted gross assets, which includes any borrowings for investment purposes, our base management fee expenses may increase if we incur additional leverage.</w:t>
      </w:r>
    </w:p>
    <w:p>
      <w:pPr>
        <w:spacing w:after="0" w:line="109"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333" w:right="499" w:bottom="1440" w:gutter="0" w:footer="0" w:header="0"/>
        </w:sectPr>
      </w:pPr>
    </w:p>
    <w:bookmarkStart w:id="34" w:name="page35"/>
    <w:bookmarkEnd w:id="34"/>
    <w:p>
      <w:pPr>
        <w:spacing w:after="0"/>
        <w:tabs>
          <w:tab w:leader="none" w:pos="10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136" w:lineRule="exact"/>
        <w:rPr>
          <w:sz w:val="20"/>
          <w:szCs w:val="20"/>
          <w:color w:val="auto"/>
        </w:rPr>
      </w:pPr>
    </w:p>
    <w:p>
      <w:pPr>
        <w:spacing w:after="0"/>
        <w:tabs>
          <w:tab w:leader="none" w:pos="520" w:val="left"/>
        </w:tabs>
        <w:rPr>
          <w:rFonts w:ascii="Arial" w:cs="Arial" w:eastAsia="Arial" w:hAnsi="Arial"/>
          <w:sz w:val="13"/>
          <w:szCs w:val="13"/>
          <w:u w:val="single" w:color="auto"/>
          <w:color w:val="0000EE"/>
        </w:rPr>
      </w:pPr>
      <w:r>
        <w:rPr>
          <w:rFonts w:ascii="Arial" w:cs="Arial" w:eastAsia="Arial" w:hAnsi="Arial"/>
          <w:sz w:val="14"/>
          <w:szCs w:val="14"/>
          <w:color w:val="auto"/>
        </w:rPr>
        <w:t>3.1</w:t>
      </w:r>
      <w:r>
        <w:rPr>
          <w:sz w:val="20"/>
          <w:szCs w:val="20"/>
          <w:color w:val="auto"/>
        </w:rPr>
        <w:tab/>
      </w:r>
      <w:hyperlink r:id="rId56">
        <w:r>
          <w:rPr>
            <w:rFonts w:ascii="Arial" w:cs="Arial" w:eastAsia="Arial" w:hAnsi="Arial"/>
            <w:sz w:val="13"/>
            <w:szCs w:val="13"/>
            <w:u w:val="single" w:color="auto"/>
            <w:color w:val="0000EE"/>
          </w:rPr>
          <w:t>Articles of Incorporation (Incorporated by reference to Exhibit 99(a) to the Registrant’s Pre-Effective Amendment No. 3 to the Registration Statement on Form N-2/A (File No. 333-</w:t>
        </w:r>
      </w:hyperlink>
    </w:p>
    <w:p>
      <w:pPr>
        <w:ind w:left="540"/>
        <w:spacing w:after="0"/>
        <w:rPr>
          <w:rFonts w:ascii="Arial" w:cs="Arial" w:eastAsia="Arial" w:hAnsi="Arial"/>
          <w:sz w:val="14"/>
          <w:szCs w:val="14"/>
          <w:u w:val="single" w:color="auto"/>
          <w:color w:val="0000EE"/>
        </w:rPr>
      </w:pPr>
      <w:hyperlink r:id="rId56">
        <w:r>
          <w:rPr>
            <w:rFonts w:ascii="Arial" w:cs="Arial" w:eastAsia="Arial" w:hAnsi="Arial"/>
            <w:sz w:val="14"/>
            <w:szCs w:val="14"/>
            <w:u w:val="single" w:color="auto"/>
            <w:color w:val="0000EE"/>
          </w:rPr>
          <w:t>140092), filed on April 5, 2007).</w:t>
        </w:r>
      </w:hyperlink>
    </w:p>
    <w:p>
      <w:pPr>
        <w:spacing w:after="0" w:line="124" w:lineRule="exact"/>
        <w:rPr>
          <w:sz w:val="20"/>
          <w:szCs w:val="20"/>
          <w:color w:val="auto"/>
        </w:rPr>
      </w:pPr>
    </w:p>
    <w:p>
      <w:pPr>
        <w:ind w:left="540" w:right="680" w:hanging="525"/>
        <w:spacing w:after="0" w:line="253" w:lineRule="auto"/>
        <w:tabs>
          <w:tab w:leader="none" w:pos="520" w:val="left"/>
        </w:tabs>
        <w:rPr>
          <w:rFonts w:ascii="Arial" w:cs="Arial" w:eastAsia="Arial" w:hAnsi="Arial"/>
          <w:sz w:val="14"/>
          <w:szCs w:val="14"/>
          <w:u w:val="single" w:color="auto"/>
          <w:color w:val="0000EE"/>
        </w:rPr>
      </w:pPr>
      <w:r>
        <w:rPr>
          <w:rFonts w:ascii="Arial" w:cs="Arial" w:eastAsia="Arial" w:hAnsi="Arial"/>
          <w:sz w:val="14"/>
          <w:szCs w:val="14"/>
          <w:color w:val="auto"/>
        </w:rPr>
        <w:t>3.2</w:t>
      </w:r>
      <w:r>
        <w:rPr>
          <w:sz w:val="20"/>
          <w:szCs w:val="20"/>
          <w:color w:val="auto"/>
        </w:rPr>
        <w:tab/>
      </w:r>
      <w:hyperlink r:id="rId57">
        <w:r>
          <w:rPr>
            <w:rFonts w:ascii="Arial" w:cs="Arial" w:eastAsia="Arial" w:hAnsi="Arial"/>
            <w:sz w:val="14"/>
            <w:szCs w:val="14"/>
            <w:u w:val="single" w:color="auto"/>
            <w:color w:val="0000EE"/>
          </w:rPr>
          <w:t>Amended and Restated Bylaws of the Registrant (Incorporated by reference to Exhibit 3.1 to the Registrant’s Current Report on Form 8-K (File No. 814-00736), filed on</w:t>
        </w:r>
      </w:hyperlink>
      <w:r>
        <w:rPr>
          <w:rFonts w:ascii="Arial" w:cs="Arial" w:eastAsia="Arial" w:hAnsi="Arial"/>
          <w:sz w:val="14"/>
          <w:szCs w:val="14"/>
          <w:u w:val="single" w:color="auto"/>
          <w:color w:val="0000EE"/>
        </w:rPr>
        <w:t xml:space="preserve"> </w:t>
      </w:r>
      <w:hyperlink r:id="rId57">
        <w:r>
          <w:rPr>
            <w:rFonts w:ascii="Arial" w:cs="Arial" w:eastAsia="Arial" w:hAnsi="Arial"/>
            <w:sz w:val="14"/>
            <w:szCs w:val="14"/>
            <w:u w:val="single" w:color="auto"/>
            <w:color w:val="0000EE"/>
          </w:rPr>
          <w:t>December 2, 2015).</w:t>
        </w:r>
      </w:hyperlink>
    </w:p>
    <w:p>
      <w:pPr>
        <w:spacing w:after="0" w:line="106" w:lineRule="exact"/>
        <w:rPr>
          <w:sz w:val="20"/>
          <w:szCs w:val="20"/>
          <w:color w:val="auto"/>
        </w:rPr>
      </w:pPr>
    </w:p>
    <w:p>
      <w:pPr>
        <w:spacing w:after="0"/>
        <w:tabs>
          <w:tab w:leader="none" w:pos="52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58">
        <w:r>
          <w:rPr>
            <w:rFonts w:ascii="Arial" w:cs="Arial" w:eastAsia="Arial" w:hAnsi="Arial"/>
            <w:sz w:val="13"/>
            <w:szCs w:val="13"/>
            <w:u w:val="single" w:color="auto"/>
            <w:color w:val="0000EE"/>
          </w:rPr>
          <w:t>Form of Share Certificate (Incorporated by reference to Exhibit 99(d)(1) to the Registrant’s Registration Statement on Form N-2 (File No. 333-150033), filed on April 2, 2008).</w:t>
        </w:r>
      </w:hyperlink>
    </w:p>
    <w:p>
      <w:pPr>
        <w:spacing w:after="0" w:line="136" w:lineRule="exact"/>
        <w:rPr>
          <w:sz w:val="20"/>
          <w:szCs w:val="20"/>
          <w:color w:val="auto"/>
        </w:rPr>
      </w:pPr>
    </w:p>
    <w:p>
      <w:pPr>
        <w:ind w:left="540" w:right="240" w:hanging="525"/>
        <w:spacing w:after="0" w:line="253" w:lineRule="auto"/>
        <w:tabs>
          <w:tab w:leader="none" w:pos="520" w:val="left"/>
        </w:tabs>
        <w:rPr>
          <w:rFonts w:ascii="Arial" w:cs="Arial" w:eastAsia="Arial" w:hAnsi="Arial"/>
          <w:sz w:val="14"/>
          <w:szCs w:val="14"/>
          <w:u w:val="single" w:color="auto"/>
          <w:color w:val="0000EE"/>
        </w:rPr>
      </w:pPr>
      <w:r>
        <w:rPr>
          <w:rFonts w:ascii="Arial" w:cs="Arial" w:eastAsia="Arial" w:hAnsi="Arial"/>
          <w:sz w:val="14"/>
          <w:szCs w:val="14"/>
          <w:color w:val="auto"/>
        </w:rPr>
        <w:t>10.1</w:t>
      </w:r>
      <w:r>
        <w:rPr>
          <w:sz w:val="20"/>
          <w:szCs w:val="20"/>
          <w:color w:val="auto"/>
        </w:rPr>
        <w:tab/>
      </w:r>
      <w:hyperlink r:id="rId59">
        <w:r>
          <w:rPr>
            <w:rFonts w:ascii="Arial" w:cs="Arial" w:eastAsia="Arial" w:hAnsi="Arial"/>
            <w:sz w:val="14"/>
            <w:szCs w:val="14"/>
            <w:u w:val="single" w:color="auto"/>
            <w:color w:val="0000EE"/>
          </w:rPr>
          <w:t>Second Amended and Restated Investment Advisory Management Agreement, dated as of February 6, 2018, between the Registrant and PennantPark Investment Advisers, LLC</w:t>
        </w:r>
      </w:hyperlink>
      <w:r>
        <w:rPr>
          <w:rFonts w:ascii="Arial" w:cs="Arial" w:eastAsia="Arial" w:hAnsi="Arial"/>
          <w:sz w:val="14"/>
          <w:szCs w:val="14"/>
          <w:u w:val="single" w:color="auto"/>
          <w:color w:val="0000EE"/>
        </w:rPr>
        <w:t xml:space="preserve"> </w:t>
      </w:r>
      <w:hyperlink r:id="rId59">
        <w:r>
          <w:rPr>
            <w:rFonts w:ascii="Arial" w:cs="Arial" w:eastAsia="Arial" w:hAnsi="Arial"/>
            <w:sz w:val="14"/>
            <w:szCs w:val="14"/>
            <w:u w:val="single" w:color="auto"/>
            <w:color w:val="0000EE"/>
          </w:rPr>
          <w:t>(Incorporated by reference to Exhibit 10.1 to the Registrant’s Quarterly Report on Form 10-Q (File No. 814-00736), filed on February 7, 2018).</w:t>
        </w:r>
      </w:hyperlink>
    </w:p>
    <w:p>
      <w:pPr>
        <w:spacing w:after="0" w:line="106" w:lineRule="exact"/>
        <w:rPr>
          <w:sz w:val="20"/>
          <w:szCs w:val="20"/>
          <w:color w:val="auto"/>
        </w:rPr>
      </w:pPr>
    </w:p>
    <w:p>
      <w:pPr>
        <w:ind w:right="3200" w:firstLine="8"/>
        <w:spacing w:after="0" w:line="476" w:lineRule="auto"/>
        <w:tabs>
          <w:tab w:leader="none" w:pos="526" w:val="left"/>
        </w:tabs>
        <w:numPr>
          <w:ilvl w:val="0"/>
          <w:numId w:val="22"/>
        </w:numPr>
        <w:rPr>
          <w:rFonts w:ascii="Arial" w:cs="Arial" w:eastAsia="Arial" w:hAnsi="Arial"/>
          <w:sz w:val="13"/>
          <w:szCs w:val="13"/>
          <w:color w:val="000000"/>
        </w:rPr>
      </w:pPr>
      <w:hyperlink w:anchor="page21">
        <w:r>
          <w:rPr>
            <w:rFonts w:ascii="Arial" w:cs="Arial" w:eastAsia="Arial" w:hAnsi="Arial"/>
            <w:sz w:val="13"/>
            <w:szCs w:val="13"/>
            <w:u w:val="single" w:color="auto"/>
            <w:color w:val="0000EE"/>
          </w:rPr>
          <w:t>Computation of Per Share Earnings (included in the notes to the Consolidated Financial Statements contained in this Report)</w:t>
        </w:r>
        <w:r>
          <w:rPr>
            <w:rFonts w:ascii="Arial" w:cs="Arial" w:eastAsia="Arial" w:hAnsi="Arial"/>
            <w:sz w:val="13"/>
            <w:szCs w:val="13"/>
            <w:color w:val="0000EE"/>
          </w:rPr>
          <w:t>.</w:t>
        </w:r>
      </w:hyperlink>
      <w:r>
        <w:rPr>
          <w:rFonts w:ascii="Arial" w:cs="Arial" w:eastAsia="Arial" w:hAnsi="Arial"/>
          <w:sz w:val="13"/>
          <w:szCs w:val="13"/>
          <w:color w:val="0000EE"/>
        </w:rPr>
        <w:t xml:space="preserve"> </w:t>
      </w:r>
      <w:r>
        <w:rPr>
          <w:rFonts w:ascii="Arial" w:cs="Arial" w:eastAsia="Arial" w:hAnsi="Arial"/>
          <w:sz w:val="13"/>
          <w:szCs w:val="13"/>
          <w:color w:val="000000"/>
        </w:rPr>
        <w:t xml:space="preserve">31.1* </w:t>
      </w:r>
      <w:hyperlink w:anchor="page37">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 w:lineRule="exact"/>
        <w:rPr>
          <w:rFonts w:ascii="Arial" w:cs="Arial" w:eastAsia="Arial" w:hAnsi="Arial"/>
          <w:sz w:val="13"/>
          <w:szCs w:val="13"/>
          <w:color w:val="000000"/>
        </w:rPr>
      </w:pPr>
    </w:p>
    <w:p>
      <w:pPr>
        <w:spacing w:after="0"/>
        <w:rPr>
          <w:rFonts w:ascii="Arial" w:cs="Arial" w:eastAsia="Arial" w:hAnsi="Arial"/>
          <w:sz w:val="14"/>
          <w:szCs w:val="14"/>
          <w:color w:val="auto"/>
        </w:rPr>
      </w:pPr>
      <w:r>
        <w:rPr>
          <w:rFonts w:ascii="Arial" w:cs="Arial" w:eastAsia="Arial" w:hAnsi="Arial"/>
          <w:sz w:val="14"/>
          <w:szCs w:val="14"/>
          <w:color w:val="auto"/>
        </w:rPr>
        <w:t xml:space="preserve">31.2*   </w:t>
      </w:r>
      <w:hyperlink w:anchor="page38">
        <w:r>
          <w:rPr>
            <w:rFonts w:ascii="Arial" w:cs="Arial" w:eastAsia="Arial" w:hAnsi="Arial"/>
            <w:sz w:val="14"/>
            <w:szCs w:val="14"/>
            <w:u w:val="single" w:color="auto"/>
            <w:color w:val="0000EE"/>
          </w:rPr>
          <w:t>Certification of Chief Financial Officer pursuant to Rule 13a-14 of the Securities Exchange Act of 1934, as amended.</w:t>
        </w:r>
      </w:hyperlink>
    </w:p>
    <w:p>
      <w:pPr>
        <w:spacing w:after="0" w:line="1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32.1*   </w:t>
      </w:r>
      <w:hyperlink w:anchor="page39">
        <w:r>
          <w:rPr>
            <w:rFonts w:ascii="Arial" w:cs="Arial" w:eastAsia="Arial" w:hAnsi="Arial"/>
            <w:sz w:val="14"/>
            <w:szCs w:val="14"/>
            <w:u w:val="single" w:color="auto"/>
            <w:color w:val="0000EE"/>
          </w:rPr>
          <w:t>Certification of Chief Executive Officer pursuant to Section 906 of the Sarbanes-Oxley Act of 2002.</w:t>
        </w:r>
      </w:hyperlink>
    </w:p>
    <w:p>
      <w:pPr>
        <w:spacing w:after="0" w:line="1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32.2*   </w:t>
      </w:r>
      <w:hyperlink w:anchor="page40">
        <w:r>
          <w:rPr>
            <w:rFonts w:ascii="Arial" w:cs="Arial" w:eastAsia="Arial" w:hAnsi="Arial"/>
            <w:sz w:val="14"/>
            <w:szCs w:val="14"/>
            <w:u w:val="single" w:color="auto"/>
            <w:color w:val="0000EE"/>
          </w:rPr>
          <w:t>Certification of Chief Financial Officer pursuant to Section 906 of the Sarbanes-Oxley Act of 2002.</w:t>
        </w:r>
      </w:hyperlink>
    </w:p>
    <w:p>
      <w:pPr>
        <w:spacing w:after="0" w:line="136" w:lineRule="exact"/>
        <w:rPr>
          <w:rFonts w:ascii="Arial" w:cs="Arial" w:eastAsia="Arial" w:hAnsi="Arial"/>
          <w:sz w:val="14"/>
          <w:szCs w:val="14"/>
          <w:color w:val="auto"/>
        </w:rPr>
      </w:pPr>
    </w:p>
    <w:p>
      <w:pPr>
        <w:ind w:right="260"/>
        <w:spacing w:after="0" w:line="514" w:lineRule="auto"/>
        <w:rPr>
          <w:rFonts w:ascii="Arial" w:cs="Arial" w:eastAsia="Arial" w:hAnsi="Arial"/>
          <w:sz w:val="14"/>
          <w:szCs w:val="14"/>
          <w:color w:val="auto"/>
        </w:rPr>
      </w:pPr>
      <w:r>
        <w:rPr>
          <w:rFonts w:ascii="Arial" w:cs="Arial" w:eastAsia="Arial" w:hAnsi="Arial"/>
          <w:sz w:val="14"/>
          <w:szCs w:val="14"/>
          <w:color w:val="auto"/>
        </w:rPr>
        <w:t xml:space="preserve">99.1 </w:t>
      </w:r>
      <w:hyperlink r:id="rId60">
        <w:r>
          <w:rPr>
            <w:rFonts w:ascii="Arial" w:cs="Arial" w:eastAsia="Arial" w:hAnsi="Arial"/>
            <w:sz w:val="14"/>
            <w:szCs w:val="14"/>
            <w:u w:val="single" w:color="auto"/>
            <w:color w:val="0000EE"/>
          </w:rPr>
          <w:t>Privacy Policy of the Registrant (Incorporated by reference to Exhibit 99.1 to the Registrant’s Annual Report on Form 10-K (File No. 814-00736), filed on November 16, 2011).</w:t>
        </w:r>
      </w:hyperlink>
      <w:r>
        <w:rPr>
          <w:rFonts w:ascii="Arial" w:cs="Arial" w:eastAsia="Arial" w:hAnsi="Arial"/>
          <w:sz w:val="14"/>
          <w:szCs w:val="14"/>
          <w:color w:val="auto"/>
        </w:rPr>
        <w:t xml:space="preserve"> * Filed herewith.</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3455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27" w:lineRule="exact"/>
        <w:rPr>
          <w:rFonts w:ascii="Arial" w:cs="Arial" w:eastAsia="Arial" w:hAnsi="Arial"/>
          <w:sz w:val="14"/>
          <w:szCs w:val="14"/>
          <w:color w:val="auto"/>
        </w:rPr>
      </w:pPr>
    </w:p>
    <w:p>
      <w:pPr>
        <w:jc w:val="center"/>
        <w:ind w:right="-279"/>
        <w:spacing w:after="0"/>
        <w:rPr>
          <w:sz w:val="20"/>
          <w:szCs w:val="20"/>
          <w:color w:val="auto"/>
        </w:rPr>
      </w:pPr>
      <w:r>
        <w:rPr>
          <w:rFonts w:ascii="Arial" w:cs="Arial" w:eastAsia="Arial" w:hAnsi="Arial"/>
          <w:sz w:val="14"/>
          <w:szCs w:val="14"/>
          <w:color w:val="auto"/>
        </w:rPr>
        <w:t>35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320" w:top="333" w:right="619" w:bottom="1440" w:gutter="0" w:footer="0" w:header="0"/>
        </w:sectPr>
      </w:pPr>
    </w:p>
    <w:bookmarkStart w:id="35" w:name="page36"/>
    <w:bookmarkEnd w:id="35"/>
    <w:p>
      <w:pPr>
        <w:jc w:val="center"/>
        <w:ind w:right="-319"/>
        <w:spacing w:after="0"/>
        <w:rPr>
          <w:sz w:val="20"/>
          <w:szCs w:val="20"/>
          <w:color w:val="auto"/>
        </w:rPr>
      </w:pPr>
      <w:r>
        <w:rPr>
          <w:rFonts w:ascii="Arial" w:cs="Arial" w:eastAsia="Arial" w:hAnsi="Arial"/>
          <w:sz w:val="14"/>
          <w:szCs w:val="14"/>
          <w:b w:val="1"/>
          <w:bCs w:val="1"/>
          <w:color w:val="auto"/>
        </w:rPr>
        <w:t>SIGNATURES</w:t>
      </w:r>
    </w:p>
    <w:p>
      <w:pPr>
        <w:spacing w:after="0" w:line="289" w:lineRule="exact"/>
        <w:rPr>
          <w:sz w:val="20"/>
          <w:szCs w:val="20"/>
          <w:color w:val="auto"/>
        </w:rPr>
      </w:pPr>
    </w:p>
    <w:p>
      <w:pPr>
        <w:ind w:firstLine="43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40"/>
          </w:cols>
          <w:pgMar w:left="320" w:top="333" w:right="6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May 9, 2018</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May 9,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460" w:right="1480" w:hanging="1376"/>
        <w:spacing w:after="0" w:line="473" w:lineRule="auto"/>
        <w:rPr>
          <w:sz w:val="20"/>
          <w:szCs w:val="20"/>
          <w:color w:val="auto"/>
        </w:rPr>
      </w:pPr>
      <w:r>
        <w:rPr>
          <w:rFonts w:ascii="Arial" w:cs="Arial" w:eastAsia="Arial" w:hAnsi="Arial"/>
          <w:sz w:val="13"/>
          <w:szCs w:val="13"/>
          <w:color w:val="auto"/>
        </w:rPr>
        <w:t>PENNANTPARK INVESTMENT CORPORATION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-19050</wp:posOffset>
            </wp:positionV>
            <wp:extent cx="29057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jc w:val="center"/>
        <w:ind w:right="640"/>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64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640"/>
        <w:spacing w:after="0"/>
        <w:rPr>
          <w:sz w:val="20"/>
          <w:szCs w:val="20"/>
          <w:color w:val="auto"/>
        </w:rPr>
      </w:pPr>
      <w:r>
        <w:rPr>
          <w:rFonts w:ascii="Arial" w:cs="Arial" w:eastAsia="Arial" w:hAnsi="Arial"/>
          <w:sz w:val="14"/>
          <w:szCs w:val="14"/>
          <w:b w:val="1"/>
          <w:bCs w:val="1"/>
          <w:color w:val="auto"/>
        </w:rPr>
        <w:t>(Principal Executive Officer)</w:t>
      </w:r>
    </w:p>
    <w:p>
      <w:pPr>
        <w:spacing w:after="0" w:line="192" w:lineRule="exact"/>
        <w:rPr>
          <w:sz w:val="20"/>
          <w:szCs w:val="20"/>
          <w:color w:val="auto"/>
        </w:rPr>
      </w:pPr>
    </w:p>
    <w:p>
      <w:pPr>
        <w:jc w:val="center"/>
        <w:ind w:right="640"/>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3810</wp:posOffset>
            </wp:positionV>
            <wp:extent cx="29057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Aviv Efrat</w:t>
      </w:r>
    </w:p>
    <w:p>
      <w:pPr>
        <w:spacing w:after="0" w:line="82"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4540" w:space="720"/>
            <w:col w:w="360" w:space="720"/>
            <w:col w:w="4600"/>
          </w:cols>
          <w:pgMar w:left="320" w:top="333" w:right="639" w:bottom="1440" w:gutter="0" w:footer="0" w:header="0"/>
          <w:type w:val="continuous"/>
        </w:sect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0940"/>
          </w:cols>
          <w:pgMar w:left="320" w:top="333" w:right="6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23"/>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480" w:firstLine="441"/>
        <w:spacing w:after="0" w:line="313" w:lineRule="auto"/>
        <w:tabs>
          <w:tab w:leader="none" w:pos="577"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2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405" w:lineRule="auto"/>
        <w:tabs>
          <w:tab w:leader="none" w:pos="832" w:val="left"/>
        </w:tabs>
        <w:numPr>
          <w:ilvl w:val="2"/>
          <w:numId w:val="2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620" w:firstLine="692"/>
        <w:spacing w:after="0" w:line="405" w:lineRule="auto"/>
        <w:tabs>
          <w:tab w:leader="none" w:pos="838" w:val="left"/>
        </w:tabs>
        <w:numPr>
          <w:ilvl w:val="2"/>
          <w:numId w:val="2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340" w:firstLine="719"/>
        <w:spacing w:after="0" w:line="313" w:lineRule="auto"/>
        <w:tabs>
          <w:tab w:leader="none" w:pos="856" w:val="left"/>
        </w:tabs>
        <w:numPr>
          <w:ilvl w:val="3"/>
          <w:numId w:val="2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480" w:firstLine="705"/>
        <w:spacing w:after="0" w:line="355" w:lineRule="auto"/>
        <w:tabs>
          <w:tab w:leader="none" w:pos="850" w:val="left"/>
        </w:tabs>
        <w:numPr>
          <w:ilvl w:val="3"/>
          <w:numId w:val="2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380" w:firstLine="447"/>
        <w:spacing w:after="0" w:line="313" w:lineRule="auto"/>
        <w:tabs>
          <w:tab w:leader="none" w:pos="583" w:val="left"/>
        </w:tabs>
        <w:numPr>
          <w:ilvl w:val="1"/>
          <w:numId w:val="2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right="100" w:firstLine="719"/>
        <w:spacing w:after="0" w:line="313" w:lineRule="auto"/>
        <w:tabs>
          <w:tab w:leader="none" w:pos="856" w:val="left"/>
        </w:tabs>
        <w:numPr>
          <w:ilvl w:val="3"/>
          <w:numId w:val="2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2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Dated: May 9, 2018</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46" w:right="339" w:bottom="1440" w:gutter="0" w:footer="0" w:header="0"/>
        </w:sectPr>
      </w:pPr>
    </w:p>
    <w:bookmarkStart w:id="37" w:name="page38"/>
    <w:bookmarkEnd w:id="37"/>
    <w:p>
      <w:pPr>
        <w:ind w:left="9960"/>
        <w:spacing w:after="0"/>
        <w:rPr>
          <w:sz w:val="20"/>
          <w:szCs w:val="20"/>
          <w:color w:val="auto"/>
        </w:rPr>
      </w:pPr>
      <w:r>
        <w:rPr>
          <w:rFonts w:ascii="Arial" w:cs="Arial" w:eastAsia="Arial" w:hAnsi="Arial"/>
          <w:sz w:val="14"/>
          <w:szCs w:val="14"/>
          <w:b w:val="1"/>
          <w:bCs w:val="1"/>
          <w:color w:val="auto"/>
        </w:rPr>
        <w:t>EXHIBIT 31.2</w:t>
      </w:r>
    </w:p>
    <w:p>
      <w:pPr>
        <w:spacing w:after="0" w:line="176"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26"/>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380" w:firstLine="441"/>
        <w:spacing w:after="0" w:line="313" w:lineRule="auto"/>
        <w:tabs>
          <w:tab w:leader="none" w:pos="577"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480" w:firstLine="448"/>
        <w:spacing w:after="0" w:line="253" w:lineRule="auto"/>
        <w:tabs>
          <w:tab w:leader="none" w:pos="584"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left="580" w:hanging="139"/>
        <w:spacing w:after="0"/>
        <w:tabs>
          <w:tab w:leader="none" w:pos="5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51" w:lineRule="exact"/>
        <w:rPr>
          <w:rFonts w:ascii="Arial" w:cs="Arial" w:eastAsia="Arial" w:hAnsi="Arial"/>
          <w:sz w:val="13"/>
          <w:szCs w:val="13"/>
          <w:color w:val="auto"/>
        </w:rPr>
      </w:pPr>
    </w:p>
    <w:p>
      <w:pPr>
        <w:ind w:right="340" w:firstLine="695"/>
        <w:spacing w:after="0" w:line="405" w:lineRule="auto"/>
        <w:tabs>
          <w:tab w:leader="none" w:pos="832" w:val="left"/>
        </w:tabs>
        <w:numPr>
          <w:ilvl w:val="2"/>
          <w:numId w:val="2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520" w:firstLine="692"/>
        <w:spacing w:after="0" w:line="405" w:lineRule="auto"/>
        <w:tabs>
          <w:tab w:leader="none" w:pos="838" w:val="left"/>
        </w:tabs>
        <w:numPr>
          <w:ilvl w:val="2"/>
          <w:numId w:val="2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240" w:firstLine="719"/>
        <w:spacing w:after="0" w:line="313" w:lineRule="auto"/>
        <w:tabs>
          <w:tab w:leader="none" w:pos="856" w:val="left"/>
        </w:tabs>
        <w:numPr>
          <w:ilvl w:val="3"/>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380" w:firstLine="705"/>
        <w:spacing w:after="0" w:line="355" w:lineRule="auto"/>
        <w:tabs>
          <w:tab w:leader="none" w:pos="850" w:val="left"/>
        </w:tabs>
        <w:numPr>
          <w:ilvl w:val="3"/>
          <w:numId w:val="2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280" w:firstLine="447"/>
        <w:spacing w:after="0" w:line="313" w:lineRule="auto"/>
        <w:tabs>
          <w:tab w:leader="none" w:pos="583"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firstLine="719"/>
        <w:spacing w:after="0" w:line="313" w:lineRule="auto"/>
        <w:tabs>
          <w:tab w:leader="none" w:pos="856" w:val="left"/>
        </w:tabs>
        <w:numPr>
          <w:ilvl w:val="3"/>
          <w:numId w:val="2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2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May 9, 2018</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140"/>
          </w:cols>
          <w:pgMar w:left="320" w:top="118"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auto"/>
        </w:rPr>
        <w:t>EXHIBIT 32.1</w:t>
      </w:r>
    </w:p>
    <w:p>
      <w:pPr>
        <w:spacing w:after="0" w:line="258"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55"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PURSUANT TO</w:t>
      </w:r>
    </w:p>
    <w:p>
      <w:pPr>
        <w:spacing w:after="0" w:line="28"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1" w:lineRule="exact"/>
        <w:rPr>
          <w:sz w:val="20"/>
          <w:szCs w:val="20"/>
          <w:color w:val="auto"/>
        </w:rPr>
      </w:pPr>
    </w:p>
    <w:p>
      <w:pPr>
        <w:ind w:left="120" w:right="40" w:firstLine="408"/>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2018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84" w:lineRule="exact"/>
        <w:rPr>
          <w:sz w:val="20"/>
          <w:szCs w:val="20"/>
          <w:color w:val="auto"/>
        </w:rPr>
      </w:pPr>
    </w:p>
    <w:p>
      <w:pPr>
        <w:ind w:left="920" w:hanging="318"/>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May 9, 2018</w:t>
      </w:r>
    </w:p>
    <w:p>
      <w:pPr>
        <w:sectPr>
          <w:pgSz w:w="11900" w:h="16838" w:orient="portrait"/>
          <w:cols w:equalWidth="0" w:num="1">
            <w:col w:w="10840"/>
          </w:cols>
          <w:pgMar w:left="320" w:top="130" w:right="7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connection with this Report on Form 10-Q for the three and six months ended March 31, 2018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124" w:lineRule="exact"/>
        <w:rPr>
          <w:sz w:val="20"/>
          <w:szCs w:val="20"/>
          <w:color w:val="auto"/>
        </w:rPr>
      </w:pPr>
    </w:p>
    <w:p>
      <w:pPr>
        <w:ind w:left="920" w:hanging="318"/>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2687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Title:  Chief Financial Officer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Date:  May 9, 2018</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lowerLetter"/>
      <w:start w:val="2"/>
    </w:lvl>
  </w:abstractNum>
  <w:abstractNum w:abstractNumId="7">
    <w:nsid w:val="7C83E458"/>
    <w:multiLevelType w:val="hybridMultilevel"/>
    <w:lvl w:ilvl="0">
      <w:lvlJc w:val="left"/>
      <w:lvlText w:val="(%1)"/>
      <w:numFmt w:val="lowerLetter"/>
      <w:start w:val="3"/>
    </w:lvl>
  </w:abstractNum>
  <w:abstractNum w:abstractNumId="8">
    <w:nsid w:val="257130A3"/>
    <w:multiLevelType w:val="hybridMultilevel"/>
    <w:lvl w:ilvl="0">
      <w:lvlJc w:val="left"/>
      <w:lvlText w:val="(%1)"/>
      <w:numFmt w:val="lowerLetter"/>
      <w:start w:val="4"/>
    </w:lvl>
  </w:abstractNum>
  <w:abstractNum w:abstractNumId="9">
    <w:nsid w:val="62BBD95A"/>
    <w:multiLevelType w:val="hybridMultilevel"/>
    <w:lvl w:ilvl="0">
      <w:lvlJc w:val="left"/>
      <w:lvlText w:val="(%1)"/>
      <w:numFmt w:val="lowerLetter"/>
      <w:start w:val="5"/>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lowerLetter"/>
      <w:start w:val="6"/>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1"/>
    </w:lvl>
  </w:abstractNum>
  <w:abstractNum w:abstractNumId="22">
    <w:nsid w:val="189A769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3">
    <w:nsid w:val="54E49EB4"/>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24">
    <w:nsid w:val="71F324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5">
    <w:nsid w:val="2CA8861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6">
    <w:nsid w:val="836C40E"/>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27">
    <w:nsid w:val="2901D8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56" Type="http://schemas.openxmlformats.org/officeDocument/2006/relationships/hyperlink" Target="http://www.sec.gov/Archives/edgar/data/1383414/000119312507075646/dex99a.htm" TargetMode="External"/><Relationship Id="rId57" Type="http://schemas.openxmlformats.org/officeDocument/2006/relationships/hyperlink" Target="http://www.sec.gov/Archives/edgar/data/1383414/000119312515393210/d59522dex31.htm" TargetMode="External"/><Relationship Id="rId58" Type="http://schemas.openxmlformats.org/officeDocument/2006/relationships/hyperlink" Target="http://www.sec.gov/Archives/edgar/data/1383414/000119312508072557/dex99d1.htm" TargetMode="External"/><Relationship Id="rId59" Type="http://schemas.openxmlformats.org/officeDocument/2006/relationships/hyperlink" Target="http://www.sec.gov/Archives/edgar/data/1383414/000156459018001515/pnnt-ex101_176.htm" TargetMode="External"/><Relationship Id="rId60"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2020-05-05T15:13:33Z</dcterms:created>
  <dcterms:modified xsi:type="dcterms:W3CDTF">2020-05-05T15:13:33Z</dcterms:modified>
</cp:coreProperties>
</file>