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5" w:lineRule="exact"/>
        <w:rPr>
          <w:sz w:val="24"/>
          <w:szCs w:val="24"/>
          <w:color w:val="auto"/>
        </w:rPr>
      </w:pPr>
    </w:p>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78"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8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11" w:lineRule="exact"/>
        <w:rPr>
          <w:rFonts w:ascii="Times New Roman" w:cs="Times New Roman" w:eastAsia="Times New Roman" w:hAnsi="Times New Roman"/>
          <w:sz w:val="18"/>
          <w:szCs w:val="18"/>
          <w:color w:val="auto"/>
        </w:rPr>
      </w:pPr>
    </w:p>
    <w:p>
      <w:pPr>
        <w:ind w:left="1160" w:right="100" w:hanging="572"/>
        <w:spacing w:after="0" w:line="282" w:lineRule="auto"/>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1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72"/>
        <w:spacing w:after="0" w:line="281" w:lineRule="auto"/>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1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1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11"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-2716530</wp:posOffset>
            </wp:positionV>
            <wp:extent cx="6386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-2451100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-2047875</wp:posOffset>
            </wp:positionV>
            <wp:extent cx="638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-1782445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-1516380</wp:posOffset>
            </wp:positionV>
            <wp:extent cx="6386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-702310</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-436245</wp:posOffset>
            </wp:positionV>
            <wp:extent cx="6386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-170815</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94615</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16" w:right="479" w:bottom="1440" w:gutter="0" w:footer="0" w:header="0"/>
        </w:sectPr>
      </w:pPr>
    </w:p>
    <w:bookmarkStart w:id="1" w:name="page2"/>
    <w:bookmarkEnd w:id="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217741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143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December 8,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2021 Annual Meeting of Stockholders (the “Annual Meeting”) of PennantPark Investment Corporation (“PNNT” or the “Company”) to be held on February 9, 2021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 xml:space="preserve"> and using the Control Number included in the Notice of Internet Availability of Proxy Materials. The board of directors of the Company (the “Board”) has implemented a virtual meeting format this year primarily in response to the public health and travel concerns our stockholders may have and the recommendations that public health officials may issue in light of the evolving coronavirus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-553720</wp:posOffset>
            </wp:positionV>
            <wp:extent cx="21259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128905"/>
                    </a:xfrm>
                    <a:prstGeom prst="rect">
                      <a:avLst/>
                    </a:prstGeom>
                    <a:noFill/>
                  </pic:spPr>
                </pic:pic>
              </a:graphicData>
            </a:graphic>
          </wp:anchor>
        </w:drawing>
      </w:r>
    </w:p>
    <w:p>
      <w:pPr>
        <w:spacing w:after="0" w:line="169"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(1) elect three directors to the Board and (2) ratify the selection of RSM US LLP to serve as the Company’s independent registered public accounting firm for the fiscal year ending September 30, 2021.</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0266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2665" cy="1968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www.virtualshareholdermeeting.com/PNNT2021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9, 2021</w:t>
      </w:r>
    </w:p>
    <w:p>
      <w:pPr>
        <w:spacing w:after="0" w:line="207"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7"/>
          <w:szCs w:val="17"/>
          <w:color w:val="auto"/>
        </w:rPr>
        <w:t>December 8, 2020</w:t>
      </w:r>
    </w:p>
    <w:p>
      <w:pPr>
        <w:spacing w:after="0" w:line="237" w:lineRule="exact"/>
        <w:rPr>
          <w:sz w:val="20"/>
          <w:szCs w:val="20"/>
          <w:color w:val="auto"/>
        </w:rPr>
      </w:pPr>
    </w:p>
    <w:p>
      <w:pPr>
        <w:ind w:right="660" w:firstLine="58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a Maryland corporation (“PNNT” or the “Company”) that:</w:t>
      </w:r>
    </w:p>
    <w:p>
      <w:pPr>
        <w:spacing w:after="0" w:line="162"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 xml:space="preserve">The 2021 Annual Meeting of Stockholders of the Company (the “Annual Meeting”) will be held virtually on February 9, 2021 at 9:30 a.m., Eastern Time, at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for the following purposes:</w:t>
      </w:r>
    </w:p>
    <w:p>
      <w:pPr>
        <w:spacing w:after="0" w:line="54" w:lineRule="exact"/>
        <w:rPr>
          <w:sz w:val="20"/>
          <w:szCs w:val="20"/>
          <w:color w:val="auto"/>
        </w:rPr>
      </w:pPr>
    </w:p>
    <w:p>
      <w:pPr>
        <w:jc w:val="both"/>
        <w:ind w:left="1180" w:right="220" w:hanging="592"/>
        <w:spacing w:after="0" w:line="266"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three directors to the Board of Directors of the Company, one of whom will serve for a term of two years until the 2023 annual meeting of Stockholders and until his successor is duly elected and qualifies, and two of whom will each serve for a term of three years until the 2024 annual meeting of Stockholders and until his successor is duly elected and qualifies;</w:t>
      </w:r>
    </w:p>
    <w:p>
      <w:pPr>
        <w:spacing w:after="0" w:line="67" w:lineRule="exact"/>
        <w:rPr>
          <w:rFonts w:ascii="Times New Roman" w:cs="Times New Roman" w:eastAsia="Times New Roman" w:hAnsi="Times New Roman"/>
          <w:sz w:val="18"/>
          <w:szCs w:val="18"/>
          <w:color w:val="auto"/>
        </w:rPr>
      </w:pPr>
    </w:p>
    <w:p>
      <w:pPr>
        <w:ind w:left="1180" w:right="540" w:hanging="592"/>
        <w:spacing w:after="0" w:line="282"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2021; and</w:t>
      </w:r>
    </w:p>
    <w:p>
      <w:pPr>
        <w:spacing w:after="0" w:line="53" w:lineRule="exact"/>
        <w:rPr>
          <w:rFonts w:ascii="Times New Roman" w:cs="Times New Roman" w:eastAsia="Times New Roman" w:hAnsi="Times New Roman"/>
          <w:sz w:val="18"/>
          <w:szCs w:val="18"/>
          <w:color w:val="auto"/>
        </w:rPr>
      </w:pPr>
    </w:p>
    <w:p>
      <w:pPr>
        <w:ind w:left="1180" w:right="440" w:hanging="592"/>
        <w:spacing w:after="0" w:line="282"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The Annual Meeting will only be accessible virtually via live webcast over the Internet at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58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1, 2020.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jc w:val="both"/>
        <w:ind w:firstLine="58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71"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8867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91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jc w:val="both"/>
        <w:ind w:left="120" w:right="160"/>
        <w:spacing w:after="0" w:line="259"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3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590 Madison Avenue, 15th Floor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905-1000</w:t>
      </w:r>
    </w:p>
    <w:p>
      <w:pPr>
        <w:spacing w:after="0" w:line="9" w:lineRule="exact"/>
        <w:rPr>
          <w:rFonts w:ascii="Times New Roman" w:cs="Times New Roman" w:eastAsia="Times New Roman" w:hAnsi="Times New Roman"/>
          <w:sz w:val="18"/>
          <w:szCs w:val="18"/>
          <w:b w:val="1"/>
          <w:bCs w:val="1"/>
          <w:color w:val="auto"/>
        </w:rPr>
      </w:pPr>
    </w:p>
    <w:p>
      <w:pPr>
        <w:ind w:left="4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rFonts w:ascii="Times New Roman" w:cs="Times New Roman" w:eastAsia="Times New Roman" w:hAnsi="Times New Roman"/>
          <w:sz w:val="18"/>
          <w:szCs w:val="18"/>
          <w:b w:val="1"/>
          <w:bCs w:val="1"/>
          <w:color w:val="auto"/>
        </w:rPr>
      </w:pPr>
    </w:p>
    <w:p>
      <w:pPr>
        <w:ind w:left="5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2021 Virtual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www.virtualshareholdermeeting.com/PNNT2021</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February 9, 2021</w:t>
      </w:r>
    </w:p>
    <w:p>
      <w:pPr>
        <w:spacing w:after="0" w:line="205"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80"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of proxies by the Board of Directors (the “Board”) of PennantPark Investment Corporation, a Maryland corporation (“PNNT,” the “Company,” “we,” “us” or “our”), for use at the Company’s 2021 Virtual Annual Meeting of Stockholders (the “Meeting”) to be held on Tuesday February 9, 2021, at 9:30 a.m., Eastern Time, at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 xml:space="preserve"> and at any postponements or adjournments thereof. To participate in the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2020 (the “Annual Report”) are being provided to the stockholders thereof (the “Stockholders”) via the Internet on or about December 18, 2020. In addition, a Notice of Annual Meeting and a Notice of Internet Availability of Proxy Materials are being sent to Stockholders of record of the Company as of December 1, 2020 (the “Record Date”).</w:t>
      </w:r>
    </w:p>
    <w:p>
      <w:pPr>
        <w:spacing w:after="0" w:line="188"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80"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Meeting and voting online. Participating in the virtual Meeting does not revoke your proxy unless you also vote online at the Meeting. Any Stockholder entitled to vote at the Meeting may attend the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ind w:right="480" w:firstLine="589"/>
        <w:spacing w:after="0" w:line="282" w:lineRule="auto"/>
        <w:rPr>
          <w:sz w:val="20"/>
          <w:szCs w:val="20"/>
          <w:color w:val="auto"/>
        </w:rPr>
      </w:pPr>
      <w:r>
        <w:rPr>
          <w:rFonts w:ascii="Times New Roman" w:cs="Times New Roman" w:eastAsia="Times New Roman" w:hAnsi="Times New Roman"/>
          <w:sz w:val="18"/>
          <w:szCs w:val="18"/>
          <w:color w:val="auto"/>
        </w:rPr>
        <w:t xml:space="preserve">If you want to submit a question during the Meeting, log into the live webcast at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 type your question into the “Ask a Question” field, and click “Submit.”</w:t>
      </w:r>
    </w:p>
    <w:p>
      <w:pPr>
        <w:spacing w:after="0" w:line="162"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Meeting matters will be answered during the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the Meeting, you will be asked to vote on the following proposals:</w:t>
      </w:r>
    </w:p>
    <w:p>
      <w:pPr>
        <w:spacing w:after="0" w:line="117" w:lineRule="exact"/>
        <w:rPr>
          <w:sz w:val="20"/>
          <w:szCs w:val="20"/>
          <w:color w:val="auto"/>
        </w:rPr>
      </w:pPr>
    </w:p>
    <w:p>
      <w:pPr>
        <w:ind w:left="1180" w:right="120" w:hanging="592"/>
        <w:spacing w:after="0" w:line="261" w:lineRule="auto"/>
        <w:tabs>
          <w:tab w:leader="none" w:pos="12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three directors to the Board of Directors of the Company, one of whom will serve for a term of two years until the 2023 annual meeting of Stockholders and until his successor is duly elected and qualifies, and two of whom will each serve for a term of three years until the 2024 annual meeting of Stockholders and until his successor is duly elected and qualifies (“Proposal 1”);</w:t>
      </w:r>
    </w:p>
    <w:p>
      <w:pPr>
        <w:spacing w:after="0" w:line="71" w:lineRule="exact"/>
        <w:rPr>
          <w:rFonts w:ascii="Times New Roman" w:cs="Times New Roman" w:eastAsia="Times New Roman" w:hAnsi="Times New Roman"/>
          <w:sz w:val="18"/>
          <w:szCs w:val="18"/>
          <w:color w:val="auto"/>
        </w:rPr>
      </w:pPr>
    </w:p>
    <w:p>
      <w:pPr>
        <w:ind w:left="1180" w:right="260" w:hanging="592"/>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2021(“Proposal 2”); and</w:t>
      </w:r>
    </w:p>
    <w:p>
      <w:pPr>
        <w:spacing w:after="0" w:line="53" w:lineRule="exact"/>
        <w:rPr>
          <w:rFonts w:ascii="Times New Roman" w:cs="Times New Roman" w:eastAsia="Times New Roman" w:hAnsi="Times New Roman"/>
          <w:sz w:val="18"/>
          <w:szCs w:val="18"/>
          <w:color w:val="auto"/>
        </w:rPr>
      </w:pPr>
    </w:p>
    <w:p>
      <w:pPr>
        <w:ind w:left="1180" w:hanging="592"/>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or adjournment of the Meeting.</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You may vote your shares at the Meeting only if you were a Stockholder of record of the Company at the close of business on the Record Date. There were 67,045,105 shares of the Company’s common stock (the “Common Stock”) outstanding on the Record Date. Stockholders are entitled to one vote for each share of Common Stock held.</w:t>
      </w:r>
    </w:p>
    <w:p>
      <w:pPr>
        <w:spacing w:after="0" w:line="176"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right="20" w:firstLine="589"/>
        <w:spacing w:after="0" w:line="256" w:lineRule="auto"/>
        <w:rPr>
          <w:sz w:val="20"/>
          <w:szCs w:val="20"/>
          <w:color w:val="auto"/>
        </w:rPr>
      </w:pPr>
      <w:r>
        <w:rPr>
          <w:rFonts w:ascii="Times New Roman" w:cs="Times New Roman" w:eastAsia="Times New Roman" w:hAnsi="Times New Roman"/>
          <w:sz w:val="18"/>
          <w:szCs w:val="18"/>
          <w:color w:val="auto"/>
        </w:rPr>
        <w:t>For the Company to conduct business at the Meeting, a quorum of Stockholders for the Company must be present (virtually) at the Meeting. The presence at the Meeting, in person (virtually) or by proxy, of the holders of a majority of the shares of Common Stock of the Company outstanding on the Record Date will constitute a quorum for the conduct of business at the Meeting. Those Stockholders who have not otherwise submitted a proxy accessing the Meeting via the listen-only conference call will not be deemed to be “present” for purposes of determining a quorum for the Meeting. Abstentions and Broker Non-Votes (as defined below) will be treated as shares present at the Meeting for quorum purposes. If there are not enough votes for a quorum for the Meeting, the chairman of the Meeting will adjourn the Meeting to permit the further solicitation of proxies.</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Meeting, the election of a director to the Board requires the affirmative vote of a majority of the total votes cast for and against such nominee at the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not be permitted to exercise voting discretion with respect to Proposal 1.</w:t>
      </w:r>
    </w:p>
    <w:p>
      <w:pPr>
        <w:spacing w:after="0" w:line="176" w:lineRule="exact"/>
        <w:rPr>
          <w:sz w:val="20"/>
          <w:szCs w:val="20"/>
          <w:color w:val="auto"/>
        </w:rPr>
      </w:pPr>
    </w:p>
    <w:p>
      <w:pPr>
        <w:ind w:right="20" w:firstLine="58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Meeting.</w:t>
      </w:r>
    </w:p>
    <w:p>
      <w:pPr>
        <w:spacing w:after="0" w:line="175" w:lineRule="exact"/>
        <w:rPr>
          <w:sz w:val="20"/>
          <w:szCs w:val="20"/>
          <w:color w:val="auto"/>
        </w:rPr>
      </w:pPr>
    </w:p>
    <w:p>
      <w:pPr>
        <w:ind w:right="300" w:firstLine="864"/>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Meeting, the chairman of the Meeting may adjourn the Meeting to permit further solicitation of proxies.</w:t>
      </w:r>
    </w:p>
    <w:p>
      <w:pPr>
        <w:spacing w:after="0" w:line="162"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ind w:right="200" w:firstLine="864"/>
        <w:spacing w:after="0" w:line="254"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8"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 w:name="page7"/>
    <w:bookmarkEnd w:id="6"/>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right="20" w:firstLine="589"/>
        <w:spacing w:after="0" w:line="312" w:lineRule="auto"/>
        <w:rPr>
          <w:sz w:val="20"/>
          <w:szCs w:val="20"/>
          <w:color w:val="auto"/>
        </w:rPr>
      </w:pPr>
      <w:r>
        <w:rPr>
          <w:rFonts w:ascii="Times New Roman" w:cs="Times New Roman" w:eastAsia="Times New Roman" w:hAnsi="Times New Roman"/>
          <w:sz w:val="17"/>
          <w:szCs w:val="17"/>
          <w:color w:val="auto"/>
        </w:rPr>
        <w:t>If a Stockholder wishes to participate in person (virtually) at the Meeting, but does not wish to give a proxy by Internet, the Stockholder may attend the Meeting in person (virtually) or request and submit a proxy card by following the instructions on the Notice of Internet Availability of Proxy Materials.</w:t>
      </w:r>
    </w:p>
    <w:p>
      <w:pPr>
        <w:spacing w:after="0" w:line="140"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(virtually) or (iii) by a notice, provided in writing and signed by the Stockholder, delivered to the Company’s Secretary on any business day before the date of the Meeting.</w:t>
      </w:r>
    </w:p>
    <w:p>
      <w:pPr>
        <w:spacing w:after="0" w:line="1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ind w:right="160" w:firstLine="58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12"/>
                <w:szCs w:val="12"/>
                <w:b w:val="1"/>
                <w:bCs w:val="1"/>
                <w:color w:val="auto"/>
              </w:rPr>
              <w:t>(1)</w:t>
            </w:r>
          </w:p>
        </w:tc>
        <w:tc>
          <w:tcPr>
            <w:tcW w:w="24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Type of ownership</w:t>
            </w:r>
            <w:r>
              <w:rPr>
                <w:rFonts w:ascii="Times New Roman" w:cs="Times New Roman" w:eastAsia="Times New Roman" w:hAnsi="Times New Roman"/>
                <w:sz w:val="12"/>
                <w:szCs w:val="12"/>
                <w:b w:val="1"/>
                <w:bCs w:val="1"/>
                <w:color w:val="auto"/>
              </w:rPr>
              <w:t>(3)</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6"/>
        </w:trPr>
        <w:tc>
          <w:tcPr>
            <w:tcW w:w="6400" w:type="dxa"/>
            <w:vAlign w:val="bottom"/>
            <w:gridSpan w:val="3"/>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bottom w:val="single" w:sz="8" w:color="CFF0FC"/>
            </w:tcBorders>
          </w:tcPr>
          <w:p>
            <w:pPr>
              <w:spacing w:after="0" w:line="20" w:lineRule="exact"/>
              <w:rPr>
                <w:sz w:val="1"/>
                <w:szCs w:val="1"/>
                <w:color w:val="auto"/>
              </w:rPr>
            </w:pPr>
          </w:p>
        </w:tc>
        <w:tc>
          <w:tcPr>
            <w:tcW w:w="5120" w:type="dxa"/>
            <w:vAlign w:val="bottom"/>
            <w:tcBorders>
              <w:bottom w:val="single" w:sz="8" w:color="CFF0FC"/>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24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24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24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Aviv Efrat</w:t>
            </w:r>
          </w:p>
        </w:tc>
        <w:tc>
          <w:tcPr>
            <w:tcW w:w="24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Record/Beneficial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162,203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 as a group (6 persons)</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938,423 shares held by the Adviser.</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2880" w:type="dxa"/>
            <w:vAlign w:val="bottom"/>
            <w:vMerge w:val="restart"/>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3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80"/>
        </w:trPr>
        <w:tc>
          <w:tcPr>
            <w:tcW w:w="16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32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2"/>
                <w:szCs w:val="12"/>
                <w:b w:val="1"/>
                <w:bCs w:val="1"/>
                <w:color w:val="auto"/>
              </w:rPr>
              <w:t>(1)</w:t>
            </w:r>
          </w:p>
        </w:tc>
        <w:tc>
          <w:tcPr>
            <w:tcW w:w="3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6"/>
        </w:trPr>
        <w:tc>
          <w:tcPr>
            <w:tcW w:w="44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200" w:type="dxa"/>
            <w:vAlign w:val="bottom"/>
          </w:tcPr>
          <w:p>
            <w:pPr>
              <w:spacing w:after="0"/>
              <w:rPr>
                <w:sz w:val="19"/>
                <w:szCs w:val="19"/>
                <w:color w:val="auto"/>
              </w:rPr>
            </w:pPr>
          </w:p>
        </w:tc>
        <w:tc>
          <w:tcPr>
            <w:tcW w:w="350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$50,001 - $100,000</w:t>
            </w:r>
          </w:p>
        </w:tc>
        <w:tc>
          <w:tcPr>
            <w:tcW w:w="200" w:type="dxa"/>
            <w:vAlign w:val="bottom"/>
            <w:shd w:val="clear" w:color="auto" w:fill="CFF0FC"/>
          </w:tcPr>
          <w:p>
            <w:pPr>
              <w:spacing w:after="0"/>
              <w:rPr>
                <w:sz w:val="19"/>
                <w:szCs w:val="19"/>
                <w:color w:val="auto"/>
              </w:rPr>
            </w:pPr>
          </w:p>
        </w:tc>
        <w:tc>
          <w:tcPr>
            <w:tcW w:w="3500" w:type="dxa"/>
            <w:vAlign w:val="bottom"/>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rPr>
              <w:t>$50,001 - $100,000</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3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Over $1,000,000</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c>
          <w:tcPr>
            <w:tcW w:w="200" w:type="dxa"/>
            <w:vAlign w:val="bottom"/>
            <w:shd w:val="clear" w:color="auto" w:fill="CFF0FC"/>
          </w:tcPr>
          <w:p>
            <w:pPr>
              <w:spacing w:after="0"/>
              <w:rPr>
                <w:sz w:val="19"/>
                <w:szCs w:val="19"/>
                <w:color w:val="auto"/>
              </w:rPr>
            </w:pPr>
          </w:p>
        </w:tc>
        <w:tc>
          <w:tcPr>
            <w:tcW w:w="3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3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8"/>
              </w:rPr>
              <w:t>Over $1,000,000</w:t>
            </w:r>
          </w:p>
        </w:tc>
        <w:tc>
          <w:tcPr>
            <w:tcW w:w="3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right="780" w:hanging="572"/>
        <w:spacing w:after="0" w:line="261"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40" w:firstLine="589"/>
        <w:spacing w:after="0" w:line="276" w:lineRule="auto"/>
        <w:rPr>
          <w:sz w:val="20"/>
          <w:szCs w:val="20"/>
          <w:color w:val="auto"/>
        </w:rPr>
      </w:pPr>
      <w:r>
        <w:rPr>
          <w:rFonts w:ascii="Times New Roman" w:cs="Times New Roman" w:eastAsia="Times New Roman" w:hAnsi="Times New Roman"/>
          <w:sz w:val="17"/>
          <w:szCs w:val="17"/>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w:t>
      </w:r>
    </w:p>
    <w:p>
      <w:pPr>
        <w:spacing w:after="0" w:line="1" w:lineRule="exact"/>
        <w:rPr>
          <w:sz w:val="20"/>
          <w:szCs w:val="20"/>
          <w:color w:val="auto"/>
        </w:rPr>
      </w:pPr>
    </w:p>
    <w:p>
      <w:pPr>
        <w:ind w:right="280" w:firstLine="8"/>
        <w:spacing w:after="0" w:line="260" w:lineRule="auto"/>
        <w:tabs>
          <w:tab w:leader="none" w:pos="1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2023, 2024 and 2022, respectively. Each director will hold office for the term to which he is elected and until a successor is duly elected and qualifies.</w:t>
      </w:r>
    </w:p>
    <w:p>
      <w:pPr>
        <w:spacing w:after="0" w:line="18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any nominees will be unable or unwilling to serve.</w:t>
      </w:r>
    </w:p>
    <w:p>
      <w:pPr>
        <w:spacing w:after="0" w:line="176" w:lineRule="exact"/>
        <w:rPr>
          <w:sz w:val="20"/>
          <w:szCs w:val="20"/>
          <w:color w:val="auto"/>
        </w:rPr>
      </w:pPr>
    </w:p>
    <w:p>
      <w:pPr>
        <w:ind w:right="380" w:firstLine="58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right="300" w:firstLine="58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392"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Mr. Marshall Brozost has been nominated for election as a Class I director of PNNT for a two-year term expiring at the annual meeting of stockholders in 2023. Mr. Brozost was elected most recently as a Class I director on February 7, 2017 and stood for reelection at the 2020 Annual Meeting of the Stockholders of PNNT (the “2020 Annual Meeting”) on February 4, 2020, as adjourned and reconvened on February 25, 2020 and March 17, 2020. At the 2020 Annual Meeting, the proposal to elect Mr. Brozost did not receive a sufficient number of votes as required for his reelection. In accordance with Maryland law and the Bylaws of the Company, Mr. Brozost continues to serve as a director until his successor is duly elected and qualified. Mr. Brozost is not being proposed for election pursuant to any agreement or understanding between Mr. Brozost and the Company.</w:t>
      </w:r>
    </w:p>
    <w:p>
      <w:pPr>
        <w:spacing w:after="0" w:line="187" w:lineRule="exact"/>
        <w:rPr>
          <w:sz w:val="20"/>
          <w:szCs w:val="20"/>
          <w:color w:val="auto"/>
        </w:rPr>
      </w:pPr>
    </w:p>
    <w:p>
      <w:pPr>
        <w:jc w:val="both"/>
        <w:ind w:right="80" w:firstLine="589"/>
        <w:spacing w:after="0" w:line="266" w:lineRule="auto"/>
        <w:rPr>
          <w:sz w:val="20"/>
          <w:szCs w:val="20"/>
          <w:color w:val="auto"/>
        </w:rPr>
      </w:pPr>
      <w:r>
        <w:rPr>
          <w:rFonts w:ascii="Times New Roman" w:cs="Times New Roman" w:eastAsia="Times New Roman" w:hAnsi="Times New Roman"/>
          <w:sz w:val="18"/>
          <w:szCs w:val="18"/>
          <w:color w:val="auto"/>
        </w:rPr>
        <w:t>Each of Mr. Adam Bernstein and Mr. Jeffrey Flug has been nominated for election as a Class II director of PNNT for a three-year term expiring at the annual meeting of stockholders in 2024. Neither Mr. Bernstein nor Mr. Flug is being proposed for election pursuant to any agreement or understanding between either Mr. Bernstein or Mr. Flug and the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2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3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of Time</w:t>
            </w:r>
          </w:p>
        </w:tc>
        <w:tc>
          <w:tcPr>
            <w:tcW w:w="3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During, at least,</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with Company</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Past 5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ectPr>
          <w:pgSz w:w="11900" w:h="16838" w:orient="portrait"/>
          <w:cols w:equalWidth="0" w:num="1">
            <w:col w:w="11240"/>
          </w:cols>
          <w:pgMar w:left="320" w:top="548" w:right="339" w:bottom="1440" w:gutter="0" w:footer="0" w:header="0"/>
        </w:sect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3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Adam K. Bernstein (57)</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II</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of The Bernstein Companies, a</w:t>
            </w:r>
          </w:p>
        </w:tc>
      </w:tr>
      <w:tr>
        <w:trPr>
          <w:trHeight w:val="203"/>
        </w:trPr>
        <w:tc>
          <w:tcPr>
            <w:tcW w:w="172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Nominee</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Washington, D.C.-based real estate investment</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development firm, since 1995 and President</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if elected,</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Chief Executive Officer of Consortium</w:t>
            </w:r>
          </w:p>
        </w:tc>
      </w:tr>
      <w:tr>
        <w:trPr>
          <w:trHeight w:val="202"/>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2024</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Atlantic Realty Trust, Inc., a private real estate</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trust operating in the Mid-Atlantic</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7"/>
              </w:rPr>
              <w:t>region, from 2006. Also, Mr. Bernstein has served</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on the Board of Overseers of the School of Arts</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Sciences at the University of Pennsylvania</w:t>
            </w:r>
          </w:p>
        </w:tc>
      </w:tr>
      <w:tr>
        <w:trPr>
          <w:trHeight w:val="222"/>
        </w:trPr>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since 2012.</w:t>
            </w:r>
          </w:p>
        </w:tc>
      </w:tr>
      <w:tr>
        <w:trPr>
          <w:trHeight w:val="33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Marshall Brozost (53)</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Partner at Orrick, Herrington &amp; Sutcliffe LLP,</w:t>
            </w:r>
          </w:p>
        </w:tc>
      </w:tr>
      <w:tr>
        <w:trPr>
          <w:trHeight w:val="203"/>
        </w:trPr>
        <w:tc>
          <w:tcPr>
            <w:tcW w:w="172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Nominee</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where he practices in the real estate and private</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 groups, since July 2016. Prior to Orrick,</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if elected,</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Herrington &amp; Sutcliffe LLP Mr. Brozost</w:t>
            </w:r>
          </w:p>
        </w:tc>
      </w:tr>
      <w:tr>
        <w:trPr>
          <w:trHeight w:val="202"/>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2023</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practiced law at Schulte Roth &amp; Zabel from</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May 2012 to July 2016 and at Dewey &amp;</w:t>
            </w:r>
          </w:p>
        </w:tc>
      </w:tr>
      <w:tr>
        <w:trPr>
          <w:trHeight w:val="222"/>
        </w:trPr>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LeBoeuf LLP from 2005 to 2012.</w:t>
            </w:r>
          </w:p>
        </w:tc>
      </w:tr>
      <w:tr>
        <w:trPr>
          <w:trHeight w:val="33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Jeffrey Flug (58)</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II</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Mr. Flug was President of Union Square</w:t>
            </w:r>
          </w:p>
        </w:tc>
      </w:tr>
      <w:tr>
        <w:trPr>
          <w:trHeight w:val="203"/>
        </w:trPr>
        <w:tc>
          <w:tcPr>
            <w:tcW w:w="172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Nominee</w:t>
            </w: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Hospitality Group, an exclusive chain of</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restaurants, from 2009 to June 2015. Mr. Flug</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if eleted,</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served as Chief Executive Officer and Executive</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2024</w:t>
            </w: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of Millennium Promise Alliance, Inc., a</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non-profit organization whose mission is to</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eradicate extreme global poverty, from 2006 to</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2008. From 2000 to 2006, Mr. Flug was a</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Managing Director and Head of North American</w:t>
            </w:r>
          </w:p>
        </w:tc>
      </w:tr>
      <w:tr>
        <w:trPr>
          <w:trHeight w:val="203"/>
        </w:trPr>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Institutional Sales at JP Morgan’s Investment</w:t>
            </w:r>
          </w:p>
        </w:tc>
      </w:tr>
      <w:tr>
        <w:trPr>
          <w:trHeight w:val="222"/>
        </w:trPr>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Bank.</w:t>
            </w:r>
          </w:p>
        </w:tc>
      </w:tr>
      <w:tr>
        <w:trPr>
          <w:trHeight w:val="569"/>
        </w:trPr>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Director of Shake</w:t>
      </w:r>
    </w:p>
    <w:p>
      <w:pPr>
        <w:spacing w:after="0" w:line="39" w:lineRule="exact"/>
        <w:rPr>
          <w:sz w:val="20"/>
          <w:szCs w:val="20"/>
          <w:color w:val="auto"/>
        </w:rPr>
      </w:pPr>
    </w:p>
    <w:p>
      <w:pPr>
        <w:ind w:left="820" w:right="100"/>
        <w:spacing w:after="0" w:line="250" w:lineRule="auto"/>
        <w:rPr>
          <w:sz w:val="20"/>
          <w:szCs w:val="20"/>
          <w:color w:val="auto"/>
        </w:rPr>
      </w:pPr>
      <w:r>
        <w:rPr>
          <w:rFonts w:ascii="Times New Roman" w:cs="Times New Roman" w:eastAsia="Times New Roman" w:hAnsi="Times New Roman"/>
          <w:sz w:val="17"/>
          <w:szCs w:val="17"/>
          <w:color w:val="auto"/>
        </w:rPr>
        <w:t>Shack Inc., since September 2014; Sears Hometown and Outlet Stores, Inc., from October 2012 to September 2015.</w:t>
      </w:r>
    </w:p>
    <w:p>
      <w:pPr>
        <w:sectPr>
          <w:pgSz w:w="11900" w:h="16838" w:orient="portrait"/>
          <w:cols w:equalWidth="0" w:num="2">
            <w:col w:w="8220" w:space="520"/>
            <w:col w:w="2500"/>
          </w:cols>
          <w:pgMar w:left="320" w:top="548"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2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3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of Time</w:t>
            </w:r>
          </w:p>
        </w:tc>
        <w:tc>
          <w:tcPr>
            <w:tcW w:w="3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During, at least,</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with Company</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Past 5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320" w:top="332"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Samuel L. Katz (55)</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PNNT - Class I</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Partner of TZP Group LLC, a private</w:t>
            </w: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89"/>
              </w:rPr>
              <w:t>Two</w:t>
            </w: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equity fund, since 2007. Before joining TZP</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February 2007;</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Group, Mr. Katz was Chief Executive Officer of</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expires 2023</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MacAndrews &amp; Forbes Acquisition Holdings,</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 from 2006 to 2007. Prior to that position,</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Mr. Katz was Chairman and Chief Executive</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Officer of the Cendant Travel Distribution</w:t>
            </w:r>
          </w:p>
        </w:tc>
        <w:tc>
          <w:tcPr>
            <w:tcW w:w="560" w:type="dxa"/>
            <w:vAlign w:val="bottom"/>
          </w:tcPr>
          <w:p>
            <w:pPr>
              <w:spacing w:after="0"/>
              <w:rPr>
                <w:sz w:val="17"/>
                <w:szCs w:val="17"/>
                <w:color w:val="auto"/>
              </w:rPr>
            </w:pPr>
          </w:p>
        </w:tc>
      </w:tr>
      <w:tr>
        <w:trPr>
          <w:trHeight w:val="222"/>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Services Division from 2001 to 2005.</w:t>
            </w:r>
          </w:p>
        </w:tc>
        <w:tc>
          <w:tcPr>
            <w:tcW w:w="560" w:type="dxa"/>
            <w:vAlign w:val="bottom"/>
          </w:tcPr>
          <w:p>
            <w:pPr>
              <w:spacing w:after="0"/>
              <w:rPr>
                <w:sz w:val="19"/>
                <w:szCs w:val="19"/>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Interested Director</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Arthur H. Penn (57)</w:t>
            </w:r>
            <w:r>
              <w:rPr>
                <w:rFonts w:ascii="Times New Roman" w:cs="Times New Roman" w:eastAsia="Times New Roman" w:hAnsi="Times New Roman"/>
                <w:sz w:val="14"/>
                <w:szCs w:val="14"/>
                <w:color w:val="auto"/>
              </w:rPr>
              <w:t>(3)</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PNNT - Class III</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89"/>
              </w:rPr>
              <w:t>Two</w:t>
            </w: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of the Company from its inception in 2007. Mr.</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February 2007;</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Penn also is the Founder and Managing Member</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 and</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expires 2022</w:t>
            </w: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of the Adviser. Before founding the Company,</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Chairman of</w:t>
            </w: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Mr. Penn was the Co-Founder of Apollo</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w:t>
            </w: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Investment Management, where he was a</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Board of</w:t>
            </w: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Partner from 2004 to 2006. He also</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Directors</w:t>
            </w: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served as Chief Operating Officer of Apollo</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Investment Corporation from inception in 2004</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 2006 and served as President and Chief</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Officer in 2006. He formerly was a</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Partner of Apollo Value Fund L.P.</w:t>
            </w:r>
          </w:p>
        </w:tc>
        <w:tc>
          <w:tcPr>
            <w:tcW w:w="56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(formerly Apollo Distressed Investment Fund,</w:t>
            </w:r>
          </w:p>
        </w:tc>
        <w:tc>
          <w:tcPr>
            <w:tcW w:w="560" w:type="dxa"/>
            <w:vAlign w:val="bottom"/>
          </w:tcPr>
          <w:p>
            <w:pPr>
              <w:spacing w:after="0"/>
              <w:rPr>
                <w:sz w:val="17"/>
                <w:szCs w:val="17"/>
                <w:color w:val="auto"/>
              </w:rPr>
            </w:pPr>
          </w:p>
        </w:tc>
      </w:tr>
      <w:tr>
        <w:trPr>
          <w:trHeight w:val="222"/>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L.P.) from 2003 to 2006.</w:t>
            </w:r>
          </w:p>
        </w:tc>
        <w:tc>
          <w:tcPr>
            <w:tcW w:w="560" w:type="dxa"/>
            <w:vAlign w:val="bottom"/>
          </w:tcPr>
          <w:p>
            <w:pPr>
              <w:spacing w:after="0"/>
              <w:rPr>
                <w:sz w:val="19"/>
                <w:szCs w:val="19"/>
                <w:color w:val="auto"/>
              </w:rPr>
            </w:pPr>
          </w:p>
        </w:tc>
      </w:tr>
    </w:tbl>
    <w:p>
      <w:pPr>
        <w:spacing w:after="0" w:line="227"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each officer and director is c/o PennantPark, 590 Madison Avenue,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New York, New York 10022.</w:t>
      </w:r>
    </w:p>
    <w:p>
      <w:pPr>
        <w:spacing w:after="0" w:line="38"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2">
            <w:col w:w="9540" w:space="680"/>
            <w:col w:w="1020"/>
          </w:cols>
          <w:pgMar w:left="320" w:top="332"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right="80" w:firstLine="589"/>
        <w:spacing w:after="0" w:line="253" w:lineRule="auto"/>
        <w:rPr>
          <w:sz w:val="20"/>
          <w:szCs w:val="20"/>
          <w:color w:val="auto"/>
        </w:rPr>
      </w:pPr>
      <w:r>
        <w:rPr>
          <w:rFonts w:ascii="Times New Roman" w:cs="Times New Roman" w:eastAsia="Times New Roman" w:hAnsi="Times New Roman"/>
          <w:sz w:val="18"/>
          <w:szCs w:val="18"/>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0" w:lineRule="exact"/>
        <w:rPr>
          <w:sz w:val="20"/>
          <w:szCs w:val="20"/>
          <w:color w:val="auto"/>
        </w:rPr>
      </w:pPr>
    </w:p>
    <w:p>
      <w:pPr>
        <w:ind w:right="100" w:firstLine="58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 w:name="page13"/>
    <w:bookmarkEnd w:id="12"/>
    <w:p>
      <w:pPr>
        <w:ind w:right="240" w:firstLine="589"/>
        <w:spacing w:after="0" w:line="270" w:lineRule="auto"/>
        <w:rPr>
          <w:sz w:val="20"/>
          <w:szCs w:val="20"/>
          <w:color w:val="auto"/>
        </w:rPr>
      </w:pPr>
      <w:r>
        <w:rPr>
          <w:rFonts w:ascii="Times New Roman" w:cs="Times New Roman" w:eastAsia="Times New Roman" w:hAnsi="Times New Roman"/>
          <w:sz w:val="17"/>
          <w:szCs w:val="17"/>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6"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ind w:right="480" w:firstLine="58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ind w:right="120" w:firstLine="589"/>
        <w:spacing w:after="0" w:line="256"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2020, the Board held five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92"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2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8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22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80" w:type="dxa"/>
            <w:vAlign w:val="bottom"/>
          </w:tcPr>
          <w:p>
            <w:pPr>
              <w:spacing w:after="0"/>
              <w:rPr>
                <w:sz w:val="15"/>
                <w:szCs w:val="15"/>
                <w:color w:val="auto"/>
              </w:rPr>
            </w:pP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Aviv Efrat (56)</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 and</w:t>
            </w:r>
          </w:p>
        </w:tc>
        <w:tc>
          <w:tcPr>
            <w:tcW w:w="180" w:type="dxa"/>
            <w:vAlign w:val="bottom"/>
          </w:tcPr>
          <w:p>
            <w:pPr>
              <w:spacing w:after="0"/>
              <w:rPr>
                <w:sz w:val="16"/>
                <w:szCs w:val="16"/>
                <w:color w:val="auto"/>
              </w:rPr>
            </w:pPr>
          </w:p>
        </w:tc>
        <w:tc>
          <w:tcPr>
            <w:tcW w:w="6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PFLT from their inception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2007 and 2010, respectively. Managing Director of the Administrator from inception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2007. Mr. 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Certified Public Accountants.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24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4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40" w:type="dxa"/>
            <w:vAlign w:val="bottom"/>
            <w:gridSpan w:val="2"/>
            <w:vMerge w:val="continue"/>
          </w:tcPr>
          <w:p>
            <w:pPr>
              <w:spacing w:after="0"/>
              <w:rPr>
                <w:sz w:val="15"/>
                <w:szCs w:val="15"/>
                <w:color w:val="auto"/>
              </w:rPr>
            </w:pPr>
          </w:p>
        </w:tc>
        <w:tc>
          <w:tcPr>
            <w:tcW w:w="224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Guy F. Talarico (65)</w:t>
            </w:r>
          </w:p>
        </w:tc>
        <w:tc>
          <w:tcPr>
            <w:tcW w:w="100" w:type="dxa"/>
            <w:vAlign w:val="bottom"/>
          </w:tcPr>
          <w:p>
            <w:pPr>
              <w:spacing w:after="0"/>
              <w:rPr>
                <w:sz w:val="16"/>
                <w:szCs w:val="16"/>
                <w:color w:val="auto"/>
              </w:rPr>
            </w:pPr>
          </w:p>
        </w:tc>
        <w:tc>
          <w:tcPr>
            <w:tcW w:w="224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advisers, private funds and investment companies from 2004 when he founded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Joint Code of Ethics</w:t>
      </w:r>
    </w:p>
    <w:p>
      <w:pPr>
        <w:spacing w:after="0" w:line="229"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ind w:right="20" w:firstLine="589"/>
        <w:spacing w:after="0" w:line="274" w:lineRule="auto"/>
        <w:rPr>
          <w:sz w:val="20"/>
          <w:szCs w:val="20"/>
          <w:color w:val="auto"/>
        </w:rPr>
      </w:pPr>
      <w:r>
        <w:rPr>
          <w:rFonts w:ascii="Times New Roman" w:cs="Times New Roman" w:eastAsia="Times New Roman" w:hAnsi="Times New Roman"/>
          <w:sz w:val="17"/>
          <w:szCs w:val="17"/>
          <w:color w:val="auto"/>
        </w:rPr>
        <w:t>As required by the 1940 Act, the Company, together with PFLT,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the Annual Report, filed with the SEC on November 19, 2020. You may access the Joint Code of Ethics via the Internet site of the SEC (http://www.sec.gov) or our website (http://www.pennantpark.com). The Company intends to disclose any material amendments to or waivers of required provisions of its Code of Conduct or its Joint Code of Ethics on Form 8-K.</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ind w:right="160" w:firstLine="58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2020. No compensation is paid directly by the Company to any interested director or executive officer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9"/>
        </w:trPr>
        <w:tc>
          <w:tcPr>
            <w:tcW w:w="34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60"/>
        </w:trPr>
        <w:tc>
          <w:tcPr>
            <w:tcW w:w="346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from the Company</w:t>
            </w:r>
          </w:p>
        </w:tc>
        <w:tc>
          <w:tcPr>
            <w:tcW w:w="220" w:type="dxa"/>
            <w:vAlign w:val="bottom"/>
          </w:tcPr>
          <w:p>
            <w:pPr>
              <w:spacing w:after="0"/>
              <w:rPr>
                <w:sz w:val="13"/>
                <w:szCs w:val="13"/>
                <w:color w:val="auto"/>
              </w:rPr>
            </w:pPr>
          </w:p>
        </w:tc>
        <w:tc>
          <w:tcPr>
            <w:tcW w:w="15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7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2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3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Aviv Efrat</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80%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February 2020.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2020, the Adviser earned a base management fee of $18.6 million and an incentive fee of $2.7 million (after a waiver of $1.9 million) million from the Company.</w:t>
      </w:r>
    </w:p>
    <w:p>
      <w:pPr>
        <w:spacing w:after="0" w:line="189"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(the “Administration Agreement”) was re-approved by the Board, including a majority of the Independent Directors, in February 2020.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2020, the Adviser and the Administrator, collectively, were reimbursed $1.4 million from the Company for the services described above.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700" w:firstLine="58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62"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ind w:right="120" w:firstLine="58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2021.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131445</wp:posOffset>
            </wp:positionV>
            <wp:extent cx="4903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721,011</w:t>
            </w: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3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100" w:type="dxa"/>
            <w:vAlign w:val="bottom"/>
            <w:gridSpan w:val="2"/>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10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0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755,219</w:t>
            </w: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3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454,971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6" w:lineRule="exact"/>
        <w:rPr>
          <w:sz w:val="20"/>
          <w:szCs w:val="20"/>
          <w:color w:val="auto"/>
        </w:rPr>
      </w:pPr>
    </w:p>
    <w:p>
      <w:pPr>
        <w:ind w:right="22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right="40" w:firstLine="5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ind w:right="8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2020 were approved by the Audit Committee in accordance with such policy.</w:t>
      </w:r>
    </w:p>
    <w:p>
      <w:pPr>
        <w:spacing w:after="0" w:line="183"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ind w:left="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15"/>
          <w:szCs w:val="15"/>
          <w:b w:val="1"/>
          <w:bCs w:val="1"/>
          <w:i w:val="1"/>
          <w:iCs w:val="1"/>
          <w:color w:val="auto"/>
        </w:rPr>
        <w:t>(1)</w:t>
      </w:r>
    </w:p>
    <w:p>
      <w:pPr>
        <w:spacing w:after="0" w:line="121"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2020.</w:t>
      </w:r>
    </w:p>
    <w:p>
      <w:pPr>
        <w:spacing w:after="0" w:line="162" w:lineRule="exact"/>
        <w:rPr>
          <w:sz w:val="20"/>
          <w:szCs w:val="20"/>
          <w:color w:val="auto"/>
        </w:rPr>
      </w:pPr>
    </w:p>
    <w:p>
      <w:pPr>
        <w:ind w:right="20" w:firstLine="589"/>
        <w:spacing w:after="0" w:line="274"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73"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ind w:right="300" w:firstLine="58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80" w:right="80" w:hanging="572"/>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Meeting or that may properly come before the Meeting, apart from the consideration of an adjournment or postponement. If any other matter properly comes before the Meeting, however, the persons named in the proxies will vote on such matter in their discretion.</w:t>
      </w:r>
    </w:p>
    <w:p>
      <w:pPr>
        <w:spacing w:after="0" w:line="176"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ind w:right="100" w:firstLine="589"/>
        <w:spacing w:after="0" w:line="289" w:lineRule="auto"/>
        <w:rPr>
          <w:sz w:val="20"/>
          <w:szCs w:val="20"/>
          <w:color w:val="auto"/>
        </w:rPr>
      </w:pPr>
      <w:r>
        <w:rPr>
          <w:rFonts w:ascii="Times New Roman" w:cs="Times New Roman" w:eastAsia="Times New Roman" w:hAnsi="Times New Roman"/>
          <w:sz w:val="17"/>
          <w:szCs w:val="17"/>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New York, New York 10022. Copies of such reports are also posted via EDGAR on the SEC’s website (http://www.sec.gov).</w:t>
      </w:r>
    </w:p>
    <w:p>
      <w:pPr>
        <w:spacing w:after="0" w:line="158"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 xml:space="preserve">Whether or not you expect to participate in the virtual Meeting, please follow the instructions on the Notice of Internet Availability of Proxy Materials to authorize your proxy via the Internet or telephone, or request, sign, date and return a proxy card so that you may be represented at the Meeting. The Meeting will be a completely virtual meeting of Stockholders and will be conducted exclusively by webcast. To participate in the Meeting, visit </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 and enter the 16-digit Control Number included in your Notice of Internet Availability of Proxy Materials. Online check-in will begin at 9:15 a.m., Eastern Time. Please allow time for online check-in procedures. For questions regarding the virtual Meeting please call the support number that will be posted on the virtual Meeting platform log-in page at</w:t>
      </w:r>
      <w:r>
        <w:rPr>
          <w:rFonts w:ascii="Times New Roman" w:cs="Times New Roman" w:eastAsia="Times New Roman" w:hAnsi="Times New Roman"/>
          <w:sz w:val="18"/>
          <w:szCs w:val="18"/>
          <w:u w:val="single" w:color="auto"/>
          <w:color w:val="auto"/>
        </w:rPr>
        <w:t>www.virtualshareholdermeeting.com/PNNT2021</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2022 Annual Meeting of Stockholders in February 2022,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2022 Annual Meeting of Stockholders must be received by the Company between July 11, 2021 and August 10, 2021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complaints involving the CCO, may submit complaints directly to the Audit Committee’s Co-Chairs. Complaints may be submitted on an anonymous basis.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0" w:lineRule="exact"/>
        <w:rPr>
          <w:sz w:val="20"/>
          <w:szCs w:val="20"/>
          <w:color w:val="auto"/>
        </w:rPr>
      </w:pPr>
    </w:p>
    <w:p>
      <w:pPr>
        <w:spacing w:after="0" w:line="223" w:lineRule="exact"/>
        <w:rPr>
          <w:sz w:val="20"/>
          <w:szCs w:val="20"/>
          <w:color w:val="auto"/>
        </w:rPr>
      </w:pPr>
    </w:p>
    <w:p>
      <w:pPr>
        <w:ind w:right="40" w:firstLine="864"/>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94130" cy="394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941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6866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686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6849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684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6892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6901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690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6995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363220</wp:posOffset>
            </wp:positionV>
            <wp:extent cx="4954905" cy="6497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954905" cy="6497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upperLetter"/>
      <w:start w:val="35"/>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2020-12-08T15:07:36Z</dcterms:created>
  <dcterms:modified xsi:type="dcterms:W3CDTF">2020-12-08T15:07:36Z</dcterms:modified>
</cp:coreProperties>
</file>