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March 2, 2021</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Investment Corporation</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814-00736</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20-8250744</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8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0" w:lineRule="exact"/>
        <w:rPr>
          <w:sz w:val="24"/>
          <w:szCs w:val="24"/>
          <w:color w:val="auto"/>
        </w:rPr>
      </w:pPr>
    </w:p>
    <w:p>
      <w:pPr>
        <w:spacing w:after="0" w:line="22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bl>
    <w:p>
      <w:pPr>
        <w:ind w:right="2140" w:firstLine="291"/>
        <w:spacing w:after="0" w:line="505" w:lineRule="auto"/>
        <w:tabs>
          <w:tab w:leader="none" w:pos="478"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760" w:type="dxa"/>
        <w:tblCellMar>
          <w:top w:w="0" w:type="dxa"/>
          <w:left w:w="0" w:type="dxa"/>
          <w:bottom w:w="0" w:type="dxa"/>
          <w:right w:w="0" w:type="dxa"/>
        </w:tblCellMar>
      </w:tblPr>
      <w:tr>
        <w:trPr>
          <w:trHeight w:val="220"/>
        </w:trPr>
        <w:tc>
          <w:tcPr>
            <w:tcW w:w="3700" w:type="dxa"/>
            <w:vAlign w:val="bottom"/>
          </w:tcPr>
          <w:p>
            <w:pPr>
              <w:jc w:val="center"/>
              <w:ind w:right="490"/>
              <w:spacing w:after="0"/>
              <w:rPr>
                <w:sz w:val="20"/>
                <w:szCs w:val="20"/>
                <w:color w:val="auto"/>
              </w:rPr>
            </w:pPr>
            <w:r>
              <w:rPr>
                <w:rFonts w:ascii="Arial" w:cs="Arial" w:eastAsia="Arial" w:hAnsi="Arial"/>
                <w:sz w:val="18"/>
                <w:szCs w:val="18"/>
                <w:b w:val="1"/>
                <w:bCs w:val="1"/>
                <w:color w:val="auto"/>
                <w:w w:val="89"/>
              </w:rPr>
              <w:t>Title of Each Class</w:t>
            </w:r>
          </w:p>
        </w:tc>
        <w:tc>
          <w:tcPr>
            <w:tcW w:w="2420" w:type="dxa"/>
            <w:vAlign w:val="bottom"/>
          </w:tcPr>
          <w:p>
            <w:pPr>
              <w:jc w:val="center"/>
              <w:ind w:left="50"/>
              <w:spacing w:after="0"/>
              <w:rPr>
                <w:sz w:val="20"/>
                <w:szCs w:val="20"/>
                <w:color w:val="auto"/>
              </w:rPr>
            </w:pPr>
            <w:r>
              <w:rPr>
                <w:rFonts w:ascii="Arial" w:cs="Arial" w:eastAsia="Arial" w:hAnsi="Arial"/>
                <w:sz w:val="18"/>
                <w:szCs w:val="18"/>
                <w:b w:val="1"/>
                <w:bCs w:val="1"/>
                <w:color w:val="auto"/>
                <w:w w:val="91"/>
              </w:rPr>
              <w:t>Trading Symbol(s)</w:t>
            </w:r>
          </w:p>
        </w:tc>
        <w:tc>
          <w:tcPr>
            <w:tcW w:w="3940" w:type="dxa"/>
            <w:vAlign w:val="bottom"/>
          </w:tcPr>
          <w:p>
            <w:pPr>
              <w:jc w:val="center"/>
              <w:ind w:left="330"/>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16"/>
        </w:trPr>
        <w:tc>
          <w:tcPr>
            <w:tcW w:w="3700" w:type="dxa"/>
            <w:vAlign w:val="bottom"/>
          </w:tcPr>
          <w:p>
            <w:pPr>
              <w:jc w:val="center"/>
              <w:ind w:right="490"/>
              <w:spacing w:after="0"/>
              <w:rPr>
                <w:sz w:val="20"/>
                <w:szCs w:val="20"/>
                <w:color w:val="auto"/>
              </w:rPr>
            </w:pPr>
            <w:r>
              <w:rPr>
                <w:rFonts w:ascii="Arial" w:cs="Arial" w:eastAsia="Arial" w:hAnsi="Arial"/>
                <w:sz w:val="18"/>
                <w:szCs w:val="18"/>
                <w:color w:val="auto"/>
                <w:w w:val="89"/>
              </w:rPr>
              <w:t>Common Stock, par value $0.001 per share</w:t>
            </w:r>
          </w:p>
        </w:tc>
        <w:tc>
          <w:tcPr>
            <w:tcW w:w="2420" w:type="dxa"/>
            <w:vAlign w:val="bottom"/>
          </w:tcPr>
          <w:p>
            <w:pPr>
              <w:jc w:val="center"/>
              <w:ind w:left="70"/>
              <w:spacing w:after="0"/>
              <w:rPr>
                <w:sz w:val="20"/>
                <w:szCs w:val="20"/>
                <w:color w:val="auto"/>
              </w:rPr>
            </w:pPr>
            <w:r>
              <w:rPr>
                <w:rFonts w:ascii="Arial" w:cs="Arial" w:eastAsia="Arial" w:hAnsi="Arial"/>
                <w:sz w:val="18"/>
                <w:szCs w:val="18"/>
                <w:color w:val="auto"/>
                <w:w w:val="93"/>
              </w:rPr>
              <w:t>PNNT</w:t>
            </w:r>
          </w:p>
        </w:tc>
        <w:tc>
          <w:tcPr>
            <w:tcW w:w="3940" w:type="dxa"/>
            <w:vAlign w:val="bottom"/>
          </w:tcPr>
          <w:p>
            <w:pPr>
              <w:jc w:val="center"/>
              <w:ind w:left="310"/>
              <w:spacing w:after="0"/>
              <w:rPr>
                <w:sz w:val="20"/>
                <w:szCs w:val="20"/>
                <w:color w:val="auto"/>
              </w:rPr>
            </w:pPr>
            <w:r>
              <w:rPr>
                <w:rFonts w:ascii="Arial" w:cs="Arial" w:eastAsia="Arial" w:hAnsi="Arial"/>
                <w:sz w:val="18"/>
                <w:szCs w:val="18"/>
                <w:color w:val="auto"/>
                <w:w w:val="91"/>
              </w:rPr>
              <w:t>The Nasdaq Stock Market LLC</w:t>
            </w:r>
          </w:p>
        </w:tc>
      </w:tr>
      <w:tr>
        <w:trPr>
          <w:trHeight w:val="230"/>
        </w:trPr>
        <w:tc>
          <w:tcPr>
            <w:tcW w:w="3700" w:type="dxa"/>
            <w:vAlign w:val="bottom"/>
          </w:tcPr>
          <w:p>
            <w:pPr>
              <w:jc w:val="center"/>
              <w:ind w:right="490"/>
              <w:spacing w:after="0"/>
              <w:rPr>
                <w:sz w:val="20"/>
                <w:szCs w:val="20"/>
                <w:color w:val="auto"/>
              </w:rPr>
            </w:pPr>
            <w:r>
              <w:rPr>
                <w:rFonts w:ascii="Arial" w:cs="Arial" w:eastAsia="Arial" w:hAnsi="Arial"/>
                <w:sz w:val="18"/>
                <w:szCs w:val="18"/>
                <w:color w:val="auto"/>
                <w:w w:val="89"/>
              </w:rPr>
              <w:t>5.50% Notes due 2024</w:t>
            </w:r>
          </w:p>
        </w:tc>
        <w:tc>
          <w:tcPr>
            <w:tcW w:w="2420" w:type="dxa"/>
            <w:vAlign w:val="bottom"/>
          </w:tcPr>
          <w:p>
            <w:pPr>
              <w:jc w:val="center"/>
              <w:ind w:left="50"/>
              <w:spacing w:after="0"/>
              <w:rPr>
                <w:sz w:val="20"/>
                <w:szCs w:val="20"/>
                <w:color w:val="auto"/>
              </w:rPr>
            </w:pPr>
            <w:r>
              <w:rPr>
                <w:rFonts w:ascii="Arial" w:cs="Arial" w:eastAsia="Arial" w:hAnsi="Arial"/>
                <w:sz w:val="18"/>
                <w:szCs w:val="18"/>
                <w:color w:val="auto"/>
                <w:w w:val="95"/>
              </w:rPr>
              <w:t>PNNTG</w:t>
            </w:r>
          </w:p>
        </w:tc>
        <w:tc>
          <w:tcPr>
            <w:tcW w:w="3940" w:type="dxa"/>
            <w:vAlign w:val="bottom"/>
          </w:tcPr>
          <w:p>
            <w:pPr>
              <w:jc w:val="center"/>
              <w:ind w:left="310"/>
              <w:spacing w:after="0"/>
              <w:rPr>
                <w:sz w:val="20"/>
                <w:szCs w:val="20"/>
                <w:color w:val="auto"/>
              </w:rPr>
            </w:pPr>
            <w:r>
              <w:rPr>
                <w:rFonts w:ascii="Arial" w:cs="Arial" w:eastAsia="Arial" w:hAnsi="Arial"/>
                <w:sz w:val="18"/>
                <w:szCs w:val="18"/>
                <w:color w:val="auto"/>
                <w:w w:val="91"/>
              </w:rPr>
              <w:t>The Nasdaq Stock Market LLC</w:t>
            </w:r>
          </w:p>
        </w:tc>
      </w:tr>
    </w:tbl>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252095</wp:posOffset>
            </wp:positionV>
            <wp:extent cx="713613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On March 2, 2021, PennantPark Investment Corporation issued a press release announcing its second fiscal quarter 2021 distribution. A copy of the press release is furnished as Exhibit 99.1 to this Form 8-K.</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460" w:right="9340" w:hanging="452"/>
        <w:spacing w:after="0" w:line="276" w:lineRule="auto"/>
        <w:tabs>
          <w:tab w:leader="none" w:pos="265"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Financial statements: </w:t>
      </w:r>
      <w:r>
        <w:rPr>
          <w:rFonts w:ascii="Arial" w:cs="Arial" w:eastAsia="Arial" w:hAnsi="Arial"/>
          <w:sz w:val="17"/>
          <w:szCs w:val="17"/>
          <w:color w:val="auto"/>
        </w:rPr>
        <w:t>None</w:t>
      </w:r>
    </w:p>
    <w:p>
      <w:pPr>
        <w:ind w:left="460" w:right="8440" w:hanging="452"/>
        <w:spacing w:after="0" w:line="250" w:lineRule="auto"/>
        <w:tabs>
          <w:tab w:leader="none" w:pos="27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460" w:right="8820" w:hanging="452"/>
        <w:spacing w:after="0" w:line="250" w:lineRule="auto"/>
        <w:tabs>
          <w:tab w:leader="none" w:pos="25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460"/>
        <w:spacing w:after="0"/>
        <w:tabs>
          <w:tab w:leader="none" w:pos="120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of PennantPark Investment Corporation dated March 2,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Exchange Act,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4920" w:type="dxa"/>
            <w:vAlign w:val="bottom"/>
            <w:gridSpan w:val="3"/>
          </w:tcPr>
          <w:p>
            <w:pPr>
              <w:ind w:left="1980"/>
              <w:spacing w:after="0"/>
              <w:rPr>
                <w:sz w:val="20"/>
                <w:szCs w:val="20"/>
                <w:color w:val="auto"/>
              </w:rPr>
            </w:pPr>
            <w:r>
              <w:rPr>
                <w:rFonts w:ascii="Arial" w:cs="Arial" w:eastAsia="Arial" w:hAnsi="Arial"/>
                <w:sz w:val="18"/>
                <w:szCs w:val="18"/>
                <w:b w:val="1"/>
                <w:bCs w:val="1"/>
                <w:color w:val="auto"/>
                <w:w w:val="91"/>
              </w:rPr>
              <w:t>PennantPark Investment Corporation</w:t>
            </w:r>
          </w:p>
        </w:tc>
      </w:tr>
      <w:tr>
        <w:trPr>
          <w:trHeight w:val="608"/>
        </w:trPr>
        <w:tc>
          <w:tcPr>
            <w:tcW w:w="3480" w:type="dxa"/>
            <w:vAlign w:val="bottom"/>
          </w:tcPr>
          <w:p>
            <w:pPr>
              <w:spacing w:after="0"/>
              <w:rPr>
                <w:sz w:val="20"/>
                <w:szCs w:val="20"/>
                <w:color w:val="auto"/>
              </w:rPr>
            </w:pPr>
            <w:r>
              <w:rPr>
                <w:rFonts w:ascii="Arial" w:cs="Arial" w:eastAsia="Arial" w:hAnsi="Arial"/>
                <w:sz w:val="18"/>
                <w:szCs w:val="18"/>
                <w:color w:val="auto"/>
              </w:rPr>
              <w:t>Date: March 2, 2021</w:t>
            </w:r>
          </w:p>
        </w:tc>
        <w:tc>
          <w:tcPr>
            <w:tcW w:w="4920" w:type="dxa"/>
            <w:vAlign w:val="bottom"/>
            <w:gridSpan w:val="3"/>
          </w:tcPr>
          <w:p>
            <w:pPr>
              <w:ind w:left="1980"/>
              <w:spacing w:after="0"/>
              <w:rPr>
                <w:sz w:val="20"/>
                <w:szCs w:val="20"/>
                <w:color w:val="auto"/>
              </w:rPr>
            </w:pPr>
            <w:r>
              <w:rPr>
                <w:rFonts w:ascii="Arial" w:cs="Arial" w:eastAsia="Arial" w:hAnsi="Arial"/>
                <w:sz w:val="18"/>
                <w:szCs w:val="18"/>
                <w:color w:val="auto"/>
              </w:rPr>
              <w:t>By: /s/ Aviv Efrat</w:t>
            </w:r>
          </w:p>
        </w:tc>
      </w:tr>
      <w:tr>
        <w:trPr>
          <w:trHeight w:val="222"/>
        </w:trPr>
        <w:tc>
          <w:tcPr>
            <w:tcW w:w="34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1300" w:type="dxa"/>
            <w:vAlign w:val="bottom"/>
          </w:tcPr>
          <w:p>
            <w:pPr>
              <w:spacing w:after="0"/>
              <w:rPr>
                <w:sz w:val="19"/>
                <w:szCs w:val="19"/>
                <w:color w:val="auto"/>
              </w:rPr>
            </w:pPr>
          </w:p>
        </w:tc>
      </w:tr>
      <w:tr>
        <w:trPr>
          <w:trHeight w:val="230"/>
        </w:trPr>
        <w:tc>
          <w:tcPr>
            <w:tcW w:w="34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w w:val="93"/>
              </w:rPr>
              <w:t>Chief Financial Officer &amp; Treasurer</w:t>
            </w:r>
          </w:p>
        </w:tc>
      </w:tr>
    </w:tbl>
    <w:p>
      <w:pPr>
        <w:sectPr>
          <w:pgSz w:w="11900" w:h="16838" w:orient="portrait"/>
          <w:cols w:equalWidth="0" w:num="1">
            <w:col w:w="10900"/>
          </w:cols>
          <w:pgMar w:left="320" w:top="337" w:right="6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Investment Corporation Announces Quarterly Distribution of $0.12 per Share</w:t>
      </w:r>
    </w:p>
    <w:p>
      <w:pPr>
        <w:spacing w:after="0" w:line="212" w:lineRule="exact"/>
        <w:rPr>
          <w:sz w:val="20"/>
          <w:szCs w:val="20"/>
          <w:color w:val="auto"/>
        </w:rPr>
      </w:pPr>
    </w:p>
    <w:p>
      <w:pPr>
        <w:ind w:right="120"/>
        <w:spacing w:after="0" w:line="249" w:lineRule="auto"/>
        <w:rPr>
          <w:sz w:val="20"/>
          <w:szCs w:val="20"/>
          <w:color w:val="auto"/>
        </w:rPr>
      </w:pPr>
      <w:r>
        <w:rPr>
          <w:rFonts w:ascii="Arial" w:cs="Arial" w:eastAsia="Arial" w:hAnsi="Arial"/>
          <w:sz w:val="21"/>
          <w:szCs w:val="21"/>
          <w:color w:val="auto"/>
        </w:rPr>
        <w:t>NEW YORK, March 02, 2021 (GLOBE NEWSWIRE) -- PennantPark Investment Corporation (the "Company") (NASDAQ: PNNT) declares its second fiscal quarter 2021 distribution of $0.12 per share, payable on April 1, 2021 to stockholders of record as of March 18, 2021.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CORPORATION</w:t>
      </w:r>
    </w:p>
    <w:p>
      <w:pPr>
        <w:spacing w:after="0" w:line="206"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PennantPark Investment Corporation is a business development company which principally invests in U.S. middle-market private companies in the form of first lien secured debt, second lien secured debt, subordinated debt and equity investments. PennantPark Investment Corporation is managed by PennantPark Investment Advisers, LLC.</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ADVISERS, LLC</w:t>
      </w:r>
    </w:p>
    <w:p>
      <w:pPr>
        <w:spacing w:after="0" w:line="206" w:lineRule="exact"/>
        <w:rPr>
          <w:sz w:val="20"/>
          <w:szCs w:val="20"/>
          <w:color w:val="auto"/>
        </w:rPr>
      </w:pPr>
    </w:p>
    <w:p>
      <w:pPr>
        <w:ind w:right="40"/>
        <w:spacing w:after="0" w:line="249" w:lineRule="auto"/>
        <w:rPr>
          <w:sz w:val="20"/>
          <w:szCs w:val="20"/>
          <w:color w:val="auto"/>
        </w:rPr>
      </w:pPr>
      <w:r>
        <w:rPr>
          <w:rFonts w:ascii="Arial" w:cs="Arial" w:eastAsia="Arial" w:hAnsi="Arial"/>
          <w:sz w:val="21"/>
          <w:szCs w:val="21"/>
          <w:color w:val="auto"/>
        </w:rPr>
        <w:t>PennantPark Investment Advisers, LLC is a leading middle market credit platform, managing $4.3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New York and has offices in Chicago, Houston and Los Angeles.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ind w:right="60"/>
        <w:spacing w:after="0" w:line="274"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Aviv Efrat</w:t>
      </w:r>
    </w:p>
    <w:p>
      <w:pPr>
        <w:spacing w:after="0" w:line="230" w:lineRule="auto"/>
        <w:rPr>
          <w:sz w:val="20"/>
          <w:szCs w:val="20"/>
          <w:color w:val="auto"/>
        </w:rPr>
      </w:pPr>
      <w:r>
        <w:rPr>
          <w:rFonts w:ascii="Arial" w:cs="Arial" w:eastAsia="Arial" w:hAnsi="Arial"/>
          <w:sz w:val="22"/>
          <w:szCs w:val="22"/>
          <w:color w:val="auto"/>
        </w:rPr>
        <w:t>PennantPark Investment Corporation</w:t>
      </w:r>
    </w:p>
    <w:p>
      <w:pPr>
        <w:spacing w:after="0" w:line="1" w:lineRule="exact"/>
        <w:rPr>
          <w:sz w:val="20"/>
          <w:szCs w:val="20"/>
          <w:color w:val="auto"/>
        </w:rPr>
      </w:pPr>
    </w:p>
    <w:p>
      <w:pPr>
        <w:ind w:right="9240" w:firstLine="8"/>
        <w:spacing w:after="0" w:line="308" w:lineRule="auto"/>
        <w:tabs>
          <w:tab w:leader="none" w:pos="522" w:val="left"/>
        </w:tabs>
        <w:numPr>
          <w:ilvl w:val="0"/>
          <w:numId w:val="3"/>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2021-03-02T15:08:42Z</dcterms:created>
  <dcterms:modified xsi:type="dcterms:W3CDTF">2021-03-02T15:08:42Z</dcterms:modified>
</cp:coreProperties>
</file>