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9, 2021</w:t>
      </w:r>
    </w:p>
    <w:p>
      <w:pPr>
        <w:spacing w:after="0" w:line="2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100"/>
          </w:cols>
          <w:pgMar w:left="320" w:top="718" w:right="47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11" w:lineRule="exact"/>
        <w:rPr>
          <w:sz w:val="24"/>
          <w:szCs w:val="24"/>
          <w:color w:val="auto"/>
        </w:rPr>
      </w:pPr>
    </w:p>
    <w:p>
      <w:pPr>
        <w:sectPr>
          <w:pgSz w:w="11900" w:h="16838" w:orient="portrait"/>
          <w:cols w:equalWidth="0" w:num="3">
            <w:col w:w="3920" w:space="720"/>
            <w:col w:w="2560" w:space="720"/>
            <w:col w:w="3180"/>
          </w:cols>
          <w:pgMar w:left="320" w:top="718"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590 Madison Avenue, 15th Floor, New York, NY 10022</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0" w:lineRule="exact"/>
        <w:rPr>
          <w:sz w:val="24"/>
          <w:szCs w:val="24"/>
          <w:color w:val="auto"/>
        </w:rPr>
      </w:pPr>
    </w:p>
    <w:p>
      <w:pPr>
        <w:spacing w:after="0" w:line="21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212-905-1000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tc>
      </w:t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Pre-commencement communications pursuant to Rule 14d-2(b) under the Exchange Act (17 CFR 240.14d-2(b))</w:t>
            </w:r>
          </w:p>
        </w:tc>
      </w:tr>
    </w:tbl>
    <w:p>
      <w:pPr>
        <w:ind w:right="2140" w:firstLine="291"/>
        <w:spacing w:after="0" w:line="503" w:lineRule="auto"/>
        <w:tabs>
          <w:tab w:leader="none" w:pos="4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PNNT</w:t>
            </w:r>
          </w:p>
        </w:tc>
        <w:tc>
          <w:tcPr>
            <w:tcW w:w="39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7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5.50% Notes due 2024</w:t>
            </w:r>
          </w:p>
        </w:tc>
        <w:tc>
          <w:tcPr>
            <w:tcW w:w="24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PNNTG</w:t>
            </w:r>
          </w:p>
        </w:tc>
        <w:tc>
          <w:tcPr>
            <w:tcW w:w="39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249555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18"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9, 2021, PennantPark Investment Corporation, or the Company, issued a press release announcing its financial results for the first fiscal quarter ended December 31, 2020. A copy of the press release is furnished as Exhibit 99.1 to this report pursuant to Item 2.02 on Form 8-K and Regulation FD.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 For information concerning the COVID-19 pandemic and its impact on the Company’s business and operating results, see the Company’s Quarterly Report on Form 10-Q for the quarter ended December 31, 2020, including “Item 2. Management's Discussion and Analysis of Financial Condition and Results of Operations – COVID-19 Developments”.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278" w:lineRule="auto"/>
        <w:tabs>
          <w:tab w:leader="none" w:pos="27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statements: </w:t>
      </w:r>
      <w:r>
        <w:rPr>
          <w:rFonts w:ascii="Times New Roman" w:cs="Times New Roman" w:eastAsia="Times New Roman" w:hAnsi="Times New Roman"/>
          <w:sz w:val="17"/>
          <w:szCs w:val="17"/>
          <w:color w:val="auto"/>
        </w:rPr>
        <w:t>None</w:t>
      </w:r>
    </w:p>
    <w:p>
      <w:pPr>
        <w:spacing w:after="0" w:line="1" w:lineRule="exact"/>
        <w:rPr>
          <w:rFonts w:ascii="Times New Roman" w:cs="Times New Roman" w:eastAsia="Times New Roman" w:hAnsi="Times New Roman"/>
          <w:sz w:val="17"/>
          <w:szCs w:val="17"/>
          <w:b w:val="1"/>
          <w:bCs w:val="1"/>
          <w:color w:val="auto"/>
        </w:rPr>
      </w:pPr>
    </w:p>
    <w:p>
      <w:pPr>
        <w:ind w:left="600" w:right="8440" w:hanging="592"/>
        <w:spacing w:after="0" w:line="250" w:lineRule="auto"/>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600" w:right="8820" w:hanging="592"/>
        <w:spacing w:after="0" w:line="250" w:lineRule="auto"/>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of PennantPark Investment Corporation dated February 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4840" w:type="dxa"/>
            <w:vAlign w:val="bottom"/>
            <w:gridSpan w:val="3"/>
          </w:tcPr>
          <w:p>
            <w:pPr>
              <w:ind w:left="190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0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9, 2021</w:t>
            </w:r>
          </w:p>
        </w:tc>
        <w:tc>
          <w:tcPr>
            <w:tcW w:w="484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By: /s/ Aviv Efrat</w:t>
            </w:r>
          </w:p>
        </w:tc>
      </w:tr>
      <w:tr>
        <w:trPr>
          <w:trHeight w:val="218"/>
        </w:trPr>
        <w:tc>
          <w:tcPr>
            <w:tcW w:w="35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Aviv Efrat</w:t>
            </w:r>
          </w:p>
        </w:tc>
        <w:tc>
          <w:tcPr>
            <w:tcW w:w="130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0900"/>
          </w:cols>
          <w:pgMar w:left="320" w:top="333" w:right="679" w:bottom="1440" w:gutter="0" w:footer="0" w:header="0"/>
        </w:sectPr>
      </w:pPr>
    </w:p>
    <w:bookmarkStart w:id="3" w:name="page4"/>
    <w:bookmarkEnd w:id="3"/>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Announces Financial Results for the Quarter Ended December 31, 2020</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NEW YORK, Feb. 09, 2021 (GLOBE NEWSWIRE) -- PennantPark Investment Corporation (NASDAQ: PNNT) announced today financial results for the first fiscal quarter ended December 31, 2020.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HIGHLIGHTS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Quarter ended December 31, 2020</w:t>
      </w:r>
    </w:p>
    <w:p>
      <w:pPr>
        <w:spacing w:after="0"/>
        <w:rPr>
          <w:sz w:val="20"/>
          <w:szCs w:val="20"/>
          <w:color w:val="auto"/>
        </w:rPr>
      </w:pPr>
      <w:r>
        <w:rPr>
          <w:rFonts w:ascii="Times New Roman" w:cs="Times New Roman" w:eastAsia="Times New Roman" w:hAnsi="Times New Roman"/>
          <w:sz w:val="22"/>
          <w:szCs w:val="22"/>
          <w:color w:val="auto"/>
        </w:rPr>
        <w:t>($ in millions, except per share amounts)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79"/>
        </w:trPr>
        <w:tc>
          <w:tcPr>
            <w:tcW w:w="5420" w:type="dxa"/>
            <w:vAlign w:val="bottom"/>
          </w:tcPr>
          <w:p>
            <w:pPr>
              <w:spacing w:after="0"/>
              <w:rPr>
                <w:sz w:val="20"/>
                <w:szCs w:val="20"/>
                <w:color w:val="auto"/>
              </w:rPr>
            </w:pPr>
            <w:r>
              <w:rPr>
                <w:rFonts w:ascii="Times New Roman" w:cs="Times New Roman" w:eastAsia="Times New Roman" w:hAnsi="Times New Roman"/>
                <w:sz w:val="22"/>
                <w:szCs w:val="22"/>
                <w:color w:val="auto"/>
              </w:rPr>
              <w:t>Assets and Liabilities:</w:t>
            </w: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15"/>
        </w:trPr>
        <w:tc>
          <w:tcPr>
            <w:tcW w:w="5420" w:type="dxa"/>
            <w:vAlign w:val="bottom"/>
          </w:tcPr>
          <w:p>
            <w:pPr>
              <w:ind w:left="120"/>
              <w:spacing w:after="0" w:line="314" w:lineRule="exact"/>
              <w:rPr>
                <w:sz w:val="20"/>
                <w:szCs w:val="20"/>
                <w:color w:val="auto"/>
              </w:rPr>
            </w:pPr>
            <w:r>
              <w:rPr>
                <w:rFonts w:ascii="Times New Roman" w:cs="Times New Roman" w:eastAsia="Times New Roman" w:hAnsi="Times New Roman"/>
                <w:sz w:val="22"/>
                <w:szCs w:val="22"/>
                <w:color w:val="auto"/>
              </w:rPr>
              <w:t xml:space="preserve">Investment portfolio </w:t>
            </w:r>
            <w:r>
              <w:rPr>
                <w:rFonts w:ascii="Times New Roman" w:cs="Times New Roman" w:eastAsia="Times New Roman" w:hAnsi="Times New Roman"/>
                <w:sz w:val="35"/>
                <w:szCs w:val="35"/>
                <w:color w:val="auto"/>
                <w:vertAlign w:val="superscript"/>
              </w:rPr>
              <w:t>(1)</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1,127.1</w:t>
            </w:r>
          </w:p>
        </w:tc>
      </w:tr>
      <w:tr>
        <w:trPr>
          <w:trHeight w:val="270"/>
        </w:trPr>
        <w:tc>
          <w:tcPr>
            <w:tcW w:w="5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PSLF investment portfolio</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351.9</w:t>
            </w:r>
          </w:p>
        </w:tc>
      </w:tr>
      <w:tr>
        <w:trPr>
          <w:trHeight w:val="270"/>
        </w:trPr>
        <w:tc>
          <w:tcPr>
            <w:tcW w:w="5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 assets</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588.8</w:t>
            </w:r>
          </w:p>
        </w:tc>
      </w:tr>
      <w:tr>
        <w:trPr>
          <w:trHeight w:val="270"/>
        </w:trPr>
        <w:tc>
          <w:tcPr>
            <w:tcW w:w="5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GAAP net asset value per share</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8.78</w:t>
            </w:r>
          </w:p>
        </w:tc>
      </w:tr>
      <w:tr>
        <w:trPr>
          <w:trHeight w:val="279"/>
        </w:trPr>
        <w:tc>
          <w:tcPr>
            <w:tcW w:w="5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Increase in GAAP net asset value per share</w:t>
            </w:r>
          </w:p>
        </w:tc>
        <w:tc>
          <w:tcPr>
            <w:tcW w:w="1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w:t>
            </w:r>
          </w:p>
        </w:tc>
      </w:tr>
      <w:tr>
        <w:trPr>
          <w:trHeight w:val="324"/>
        </w:trPr>
        <w:tc>
          <w:tcPr>
            <w:tcW w:w="5420" w:type="dxa"/>
            <w:vAlign w:val="bottom"/>
          </w:tcPr>
          <w:p>
            <w:pPr>
              <w:ind w:left="120"/>
              <w:spacing w:after="0" w:line="324" w:lineRule="exact"/>
              <w:rPr>
                <w:sz w:val="20"/>
                <w:szCs w:val="20"/>
                <w:color w:val="auto"/>
              </w:rPr>
            </w:pPr>
            <w:r>
              <w:rPr>
                <w:rFonts w:ascii="Times New Roman" w:cs="Times New Roman" w:eastAsia="Times New Roman" w:hAnsi="Times New Roman"/>
                <w:sz w:val="22"/>
                <w:szCs w:val="22"/>
                <w:color w:val="auto"/>
              </w:rPr>
              <w:t xml:space="preserve">Adjusted net asset value per share </w:t>
            </w:r>
            <w:r>
              <w:rPr>
                <w:rFonts w:ascii="Times New Roman" w:cs="Times New Roman" w:eastAsia="Times New Roman" w:hAnsi="Times New Roman"/>
                <w:sz w:val="35"/>
                <w:szCs w:val="35"/>
                <w:color w:val="auto"/>
                <w:vertAlign w:val="superscript"/>
              </w:rPr>
              <w:t>(2)</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8.69</w:t>
            </w:r>
          </w:p>
        </w:tc>
      </w:tr>
      <w:tr>
        <w:trPr>
          <w:trHeight w:val="475"/>
        </w:trPr>
        <w:tc>
          <w:tcPr>
            <w:tcW w:w="5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 xml:space="preserve">Increase in adjusted net asset value per share </w:t>
            </w:r>
            <w:r>
              <w:rPr>
                <w:rFonts w:ascii="Times New Roman" w:cs="Times New Roman" w:eastAsia="Times New Roman" w:hAnsi="Times New Roman"/>
                <w:sz w:val="35"/>
                <w:szCs w:val="35"/>
                <w:color w:val="auto"/>
                <w:vertAlign w:val="superscript"/>
              </w:rPr>
              <w:t>(2)</w:t>
            </w:r>
          </w:p>
        </w:tc>
        <w:tc>
          <w:tcPr>
            <w:tcW w:w="1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14.5%</w:t>
            </w:r>
          </w:p>
        </w:tc>
      </w:tr>
      <w:tr>
        <w:trPr>
          <w:trHeight w:val="380"/>
        </w:trPr>
        <w:tc>
          <w:tcPr>
            <w:tcW w:w="54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Credit Facility</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349.1</w:t>
            </w:r>
          </w:p>
        </w:tc>
      </w:tr>
      <w:tr>
        <w:trPr>
          <w:trHeight w:val="270"/>
        </w:trPr>
        <w:tc>
          <w:tcPr>
            <w:tcW w:w="54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2024 Notes</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84.0</w:t>
            </w:r>
          </w:p>
        </w:tc>
      </w:tr>
      <w:tr>
        <w:trPr>
          <w:trHeight w:val="270"/>
        </w:trPr>
        <w:tc>
          <w:tcPr>
            <w:tcW w:w="54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SBA Debentures</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115.9</w:t>
            </w:r>
          </w:p>
        </w:tc>
      </w:tr>
      <w:tr>
        <w:trPr>
          <w:trHeight w:val="279"/>
        </w:trPr>
        <w:tc>
          <w:tcPr>
            <w:tcW w:w="5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Regulatory Debt to Equity</w:t>
            </w:r>
          </w:p>
        </w:tc>
        <w:tc>
          <w:tcPr>
            <w:tcW w:w="142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0.76x</w:t>
            </w:r>
          </w:p>
        </w:tc>
      </w:tr>
      <w:tr>
        <w:trPr>
          <w:trHeight w:val="324"/>
        </w:trPr>
        <w:tc>
          <w:tcPr>
            <w:tcW w:w="5420" w:type="dxa"/>
            <w:vAlign w:val="bottom"/>
          </w:tcPr>
          <w:p>
            <w:pPr>
              <w:ind w:left="120"/>
              <w:spacing w:after="0" w:line="324" w:lineRule="exact"/>
              <w:rPr>
                <w:sz w:val="20"/>
                <w:szCs w:val="20"/>
                <w:color w:val="auto"/>
              </w:rPr>
            </w:pPr>
            <w:r>
              <w:rPr>
                <w:rFonts w:ascii="Times New Roman" w:cs="Times New Roman" w:eastAsia="Times New Roman" w:hAnsi="Times New Roman"/>
                <w:sz w:val="22"/>
                <w:szCs w:val="22"/>
                <w:color w:val="auto"/>
              </w:rPr>
              <w:t xml:space="preserve">Regulatory Net Debt to Equity </w:t>
            </w:r>
            <w:r>
              <w:rPr>
                <w:rFonts w:ascii="Times New Roman" w:cs="Times New Roman" w:eastAsia="Times New Roman" w:hAnsi="Times New Roman"/>
                <w:sz w:val="35"/>
                <w:szCs w:val="35"/>
                <w:color w:val="auto"/>
                <w:vertAlign w:val="superscript"/>
              </w:rPr>
              <w:t>(3)</w:t>
            </w:r>
          </w:p>
        </w:tc>
        <w:tc>
          <w:tcPr>
            <w:tcW w:w="142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0.72x</w:t>
            </w:r>
          </w:p>
        </w:tc>
      </w:tr>
      <w:tr>
        <w:trPr>
          <w:trHeight w:val="475"/>
        </w:trPr>
        <w:tc>
          <w:tcPr>
            <w:tcW w:w="5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 xml:space="preserve">GAAP Net Debt to Equity </w:t>
            </w:r>
            <w:r>
              <w:rPr>
                <w:rFonts w:ascii="Times New Roman" w:cs="Times New Roman" w:eastAsia="Times New Roman" w:hAnsi="Times New Roman"/>
                <w:sz w:val="35"/>
                <w:szCs w:val="35"/>
                <w:color w:val="auto"/>
                <w:vertAlign w:val="superscript"/>
              </w:rPr>
              <w:t>(4)</w:t>
            </w:r>
          </w:p>
        </w:tc>
        <w:tc>
          <w:tcPr>
            <w:tcW w:w="142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0.90x</w:t>
            </w:r>
          </w:p>
        </w:tc>
      </w:tr>
      <w:tr>
        <w:trPr>
          <w:trHeight w:val="392"/>
        </w:trPr>
        <w:tc>
          <w:tcPr>
            <w:tcW w:w="5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Yield on debt investments at quarter-end</w:t>
            </w:r>
          </w:p>
        </w:tc>
        <w:tc>
          <w:tcPr>
            <w:tcW w:w="1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5520" w:type="dxa"/>
            <w:vAlign w:val="bottom"/>
          </w:tcPr>
          <w:p>
            <w:pPr>
              <w:spacing w:after="0"/>
              <w:rPr>
                <w:sz w:val="20"/>
                <w:szCs w:val="20"/>
                <w:color w:val="auto"/>
              </w:rPr>
            </w:pPr>
            <w:r>
              <w:rPr>
                <w:rFonts w:ascii="Times New Roman" w:cs="Times New Roman" w:eastAsia="Times New Roman" w:hAnsi="Times New Roman"/>
                <w:sz w:val="22"/>
                <w:szCs w:val="22"/>
                <w:color w:val="auto"/>
              </w:rPr>
              <w:t>Operating Results:</w:t>
            </w:r>
          </w:p>
        </w:tc>
        <w:tc>
          <w:tcPr>
            <w:tcW w:w="146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5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 investment income</w:t>
            </w:r>
          </w:p>
        </w:tc>
        <w:tc>
          <w:tcPr>
            <w:tcW w:w="14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270"/>
        </w:trPr>
        <w:tc>
          <w:tcPr>
            <w:tcW w:w="5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 investment income per share</w:t>
            </w:r>
          </w:p>
        </w:tc>
        <w:tc>
          <w:tcPr>
            <w:tcW w:w="14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w:t>
            </w:r>
          </w:p>
        </w:tc>
      </w:tr>
      <w:tr>
        <w:trPr>
          <w:trHeight w:val="282"/>
        </w:trPr>
        <w:tc>
          <w:tcPr>
            <w:tcW w:w="5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Distributions declared per share</w:t>
            </w:r>
          </w:p>
        </w:tc>
        <w:tc>
          <w:tcPr>
            <w:tcW w:w="14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w:t>
            </w:r>
          </w:p>
        </w:tc>
      </w:tr>
      <w:tr>
        <w:trPr>
          <w:trHeight w:val="528"/>
        </w:trPr>
        <w:tc>
          <w:tcPr>
            <w:tcW w:w="5520" w:type="dxa"/>
            <w:vAlign w:val="bottom"/>
          </w:tcPr>
          <w:p>
            <w:pPr>
              <w:spacing w:after="0"/>
              <w:rPr>
                <w:sz w:val="20"/>
                <w:szCs w:val="20"/>
                <w:color w:val="auto"/>
              </w:rPr>
            </w:pPr>
            <w:r>
              <w:rPr>
                <w:rFonts w:ascii="Times New Roman" w:cs="Times New Roman" w:eastAsia="Times New Roman" w:hAnsi="Times New Roman"/>
                <w:sz w:val="22"/>
                <w:szCs w:val="22"/>
                <w:color w:val="auto"/>
              </w:rPr>
              <w:t>Portfolio Activity:</w:t>
            </w: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70"/>
        </w:trPr>
        <w:tc>
          <w:tcPr>
            <w:tcW w:w="5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Purchases of investments</w:t>
            </w:r>
          </w:p>
        </w:tc>
        <w:tc>
          <w:tcPr>
            <w:tcW w:w="14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68.2</w:t>
            </w:r>
          </w:p>
        </w:tc>
      </w:tr>
      <w:tr>
        <w:trPr>
          <w:trHeight w:val="282"/>
        </w:trPr>
        <w:tc>
          <w:tcPr>
            <w:tcW w:w="5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Sales and repayments of investments</w:t>
            </w:r>
          </w:p>
        </w:tc>
        <w:tc>
          <w:tcPr>
            <w:tcW w:w="14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102.6</w:t>
            </w:r>
          </w:p>
        </w:tc>
      </w:tr>
      <w:tr>
        <w:trPr>
          <w:trHeight w:val="528"/>
        </w:trPr>
        <w:tc>
          <w:tcPr>
            <w:tcW w:w="5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 new portfolio companies invested</w:t>
            </w:r>
          </w:p>
        </w:tc>
        <w:tc>
          <w:tcPr>
            <w:tcW w:w="14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5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 existing portfolio companies invested</w:t>
            </w:r>
          </w:p>
        </w:tc>
        <w:tc>
          <w:tcPr>
            <w:tcW w:w="14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82"/>
        </w:trPr>
        <w:tc>
          <w:tcPr>
            <w:tcW w:w="5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 ending portfolio companies</w:t>
            </w:r>
          </w:p>
        </w:tc>
        <w:tc>
          <w:tcPr>
            <w:tcW w:w="14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________________________</w:t>
      </w:r>
    </w:p>
    <w:p>
      <w:pPr>
        <w:spacing w:after="0" w:line="29" w:lineRule="exact"/>
        <w:rPr>
          <w:sz w:val="20"/>
          <w:szCs w:val="20"/>
          <w:color w:val="auto"/>
        </w:rPr>
      </w:pPr>
    </w:p>
    <w:p>
      <w:pPr>
        <w:ind w:left="580" w:right="20" w:hanging="559"/>
        <w:spacing w:after="0" w:line="243"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Includes investments in PennantPark Senior Loan Fund, LLC, or PSLF, an unconsolidated joint venture, totaling $103.2 million, at fair value.</w:t>
      </w:r>
    </w:p>
    <w:p>
      <w:pPr>
        <w:jc w:val="both"/>
        <w:ind w:left="580" w:right="20" w:hanging="559"/>
        <w:spacing w:after="0" w:line="234"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This is a non-GAAP financial measure. The Company believes that this number provides useful information to investors and management because it reflects the Company’s financial performance excluding the impact of the $6.0 million unrealized loss on our multi-currency, senior secured revolving credit facility with Truist Bank, as amended, or the Credit Facility, and, together with our credit facility with BNP Paribas, as amended, the Credit Facilities. The presentation of this additional information is not meant to be considered in isolation or as a substitute for financial results prepared in accordance with GAAP.</w:t>
      </w:r>
    </w:p>
    <w:p>
      <w:pPr>
        <w:spacing w:after="0" w:line="5" w:lineRule="exact"/>
        <w:rPr>
          <w:rFonts w:ascii="Times New Roman" w:cs="Times New Roman" w:eastAsia="Times New Roman" w:hAnsi="Times New Roman"/>
          <w:sz w:val="18"/>
          <w:szCs w:val="18"/>
          <w:color w:val="auto"/>
        </w:rPr>
      </w:pPr>
    </w:p>
    <w:p>
      <w:pPr>
        <w:jc w:val="both"/>
        <w:ind w:left="580" w:right="20" w:hanging="559"/>
        <w:spacing w:after="0" w:line="236"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This is a non-GAAP financial measure. The Company believes that this number provides useful information to investors and management because it reflects the Company’s financial performance net of $20.2 million of cash and cash equivalents. The presentation of this additional information is not meant to be considered in isolation or as a substitute for financial results prepared in accordance with GAAP.</w:t>
      </w:r>
    </w:p>
    <w:p>
      <w:pPr>
        <w:spacing w:after="0" w:line="3" w:lineRule="exact"/>
        <w:rPr>
          <w:rFonts w:ascii="Times New Roman" w:cs="Times New Roman" w:eastAsia="Times New Roman" w:hAnsi="Times New Roman"/>
          <w:sz w:val="18"/>
          <w:szCs w:val="18"/>
          <w:color w:val="auto"/>
        </w:rPr>
      </w:pPr>
    </w:p>
    <w:p>
      <w:pPr>
        <w:ind w:left="580" w:hanging="55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This is a non-GAAP financial measure. The Company believes that this number provides useful information to investors</w:t>
      </w:r>
    </w:p>
    <w:p>
      <w:pPr>
        <w:sectPr>
          <w:pgSz w:w="11900" w:h="16845" w:orient="portrait"/>
          <w:cols w:equalWidth="0" w:num="1">
            <w:col w:w="11240"/>
          </w:cols>
          <w:pgMar w:left="320" w:top="108" w:right="339" w:bottom="0" w:gutter="0" w:footer="0" w:header="0"/>
        </w:sectPr>
      </w:pPr>
    </w:p>
    <w:bookmarkStart w:id="4" w:name="page5"/>
    <w:bookmarkEnd w:id="4"/>
    <w:p>
      <w:pPr>
        <w:jc w:val="both"/>
        <w:ind w:left="580" w:right="20"/>
        <w:spacing w:after="0"/>
        <w:rPr>
          <w:sz w:val="20"/>
          <w:szCs w:val="20"/>
          <w:color w:val="auto"/>
        </w:rPr>
      </w:pPr>
      <w:r>
        <w:rPr>
          <w:rFonts w:ascii="Times New Roman" w:cs="Times New Roman" w:eastAsia="Times New Roman" w:hAnsi="Times New Roman"/>
          <w:sz w:val="22"/>
          <w:szCs w:val="22"/>
          <w:color w:val="auto"/>
        </w:rPr>
        <w:t>and management because it reflects the Company’s financial performance including the impact of the $6.0 million unrealized loss on the Credit Facility, Small Business Act, or SBA, Debentures and net of $20.2 million of cash and cash equivalents. The presentation of this additional information is not meant to be considered in isolation or as a substitute for financial results prepared in accordance with GAAP.</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AT 1:00 P.M. ET ON FEBRUARY 10, 2021</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PennantPark Investment Corporation (“we,” “our,” “us” or the “Company”) will host a conference call at 1:00 p.m. (Eastern Time) on Wednesday, February 10, 2021 to discuss its financial results. All interested parties are welcome to participate. You can access the conference call by dialing toll-free (888) 394-8218 approximately 5-10 minutes prior to the call. International callers should dial (323) 701-0225. All callers should reference conference ID #6696271 PennantPark Investment Corporation. An archived replay of the call will be available through February 24, 2021 by calling toll-free (888) 203-1112. International callers please dial (719) 457-0820. For all phone replays, please reference conference ID #6696271.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PORTFOLIO AND INVESTMENT ACTIVITY</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are pleased with the substantial increase in net asset value this past quarter due to material appreciation in the value of several equity co-investments,” said Arthur Penn, Chairman and CEO. “We believe that we can generate increased income over time by rotating those equity positions into yield generating debt instruments. Additionally, we have the ability to grow the PNNT balance sheet and our PSLF JV which should also generate additional income for the Company.”</w:t>
      </w:r>
    </w:p>
    <w:p>
      <w:pPr>
        <w:spacing w:after="0" w:line="18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As of December 31, 2020, our portfolio totaled $1,127.1 million, which consisted of $425.2 million of first lien secured debt, $195.4 million of second lien secured debt, $116.8 million of subordinated debt (including $64.2 million in PSLF) and $389.7 million of preferred and common equity (including $39.0 million in PSLF). Our debt portfolio consisted of 92% variable-rate investments and 8% fixed-rate investments. As of December 31, 2020, we had no portfolio companies on non-accrual. Overall, the portfolio had net unrealized appreciation of $9.7 million as of December 31, 2020. Our overall portfolio consisted of 81 companies with an average investment size of $13.9 million, had a weighted average yield on interest bearing debt investments of 9.3% and was invested 38% in first lien secured debt, 17% in second lien secured debt, 10% in subordinated debt (including 6% in PSLF) and 35% in preferred and common equity (including 3% in PSLF). As of December 31, 2020, all of the investments held by PSLF were first lien secured debt.</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As of September 30, 2020, our portfolio totaled $1,081.8 million, which consisted of $439.0 million of first lien secured debt, $220.8 million of second lien secured debt, $113.6 million of subordinated debt (including $63.0 million in PSLF) and $308.3 million of preferred and common equity (including $36.3 million in PSLF). Our debt portfolio consisted of 93% variable-rate investments and 7% fixed-rate investments. As of September 30, 2020, we had two portfolio companies on non-accrual, representing 4.9% and 3.4% of our overall portfolio on a cost and fair value basis, respectively. Overall, the portfolio had net unrealized depreciation of $83.8 million as of September 30, 2020. Our overall portfolio consisted of 80 companies with an average investment size of $13.5 million, had a weighted average yield on interest bearing debt investments of 8.9% and was invested 41% in first lien secured debt, 20% in second lien secured debt, 10% in subordinated debt (including 6% in PSLF) and 29% in preferred and common equity (including 3% in PSLF). As of September 30, 2020, all of the investments held by PSLF were first lien secured debt.</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three months ended December 31, 2020, we invested $68.2 million in four new and 15 existing portfolio companies with a weighted average yield on debt investments of 9.9%. Sales and repayments of investments for the three months ended December 31, 2020 totaled $102.6 million.</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three months ended December 31, 2019, we invested $173.7 million in 13 new and 15 existing portfolio companies with a weighted average yield on debt investments of 8.8%. Sales and repayments of investments for the three months ended December 31, 2019 totaled $31.2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PennantPark Senior Loan Fund, LLC</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of December 31, 2020, PSLF’s portfolio totaled $351.9 million, consisted of 36 companies with an average investment size of $9.8 million and had a weighted average yield on debt investments of 7.3%.</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of September 30, 2020, PSLF’s portfolio totaled $353.4 million, consisted of 37 companies with an average investment size of $9.6 million and had a weighted average yield on debt investments of 7.3%.</w:t>
      </w:r>
    </w:p>
    <w:p>
      <w:pPr>
        <w:spacing w:after="0" w:line="158"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For the three months ended December 31, 2020, PSLF invested $30.8 million (of which $22.3 million was purchased from the Company) in two new and four existing portfolio companies with a weighted average yield on debt investments of 7.0%. PSLF’s sales and repayments of investments for the same period totaled $35.8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 forth below are the results of operations for the three months ended December 31, 2020 and 2019.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 Income</w:t>
      </w:r>
    </w:p>
    <w:p>
      <w:pPr>
        <w:sectPr>
          <w:pgSz w:w="11900" w:h="16838" w:orient="portrait"/>
          <w:cols w:equalWidth="0" w:num="1">
            <w:col w:w="11240"/>
          </w:cols>
          <w:pgMar w:left="320" w:top="112" w:right="339" w:bottom="266" w:gutter="0" w:footer="0" w:header="0"/>
        </w:sectPr>
      </w:pPr>
    </w:p>
    <w:bookmarkStart w:id="5" w:name="page6"/>
    <w:bookmarkEnd w:id="5"/>
    <w:p>
      <w:pPr>
        <w:jc w:val="both"/>
        <w:spacing w:after="0" w:line="236" w:lineRule="auto"/>
        <w:rPr>
          <w:sz w:val="20"/>
          <w:szCs w:val="20"/>
          <w:color w:val="auto"/>
        </w:rPr>
      </w:pPr>
      <w:r>
        <w:rPr>
          <w:rFonts w:ascii="Times New Roman" w:cs="Times New Roman" w:eastAsia="Times New Roman" w:hAnsi="Times New Roman"/>
          <w:sz w:val="22"/>
          <w:szCs w:val="22"/>
          <w:color w:val="auto"/>
        </w:rPr>
        <w:t>Investment income for the three months ended December 31, 2020 was $18.7 million and was attributable to $11.2 million from first lien secured debt, $4.8 million from second lien secured debt, $1.7 million from subordinated debt and $1.0 million from preferred and common equity. This compares to investment income for the three months ended December 31, 2019 of $26.0 million and was attributable to $16.0 million from first lien secured debt, $7.7 million from second lien secured debt and $2.3 million from subordinated debt. The decrease in investment income compared to the same period in the prior year was primarily due to decreases in the size of our debt portfolio and the London Inter-bank Offered Rate, or LIBOR.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Expenses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Expenses for the three months ended December 31, 2020 totaled $10.4 million. Base management fee for the same period totaled $4.1 million, debt related interest and expenses totaled $5.0 million, general and administrative expenses totaled $1.1 million and provision for taxes totaled $0.2 million. This compares to net expenses for the three months ended December 31, 2019, which totaled $15.8 million. Base management fee for the same period totaled $4.7 million, incentive fee totaled $0.7 million, debt related interest and expenses totaled $8.9 million, general and administrative expenses totaled $1.2 million and provision for taxes totaled $0.3 million. The decrease in expenses compared to the three-month period ended in the prior year was primarily due to a decrease in LIBOR and lower leverage.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Investment Income</w:t>
      </w:r>
    </w:p>
    <w:p>
      <w:pPr>
        <w:spacing w:after="0" w:line="21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Net investment income totaled $8.3 million, or $0.12 per share, and $10.2 million, or $0.15 per share, for the three months ended December 31, 2020 and 2019, respectively. The decrease in net investment income compared to the three-month period ended in the prior year was primarily due to lower investment income, partially offset by lower expenses.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Realized Gains or Losses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Sales and repayments of investments for the three months ended December 31, 2020 totaled $102.6 million and net realized losses totaled $17.6 million. Sales and repayments of investments for the three months ended December 31, 2019 totaled $31.2 million and net realized losses totaled $12.0 million. The change in realized losses was primarily due to changes in the market conditions of our investments and the values at which they were realized.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Unrealized Appreciation or Depreciation on Investments and the Credit Facilities</w:t>
      </w:r>
    </w:p>
    <w:p>
      <w:pPr>
        <w:spacing w:after="0" w:line="2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For the three months ended December 31, 2020 and 2019, we reported net change in unrealized appreciation on investments of $93.5 million and $23.6 million, respectively. As of December 31, 2020 and September 30, 2020, our net unrealized appreciation (depreciation) on investments totaled $9.7 million and ($83.8) million, respectively. The net change in unrealized appreciation/depreciation on our investments compared to the same period in the prior year was primarily due to unrealized gains in our equity co-investment program, including ITC Rumba, LLC (Cano Health, LLC), as well as the financial performance of certain portfolio companies primarily driven by the market disruption caused by the COVID-19 pandemic and the uncertainty surrounding its continued adverse economic impact. For more information on how the COVID-19 pandemic has affected our business and results of operations, see our Quarterly Report on Form 10-Q for the quarter ended December 31, 2020, including “Item 2. Management's Discussion and Analysis of Financial Condition and Results of Operations – COVID-19 Developments”.</w:t>
      </w:r>
    </w:p>
    <w:p>
      <w:pPr>
        <w:spacing w:after="0" w:line="17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the three months ended December 31, 2020, the Credit Facility had a net change in unrealized appreciation of $13.1 million. For the three months ended December 31, 2019, our Credit Facilities had a net change in unrealized depreciation of $2.6 million. As of December 31, 2020 and September 30, 2020, the net unrealized depreciation on the Credit Facility totaled $6.4 million and $19.6 million, respectively. The net change in net unrealized depreciation compared to the same period in the prior year was primarily due to changes in the capital markets.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Net Change in Net Assets Resulting from Operations</w:t>
      </w:r>
    </w:p>
    <w:p>
      <w:pPr>
        <w:spacing w:after="0" w:line="2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Net change in net assets resulting from operations totaled $71.1 million, or $1.06 per share, and $19.2 million, or $0.29 per share, for the three months ended December 31, 2020 and 2019, respectively. The increase in net assets from operations for the three months ended December 31, 2020 compared to the same period in the prior year was primarily due to unrealized gains in our equity co-investment program, including ITC Rumba, LLC (Cano Health, LLC), as well as the financial performance of certain portfolio companies primarily driven by the market disruption caused by the COVID-19 pandemic and the uncertainty surrounding its continued adverse economic impact. For more information on how the COVID-19 pandemic has affected our business and results of operations, see our Quarterly Report on Form 10-Q for the quarter ended December 31, 2020, including “Item 2. Management's Discussion and Analysis of Financial Condition and Results of Operations – COVID-19 Developments”.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For more information on how the COVID-19 pandemic may impact our ability to comply with the covenants of the Credit Facility, see our Quarterly Report on Form 10-Q for the quarter ended December 31, 2020, including “Item 2. Management's Discussion and Analysis of Financial Condition and Results of Operations – COVID-19 Developments”.</w:t>
      </w:r>
    </w:p>
    <w:p>
      <w:pPr>
        <w:sectPr>
          <w:pgSz w:w="11900" w:h="16838" w:orient="portrait"/>
          <w:cols w:equalWidth="0" w:num="1">
            <w:col w:w="11240"/>
          </w:cols>
          <w:pgMar w:left="320" w:top="111" w:right="339" w:bottom="0" w:gutter="0" w:footer="0" w:header="0"/>
        </w:sectPr>
      </w:pPr>
    </w:p>
    <w:bookmarkStart w:id="6" w:name="page7"/>
    <w:bookmarkEnd w:id="6"/>
    <w:p>
      <w:pPr>
        <w:jc w:val="both"/>
        <w:spacing w:after="0"/>
        <w:rPr>
          <w:sz w:val="20"/>
          <w:szCs w:val="20"/>
          <w:color w:val="auto"/>
        </w:rPr>
      </w:pPr>
      <w:r>
        <w:rPr>
          <w:rFonts w:ascii="Times New Roman" w:cs="Times New Roman" w:eastAsia="Times New Roman" w:hAnsi="Times New Roman"/>
          <w:sz w:val="22"/>
          <w:szCs w:val="22"/>
          <w:color w:val="auto"/>
        </w:rPr>
        <w:t>The annualized weighted average cost of debt for the three months ended December 31, 2020 and 2019, inclusive of the fee on the undrawn commitment under the Credit Facilities and amortized upfront fees on SBA debentures, was 3.4% and 5.0%, respectively. As of December 31, 2020 and September 30, 2020, we had $119.5 million and $86.7 million of unused borrowing capacity under the Credit Facility, respectively, subject to leverage and borrowing base restrictions.</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of December 31, 2020 and September 30, 2020, we had $355.5 million and $388.3 million, respectively, in outstanding borrowings under the Credit Facility. The Credit Facility had a weighted average interest rate of 2.4% and 2.5%, respectively, exclusive of the fee on undrawn commitments, as of December 31, 2020 and September 30, 2020.</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of December 31, 2020 and September 30, 2020, we had cash and cash equivalents of $20.2 million and $25.8 million, respectively, available for investing and general corporate purposes. We believe our liquidity and capital resources are sufficient to take advantage of market opportunities.</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Our operating activities provided cash of $35.0 million for the three months ended December 31, 2020, and our financing activities used cash of $40.8 million for the same period. Our operating activities provided cash primarily for our investment activities and our financing activities used cash primarily to pay down the Credit Facility.</w:t>
      </w:r>
    </w:p>
    <w:p>
      <w:pPr>
        <w:spacing w:after="0" w:line="173"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Our operating activities used cash of $71.3 million for the three months ended December 31, 2019 and our financing activities provided cash of $43.8 million for the same period. Our operating activities used cash primarily for our investment activities and our financing activities provided cash primarily from net borrowings under our Credit Facilities.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DISTRIBUTIONS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During the three months ended December 31, 2020, we declared distributions of $0.12 per share, for total distributions of $8.0 million. For the same period in the prior year, we declared distributions of $0.18 per share, respectively, for total distributions of $12.1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 or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AVAILABLE INFORMATION</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Company makes available on its website its Quarterly Report on Form 10-Q filed with the SEC and stockholders may find such report on its website at www.pennantpark.com.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AND SUBSIDIARIES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ASSETS AND LIABILITIES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6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0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w w:val="97"/>
              </w:rPr>
              <w:t>December 31, 2020</w:t>
            </w:r>
          </w:p>
        </w:tc>
        <w:tc>
          <w:tcPr>
            <w:tcW w:w="220" w:type="dxa"/>
            <w:vAlign w:val="bottom"/>
          </w:tcPr>
          <w:p>
            <w:pPr>
              <w:spacing w:after="0"/>
              <w:rPr>
                <w:sz w:val="23"/>
                <w:szCs w:val="23"/>
                <w:color w:val="auto"/>
              </w:rPr>
            </w:pPr>
          </w:p>
        </w:tc>
        <w:tc>
          <w:tcPr>
            <w:tcW w:w="202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September 30, 2020</w:t>
            </w:r>
          </w:p>
        </w:tc>
        <w:tc>
          <w:tcPr>
            <w:tcW w:w="0" w:type="dxa"/>
            <w:vAlign w:val="bottom"/>
          </w:tcPr>
          <w:p>
            <w:pPr>
              <w:spacing w:after="0"/>
              <w:rPr>
                <w:sz w:val="1"/>
                <w:szCs w:val="1"/>
                <w:color w:val="auto"/>
              </w:rPr>
            </w:pPr>
          </w:p>
        </w:tc>
      </w:tr>
      <w:tr>
        <w:trPr>
          <w:trHeight w:val="287"/>
        </w:trPr>
        <w:tc>
          <w:tcPr>
            <w:tcW w:w="684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22"/>
                <w:szCs w:val="22"/>
                <w:b w:val="1"/>
                <w:bCs w:val="1"/>
                <w:color w:val="auto"/>
              </w:rPr>
              <w:t>(unaudited)</w:t>
            </w:r>
          </w:p>
        </w:tc>
        <w:tc>
          <w:tcPr>
            <w:tcW w:w="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Times New Roman" w:cs="Times New Roman" w:eastAsia="Times New Roman" w:hAnsi="Times New Roman"/>
                <w:sz w:val="22"/>
                <w:szCs w:val="22"/>
                <w:color w:val="auto"/>
              </w:rPr>
              <w:t>Investments at fair value</w:t>
            </w:r>
          </w:p>
        </w:tc>
        <w:tc>
          <w:tcPr>
            <w:tcW w:w="1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Non-controlled, non-affiliated investments (cost—$634,147,235 and</w:t>
            </w: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$713,683,209, respectively)</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749,948,744</w:t>
            </w:r>
          </w:p>
        </w:tc>
        <w:tc>
          <w:tcPr>
            <w:tcW w:w="660" w:type="dxa"/>
            <w:vAlign w:val="bottom"/>
            <w:gridSpan w:val="2"/>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735,674,666</w:t>
            </w:r>
          </w:p>
        </w:tc>
        <w:tc>
          <w:tcPr>
            <w:tcW w:w="0" w:type="dxa"/>
            <w:vAlign w:val="bottom"/>
          </w:tcPr>
          <w:p>
            <w:pPr>
              <w:spacing w:after="0"/>
              <w:rPr>
                <w:sz w:val="1"/>
                <w:szCs w:val="1"/>
                <w:color w:val="auto"/>
              </w:rPr>
            </w:pPr>
          </w:p>
        </w:tc>
      </w:tr>
      <w:tr>
        <w:trPr>
          <w:trHeight w:val="243"/>
        </w:trPr>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Non-controlled, affiliated investments (cost—$104,375,033 and</w:t>
            </w: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$77,628,920, respectively)</w:t>
            </w: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62,002,633</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27,753,893</w:t>
            </w:r>
          </w:p>
        </w:tc>
        <w:tc>
          <w:tcPr>
            <w:tcW w:w="0" w:type="dxa"/>
            <w:vAlign w:val="bottom"/>
          </w:tcPr>
          <w:p>
            <w:pPr>
              <w:spacing w:after="0"/>
              <w:rPr>
                <w:sz w:val="1"/>
                <w:szCs w:val="1"/>
                <w:color w:val="auto"/>
              </w:rPr>
            </w:pPr>
          </w:p>
        </w:tc>
      </w:tr>
      <w:tr>
        <w:trPr>
          <w:trHeight w:val="243"/>
        </w:trPr>
        <w:tc>
          <w:tcPr>
            <w:tcW w:w="68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Controlled, affiliated investments (cost—$378,901,433 and</w:t>
            </w: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8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$374,260,162, respectively)</w:t>
            </w: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315,139,688</w:t>
            </w:r>
          </w:p>
        </w:tc>
        <w:tc>
          <w:tcPr>
            <w:tcW w:w="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318,342,859</w:t>
            </w:r>
          </w:p>
        </w:tc>
        <w:tc>
          <w:tcPr>
            <w:tcW w:w="0" w:type="dxa"/>
            <w:vAlign w:val="bottom"/>
          </w:tcPr>
          <w:p>
            <w:pPr>
              <w:spacing w:after="0"/>
              <w:rPr>
                <w:sz w:val="1"/>
                <w:szCs w:val="1"/>
                <w:color w:val="auto"/>
              </w:rPr>
            </w:pPr>
          </w:p>
        </w:tc>
      </w:tr>
      <w:tr>
        <w:trPr>
          <w:trHeight w:val="211"/>
        </w:trPr>
        <w:tc>
          <w:tcPr>
            <w:tcW w:w="6840" w:type="dxa"/>
            <w:vAlign w:val="bottom"/>
          </w:tcPr>
          <w:p>
            <w:pPr>
              <w:ind w:left="200"/>
              <w:spacing w:after="0" w:line="210" w:lineRule="exact"/>
              <w:rPr>
                <w:sz w:val="20"/>
                <w:szCs w:val="20"/>
                <w:color w:val="auto"/>
              </w:rPr>
            </w:pPr>
            <w:r>
              <w:rPr>
                <w:rFonts w:ascii="Times New Roman" w:cs="Times New Roman" w:eastAsia="Times New Roman" w:hAnsi="Times New Roman"/>
                <w:sz w:val="22"/>
                <w:szCs w:val="22"/>
                <w:color w:val="auto"/>
              </w:rPr>
              <w:t>Total of investments (cost—$1,117,423,701 and $1,165,572,291,</w:t>
            </w:r>
          </w:p>
        </w:tc>
        <w:tc>
          <w:tcPr>
            <w:tcW w:w="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respectively)</w:t>
            </w: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1,127,091,065</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1,081,771,418</w:t>
            </w:r>
          </w:p>
        </w:tc>
        <w:tc>
          <w:tcPr>
            <w:tcW w:w="0" w:type="dxa"/>
            <w:vAlign w:val="bottom"/>
          </w:tcPr>
          <w:p>
            <w:pPr>
              <w:spacing w:after="0"/>
              <w:rPr>
                <w:sz w:val="1"/>
                <w:szCs w:val="1"/>
                <w:color w:val="auto"/>
              </w:rPr>
            </w:pPr>
          </w:p>
        </w:tc>
      </w:tr>
      <w:tr>
        <w:trPr>
          <w:trHeight w:val="243"/>
        </w:trPr>
        <w:tc>
          <w:tcPr>
            <w:tcW w:w="6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Cash and cash equivalents (cost—$20,114,225 and $25,801,087,</w:t>
            </w: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Times New Roman" w:cs="Times New Roman" w:eastAsia="Times New Roman" w:hAnsi="Times New Roman"/>
                <w:sz w:val="22"/>
                <w:szCs w:val="22"/>
                <w:color w:val="auto"/>
              </w:rPr>
              <w:t>respectively)</w:t>
            </w: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20,157,299</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25,806,002</w:t>
            </w: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Times New Roman" w:cs="Times New Roman" w:eastAsia="Times New Roman" w:hAnsi="Times New Roman"/>
                <w:sz w:val="22"/>
                <w:szCs w:val="22"/>
                <w:color w:val="auto"/>
              </w:rPr>
              <w:t>Interest receivable</w:t>
            </w: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5,121,432</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5,005,715</w:t>
            </w: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Times New Roman" w:cs="Times New Roman" w:eastAsia="Times New Roman" w:hAnsi="Times New Roman"/>
                <w:sz w:val="22"/>
                <w:szCs w:val="22"/>
                <w:color w:val="auto"/>
              </w:rPr>
              <w:t>Distribution receivable</w:t>
            </w: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1,089,000</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1,393,716</w:t>
            </w:r>
          </w:p>
        </w:tc>
        <w:tc>
          <w:tcPr>
            <w:tcW w:w="0" w:type="dxa"/>
            <w:vAlign w:val="bottom"/>
          </w:tcPr>
          <w:p>
            <w:pPr>
              <w:spacing w:after="0"/>
              <w:rPr>
                <w:sz w:val="1"/>
                <w:szCs w:val="1"/>
                <w:color w:val="auto"/>
              </w:rPr>
            </w:pPr>
          </w:p>
        </w:tc>
      </w:tr>
      <w:tr>
        <w:trPr>
          <w:trHeight w:val="282"/>
        </w:trPr>
        <w:tc>
          <w:tcPr>
            <w:tcW w:w="6840" w:type="dxa"/>
            <w:vAlign w:val="bottom"/>
          </w:tcPr>
          <w:p>
            <w:pPr>
              <w:spacing w:after="0"/>
              <w:rPr>
                <w:sz w:val="20"/>
                <w:szCs w:val="20"/>
                <w:color w:val="auto"/>
              </w:rPr>
            </w:pPr>
            <w:r>
              <w:rPr>
                <w:rFonts w:ascii="Times New Roman" w:cs="Times New Roman" w:eastAsia="Times New Roman" w:hAnsi="Times New Roman"/>
                <w:sz w:val="22"/>
                <w:szCs w:val="22"/>
                <w:color w:val="auto"/>
              </w:rPr>
              <w:t>Prepaid expenses and other assets</w:t>
            </w: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376,573</w:t>
            </w:r>
          </w:p>
        </w:tc>
        <w:tc>
          <w:tcPr>
            <w:tcW w:w="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376,030</w:t>
            </w:r>
          </w:p>
        </w:tc>
        <w:tc>
          <w:tcPr>
            <w:tcW w:w="0" w:type="dxa"/>
            <w:vAlign w:val="bottom"/>
          </w:tcPr>
          <w:p>
            <w:pPr>
              <w:spacing w:after="0"/>
              <w:rPr>
                <w:sz w:val="1"/>
                <w:szCs w:val="1"/>
                <w:color w:val="auto"/>
              </w:rPr>
            </w:pPr>
          </w:p>
        </w:tc>
      </w:tr>
      <w:tr>
        <w:trPr>
          <w:trHeight w:val="265"/>
        </w:trPr>
        <w:tc>
          <w:tcPr>
            <w:tcW w:w="684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auto"/>
              </w:rPr>
              <w:t>Total assets</w:t>
            </w:r>
          </w:p>
        </w:tc>
        <w:tc>
          <w:tcPr>
            <w:tcW w:w="14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1,153,835,369</w:t>
            </w:r>
          </w:p>
        </w:tc>
        <w:tc>
          <w:tcPr>
            <w:tcW w:w="2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1,114,352,881</w:t>
            </w:r>
          </w:p>
        </w:tc>
        <w:tc>
          <w:tcPr>
            <w:tcW w:w="0" w:type="dxa"/>
            <w:vAlign w:val="bottom"/>
          </w:tcPr>
          <w:p>
            <w:pPr>
              <w:spacing w:after="0"/>
              <w:rPr>
                <w:sz w:val="1"/>
                <w:szCs w:val="1"/>
                <w:color w:val="auto"/>
              </w:rPr>
            </w:pPr>
          </w:p>
        </w:tc>
      </w:tr>
      <w:tr>
        <w:trPr>
          <w:trHeight w:val="250"/>
        </w:trPr>
        <w:tc>
          <w:tcPr>
            <w:tcW w:w="684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Liabilities</w:t>
            </w:r>
          </w:p>
        </w:tc>
        <w:tc>
          <w:tcPr>
            <w:tcW w:w="1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Times New Roman" w:cs="Times New Roman" w:eastAsia="Times New Roman" w:hAnsi="Times New Roman"/>
                <w:sz w:val="22"/>
                <w:szCs w:val="22"/>
                <w:color w:val="auto"/>
              </w:rPr>
              <w:t>Distributions payable</w:t>
            </w: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8,045,413</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8,045,413</w:t>
            </w: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Times New Roman" w:cs="Times New Roman" w:eastAsia="Times New Roman" w:hAnsi="Times New Roman"/>
                <w:sz w:val="22"/>
                <w:szCs w:val="22"/>
                <w:color w:val="auto"/>
              </w:rPr>
              <w:t>Payable for investments purchased</w:t>
            </w:r>
          </w:p>
        </w:tc>
        <w:tc>
          <w:tcPr>
            <w:tcW w:w="14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139,220</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5,461,508</w:t>
            </w:r>
          </w:p>
        </w:tc>
        <w:tc>
          <w:tcPr>
            <w:tcW w:w="0" w:type="dxa"/>
            <w:vAlign w:val="bottom"/>
          </w:tcPr>
          <w:p>
            <w:pPr>
              <w:spacing w:after="0"/>
              <w:rPr>
                <w:sz w:val="1"/>
                <w:szCs w:val="1"/>
                <w:color w:val="auto"/>
              </w:rPr>
            </w:pPr>
          </w:p>
        </w:tc>
      </w:tr>
      <w:tr>
        <w:trPr>
          <w:trHeight w:val="282"/>
        </w:trPr>
        <w:tc>
          <w:tcPr>
            <w:tcW w:w="6840" w:type="dxa"/>
            <w:vAlign w:val="bottom"/>
          </w:tcPr>
          <w:p>
            <w:pPr>
              <w:spacing w:after="0"/>
              <w:rPr>
                <w:sz w:val="20"/>
                <w:szCs w:val="20"/>
                <w:color w:val="auto"/>
              </w:rPr>
            </w:pPr>
            <w:r>
              <w:rPr>
                <w:rFonts w:ascii="Times New Roman" w:cs="Times New Roman" w:eastAsia="Times New Roman" w:hAnsi="Times New Roman"/>
                <w:sz w:val="22"/>
                <w:szCs w:val="22"/>
                <w:color w:val="auto"/>
              </w:rPr>
              <w:t>Truist Credit Facility payable, at fair value (cost—$355,544,900 and</w:t>
            </w:r>
          </w:p>
        </w:tc>
        <w:tc>
          <w:tcPr>
            <w:tcW w:w="14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349,104,144</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368,701,972</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sectPr>
      </w:pPr>
    </w:p>
    <w:bookmarkStart w:id="7" w:name="page8"/>
    <w:bookmarkEnd w:id="7"/>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840" w:type="dxa"/>
            <w:vAlign w:val="bottom"/>
          </w:tcPr>
          <w:p>
            <w:pPr>
              <w:spacing w:after="0"/>
              <w:rPr>
                <w:sz w:val="20"/>
                <w:szCs w:val="20"/>
                <w:color w:val="auto"/>
              </w:rPr>
            </w:pPr>
            <w:r>
              <w:rPr>
                <w:rFonts w:ascii="Times New Roman" w:cs="Times New Roman" w:eastAsia="Times New Roman" w:hAnsi="Times New Roman"/>
                <w:sz w:val="22"/>
                <w:szCs w:val="22"/>
                <w:color w:val="auto"/>
              </w:rPr>
              <w:t>$388,252,000, respectively)</w:t>
            </w:r>
          </w:p>
        </w:tc>
        <w:tc>
          <w:tcPr>
            <w:tcW w:w="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Times New Roman" w:cs="Times New Roman" w:eastAsia="Times New Roman" w:hAnsi="Times New Roman"/>
                <w:sz w:val="22"/>
                <w:szCs w:val="22"/>
                <w:color w:val="auto"/>
              </w:rPr>
              <w:t>2024 Notes payable, net (par—$86,250,000 and $86,250,000, respectively)</w:t>
            </w:r>
          </w:p>
        </w:tc>
        <w:tc>
          <w:tcPr>
            <w:tcW w:w="4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84,003,935</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83,837,560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SBA debentures payable, net (par—$118,500,000 and $118,500,000,</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Times New Roman" w:cs="Times New Roman" w:eastAsia="Times New Roman" w:hAnsi="Times New Roman"/>
                <w:sz w:val="22"/>
                <w:szCs w:val="22"/>
                <w:color w:val="auto"/>
              </w:rPr>
              <w:t>respectively)</w:t>
            </w:r>
          </w:p>
        </w:tc>
        <w:tc>
          <w:tcPr>
            <w:tcW w:w="4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115,862,617</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115,772,677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Times New Roman" w:cs="Times New Roman" w:eastAsia="Times New Roman" w:hAnsi="Times New Roman"/>
                <w:sz w:val="22"/>
                <w:szCs w:val="22"/>
                <w:color w:val="auto"/>
              </w:rPr>
              <w:t>Base management fee payable, net</w:t>
            </w:r>
          </w:p>
        </w:tc>
        <w:tc>
          <w:tcPr>
            <w:tcW w:w="4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4,114,428</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4,369,637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Times New Roman" w:cs="Times New Roman" w:eastAsia="Times New Roman" w:hAnsi="Times New Roman"/>
                <w:sz w:val="22"/>
                <w:szCs w:val="22"/>
                <w:color w:val="auto"/>
              </w:rPr>
              <w:t>Interest payable on debt</w:t>
            </w:r>
          </w:p>
        </w:tc>
        <w:tc>
          <w:tcPr>
            <w:tcW w:w="4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2,971,453</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2,022,614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6840" w:type="dxa"/>
            <w:vAlign w:val="bottom"/>
          </w:tcPr>
          <w:p>
            <w:pPr>
              <w:spacing w:after="0"/>
              <w:rPr>
                <w:sz w:val="20"/>
                <w:szCs w:val="20"/>
                <w:color w:val="auto"/>
              </w:rPr>
            </w:pPr>
            <w:r>
              <w:rPr>
                <w:rFonts w:ascii="Times New Roman" w:cs="Times New Roman" w:eastAsia="Times New Roman" w:hAnsi="Times New Roman"/>
                <w:sz w:val="22"/>
                <w:szCs w:val="22"/>
                <w:color w:val="auto"/>
              </w:rPr>
              <w:t>Accrued other expenses</w:t>
            </w:r>
          </w:p>
        </w:tc>
        <w:tc>
          <w:tcPr>
            <w:tcW w:w="4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796,969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432,648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84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auto"/>
              </w:rPr>
              <w:t>Total liabilities</w:t>
            </w:r>
          </w:p>
        </w:tc>
        <w:tc>
          <w:tcPr>
            <w:tcW w:w="4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565,038,179</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588,644,029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6840" w:type="dxa"/>
            <w:vAlign w:val="bottom"/>
          </w:tcPr>
          <w:p>
            <w:pPr>
              <w:spacing w:after="0" w:line="245" w:lineRule="exact"/>
              <w:rPr>
                <w:sz w:val="20"/>
                <w:szCs w:val="20"/>
                <w:color w:val="auto"/>
              </w:rPr>
            </w:pPr>
            <w:r>
              <w:rPr>
                <w:rFonts w:ascii="Times New Roman" w:cs="Times New Roman" w:eastAsia="Times New Roman" w:hAnsi="Times New Roman"/>
                <w:sz w:val="22"/>
                <w:szCs w:val="22"/>
                <w:color w:val="auto"/>
              </w:rPr>
              <w:t>Commitments and contingencies</w:t>
            </w:r>
          </w:p>
        </w:tc>
        <w:tc>
          <w:tcPr>
            <w:tcW w:w="46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assets</w:t>
            </w:r>
          </w:p>
        </w:tc>
        <w:tc>
          <w:tcPr>
            <w:tcW w:w="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67,045,105 and 67,045,105 shares issued and outstanding,</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Times New Roman" w:cs="Times New Roman" w:eastAsia="Times New Roman" w:hAnsi="Times New Roman"/>
                <w:sz w:val="22"/>
                <w:szCs w:val="22"/>
                <w:color w:val="auto"/>
              </w:rPr>
              <w:t>respectively</w:t>
            </w:r>
          </w:p>
        </w:tc>
        <w:tc>
          <w:tcPr>
            <w:tcW w:w="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Par value $0.001 per share and 100,000,000 shares authorized</w:t>
            </w:r>
          </w:p>
        </w:tc>
        <w:tc>
          <w:tcPr>
            <w:tcW w:w="4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67,045</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67,045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Times New Roman" w:cs="Times New Roman" w:eastAsia="Times New Roman" w:hAnsi="Times New Roman"/>
                <w:sz w:val="22"/>
                <w:szCs w:val="22"/>
                <w:color w:val="auto"/>
              </w:rPr>
              <w:t>Paid-in capital in excess of par value</w:t>
            </w:r>
          </w:p>
        </w:tc>
        <w:tc>
          <w:tcPr>
            <w:tcW w:w="4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787,625,031</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787,625,031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6840" w:type="dxa"/>
            <w:vAlign w:val="bottom"/>
          </w:tcPr>
          <w:p>
            <w:pPr>
              <w:spacing w:after="0"/>
              <w:rPr>
                <w:sz w:val="20"/>
                <w:szCs w:val="20"/>
                <w:color w:val="auto"/>
              </w:rPr>
            </w:pPr>
            <w:r>
              <w:rPr>
                <w:rFonts w:ascii="Times New Roman" w:cs="Times New Roman" w:eastAsia="Times New Roman" w:hAnsi="Times New Roman"/>
                <w:sz w:val="22"/>
                <w:szCs w:val="22"/>
                <w:color w:val="auto"/>
              </w:rPr>
              <w:t>Accumulated distributable net loss</w:t>
            </w:r>
          </w:p>
        </w:tc>
        <w:tc>
          <w:tcPr>
            <w:tcW w:w="460" w:type="dxa"/>
            <w:vAlign w:val="bottom"/>
          </w:tcPr>
          <w:p>
            <w:pPr>
              <w:spacing w:after="0"/>
              <w:rPr>
                <w:sz w:val="24"/>
                <w:szCs w:val="24"/>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(198,894,886)</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(261,983,224)</w:t>
            </w:r>
          </w:p>
        </w:tc>
        <w:tc>
          <w:tcPr>
            <w:tcW w:w="0" w:type="dxa"/>
            <w:vAlign w:val="bottom"/>
          </w:tcPr>
          <w:p>
            <w:pPr>
              <w:spacing w:after="0"/>
              <w:rPr>
                <w:sz w:val="1"/>
                <w:szCs w:val="1"/>
                <w:color w:val="auto"/>
              </w:rPr>
            </w:pPr>
          </w:p>
        </w:tc>
      </w:tr>
      <w:tr>
        <w:trPr>
          <w:trHeight w:val="265"/>
        </w:trPr>
        <w:tc>
          <w:tcPr>
            <w:tcW w:w="684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auto"/>
              </w:rPr>
              <w:t>Total net assets</w:t>
            </w:r>
          </w:p>
        </w:tc>
        <w:tc>
          <w:tcPr>
            <w:tcW w:w="46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w w:val="9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588,797,190</w:t>
            </w:r>
          </w:p>
        </w:tc>
        <w:tc>
          <w:tcPr>
            <w:tcW w:w="2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2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525,708,852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84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auto"/>
              </w:rPr>
              <w:t>Total liabilities and net assets</w:t>
            </w:r>
          </w:p>
        </w:tc>
        <w:tc>
          <w:tcPr>
            <w:tcW w:w="4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w w:val="90"/>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1,153,835,369</w:t>
            </w:r>
          </w:p>
        </w:tc>
        <w:tc>
          <w:tcPr>
            <w:tcW w:w="220" w:type="dxa"/>
            <w:vAlign w:val="bottom"/>
          </w:tcPr>
          <w:p>
            <w:pPr>
              <w:spacing w:after="0"/>
              <w:rPr>
                <w:sz w:val="22"/>
                <w:szCs w:val="22"/>
                <w:color w:val="auto"/>
              </w:rPr>
            </w:pPr>
          </w:p>
        </w:tc>
        <w:tc>
          <w:tcPr>
            <w:tcW w:w="440" w:type="dxa"/>
            <w:vAlign w:val="bottom"/>
            <w:tcBorders>
              <w:bottom w:val="single" w:sz="8" w:color="auto"/>
            </w:tcBorders>
            <w:gridSpan w:val="2"/>
          </w:tcPr>
          <w:p>
            <w:pPr>
              <w:jc w:val="right"/>
              <w:ind w:right="254"/>
              <w:spacing w:after="0"/>
              <w:rPr>
                <w:sz w:val="20"/>
                <w:szCs w:val="20"/>
                <w:color w:val="auto"/>
              </w:rPr>
            </w:pPr>
            <w:r>
              <w:rPr>
                <w:rFonts w:ascii="Times New Roman" w:cs="Times New Roman" w:eastAsia="Times New Roman" w:hAnsi="Times New Roman"/>
                <w:sz w:val="22"/>
                <w:szCs w:val="22"/>
                <w:color w:val="auto"/>
                <w:w w:val="72"/>
              </w:rPr>
              <w:t>$</w:t>
            </w:r>
          </w:p>
        </w:tc>
        <w:tc>
          <w:tcPr>
            <w:tcW w:w="1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1,114,352,881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asset value per share</w:t>
            </w:r>
          </w:p>
        </w:tc>
        <w:tc>
          <w:tcPr>
            <w:tcW w:w="4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w w:val="90"/>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8.78</w:t>
            </w:r>
          </w:p>
        </w:tc>
        <w:tc>
          <w:tcPr>
            <w:tcW w:w="220" w:type="dxa"/>
            <w:vAlign w:val="bottom"/>
          </w:tcPr>
          <w:p>
            <w:pPr>
              <w:spacing w:after="0"/>
              <w:rPr>
                <w:sz w:val="22"/>
                <w:szCs w:val="22"/>
                <w:color w:val="auto"/>
              </w:rPr>
            </w:pPr>
          </w:p>
        </w:tc>
        <w:tc>
          <w:tcPr>
            <w:tcW w:w="20" w:type="dxa"/>
            <w:vAlign w:val="bottom"/>
            <w:tcBorders>
              <w:bottom w:val="single" w:sz="8" w:color="auto"/>
            </w:tcBorders>
            <w:vMerge w:val="continue"/>
          </w:tcPr>
          <w:p>
            <w:pPr>
              <w:spacing w:after="0"/>
              <w:rPr>
                <w:sz w:val="22"/>
                <w:szCs w:val="22"/>
                <w:color w:val="auto"/>
              </w:rPr>
            </w:pPr>
          </w:p>
        </w:tc>
        <w:tc>
          <w:tcPr>
            <w:tcW w:w="4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7.84</w:t>
            </w:r>
          </w:p>
        </w:tc>
        <w:tc>
          <w:tcPr>
            <w:tcW w:w="20" w:type="dxa"/>
            <w:vAlign w:val="bottom"/>
            <w:tcBorders>
              <w:bottom w:val="single" w:sz="8" w:color="auto"/>
            </w:tcBorders>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360" w:right="2120"/>
        <w:spacing w:after="0" w:line="246" w:lineRule="auto"/>
        <w:rPr>
          <w:sz w:val="20"/>
          <w:szCs w:val="20"/>
          <w:color w:val="auto"/>
        </w:rPr>
      </w:pPr>
      <w:r>
        <w:rPr>
          <w:rFonts w:ascii="Times New Roman" w:cs="Times New Roman" w:eastAsia="Times New Roman" w:hAnsi="Times New Roman"/>
          <w:sz w:val="22"/>
          <w:szCs w:val="22"/>
          <w:b w:val="1"/>
          <w:bCs w:val="1"/>
          <w:color w:val="auto"/>
        </w:rPr>
        <w:t>PENNANTPARK INVESTMENT CORPORATION AND SUBSIDIARIES CONSOLIDATED STATEMENTS OF OPERATIONS (Unaudited)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40" w:type="dxa"/>
            <w:vAlign w:val="bottom"/>
            <w:gridSpan w:val="6"/>
          </w:tcPr>
          <w:p>
            <w:pPr>
              <w:jc w:val="right"/>
              <w:ind w:right="560"/>
              <w:spacing w:after="0"/>
              <w:rPr>
                <w:sz w:val="20"/>
                <w:szCs w:val="20"/>
                <w:color w:val="auto"/>
              </w:rPr>
            </w:pPr>
            <w:r>
              <w:rPr>
                <w:rFonts w:ascii="Times New Roman" w:cs="Times New Roman" w:eastAsia="Times New Roman" w:hAnsi="Times New Roman"/>
                <w:sz w:val="22"/>
                <w:szCs w:val="22"/>
                <w:b w:val="1"/>
                <w:bCs w:val="1"/>
                <w:color w:val="auto"/>
              </w:rPr>
              <w:t>Three Months Ended December 31,</w:t>
            </w:r>
          </w:p>
        </w:tc>
        <w:tc>
          <w:tcPr>
            <w:tcW w:w="0" w:type="dxa"/>
            <w:vAlign w:val="bottom"/>
          </w:tcPr>
          <w:p>
            <w:pPr>
              <w:spacing w:after="0"/>
              <w:rPr>
                <w:sz w:val="1"/>
                <w:szCs w:val="1"/>
                <w:color w:val="auto"/>
              </w:rPr>
            </w:pPr>
          </w:p>
        </w:tc>
      </w:tr>
      <w:tr>
        <w:trPr>
          <w:trHeight w:val="264"/>
        </w:trPr>
        <w:tc>
          <w:tcPr>
            <w:tcW w:w="684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Investment income:</w:t>
            </w:r>
          </w:p>
        </w:tc>
        <w:tc>
          <w:tcPr>
            <w:tcW w:w="30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b w:val="1"/>
                <w:bCs w:val="1"/>
                <w:color w:val="auto"/>
              </w:rPr>
              <w:t>2020</w:t>
            </w:r>
          </w:p>
        </w:tc>
        <w:tc>
          <w:tcPr>
            <w:tcW w:w="1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580" w:type="dxa"/>
            <w:vAlign w:val="bottom"/>
            <w:tcBorders>
              <w:top w:val="single" w:sz="8" w:color="auto"/>
              <w:bottom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b w:val="1"/>
                <w:bCs w:val="1"/>
                <w:color w:val="auto"/>
              </w:rPr>
              <w:t>2019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8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Times New Roman" w:cs="Times New Roman" w:eastAsia="Times New Roman" w:hAnsi="Times New Roman"/>
                <w:sz w:val="22"/>
                <w:szCs w:val="22"/>
                <w:color w:val="auto"/>
              </w:rPr>
              <w:t>From non-controlled, non-affiliated investments:</w:t>
            </w:r>
          </w:p>
        </w:tc>
        <w:tc>
          <w:tcPr>
            <w:tcW w:w="3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Interest</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11,432,511</w:t>
            </w:r>
          </w:p>
        </w:tc>
        <w:tc>
          <w:tcPr>
            <w:tcW w:w="140" w:type="dxa"/>
            <w:vAlign w:val="bottom"/>
          </w:tcPr>
          <w:p>
            <w:pPr>
              <w:spacing w:after="0"/>
              <w:rPr>
                <w:sz w:val="23"/>
                <w:szCs w:val="23"/>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22"/>
                <w:szCs w:val="22"/>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20,384,914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Payment-in-kind</w:t>
            </w:r>
          </w:p>
        </w:tc>
        <w:tc>
          <w:tcPr>
            <w:tcW w:w="3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1,458,798</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1,884,506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income</w:t>
            </w:r>
          </w:p>
        </w:tc>
        <w:tc>
          <w:tcPr>
            <w:tcW w:w="3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481,125</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189,918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Times New Roman" w:cs="Times New Roman" w:eastAsia="Times New Roman" w:hAnsi="Times New Roman"/>
                <w:sz w:val="22"/>
                <w:szCs w:val="22"/>
                <w:color w:val="auto"/>
              </w:rPr>
              <w:t>From non-controlled, affiliated investments:</w:t>
            </w:r>
          </w:p>
        </w:tc>
        <w:tc>
          <w:tcPr>
            <w:tcW w:w="3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Payment-in-kind</w:t>
            </w:r>
          </w:p>
        </w:tc>
        <w:tc>
          <w:tcPr>
            <w:tcW w:w="3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76,727</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Times New Roman" w:cs="Times New Roman" w:eastAsia="Times New Roman" w:hAnsi="Times New Roman"/>
                <w:sz w:val="22"/>
                <w:szCs w:val="22"/>
                <w:color w:val="auto"/>
              </w:rPr>
              <w:t>From controlled, affiliated investments:</w:t>
            </w:r>
          </w:p>
        </w:tc>
        <w:tc>
          <w:tcPr>
            <w:tcW w:w="3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Interest</w:t>
            </w:r>
          </w:p>
        </w:tc>
        <w:tc>
          <w:tcPr>
            <w:tcW w:w="3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2,276,776</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635,615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Payment-in-kind</w:t>
            </w:r>
          </w:p>
        </w:tc>
        <w:tc>
          <w:tcPr>
            <w:tcW w:w="3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1,485,523</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2,908,812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6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Dividend income</w:t>
            </w:r>
          </w:p>
        </w:tc>
        <w:tc>
          <w:tcPr>
            <w:tcW w:w="3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1,521,000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5"/>
        </w:trPr>
        <w:tc>
          <w:tcPr>
            <w:tcW w:w="684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Total investment income</w:t>
            </w:r>
          </w:p>
        </w:tc>
        <w:tc>
          <w:tcPr>
            <w:tcW w:w="300" w:type="dxa"/>
            <w:vAlign w:val="bottom"/>
            <w:tcBorders>
              <w:top w:val="single" w:sz="8" w:color="auto"/>
              <w:bottom w:val="single" w:sz="8" w:color="auto"/>
            </w:tcBorders>
          </w:tcPr>
          <w:p>
            <w:pPr>
              <w:spacing w:after="0"/>
              <w:rPr>
                <w:sz w:val="23"/>
                <w:szCs w:val="23"/>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18,732,460</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Borders>
              <w:top w:val="single" w:sz="8" w:color="auto"/>
              <w:bottom w:val="single" w:sz="8" w:color="auto"/>
            </w:tcBorders>
          </w:tcPr>
          <w:p>
            <w:pPr>
              <w:spacing w:after="0"/>
              <w:rPr>
                <w:sz w:val="23"/>
                <w:szCs w:val="23"/>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26,003,765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84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Expenses:</w:t>
            </w:r>
          </w:p>
        </w:tc>
        <w:tc>
          <w:tcPr>
            <w:tcW w:w="3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Base management fee</w:t>
            </w:r>
          </w:p>
        </w:tc>
        <w:tc>
          <w:tcPr>
            <w:tcW w:w="3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4,114,428</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4,742,430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Performance-based incentive fee</w:t>
            </w:r>
          </w:p>
        </w:tc>
        <w:tc>
          <w:tcPr>
            <w:tcW w:w="300" w:type="dxa"/>
            <w:vAlign w:val="bottom"/>
          </w:tcPr>
          <w:p>
            <w:pPr>
              <w:spacing w:after="0"/>
              <w:rPr>
                <w:sz w:val="23"/>
                <w:szCs w:val="23"/>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744,626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Interest and expenses on debt</w:t>
            </w:r>
          </w:p>
        </w:tc>
        <w:tc>
          <w:tcPr>
            <w:tcW w:w="3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5,004,131</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8,866,549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Administrative services expenses</w:t>
            </w:r>
          </w:p>
        </w:tc>
        <w:tc>
          <w:tcPr>
            <w:tcW w:w="3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505,020</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521,520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6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general and administrative expenses</w:t>
            </w: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643,483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643,480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840" w:type="dxa"/>
            <w:vAlign w:val="bottom"/>
          </w:tcPr>
          <w:p>
            <w:pPr>
              <w:ind w:left="260"/>
              <w:spacing w:after="0" w:line="206" w:lineRule="exact"/>
              <w:rPr>
                <w:sz w:val="20"/>
                <w:szCs w:val="20"/>
                <w:color w:val="auto"/>
              </w:rPr>
            </w:pPr>
            <w:r>
              <w:rPr>
                <w:rFonts w:ascii="Times New Roman" w:cs="Times New Roman" w:eastAsia="Times New Roman" w:hAnsi="Times New Roman"/>
                <w:sz w:val="22"/>
                <w:szCs w:val="22"/>
                <w:b w:val="1"/>
                <w:bCs w:val="1"/>
                <w:color w:val="auto"/>
              </w:rPr>
              <w:t>Expenses before performance-based incentive fee waiver and</w:t>
            </w: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684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provision for taxes</w:t>
            </w: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10,267,062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15,518,605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840" w:type="dxa"/>
            <w:vAlign w:val="bottom"/>
          </w:tcPr>
          <w:p>
            <w:pPr>
              <w:ind w:left="260"/>
              <w:spacing w:after="0" w:line="251" w:lineRule="exact"/>
              <w:rPr>
                <w:sz w:val="20"/>
                <w:szCs w:val="20"/>
                <w:color w:val="auto"/>
              </w:rPr>
            </w:pPr>
            <w:r>
              <w:rPr>
                <w:rFonts w:ascii="Times New Roman" w:cs="Times New Roman" w:eastAsia="Times New Roman" w:hAnsi="Times New Roman"/>
                <w:sz w:val="22"/>
                <w:szCs w:val="22"/>
                <w:color w:val="auto"/>
              </w:rPr>
              <w:t>Performance-based incentive fee waiver</w:t>
            </w:r>
          </w:p>
        </w:tc>
        <w:tc>
          <w:tcPr>
            <w:tcW w:w="300" w:type="dxa"/>
            <w:vAlign w:val="bottom"/>
          </w:tcPr>
          <w:p>
            <w:pPr>
              <w:spacing w:after="0"/>
              <w:rPr>
                <w:sz w:val="21"/>
                <w:szCs w:val="21"/>
                <w:color w:val="auto"/>
              </w:rPr>
            </w:pPr>
          </w:p>
        </w:tc>
        <w:tc>
          <w:tcPr>
            <w:tcW w:w="174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Provision for taxes</w:t>
            </w: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150,000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300,000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84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Net expenses</w:t>
            </w:r>
          </w:p>
        </w:tc>
        <w:tc>
          <w:tcPr>
            <w:tcW w:w="3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10,417,062</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15,818,605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84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Net investment income</w:t>
            </w:r>
          </w:p>
        </w:tc>
        <w:tc>
          <w:tcPr>
            <w:tcW w:w="3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8,315,398</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10,185,160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84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Realized and unrealized gain on investments and debt:</w:t>
            </w:r>
          </w:p>
        </w:tc>
        <w:tc>
          <w:tcPr>
            <w:tcW w:w="3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Times New Roman" w:cs="Times New Roman" w:eastAsia="Times New Roman" w:hAnsi="Times New Roman"/>
                <w:sz w:val="22"/>
                <w:szCs w:val="22"/>
                <w:color w:val="auto"/>
              </w:rPr>
              <w:t>Net realized loss on investments on:</w:t>
            </w:r>
          </w:p>
        </w:tc>
        <w:tc>
          <w:tcPr>
            <w:tcW w:w="3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Non-controlled, non-affiliated investments</w:t>
            </w:r>
          </w:p>
        </w:tc>
        <w:tc>
          <w:tcPr>
            <w:tcW w:w="3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2,130,958</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(12,034,153)</w:t>
            </w:r>
          </w:p>
        </w:tc>
        <w:tc>
          <w:tcPr>
            <w:tcW w:w="0" w:type="dxa"/>
            <w:vAlign w:val="bottom"/>
          </w:tcPr>
          <w:p>
            <w:pPr>
              <w:spacing w:after="0"/>
              <w:rPr>
                <w:sz w:val="1"/>
                <w:szCs w:val="1"/>
                <w:color w:val="auto"/>
              </w:rPr>
            </w:pPr>
          </w:p>
        </w:tc>
      </w:tr>
      <w:tr>
        <w:trPr>
          <w:trHeight w:val="282"/>
        </w:trPr>
        <w:tc>
          <w:tcPr>
            <w:tcW w:w="6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Non-controlled and controlled, affiliated investments</w:t>
            </w:r>
          </w:p>
        </w:tc>
        <w:tc>
          <w:tcPr>
            <w:tcW w:w="300" w:type="dxa"/>
            <w:vAlign w:val="bottom"/>
          </w:tcPr>
          <w:p>
            <w:pPr>
              <w:spacing w:after="0"/>
              <w:rPr>
                <w:sz w:val="24"/>
                <w:szCs w:val="24"/>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(19,708,359)</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5"/>
        </w:trPr>
        <w:tc>
          <w:tcPr>
            <w:tcW w:w="684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Net realized loss on investments</w:t>
            </w:r>
          </w:p>
        </w:tc>
        <w:tc>
          <w:tcPr>
            <w:tcW w:w="300" w:type="dxa"/>
            <w:vAlign w:val="bottom"/>
            <w:tcBorders>
              <w:top w:val="single" w:sz="8" w:color="auto"/>
              <w:bottom w:val="single" w:sz="8" w:color="auto"/>
            </w:tcBorders>
          </w:tcPr>
          <w:p>
            <w:pPr>
              <w:spacing w:after="0"/>
              <w:rPr>
                <w:sz w:val="23"/>
                <w:szCs w:val="23"/>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(17,577,401)</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Borders>
              <w:top w:val="single" w:sz="8" w:color="auto"/>
              <w:bottom w:val="single" w:sz="8" w:color="auto"/>
            </w:tcBorders>
          </w:tcPr>
          <w:p>
            <w:pPr>
              <w:spacing w:after="0"/>
              <w:rPr>
                <w:sz w:val="23"/>
                <w:szCs w:val="23"/>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(12,034,153)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84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change in unrealized appreciation on:</w:t>
            </w:r>
          </w:p>
        </w:tc>
        <w:tc>
          <w:tcPr>
            <w:tcW w:w="3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Non-controlled, non-affiliated investments</w:t>
            </w:r>
          </w:p>
        </w:tc>
        <w:tc>
          <w:tcPr>
            <w:tcW w:w="3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76,405,417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17,052,596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180"/>
          </w:cols>
          <w:pgMar w:left="340" w:top="111" w:right="37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6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Non-controlled and controlled, affiliated investments</w:t>
            </w:r>
          </w:p>
        </w:tc>
        <w:tc>
          <w:tcPr>
            <w:tcW w:w="5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17,099,609</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6,570,228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68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Debt appreciation</w:t>
            </w:r>
          </w:p>
        </w:tc>
        <w:tc>
          <w:tcPr>
            <w:tcW w:w="560" w:type="dxa"/>
            <w:vAlign w:val="bottom"/>
          </w:tcPr>
          <w:p>
            <w:pPr>
              <w:spacing w:after="0"/>
              <w:rPr>
                <w:sz w:val="24"/>
                <w:szCs w:val="24"/>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(13,109,272)</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(2,571,321)</w:t>
            </w:r>
          </w:p>
        </w:tc>
        <w:tc>
          <w:tcPr>
            <w:tcW w:w="0" w:type="dxa"/>
            <w:vAlign w:val="bottom"/>
          </w:tcPr>
          <w:p>
            <w:pPr>
              <w:spacing w:after="0"/>
              <w:rPr>
                <w:sz w:val="1"/>
                <w:szCs w:val="1"/>
                <w:color w:val="auto"/>
              </w:rPr>
            </w:pPr>
          </w:p>
        </w:tc>
      </w:tr>
      <w:tr>
        <w:trPr>
          <w:trHeight w:val="265"/>
        </w:trPr>
        <w:tc>
          <w:tcPr>
            <w:tcW w:w="684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Net change in unrealized appreciation on investments and debt</w:t>
            </w:r>
          </w:p>
        </w:tc>
        <w:tc>
          <w:tcPr>
            <w:tcW w:w="560" w:type="dxa"/>
            <w:vAlign w:val="bottom"/>
            <w:tcBorders>
              <w:top w:val="single" w:sz="8" w:color="auto"/>
              <w:bottom w:val="single" w:sz="8" w:color="auto"/>
            </w:tcBorders>
          </w:tcPr>
          <w:p>
            <w:pPr>
              <w:spacing w:after="0"/>
              <w:rPr>
                <w:sz w:val="23"/>
                <w:szCs w:val="23"/>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80,395,754</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Borders>
              <w:top w:val="single" w:sz="8" w:color="auto"/>
              <w:bottom w:val="single" w:sz="8" w:color="auto"/>
            </w:tcBorders>
          </w:tcPr>
          <w:p>
            <w:pPr>
              <w:spacing w:after="0"/>
              <w:rPr>
                <w:sz w:val="23"/>
                <w:szCs w:val="23"/>
                <w:color w:val="auto"/>
              </w:rPr>
            </w:pPr>
          </w:p>
        </w:tc>
        <w:tc>
          <w:tcPr>
            <w:tcW w:w="14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21,051,503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realized and unrealized gain from investments and debt</w:t>
            </w:r>
          </w:p>
        </w:tc>
        <w:tc>
          <w:tcPr>
            <w:tcW w:w="5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62,818,353</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9,017,350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increase in net assets resulting from operations</w:t>
            </w:r>
          </w:p>
        </w:tc>
        <w:tc>
          <w:tcPr>
            <w:tcW w:w="5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71,133,751</w:t>
            </w:r>
          </w:p>
        </w:tc>
        <w:tc>
          <w:tcPr>
            <w:tcW w:w="2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19,202,510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840" w:type="dxa"/>
            <w:vAlign w:val="bottom"/>
          </w:tcPr>
          <w:p>
            <w:pPr>
              <w:spacing w:after="0"/>
              <w:rPr>
                <w:sz w:val="20"/>
                <w:szCs w:val="20"/>
                <w:color w:val="auto"/>
              </w:rPr>
            </w:pPr>
            <w:r>
              <w:rPr>
                <w:rFonts w:ascii="Times New Roman" w:cs="Times New Roman" w:eastAsia="Times New Roman" w:hAnsi="Times New Roman"/>
                <w:sz w:val="22"/>
                <w:szCs w:val="22"/>
                <w:color w:val="auto"/>
              </w:rPr>
              <w:t>Net increase in net assets resulting from operations per common share</w:t>
            </w:r>
          </w:p>
        </w:tc>
        <w:tc>
          <w:tcPr>
            <w:tcW w:w="5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1.06</w:t>
            </w:r>
          </w:p>
        </w:tc>
        <w:tc>
          <w:tcPr>
            <w:tcW w:w="220" w:type="dxa"/>
            <w:vAlign w:val="bottom"/>
          </w:tcPr>
          <w:p>
            <w:pPr>
              <w:spacing w:after="0"/>
              <w:rPr>
                <w:sz w:val="22"/>
                <w:szCs w:val="22"/>
                <w:color w:val="auto"/>
              </w:rPr>
            </w:pPr>
          </w:p>
        </w:tc>
        <w:tc>
          <w:tcPr>
            <w:tcW w:w="20" w:type="dxa"/>
            <w:vAlign w:val="bottom"/>
            <w:tcBorders>
              <w:bottom w:val="single" w:sz="8" w:color="auto"/>
            </w:tcBorders>
            <w:vMerge w:val="continue"/>
          </w:tcPr>
          <w:p>
            <w:pPr>
              <w:spacing w:after="0"/>
              <w:rPr>
                <w:sz w:val="22"/>
                <w:szCs w:val="22"/>
                <w:color w:val="auto"/>
              </w:rPr>
            </w:pPr>
          </w:p>
        </w:tc>
        <w:tc>
          <w:tcPr>
            <w:tcW w:w="5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0.29</w:t>
            </w:r>
          </w:p>
        </w:tc>
        <w:tc>
          <w:tcPr>
            <w:tcW w:w="20" w:type="dxa"/>
            <w:vAlign w:val="bottom"/>
            <w:tcBorders>
              <w:bottom w:val="single" w:sz="8" w:color="auto"/>
            </w:tcBorders>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6840" w:type="dxa"/>
            <w:vAlign w:val="bottom"/>
          </w:tcPr>
          <w:p>
            <w:pPr>
              <w:spacing w:after="0"/>
              <w:rPr>
                <w:sz w:val="20"/>
                <w:szCs w:val="20"/>
                <w:color w:val="auto"/>
              </w:rPr>
            </w:pPr>
            <w:r>
              <w:rPr>
                <w:rFonts w:ascii="Times New Roman" w:cs="Times New Roman" w:eastAsia="Times New Roman" w:hAnsi="Times New Roman"/>
                <w:sz w:val="22"/>
                <w:szCs w:val="22"/>
                <w:color w:val="auto"/>
              </w:rPr>
              <w:t>Net investment income per common share</w:t>
            </w:r>
          </w:p>
        </w:tc>
        <w:tc>
          <w:tcPr>
            <w:tcW w:w="5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color w:val="auto"/>
                <w:w w:val="9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0.12</w:t>
            </w:r>
          </w:p>
        </w:tc>
        <w:tc>
          <w:tcPr>
            <w:tcW w:w="220" w:type="dxa"/>
            <w:vAlign w:val="bottom"/>
          </w:tcPr>
          <w:p>
            <w:pPr>
              <w:spacing w:after="0"/>
              <w:rPr>
                <w:sz w:val="22"/>
                <w:szCs w:val="22"/>
                <w:color w:val="auto"/>
              </w:rPr>
            </w:pPr>
          </w:p>
        </w:tc>
        <w:tc>
          <w:tcPr>
            <w:tcW w:w="20" w:type="dxa"/>
            <w:vAlign w:val="bottom"/>
            <w:tcBorders>
              <w:bottom w:val="single" w:sz="8" w:color="auto"/>
            </w:tcBorders>
            <w:vMerge w:val="continue"/>
          </w:tcPr>
          <w:p>
            <w:pPr>
              <w:spacing w:after="0"/>
              <w:rPr>
                <w:sz w:val="22"/>
                <w:szCs w:val="22"/>
                <w:color w:val="auto"/>
              </w:rPr>
            </w:pPr>
          </w:p>
        </w:tc>
        <w:tc>
          <w:tcPr>
            <w:tcW w:w="5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0.15</w:t>
            </w:r>
          </w:p>
        </w:tc>
        <w:tc>
          <w:tcPr>
            <w:tcW w:w="20" w:type="dxa"/>
            <w:vAlign w:val="bottom"/>
            <w:tcBorders>
              <w:bottom w:val="single" w:sz="8" w:color="auto"/>
            </w:tcBorders>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68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PENNANTPARK INVESTMENT CORPORATION</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invests primarily in U.S. middle-market companies in the form of first lien secured debt, second lien secured debt, subordinated debt and equity investments. PennantPark Investment Corporation is managed by PennantPark Investment Advisers, LLC.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PENNANTPARK INVESTMENT ADVISERS, LLC</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which today has $3.5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as well as changes in the economy and risks associated with possible disruption in the Company’s operations or the economy generally due to terrorism, natural disasters or pandemics such as COVID-19. The Company undertakes no duty to update any forward-looking statement made herein. You should not place undue influence on such forward-looking statements as such statements speak only as of the date on which they are made.</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94"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22"/>
          <w:szCs w:val="22"/>
          <w:color w:val="auto"/>
        </w:rPr>
        <w:t>CONTACT:</w:t>
        <w:tab/>
        <w:t>Aviv Efrat</w:t>
      </w:r>
    </w:p>
    <w:p>
      <w:pPr>
        <w:spacing w:after="0" w:line="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PennantPark Investment Corporation</w:t>
      </w:r>
    </w:p>
    <w:p>
      <w:pPr>
        <w:ind w:left="1380" w:right="7860" w:hanging="9"/>
        <w:spacing w:after="0" w:line="258" w:lineRule="auto"/>
        <w:tabs>
          <w:tab w:leader="none" w:pos="190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905-1000 </w:t>
      </w:r>
      <w:r>
        <w:rPr>
          <w:rFonts w:ascii="Times New Roman" w:cs="Times New Roman" w:eastAsia="Times New Roman" w:hAnsi="Times New Roman"/>
          <w:sz w:val="21"/>
          <w:szCs w:val="21"/>
          <w:u w:val="single" w:color="auto"/>
          <w:color w:val="auto"/>
        </w:rPr>
        <w:t>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2021-02-09T15:06:04Z</dcterms:created>
  <dcterms:modified xsi:type="dcterms:W3CDTF">2021-02-09T15:06:04Z</dcterms:modified>
</cp:coreProperties>
</file>