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39"/>
        <w:spacing w:after="0"/>
        <w:rPr>
          <w:sz w:val="20"/>
          <w:szCs w:val="20"/>
          <w:color w:val="auto"/>
        </w:rPr>
      </w:pPr>
      <w:r>
        <w:rPr>
          <w:rFonts w:ascii="Arial" w:cs="Arial" w:eastAsia="Arial" w:hAnsi="Arial"/>
          <w:sz w:val="22"/>
          <w:szCs w:val="22"/>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2096770</wp:posOffset>
            </wp:positionH>
            <wp:positionV relativeFrom="paragraph">
              <wp:posOffset>132715</wp:posOffset>
            </wp:positionV>
            <wp:extent cx="295719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957195" cy="8890"/>
                    </a:xfrm>
                    <a:prstGeom prst="rect">
                      <a:avLst/>
                    </a:prstGeom>
                    <a:noFill/>
                  </pic:spPr>
                </pic:pic>
              </a:graphicData>
            </a:graphic>
          </wp:anchor>
        </w:drawing>
      </w:r>
    </w:p>
    <w:p>
      <w:pPr>
        <w:spacing w:after="0" w:line="392" w:lineRule="exact"/>
        <w:rPr>
          <w:sz w:val="24"/>
          <w:szCs w:val="24"/>
          <w:color w:val="auto"/>
        </w:rPr>
      </w:pPr>
    </w:p>
    <w:p>
      <w:pPr>
        <w:ind w:left="5100"/>
        <w:spacing w:after="0"/>
        <w:rPr>
          <w:sz w:val="20"/>
          <w:szCs w:val="20"/>
          <w:color w:val="auto"/>
        </w:rPr>
      </w:pPr>
      <w:r>
        <w:rPr>
          <w:rFonts w:ascii="Arial" w:cs="Arial" w:eastAsia="Arial" w:hAnsi="Arial"/>
          <w:sz w:val="22"/>
          <w:szCs w:val="22"/>
          <w:b w:val="1"/>
          <w:bCs w:val="1"/>
          <w:color w:val="auto"/>
        </w:rPr>
        <w:t>FORM 8-K</w:t>
      </w:r>
    </w:p>
    <w:p>
      <w:pPr>
        <w:spacing w:after="0" w:line="206" w:lineRule="exact"/>
        <w:rPr>
          <w:sz w:val="24"/>
          <w:szCs w:val="24"/>
          <w:color w:val="auto"/>
        </w:rPr>
      </w:pPr>
    </w:p>
    <w:p>
      <w:pPr>
        <w:ind w:left="4620"/>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ind w:left="3900"/>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Exchange Act of 1934</w:t>
      </w:r>
    </w:p>
    <w:p>
      <w:pPr>
        <w:spacing w:after="0" w:line="223"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Date of Report: November 14, 2012</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(Date of earliest event reported)</w:t>
      </w:r>
    </w:p>
    <w:p>
      <w:pPr>
        <w:spacing w:after="0" w:line="20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PennantPark Investment Corporation</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(Exact name of registrant as specified in its charter)</w:t>
      </w:r>
    </w:p>
    <w:p>
      <w:pPr>
        <w:spacing w:after="0" w:line="205"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4620" w:type="dxa"/>
            <w:vAlign w:val="bottom"/>
          </w:tcPr>
          <w:p>
            <w:pPr>
              <w:jc w:val="center"/>
              <w:ind w:right="72"/>
              <w:spacing w:after="0"/>
              <w:rPr>
                <w:sz w:val="20"/>
                <w:szCs w:val="20"/>
                <w:color w:val="auto"/>
              </w:rPr>
            </w:pPr>
            <w:r>
              <w:rPr>
                <w:rFonts w:ascii="Arial" w:cs="Arial" w:eastAsia="Arial" w:hAnsi="Arial"/>
                <w:sz w:val="22"/>
                <w:szCs w:val="22"/>
                <w:b w:val="1"/>
                <w:bCs w:val="1"/>
                <w:color w:val="auto"/>
                <w:w w:val="95"/>
              </w:rPr>
              <w:t>Maryland</w:t>
            </w:r>
          </w:p>
        </w:tc>
        <w:tc>
          <w:tcPr>
            <w:tcW w:w="2540" w:type="dxa"/>
            <w:vAlign w:val="bottom"/>
          </w:tcPr>
          <w:p>
            <w:pPr>
              <w:jc w:val="center"/>
              <w:ind w:right="492"/>
              <w:spacing w:after="0"/>
              <w:rPr>
                <w:sz w:val="20"/>
                <w:szCs w:val="20"/>
                <w:color w:val="auto"/>
              </w:rPr>
            </w:pPr>
            <w:r>
              <w:rPr>
                <w:rFonts w:ascii="Arial" w:cs="Arial" w:eastAsia="Arial" w:hAnsi="Arial"/>
                <w:sz w:val="22"/>
                <w:szCs w:val="22"/>
                <w:b w:val="1"/>
                <w:bCs w:val="1"/>
                <w:color w:val="auto"/>
                <w:w w:val="89"/>
              </w:rPr>
              <w:t>814-00736</w:t>
            </w:r>
          </w:p>
        </w:tc>
        <w:tc>
          <w:tcPr>
            <w:tcW w:w="2800" w:type="dxa"/>
            <w:vAlign w:val="bottom"/>
          </w:tcPr>
          <w:p>
            <w:pPr>
              <w:jc w:val="right"/>
              <w:ind w:right="372"/>
              <w:spacing w:after="0"/>
              <w:rPr>
                <w:sz w:val="20"/>
                <w:szCs w:val="20"/>
                <w:color w:val="auto"/>
              </w:rPr>
            </w:pPr>
            <w:r>
              <w:rPr>
                <w:rFonts w:ascii="Arial" w:cs="Arial" w:eastAsia="Arial" w:hAnsi="Arial"/>
                <w:sz w:val="22"/>
                <w:szCs w:val="22"/>
                <w:b w:val="1"/>
                <w:bCs w:val="1"/>
                <w:color w:val="auto"/>
              </w:rPr>
              <w:t>20-8250744</w:t>
            </w:r>
          </w:p>
        </w:tc>
      </w:tr>
      <w:tr>
        <w:trPr>
          <w:trHeight w:val="243"/>
        </w:trPr>
        <w:tc>
          <w:tcPr>
            <w:tcW w:w="4620" w:type="dxa"/>
            <w:vAlign w:val="bottom"/>
          </w:tcPr>
          <w:p>
            <w:pPr>
              <w:jc w:val="center"/>
              <w:ind w:right="132"/>
              <w:spacing w:after="0" w:line="243" w:lineRule="exact"/>
              <w:rPr>
                <w:sz w:val="20"/>
                <w:szCs w:val="20"/>
                <w:color w:val="auto"/>
              </w:rPr>
            </w:pPr>
            <w:r>
              <w:rPr>
                <w:rFonts w:ascii="Arial" w:cs="Arial" w:eastAsia="Arial" w:hAnsi="Arial"/>
                <w:sz w:val="22"/>
                <w:szCs w:val="22"/>
                <w:color w:val="auto"/>
                <w:w w:val="90"/>
              </w:rPr>
              <w:t>(State or other jurisdiction</w:t>
            </w:r>
          </w:p>
        </w:tc>
        <w:tc>
          <w:tcPr>
            <w:tcW w:w="2540" w:type="dxa"/>
            <w:vAlign w:val="bottom"/>
          </w:tcPr>
          <w:p>
            <w:pPr>
              <w:jc w:val="center"/>
              <w:ind w:right="492"/>
              <w:spacing w:after="0" w:line="243" w:lineRule="exact"/>
              <w:rPr>
                <w:sz w:val="20"/>
                <w:szCs w:val="20"/>
                <w:color w:val="auto"/>
              </w:rPr>
            </w:pPr>
            <w:r>
              <w:rPr>
                <w:rFonts w:ascii="Arial" w:cs="Arial" w:eastAsia="Arial" w:hAnsi="Arial"/>
                <w:sz w:val="22"/>
                <w:szCs w:val="22"/>
                <w:color w:val="auto"/>
                <w:w w:val="90"/>
              </w:rPr>
              <w:t>(Commission File</w:t>
            </w:r>
          </w:p>
        </w:tc>
        <w:tc>
          <w:tcPr>
            <w:tcW w:w="2800" w:type="dxa"/>
            <w:vAlign w:val="bottom"/>
          </w:tcPr>
          <w:p>
            <w:pPr>
              <w:jc w:val="center"/>
              <w:ind w:left="632"/>
              <w:spacing w:after="0" w:line="243" w:lineRule="exact"/>
              <w:rPr>
                <w:sz w:val="20"/>
                <w:szCs w:val="20"/>
                <w:color w:val="auto"/>
              </w:rPr>
            </w:pPr>
            <w:r>
              <w:rPr>
                <w:rFonts w:ascii="Arial" w:cs="Arial" w:eastAsia="Arial" w:hAnsi="Arial"/>
                <w:sz w:val="22"/>
                <w:szCs w:val="22"/>
                <w:color w:val="auto"/>
                <w:w w:val="90"/>
              </w:rPr>
              <w:t>(IRS Employer</w:t>
            </w:r>
          </w:p>
        </w:tc>
      </w:tr>
      <w:tr>
        <w:trPr>
          <w:trHeight w:val="274"/>
        </w:trPr>
        <w:tc>
          <w:tcPr>
            <w:tcW w:w="4620" w:type="dxa"/>
            <w:vAlign w:val="bottom"/>
          </w:tcPr>
          <w:p>
            <w:pPr>
              <w:jc w:val="center"/>
              <w:ind w:right="72"/>
              <w:spacing w:after="0"/>
              <w:rPr>
                <w:sz w:val="20"/>
                <w:szCs w:val="20"/>
                <w:color w:val="auto"/>
              </w:rPr>
            </w:pPr>
            <w:r>
              <w:rPr>
                <w:rFonts w:ascii="Arial" w:cs="Arial" w:eastAsia="Arial" w:hAnsi="Arial"/>
                <w:sz w:val="22"/>
                <w:szCs w:val="22"/>
                <w:color w:val="auto"/>
                <w:w w:val="93"/>
              </w:rPr>
              <w:t>of incorporation)</w:t>
            </w:r>
          </w:p>
        </w:tc>
        <w:tc>
          <w:tcPr>
            <w:tcW w:w="2540" w:type="dxa"/>
            <w:vAlign w:val="bottom"/>
          </w:tcPr>
          <w:p>
            <w:pPr>
              <w:jc w:val="center"/>
              <w:ind w:right="492"/>
              <w:spacing w:after="0"/>
              <w:rPr>
                <w:sz w:val="20"/>
                <w:szCs w:val="20"/>
                <w:color w:val="auto"/>
              </w:rPr>
            </w:pPr>
            <w:r>
              <w:rPr>
                <w:rFonts w:ascii="Arial" w:cs="Arial" w:eastAsia="Arial" w:hAnsi="Arial"/>
                <w:sz w:val="22"/>
                <w:szCs w:val="22"/>
                <w:color w:val="auto"/>
                <w:w w:val="91"/>
              </w:rPr>
              <w:t>Number)</w:t>
            </w:r>
          </w:p>
        </w:tc>
        <w:tc>
          <w:tcPr>
            <w:tcW w:w="2800" w:type="dxa"/>
            <w:vAlign w:val="bottom"/>
          </w:tcPr>
          <w:p>
            <w:pPr>
              <w:jc w:val="center"/>
              <w:ind w:left="692"/>
              <w:spacing w:after="0"/>
              <w:rPr>
                <w:sz w:val="20"/>
                <w:szCs w:val="20"/>
                <w:color w:val="auto"/>
              </w:rPr>
            </w:pPr>
            <w:r>
              <w:rPr>
                <w:rFonts w:ascii="Arial" w:cs="Arial" w:eastAsia="Arial" w:hAnsi="Arial"/>
                <w:sz w:val="22"/>
                <w:szCs w:val="22"/>
                <w:color w:val="auto"/>
                <w:w w:val="92"/>
              </w:rPr>
              <w:t>Identification Number)</w:t>
            </w:r>
          </w:p>
        </w:tc>
      </w:tr>
      <w:tr>
        <w:trPr>
          <w:trHeight w:val="455"/>
        </w:trPr>
        <w:tc>
          <w:tcPr>
            <w:tcW w:w="4620" w:type="dxa"/>
            <w:vAlign w:val="bottom"/>
          </w:tcPr>
          <w:p>
            <w:pPr>
              <w:jc w:val="center"/>
              <w:ind w:right="92"/>
              <w:spacing w:after="0"/>
              <w:rPr>
                <w:sz w:val="20"/>
                <w:szCs w:val="20"/>
                <w:color w:val="auto"/>
              </w:rPr>
            </w:pPr>
            <w:r>
              <w:rPr>
                <w:rFonts w:ascii="Arial" w:cs="Arial" w:eastAsia="Arial" w:hAnsi="Arial"/>
                <w:sz w:val="22"/>
                <w:szCs w:val="22"/>
                <w:b w:val="1"/>
                <w:bCs w:val="1"/>
                <w:color w:val="auto"/>
                <w:w w:val="89"/>
              </w:rPr>
              <w:t>590 Madison Avenue, 15th Floor, New York, NY</w:t>
            </w:r>
          </w:p>
        </w:tc>
        <w:tc>
          <w:tcPr>
            <w:tcW w:w="2540" w:type="dxa"/>
            <w:vAlign w:val="bottom"/>
          </w:tcPr>
          <w:p>
            <w:pPr>
              <w:spacing w:after="0"/>
              <w:rPr>
                <w:sz w:val="24"/>
                <w:szCs w:val="24"/>
                <w:color w:val="auto"/>
              </w:rPr>
            </w:pPr>
          </w:p>
        </w:tc>
        <w:tc>
          <w:tcPr>
            <w:tcW w:w="2800" w:type="dxa"/>
            <w:vAlign w:val="bottom"/>
          </w:tcPr>
          <w:p>
            <w:pPr>
              <w:jc w:val="right"/>
              <w:ind w:right="632"/>
              <w:spacing w:after="0"/>
              <w:rPr>
                <w:sz w:val="20"/>
                <w:szCs w:val="20"/>
                <w:color w:val="auto"/>
              </w:rPr>
            </w:pPr>
            <w:r>
              <w:rPr>
                <w:rFonts w:ascii="Arial" w:cs="Arial" w:eastAsia="Arial" w:hAnsi="Arial"/>
                <w:sz w:val="22"/>
                <w:szCs w:val="22"/>
                <w:b w:val="1"/>
                <w:bCs w:val="1"/>
                <w:color w:val="auto"/>
              </w:rPr>
              <w:t>10022</w:t>
            </w:r>
          </w:p>
        </w:tc>
      </w:tr>
      <w:tr>
        <w:trPr>
          <w:trHeight w:val="274"/>
        </w:trPr>
        <w:tc>
          <w:tcPr>
            <w:tcW w:w="4620" w:type="dxa"/>
            <w:vAlign w:val="bottom"/>
          </w:tcPr>
          <w:p>
            <w:pPr>
              <w:jc w:val="center"/>
              <w:ind w:right="92"/>
              <w:spacing w:after="0"/>
              <w:rPr>
                <w:sz w:val="20"/>
                <w:szCs w:val="20"/>
                <w:color w:val="auto"/>
              </w:rPr>
            </w:pPr>
            <w:r>
              <w:rPr>
                <w:rFonts w:ascii="Arial" w:cs="Arial" w:eastAsia="Arial" w:hAnsi="Arial"/>
                <w:sz w:val="22"/>
                <w:szCs w:val="22"/>
                <w:color w:val="auto"/>
                <w:w w:val="90"/>
              </w:rPr>
              <w:t>(Address of principal executive offices)</w:t>
            </w:r>
          </w:p>
        </w:tc>
        <w:tc>
          <w:tcPr>
            <w:tcW w:w="2540" w:type="dxa"/>
            <w:vAlign w:val="bottom"/>
          </w:tcPr>
          <w:p>
            <w:pPr>
              <w:spacing w:after="0"/>
              <w:rPr>
                <w:sz w:val="23"/>
                <w:szCs w:val="23"/>
                <w:color w:val="auto"/>
              </w:rPr>
            </w:pPr>
          </w:p>
        </w:tc>
        <w:tc>
          <w:tcPr>
            <w:tcW w:w="2800" w:type="dxa"/>
            <w:vAlign w:val="bottom"/>
          </w:tcPr>
          <w:p>
            <w:pPr>
              <w:jc w:val="center"/>
              <w:ind w:left="692"/>
              <w:spacing w:after="0"/>
              <w:rPr>
                <w:sz w:val="20"/>
                <w:szCs w:val="20"/>
                <w:color w:val="auto"/>
              </w:rPr>
            </w:pPr>
            <w:r>
              <w:rPr>
                <w:rFonts w:ascii="Arial" w:cs="Arial" w:eastAsia="Arial" w:hAnsi="Arial"/>
                <w:sz w:val="22"/>
                <w:szCs w:val="22"/>
                <w:color w:val="auto"/>
                <w:w w:val="92"/>
              </w:rPr>
              <w:t>(Zip Code)</w:t>
            </w:r>
          </w:p>
        </w:tc>
      </w:tr>
    </w:tbl>
    <w:p>
      <w:pPr>
        <w:spacing w:after="0" w:line="206"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212-905-1000</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(Registrant's telephone number, including area code)</w:t>
      </w:r>
    </w:p>
    <w:p>
      <w:pPr>
        <w:spacing w:after="0" w:line="20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Not Applicable</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(Former Name or Former Address, if changed since last report)</w:t>
      </w:r>
    </w:p>
    <w:p>
      <w:pPr>
        <w:spacing w:after="0" w:line="200" w:lineRule="exact"/>
        <w:rPr>
          <w:sz w:val="24"/>
          <w:szCs w:val="24"/>
          <w:color w:val="auto"/>
        </w:rPr>
      </w:pPr>
    </w:p>
    <w:p>
      <w:pPr>
        <w:spacing w:after="0" w:line="200" w:lineRule="exact"/>
        <w:rPr>
          <w:sz w:val="24"/>
          <w:szCs w:val="24"/>
          <w:color w:val="auto"/>
        </w:rPr>
      </w:pPr>
    </w:p>
    <w:p>
      <w:pPr>
        <w:spacing w:after="0" w:line="274"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Check the appropriate box below if the Form 8-K filing is intended to simultaneously satisfy the filing obligation of the registrant under any of the following provisions:</w:t>
      </w:r>
    </w:p>
    <w:p>
      <w:pPr>
        <w:spacing w:after="0" w:line="175" w:lineRule="exact"/>
        <w:rPr>
          <w:sz w:val="24"/>
          <w:szCs w:val="24"/>
          <w:color w:val="auto"/>
        </w:rPr>
      </w:pPr>
    </w:p>
    <w:p>
      <w:pPr>
        <w:ind w:left="540"/>
        <w:spacing w:after="0"/>
        <w:rPr>
          <w:sz w:val="20"/>
          <w:szCs w:val="20"/>
          <w:color w:val="auto"/>
        </w:rPr>
      </w:pPr>
      <w:r>
        <w:rPr>
          <w:rFonts w:ascii="Arial" w:cs="Arial" w:eastAsia="Arial" w:hAnsi="Arial"/>
          <w:sz w:val="22"/>
          <w:szCs w:val="22"/>
          <w:color w:val="auto"/>
        </w:rPr>
        <w:t>o Written communications pursuant to Rule 425 under the Securities Act (17 CFR 230.425)</w:t>
      </w:r>
    </w:p>
    <w:p>
      <w:pPr>
        <w:ind w:left="540"/>
        <w:spacing w:after="0" w:line="238" w:lineRule="auto"/>
        <w:rPr>
          <w:sz w:val="20"/>
          <w:szCs w:val="20"/>
          <w:color w:val="auto"/>
        </w:rPr>
      </w:pPr>
      <w:r>
        <w:rPr>
          <w:rFonts w:ascii="Arial" w:cs="Arial" w:eastAsia="Arial" w:hAnsi="Arial"/>
          <w:sz w:val="22"/>
          <w:szCs w:val="22"/>
          <w:color w:val="auto"/>
        </w:rPr>
        <w:t>o Soliciting material pursuant to Rule 14a-12 under the Exchange Act (17 CFR 240.14a-12)</w:t>
      </w:r>
    </w:p>
    <w:p>
      <w:pPr>
        <w:ind w:left="540"/>
        <w:spacing w:after="0"/>
        <w:rPr>
          <w:sz w:val="20"/>
          <w:szCs w:val="20"/>
          <w:color w:val="auto"/>
        </w:rPr>
      </w:pPr>
      <w:r>
        <w:rPr>
          <w:rFonts w:ascii="Arial" w:cs="Arial" w:eastAsia="Arial" w:hAnsi="Arial"/>
          <w:sz w:val="21"/>
          <w:szCs w:val="21"/>
          <w:color w:val="auto"/>
        </w:rPr>
        <w:t>o Pre-commencement communications pursuant to Rule 14d-2(b) under the Exchange Act (17 CFR 240.14d-2(b))</w:t>
      </w:r>
    </w:p>
    <w:p>
      <w:pPr>
        <w:spacing w:after="0" w:line="2" w:lineRule="exact"/>
        <w:rPr>
          <w:sz w:val="24"/>
          <w:szCs w:val="24"/>
          <w:color w:val="auto"/>
        </w:rPr>
      </w:pPr>
    </w:p>
    <w:p>
      <w:pPr>
        <w:ind w:left="540"/>
        <w:spacing w:after="0"/>
        <w:rPr>
          <w:sz w:val="20"/>
          <w:szCs w:val="20"/>
          <w:color w:val="auto"/>
        </w:rPr>
      </w:pPr>
      <w:r>
        <w:rPr>
          <w:rFonts w:ascii="Arial" w:cs="Arial" w:eastAsia="Arial" w:hAnsi="Arial"/>
          <w:sz w:val="21"/>
          <w:szCs w:val="21"/>
          <w:color w:val="auto"/>
        </w:rPr>
        <w:t>o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6" w:lineRule="exact"/>
        <w:rPr>
          <w:sz w:val="24"/>
          <w:szCs w:val="24"/>
          <w:color w:val="auto"/>
        </w:rPr>
      </w:pPr>
    </w:p>
    <w:p>
      <w:pPr>
        <w:ind w:left="40"/>
        <w:spacing w:after="0"/>
        <w:rPr>
          <w:sz w:val="20"/>
          <w:szCs w:val="20"/>
          <w:color w:val="auto"/>
        </w:rPr>
      </w:pPr>
      <w:r>
        <w:rPr>
          <w:rFonts w:ascii="Arial" w:cs="Arial" w:eastAsia="Arial" w:hAnsi="Arial"/>
          <w:sz w:val="22"/>
          <w:szCs w:val="22"/>
          <w:b w:val="1"/>
          <w:bCs w:val="1"/>
          <w:color w:val="auto"/>
        </w:rPr>
        <w:t>Item 2.02. Results of Operations and Financial Condition</w:t>
      </w:r>
    </w:p>
    <w:p>
      <w:pPr>
        <w:spacing w:after="0" w:line="239" w:lineRule="exact"/>
        <w:rPr>
          <w:sz w:val="24"/>
          <w:szCs w:val="24"/>
          <w:color w:val="auto"/>
        </w:rPr>
      </w:pPr>
    </w:p>
    <w:p>
      <w:pPr>
        <w:ind w:left="40" w:right="40"/>
        <w:spacing w:after="0"/>
        <w:rPr>
          <w:sz w:val="20"/>
          <w:szCs w:val="20"/>
          <w:color w:val="auto"/>
        </w:rPr>
      </w:pPr>
      <w:r>
        <w:rPr>
          <w:rFonts w:ascii="Arial" w:cs="Arial" w:eastAsia="Arial" w:hAnsi="Arial"/>
          <w:sz w:val="22"/>
          <w:szCs w:val="22"/>
          <w:color w:val="auto"/>
        </w:rPr>
        <w:t>On November 14, 2012, PennantPark Investment Corporation issued a press release announcing its financial results for the quarter and fiscal year ended September 30, 2012. A copy of the press release is furnished as Exhibit 99.1 to this report pursuant to Item 2.02 on Form 8-K and Regulation FD.</w:t>
      </w:r>
    </w:p>
    <w:p>
      <w:pPr>
        <w:spacing w:after="0" w:line="213" w:lineRule="exact"/>
        <w:rPr>
          <w:sz w:val="24"/>
          <w:szCs w:val="24"/>
          <w:color w:val="auto"/>
        </w:rPr>
      </w:pPr>
    </w:p>
    <w:p>
      <w:pPr>
        <w:ind w:left="40" w:right="80"/>
        <w:spacing w:after="0" w:line="236" w:lineRule="auto"/>
        <w:rPr>
          <w:sz w:val="20"/>
          <w:szCs w:val="20"/>
          <w:color w:val="auto"/>
        </w:rPr>
      </w:pPr>
      <w:r>
        <w:rPr>
          <w:rFonts w:ascii="Arial" w:cs="Arial" w:eastAsia="Arial" w:hAnsi="Arial"/>
          <w:sz w:val="22"/>
          <w:szCs w:val="22"/>
          <w:color w:val="auto"/>
        </w:rPr>
        <w:t>The information in this report on Form 8-K, including Exhibit 99.1 furnished herewith, is being furnished and shall not be deemed "filed" for purposes of Section 18 of the Securities Exchange Act of 1934, as amended, or the Exchange Act, or otherwise subject to the liabilities of such section. The information in this report on Form 8-K shall not be deemed incorporated by reference in any filing under the Securities Act of 1933, as amended, or under the Exchange Act, except as shall be expressly set forth by specific reference in such filing.</w:t>
      </w:r>
    </w:p>
    <w:p>
      <w:pPr>
        <w:spacing w:after="0" w:line="181" w:lineRule="exact"/>
        <w:rPr>
          <w:sz w:val="24"/>
          <w:szCs w:val="24"/>
          <w:color w:val="auto"/>
        </w:rPr>
      </w:pPr>
    </w:p>
    <w:p>
      <w:pPr>
        <w:ind w:left="40"/>
        <w:spacing w:after="0"/>
        <w:rPr>
          <w:sz w:val="20"/>
          <w:szCs w:val="20"/>
          <w:color w:val="auto"/>
        </w:rPr>
      </w:pPr>
      <w:r>
        <w:rPr>
          <w:rFonts w:ascii="Arial" w:cs="Arial" w:eastAsia="Arial" w:hAnsi="Arial"/>
          <w:sz w:val="22"/>
          <w:szCs w:val="22"/>
          <w:b w:val="1"/>
          <w:bCs w:val="1"/>
          <w:color w:val="auto"/>
        </w:rPr>
        <w:t>Item 9.01. Financial Statements and Exhibits</w:t>
      </w:r>
    </w:p>
    <w:p>
      <w:pPr>
        <w:spacing w:after="0" w:line="200" w:lineRule="exact"/>
        <w:rPr>
          <w:sz w:val="24"/>
          <w:szCs w:val="24"/>
          <w:color w:val="auto"/>
        </w:rPr>
      </w:pPr>
    </w:p>
    <w:p>
      <w:pPr>
        <w:spacing w:after="0" w:line="249" w:lineRule="exact"/>
        <w:rPr>
          <w:sz w:val="24"/>
          <w:szCs w:val="24"/>
          <w:color w:val="auto"/>
        </w:rPr>
      </w:pPr>
    </w:p>
    <w:p>
      <w:pPr>
        <w:ind w:left="700" w:right="8880" w:hanging="652"/>
        <w:spacing w:after="0" w:line="280" w:lineRule="auto"/>
        <w:tabs>
          <w:tab w:leader="none" w:pos="358" w:val="left"/>
        </w:tabs>
        <w:numPr>
          <w:ilvl w:val="0"/>
          <w:numId w:val="1"/>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Financial statements: </w:t>
      </w:r>
      <w:r>
        <w:rPr>
          <w:rFonts w:ascii="Arial" w:cs="Arial" w:eastAsia="Arial" w:hAnsi="Arial"/>
          <w:sz w:val="19"/>
          <w:szCs w:val="19"/>
          <w:color w:val="auto"/>
        </w:rPr>
        <w:t>None</w:t>
      </w:r>
    </w:p>
    <w:p>
      <w:pPr>
        <w:ind w:left="700" w:right="7800" w:hanging="652"/>
        <w:spacing w:after="0" w:line="230" w:lineRule="auto"/>
        <w:tabs>
          <w:tab w:leader="none" w:pos="37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Pro forma financial information: </w:t>
      </w:r>
      <w:r>
        <w:rPr>
          <w:rFonts w:ascii="Arial" w:cs="Arial" w:eastAsia="Arial" w:hAnsi="Arial"/>
          <w:sz w:val="22"/>
          <w:szCs w:val="22"/>
          <w:color w:val="auto"/>
        </w:rPr>
        <w:t>None</w:t>
      </w:r>
    </w:p>
    <w:p>
      <w:pPr>
        <w:spacing w:after="0" w:line="1" w:lineRule="exact"/>
        <w:rPr>
          <w:rFonts w:ascii="Arial" w:cs="Arial" w:eastAsia="Arial" w:hAnsi="Arial"/>
          <w:sz w:val="22"/>
          <w:szCs w:val="22"/>
          <w:b w:val="1"/>
          <w:bCs w:val="1"/>
          <w:color w:val="auto"/>
        </w:rPr>
      </w:pPr>
    </w:p>
    <w:p>
      <w:pPr>
        <w:ind w:left="700" w:right="8260" w:hanging="652"/>
        <w:spacing w:after="0" w:line="230" w:lineRule="auto"/>
        <w:tabs>
          <w:tab w:leader="none" w:pos="346"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Shell company transactions: </w:t>
      </w:r>
      <w:r>
        <w:rPr>
          <w:rFonts w:ascii="Arial" w:cs="Arial" w:eastAsia="Arial" w:hAnsi="Arial"/>
          <w:sz w:val="22"/>
          <w:szCs w:val="22"/>
          <w:color w:val="auto"/>
        </w:rPr>
        <w:t>None</w:t>
      </w:r>
    </w:p>
    <w:p>
      <w:pPr>
        <w:spacing w:after="0" w:line="1" w:lineRule="exact"/>
        <w:rPr>
          <w:rFonts w:ascii="Arial" w:cs="Arial" w:eastAsia="Arial" w:hAnsi="Arial"/>
          <w:sz w:val="22"/>
          <w:szCs w:val="22"/>
          <w:b w:val="1"/>
          <w:bCs w:val="1"/>
          <w:color w:val="auto"/>
        </w:rPr>
      </w:pPr>
    </w:p>
    <w:p>
      <w:pPr>
        <w:ind w:left="360" w:hanging="312"/>
        <w:spacing w:after="0" w:line="230" w:lineRule="auto"/>
        <w:tabs>
          <w:tab w:leader="none" w:pos="36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Exhibits</w:t>
      </w:r>
    </w:p>
    <w:p>
      <w:pPr>
        <w:spacing w:after="0" w:line="1" w:lineRule="exact"/>
        <w:rPr>
          <w:sz w:val="24"/>
          <w:szCs w:val="24"/>
          <w:color w:val="auto"/>
        </w:rPr>
      </w:pPr>
    </w:p>
    <w:p>
      <w:pPr>
        <w:ind w:left="700"/>
        <w:spacing w:after="0"/>
        <w:tabs>
          <w:tab w:leader="none" w:pos="1440" w:val="left"/>
        </w:tabs>
        <w:rPr>
          <w:rFonts w:ascii="Arial" w:cs="Arial" w:eastAsia="Arial" w:hAnsi="Arial"/>
          <w:sz w:val="19"/>
          <w:szCs w:val="19"/>
          <w:u w:val="single" w:color="auto"/>
          <w:color w:val="0000EE"/>
        </w:rPr>
      </w:pPr>
      <w:r>
        <w:rPr>
          <w:rFonts w:ascii="Arial" w:cs="Arial" w:eastAsia="Arial" w:hAnsi="Arial"/>
          <w:sz w:val="22"/>
          <w:szCs w:val="22"/>
          <w:color w:val="auto"/>
        </w:rPr>
        <w:t>99.1</w:t>
      </w:r>
      <w:r>
        <w:rPr>
          <w:sz w:val="20"/>
          <w:szCs w:val="20"/>
          <w:color w:val="auto"/>
        </w:rPr>
        <w:tab/>
      </w:r>
      <w:hyperlink w:anchor="page3">
        <w:r>
          <w:rPr>
            <w:rFonts w:ascii="Arial" w:cs="Arial" w:eastAsia="Arial" w:hAnsi="Arial"/>
            <w:sz w:val="19"/>
            <w:szCs w:val="19"/>
            <w:u w:val="single" w:color="auto"/>
            <w:color w:val="0000EE"/>
          </w:rPr>
          <w:t>Press Release of PennantPark Investment Corporation dated November 14, 2012</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30480</wp:posOffset>
            </wp:positionH>
            <wp:positionV relativeFrom="paragraph">
              <wp:posOffset>132715</wp:posOffset>
            </wp:positionV>
            <wp:extent cx="708088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80885" cy="8890"/>
                    </a:xfrm>
                    <a:prstGeom prst="rect">
                      <a:avLst/>
                    </a:prstGeom>
                    <a:noFill/>
                  </pic:spPr>
                </pic:pic>
              </a:graphicData>
            </a:graphic>
          </wp:anchor>
        </w:drawing>
      </w:r>
    </w:p>
    <w:p>
      <w:pPr>
        <w:sectPr>
          <w:pgSz w:w="11900" w:h="16838" w:orient="portrait"/>
          <w:cols w:equalWidth="0" w:num="1">
            <w:col w:w="11200"/>
          </w:cols>
          <w:pgMar w:left="320" w:top="828" w:right="379" w:bottom="0" w:gutter="0" w:footer="0" w:header="0"/>
        </w:sectPr>
      </w:pPr>
    </w:p>
    <w:bookmarkStart w:id="1" w:name="page2"/>
    <w:bookmarkEnd w:id="1"/>
    <w:p>
      <w:pPr>
        <w:jc w:val="center"/>
        <w:ind w:right="-179"/>
        <w:spacing w:after="0"/>
        <w:rPr>
          <w:sz w:val="20"/>
          <w:szCs w:val="20"/>
          <w:color w:val="auto"/>
        </w:rPr>
      </w:pPr>
      <w:r>
        <w:rPr>
          <w:rFonts w:ascii="Arial" w:cs="Arial" w:eastAsia="Arial" w:hAnsi="Arial"/>
          <w:sz w:val="22"/>
          <w:szCs w:val="22"/>
          <w:b w:val="1"/>
          <w:bCs w:val="1"/>
          <w:color w:val="auto"/>
        </w:rPr>
        <w:t>SIGNATURE</w:t>
      </w:r>
    </w:p>
    <w:p>
      <w:pPr>
        <w:spacing w:after="0" w:line="213" w:lineRule="exact"/>
        <w:rPr>
          <w:sz w:val="20"/>
          <w:szCs w:val="20"/>
          <w:color w:val="auto"/>
        </w:rPr>
      </w:pPr>
    </w:p>
    <w:p>
      <w:pPr>
        <w:ind w:right="20" w:firstLine="324"/>
        <w:spacing w:after="0" w:line="250"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hereunto duly authorized.</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3980" w:type="dxa"/>
            <w:vAlign w:val="bottom"/>
          </w:tcPr>
          <w:p>
            <w:pPr>
              <w:spacing w:after="0"/>
              <w:rPr>
                <w:sz w:val="20"/>
                <w:szCs w:val="20"/>
                <w:color w:val="auto"/>
              </w:rPr>
            </w:pPr>
            <w:r>
              <w:rPr>
                <w:rFonts w:ascii="Arial" w:cs="Arial" w:eastAsia="Arial" w:hAnsi="Arial"/>
                <w:sz w:val="22"/>
                <w:szCs w:val="22"/>
                <w:color w:val="auto"/>
              </w:rPr>
              <w:t>Dated: November 14, 2012</w:t>
            </w:r>
          </w:p>
        </w:tc>
        <w:tc>
          <w:tcPr>
            <w:tcW w:w="6460" w:type="dxa"/>
            <w:vAlign w:val="bottom"/>
            <w:gridSpan w:val="3"/>
          </w:tcPr>
          <w:p>
            <w:pPr>
              <w:ind w:left="1640"/>
              <w:spacing w:after="0"/>
              <w:rPr>
                <w:sz w:val="20"/>
                <w:szCs w:val="20"/>
                <w:color w:val="auto"/>
              </w:rPr>
            </w:pPr>
            <w:r>
              <w:rPr>
                <w:rFonts w:ascii="Arial" w:cs="Arial" w:eastAsia="Arial" w:hAnsi="Arial"/>
                <w:sz w:val="22"/>
                <w:szCs w:val="22"/>
                <w:b w:val="1"/>
                <w:bCs w:val="1"/>
                <w:color w:val="auto"/>
                <w:w w:val="98"/>
              </w:rPr>
              <w:t>PENNANTPARK INVESTMENT CORPORATION</w:t>
            </w:r>
          </w:p>
        </w:tc>
      </w:tr>
      <w:tr>
        <w:trPr>
          <w:trHeight w:val="408"/>
        </w:trPr>
        <w:tc>
          <w:tcPr>
            <w:tcW w:w="3980" w:type="dxa"/>
            <w:vAlign w:val="bottom"/>
          </w:tcPr>
          <w:p>
            <w:pPr>
              <w:spacing w:after="0"/>
              <w:rPr>
                <w:sz w:val="24"/>
                <w:szCs w:val="24"/>
                <w:color w:val="auto"/>
              </w:rPr>
            </w:pPr>
          </w:p>
        </w:tc>
        <w:tc>
          <w:tcPr>
            <w:tcW w:w="6460" w:type="dxa"/>
            <w:vAlign w:val="bottom"/>
            <w:gridSpan w:val="3"/>
          </w:tcPr>
          <w:p>
            <w:pPr>
              <w:ind w:left="1640"/>
              <w:spacing w:after="0"/>
              <w:rPr>
                <w:sz w:val="20"/>
                <w:szCs w:val="20"/>
                <w:color w:val="auto"/>
              </w:rPr>
            </w:pPr>
            <w:r>
              <w:rPr>
                <w:rFonts w:ascii="Arial" w:cs="Arial" w:eastAsia="Arial" w:hAnsi="Arial"/>
                <w:sz w:val="22"/>
                <w:szCs w:val="22"/>
                <w:color w:val="auto"/>
              </w:rPr>
              <w:t>By: /s/ Aviv Efrat</w:t>
            </w:r>
          </w:p>
        </w:tc>
      </w:tr>
      <w:tr>
        <w:trPr>
          <w:trHeight w:val="20"/>
        </w:trPr>
        <w:tc>
          <w:tcPr>
            <w:tcW w:w="39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340" w:type="dxa"/>
            <w:vAlign w:val="bottom"/>
            <w:shd w:val="clear" w:color="auto" w:fill="000000"/>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r>
      <w:tr>
        <w:trPr>
          <w:trHeight w:val="242"/>
        </w:trPr>
        <w:tc>
          <w:tcPr>
            <w:tcW w:w="3980" w:type="dxa"/>
            <w:vAlign w:val="bottom"/>
          </w:tcPr>
          <w:p>
            <w:pPr>
              <w:spacing w:after="0"/>
              <w:rPr>
                <w:sz w:val="21"/>
                <w:szCs w:val="21"/>
                <w:color w:val="auto"/>
              </w:rPr>
            </w:pPr>
          </w:p>
        </w:tc>
        <w:tc>
          <w:tcPr>
            <w:tcW w:w="6460" w:type="dxa"/>
            <w:vAlign w:val="bottom"/>
            <w:gridSpan w:val="3"/>
          </w:tcPr>
          <w:p>
            <w:pPr>
              <w:ind w:left="1880"/>
              <w:spacing w:after="0" w:line="242" w:lineRule="exact"/>
              <w:rPr>
                <w:sz w:val="20"/>
                <w:szCs w:val="20"/>
                <w:color w:val="auto"/>
              </w:rPr>
            </w:pPr>
            <w:r>
              <w:rPr>
                <w:rFonts w:ascii="Arial" w:cs="Arial" w:eastAsia="Arial" w:hAnsi="Arial"/>
                <w:sz w:val="22"/>
                <w:szCs w:val="22"/>
                <w:color w:val="auto"/>
              </w:rPr>
              <w:t>Aviv Efrat</w:t>
            </w:r>
          </w:p>
        </w:tc>
      </w:tr>
      <w:tr>
        <w:trPr>
          <w:trHeight w:val="274"/>
        </w:trPr>
        <w:tc>
          <w:tcPr>
            <w:tcW w:w="3980" w:type="dxa"/>
            <w:vAlign w:val="bottom"/>
          </w:tcPr>
          <w:p>
            <w:pPr>
              <w:spacing w:after="0"/>
              <w:rPr>
                <w:sz w:val="23"/>
                <w:szCs w:val="23"/>
                <w:color w:val="auto"/>
              </w:rPr>
            </w:pPr>
          </w:p>
        </w:tc>
        <w:tc>
          <w:tcPr>
            <w:tcW w:w="6460" w:type="dxa"/>
            <w:vAlign w:val="bottom"/>
            <w:gridSpan w:val="3"/>
          </w:tcPr>
          <w:p>
            <w:pPr>
              <w:ind w:left="1900"/>
              <w:spacing w:after="0"/>
              <w:rPr>
                <w:sz w:val="20"/>
                <w:szCs w:val="20"/>
                <w:color w:val="auto"/>
              </w:rPr>
            </w:pPr>
            <w:r>
              <w:rPr>
                <w:rFonts w:ascii="Arial" w:cs="Arial" w:eastAsia="Arial" w:hAnsi="Arial"/>
                <w:sz w:val="22"/>
                <w:szCs w:val="22"/>
                <w:i w:val="1"/>
                <w:iCs w:val="1"/>
                <w:color w:val="auto"/>
              </w:rPr>
              <w:t>Chief Financial Officer &amp; Treasurer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87630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67" w:lineRule="exact"/>
        <w:rPr>
          <w:sz w:val="20"/>
          <w:szCs w:val="20"/>
          <w:color w:val="auto"/>
        </w:rPr>
      </w:pPr>
    </w:p>
    <w:tbl>
      <w:tblPr>
        <w:tblLayout w:type="fixed"/>
        <w:tblInd w:w="2260" w:type="dxa"/>
        <w:tblCellMar>
          <w:top w:w="0" w:type="dxa"/>
          <w:left w:w="0" w:type="dxa"/>
          <w:bottom w:w="0" w:type="dxa"/>
          <w:right w:w="0" w:type="dxa"/>
        </w:tblCellMar>
      </w:tblPr>
      <w:tr>
        <w:trPr>
          <w:trHeight w:val="280"/>
        </w:trPr>
        <w:tc>
          <w:tcPr>
            <w:tcW w:w="10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840" w:type="dxa"/>
            <w:vAlign w:val="bottom"/>
            <w:gridSpan w:val="3"/>
          </w:tcPr>
          <w:p>
            <w:pPr>
              <w:ind w:left="820"/>
              <w:spacing w:after="0"/>
              <w:rPr>
                <w:sz w:val="20"/>
                <w:szCs w:val="20"/>
                <w:color w:val="auto"/>
              </w:rPr>
            </w:pPr>
            <w:r>
              <w:rPr>
                <w:rFonts w:ascii="Arial" w:cs="Arial" w:eastAsia="Arial" w:hAnsi="Arial"/>
                <w:sz w:val="22"/>
                <w:szCs w:val="22"/>
                <w:b w:val="1"/>
                <w:bCs w:val="1"/>
                <w:color w:val="auto"/>
              </w:rPr>
              <w:t>Exhibit Index</w:t>
            </w:r>
          </w:p>
        </w:tc>
        <w:tc>
          <w:tcPr>
            <w:tcW w:w="0" w:type="dxa"/>
            <w:vAlign w:val="bottom"/>
          </w:tcPr>
          <w:p>
            <w:pPr>
              <w:spacing w:after="0"/>
              <w:rPr>
                <w:sz w:val="1"/>
                <w:szCs w:val="1"/>
                <w:color w:val="auto"/>
              </w:rPr>
            </w:pPr>
          </w:p>
        </w:tc>
      </w:tr>
      <w:tr>
        <w:trPr>
          <w:trHeight w:val="247"/>
        </w:trPr>
        <w:tc>
          <w:tcPr>
            <w:tcW w:w="1060" w:type="dxa"/>
            <w:vAlign w:val="bottom"/>
            <w:tcBorders>
              <w:bottom w:val="single" w:sz="8" w:color="auto"/>
            </w:tcBorders>
          </w:tcPr>
          <w:p>
            <w:pPr>
              <w:jc w:val="center"/>
              <w:spacing w:after="0" w:line="246" w:lineRule="exact"/>
              <w:rPr>
                <w:sz w:val="20"/>
                <w:szCs w:val="20"/>
                <w:color w:val="auto"/>
              </w:rPr>
            </w:pPr>
            <w:r>
              <w:rPr>
                <w:rFonts w:ascii="Arial" w:cs="Arial" w:eastAsia="Arial" w:hAnsi="Arial"/>
                <w:sz w:val="22"/>
                <w:szCs w:val="22"/>
                <w:b w:val="1"/>
                <w:bCs w:val="1"/>
                <w:color w:val="auto"/>
                <w:w w:val="92"/>
              </w:rPr>
              <w:t>Exhibit No.</w:t>
            </w:r>
          </w:p>
        </w:tc>
        <w:tc>
          <w:tcPr>
            <w:tcW w:w="820" w:type="dxa"/>
            <w:vAlign w:val="bottom"/>
          </w:tcPr>
          <w:p>
            <w:pPr>
              <w:spacing w:after="0"/>
              <w:rPr>
                <w:sz w:val="21"/>
                <w:szCs w:val="21"/>
                <w:color w:val="auto"/>
              </w:rPr>
            </w:pPr>
          </w:p>
        </w:tc>
        <w:tc>
          <w:tcPr>
            <w:tcW w:w="3720" w:type="dxa"/>
            <w:vAlign w:val="bottom"/>
          </w:tcPr>
          <w:p>
            <w:pPr>
              <w:spacing w:after="0"/>
              <w:rPr>
                <w:sz w:val="21"/>
                <w:szCs w:val="21"/>
                <w:color w:val="auto"/>
              </w:rPr>
            </w:pPr>
          </w:p>
        </w:tc>
        <w:tc>
          <w:tcPr>
            <w:tcW w:w="1060" w:type="dxa"/>
            <w:vAlign w:val="bottom"/>
            <w:tcBorders>
              <w:bottom w:val="single" w:sz="8" w:color="auto"/>
            </w:tcBorders>
          </w:tcPr>
          <w:p>
            <w:pPr>
              <w:jc w:val="center"/>
              <w:spacing w:after="0" w:line="246" w:lineRule="exact"/>
              <w:rPr>
                <w:sz w:val="20"/>
                <w:szCs w:val="20"/>
                <w:color w:val="auto"/>
              </w:rPr>
            </w:pPr>
            <w:r>
              <w:rPr>
                <w:rFonts w:ascii="Arial" w:cs="Arial" w:eastAsia="Arial" w:hAnsi="Arial"/>
                <w:sz w:val="22"/>
                <w:szCs w:val="22"/>
                <w:b w:val="1"/>
                <w:bCs w:val="1"/>
                <w:color w:val="auto"/>
                <w:w w:val="87"/>
              </w:rPr>
              <w:t>Description</w:t>
            </w:r>
          </w:p>
        </w:tc>
        <w:tc>
          <w:tcPr>
            <w:tcW w:w="2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6"/>
        </w:trPr>
        <w:tc>
          <w:tcPr>
            <w:tcW w:w="1060" w:type="dxa"/>
            <w:vAlign w:val="bottom"/>
            <w:vMerge w:val="restart"/>
          </w:tcPr>
          <w:p>
            <w:pPr>
              <w:jc w:val="right"/>
              <w:ind w:right="232"/>
              <w:spacing w:after="0"/>
              <w:rPr>
                <w:sz w:val="20"/>
                <w:szCs w:val="20"/>
                <w:color w:val="auto"/>
              </w:rPr>
            </w:pPr>
            <w:r>
              <w:rPr>
                <w:rFonts w:ascii="Arial" w:cs="Arial" w:eastAsia="Arial" w:hAnsi="Arial"/>
                <w:sz w:val="22"/>
                <w:szCs w:val="22"/>
                <w:color w:val="auto"/>
              </w:rPr>
              <w:t>99.1</w:t>
            </w:r>
          </w:p>
        </w:tc>
        <w:tc>
          <w:tcPr>
            <w:tcW w:w="820" w:type="dxa"/>
            <w:vAlign w:val="bottom"/>
          </w:tcPr>
          <w:p>
            <w:pPr>
              <w:spacing w:after="0"/>
              <w:rPr>
                <w:sz w:val="24"/>
                <w:szCs w:val="24"/>
                <w:color w:val="auto"/>
              </w:rPr>
            </w:pPr>
          </w:p>
        </w:tc>
        <w:tc>
          <w:tcPr>
            <w:tcW w:w="6840" w:type="dxa"/>
            <w:vAlign w:val="bottom"/>
            <w:gridSpan w:val="3"/>
          </w:tcPr>
          <w:p>
            <w:pPr>
              <w:jc w:val="center"/>
              <w:ind w:left="1532"/>
              <w:spacing w:after="0"/>
              <w:rPr>
                <w:sz w:val="20"/>
                <w:szCs w:val="20"/>
                <w:color w:val="auto"/>
              </w:rPr>
            </w:pPr>
            <w:r>
              <w:rPr>
                <w:rFonts w:ascii="Arial" w:cs="Arial" w:eastAsia="Arial" w:hAnsi="Arial"/>
                <w:sz w:val="22"/>
                <w:szCs w:val="22"/>
                <w:color w:val="auto"/>
                <w:w w:val="87"/>
              </w:rPr>
              <w:t>Press Release of PennantPark Investment Corporation dated</w:t>
            </w:r>
          </w:p>
        </w:tc>
        <w:tc>
          <w:tcPr>
            <w:tcW w:w="0" w:type="dxa"/>
            <w:vAlign w:val="bottom"/>
          </w:tcPr>
          <w:p>
            <w:pPr>
              <w:spacing w:after="0"/>
              <w:rPr>
                <w:sz w:val="1"/>
                <w:szCs w:val="1"/>
                <w:color w:val="auto"/>
              </w:rPr>
            </w:pPr>
          </w:p>
        </w:tc>
      </w:tr>
      <w:tr>
        <w:trPr>
          <w:trHeight w:val="153"/>
        </w:trPr>
        <w:tc>
          <w:tcPr>
            <w:tcW w:w="1060" w:type="dxa"/>
            <w:vAlign w:val="bottom"/>
            <w:vMerge w:val="continue"/>
          </w:tcPr>
          <w:p>
            <w:pPr>
              <w:spacing w:after="0"/>
              <w:rPr>
                <w:sz w:val="13"/>
                <w:szCs w:val="13"/>
                <w:color w:val="auto"/>
              </w:rPr>
            </w:pPr>
          </w:p>
        </w:tc>
        <w:tc>
          <w:tcPr>
            <w:tcW w:w="820" w:type="dxa"/>
            <w:vAlign w:val="bottom"/>
          </w:tcPr>
          <w:p>
            <w:pPr>
              <w:spacing w:after="0"/>
              <w:rPr>
                <w:sz w:val="13"/>
                <w:szCs w:val="13"/>
                <w:color w:val="auto"/>
              </w:rPr>
            </w:pPr>
          </w:p>
        </w:tc>
        <w:tc>
          <w:tcPr>
            <w:tcW w:w="6840" w:type="dxa"/>
            <w:vAlign w:val="bottom"/>
            <w:gridSpan w:val="3"/>
            <w:vMerge w:val="restart"/>
          </w:tcPr>
          <w:p>
            <w:pPr>
              <w:jc w:val="center"/>
              <w:ind w:left="1532"/>
              <w:spacing w:after="0"/>
              <w:rPr>
                <w:sz w:val="20"/>
                <w:szCs w:val="20"/>
                <w:color w:val="auto"/>
              </w:rPr>
            </w:pPr>
            <w:r>
              <w:rPr>
                <w:rFonts w:ascii="Arial" w:cs="Arial" w:eastAsia="Arial" w:hAnsi="Arial"/>
                <w:sz w:val="22"/>
                <w:szCs w:val="22"/>
                <w:color w:val="auto"/>
                <w:w w:val="89"/>
              </w:rPr>
              <w:t>November 14, 2012</w:t>
            </w:r>
          </w:p>
        </w:tc>
        <w:tc>
          <w:tcPr>
            <w:tcW w:w="0" w:type="dxa"/>
            <w:vAlign w:val="bottom"/>
          </w:tcPr>
          <w:p>
            <w:pPr>
              <w:spacing w:after="0"/>
              <w:rPr>
                <w:sz w:val="1"/>
                <w:szCs w:val="1"/>
                <w:color w:val="auto"/>
              </w:rPr>
            </w:pPr>
          </w:p>
        </w:tc>
      </w:tr>
      <w:tr>
        <w:trPr>
          <w:trHeight w:val="121"/>
        </w:trPr>
        <w:tc>
          <w:tcPr>
            <w:tcW w:w="10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8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0980"/>
          </w:cols>
          <w:pgMar w:left="360" w:top="111" w:right="559" w:bottom="1440" w:gutter="0" w:footer="0" w:header="0"/>
        </w:sectPr>
      </w:pPr>
    </w:p>
    <w:bookmarkStart w:id="2" w:name="page3"/>
    <w:bookmarkEnd w:id="2"/>
    <w:p>
      <w:pPr>
        <w:spacing w:after="0" w:line="86" w:lineRule="exact"/>
        <w:rPr>
          <w:sz w:val="20"/>
          <w:szCs w:val="20"/>
          <w:color w:val="auto"/>
        </w:rPr>
      </w:pPr>
    </w:p>
    <w:p>
      <w:pPr>
        <w:spacing w:after="0" w:line="257" w:lineRule="auto"/>
        <w:rPr>
          <w:sz w:val="20"/>
          <w:szCs w:val="20"/>
          <w:color w:val="auto"/>
        </w:rPr>
      </w:pPr>
      <w:r>
        <w:rPr>
          <w:rFonts w:ascii="Arial" w:cs="Arial" w:eastAsia="Arial" w:hAnsi="Arial"/>
          <w:sz w:val="22"/>
          <w:szCs w:val="22"/>
          <w:b w:val="1"/>
          <w:bCs w:val="1"/>
          <w:color w:val="auto"/>
        </w:rPr>
        <w:t>PennantPark Investment Corporation Announces Financial Results for the Quarter and Fiscal Year Ended September 30, 2012</w:t>
      </w:r>
    </w:p>
    <w:p>
      <w:pPr>
        <w:spacing w:after="0" w:line="167" w:lineRule="exact"/>
        <w:rPr>
          <w:sz w:val="20"/>
          <w:szCs w:val="20"/>
          <w:color w:val="auto"/>
        </w:rPr>
      </w:pPr>
    </w:p>
    <w:p>
      <w:pPr>
        <w:ind w:right="200"/>
        <w:spacing w:after="0" w:line="250" w:lineRule="auto"/>
        <w:rPr>
          <w:sz w:val="20"/>
          <w:szCs w:val="20"/>
          <w:color w:val="auto"/>
        </w:rPr>
      </w:pPr>
      <w:r>
        <w:rPr>
          <w:rFonts w:ascii="Arial" w:cs="Arial" w:eastAsia="Arial" w:hAnsi="Arial"/>
          <w:sz w:val="22"/>
          <w:szCs w:val="22"/>
          <w:color w:val="auto"/>
        </w:rPr>
        <w:t>NEW YORK, NY -- (Marketwire - November 14, 2012) - PennantPark Investment Corporation (NASDAQ: PNNT) announced today financial results for its quarter and fiscal year ended September 30, 2012.</w:t>
      </w:r>
    </w:p>
    <w:p>
      <w:pPr>
        <w:spacing w:after="0" w:line="39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HIGHLIGHTS</w:t>
      </w:r>
    </w:p>
    <w:p>
      <w:pPr>
        <w:spacing w:after="0" w:line="238" w:lineRule="auto"/>
        <w:rPr>
          <w:sz w:val="20"/>
          <w:szCs w:val="20"/>
          <w:color w:val="auto"/>
        </w:rPr>
      </w:pPr>
      <w:r>
        <w:rPr>
          <w:rFonts w:ascii="Courier New" w:cs="Courier New" w:eastAsia="Courier New" w:hAnsi="Courier New"/>
          <w:sz w:val="18"/>
          <w:szCs w:val="18"/>
          <w:color w:val="auto"/>
        </w:rPr>
        <w:t>Fiscal year ended September 30, 2012</w:t>
      </w:r>
    </w:p>
    <w:p>
      <w:pPr>
        <w:spacing w:after="0" w:line="238" w:lineRule="auto"/>
        <w:rPr>
          <w:sz w:val="20"/>
          <w:szCs w:val="20"/>
          <w:color w:val="auto"/>
        </w:rPr>
      </w:pPr>
      <w:r>
        <w:rPr>
          <w:rFonts w:ascii="Courier New" w:cs="Courier New" w:eastAsia="Courier New" w:hAnsi="Courier New"/>
          <w:sz w:val="18"/>
          <w:szCs w:val="18"/>
          <w:color w:val="auto"/>
        </w:rPr>
        <w:t>($in millions, except per share amounts)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440" w:type="dxa"/>
            <w:vAlign w:val="bottom"/>
          </w:tcPr>
          <w:p>
            <w:pPr>
              <w:spacing w:after="0"/>
              <w:rPr>
                <w:sz w:val="20"/>
                <w:szCs w:val="20"/>
                <w:color w:val="auto"/>
              </w:rPr>
            </w:pPr>
            <w:r>
              <w:rPr>
                <w:rFonts w:ascii="Courier New" w:cs="Courier New" w:eastAsia="Courier New" w:hAnsi="Courier New"/>
                <w:sz w:val="18"/>
                <w:szCs w:val="18"/>
                <w:color w:val="auto"/>
              </w:rPr>
              <w:t>Assets and Liabilities:</w:t>
            </w:r>
          </w:p>
        </w:tc>
        <w:tc>
          <w:tcPr>
            <w:tcW w:w="56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203"/>
        </w:trPr>
        <w:tc>
          <w:tcPr>
            <w:tcW w:w="44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Investment portfolio</w:t>
            </w:r>
          </w:p>
        </w:tc>
        <w:tc>
          <w:tcPr>
            <w:tcW w:w="5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990.5</w:t>
            </w:r>
          </w:p>
        </w:tc>
      </w:tr>
      <w:tr>
        <w:trPr>
          <w:trHeight w:val="203"/>
        </w:trPr>
        <w:tc>
          <w:tcPr>
            <w:tcW w:w="44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Net assets</w:t>
            </w:r>
          </w:p>
        </w:tc>
        <w:tc>
          <w:tcPr>
            <w:tcW w:w="5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669.7</w:t>
            </w:r>
          </w:p>
        </w:tc>
      </w:tr>
      <w:tr>
        <w:trPr>
          <w:trHeight w:val="203"/>
        </w:trPr>
        <w:tc>
          <w:tcPr>
            <w:tcW w:w="44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Net asset value per share</w:t>
            </w:r>
          </w:p>
        </w:tc>
        <w:tc>
          <w:tcPr>
            <w:tcW w:w="5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10.22</w:t>
            </w:r>
          </w:p>
        </w:tc>
      </w:tr>
      <w:tr>
        <w:trPr>
          <w:trHeight w:val="405"/>
        </w:trPr>
        <w:tc>
          <w:tcPr>
            <w:tcW w:w="4440" w:type="dxa"/>
            <w:vAlign w:val="bottom"/>
          </w:tcPr>
          <w:p>
            <w:pPr>
              <w:ind w:left="320"/>
              <w:spacing w:after="0"/>
              <w:rPr>
                <w:sz w:val="20"/>
                <w:szCs w:val="20"/>
                <w:color w:val="auto"/>
              </w:rPr>
            </w:pPr>
            <w:r>
              <w:rPr>
                <w:rFonts w:ascii="Courier New" w:cs="Courier New" w:eastAsia="Courier New" w:hAnsi="Courier New"/>
                <w:sz w:val="18"/>
                <w:szCs w:val="18"/>
                <w:color w:val="auto"/>
              </w:rPr>
              <w:t>Credit Facility Drawn (cost $145.0)</w:t>
            </w:r>
          </w:p>
        </w:tc>
        <w:tc>
          <w:tcPr>
            <w:tcW w:w="5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580" w:type="dxa"/>
            <w:vAlign w:val="bottom"/>
          </w:tcPr>
          <w:p>
            <w:pPr>
              <w:jc w:val="right"/>
              <w:spacing w:after="0"/>
              <w:rPr>
                <w:sz w:val="20"/>
                <w:szCs w:val="20"/>
                <w:color w:val="auto"/>
              </w:rPr>
            </w:pPr>
            <w:r>
              <w:rPr>
                <w:rFonts w:ascii="Courier New" w:cs="Courier New" w:eastAsia="Courier New" w:hAnsi="Courier New"/>
                <w:sz w:val="18"/>
                <w:szCs w:val="18"/>
                <w:color w:val="auto"/>
              </w:rPr>
              <w:t>144.5</w:t>
            </w:r>
          </w:p>
        </w:tc>
      </w:tr>
      <w:tr>
        <w:trPr>
          <w:trHeight w:val="203"/>
        </w:trPr>
        <w:tc>
          <w:tcPr>
            <w:tcW w:w="44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SBA debentures</w:t>
            </w:r>
          </w:p>
        </w:tc>
        <w:tc>
          <w:tcPr>
            <w:tcW w:w="5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150.0</w:t>
            </w:r>
          </w:p>
        </w:tc>
      </w:tr>
    </w:tbl>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120" w:type="dxa"/>
            <w:vAlign w:val="bottom"/>
            <w:gridSpan w:val="2"/>
          </w:tcPr>
          <w:p>
            <w:pPr>
              <w:spacing w:after="0"/>
              <w:rPr>
                <w:sz w:val="20"/>
                <w:szCs w:val="20"/>
                <w:color w:val="auto"/>
              </w:rPr>
            </w:pPr>
            <w:r>
              <w:rPr>
                <w:rFonts w:ascii="Courier New" w:cs="Courier New" w:eastAsia="Courier New" w:hAnsi="Courier New"/>
                <w:sz w:val="18"/>
                <w:szCs w:val="18"/>
                <w:color w:val="auto"/>
              </w:rPr>
              <w:t>Yield on debt investments at year-end</w:t>
            </w:r>
          </w:p>
        </w:tc>
        <w:tc>
          <w:tcPr>
            <w:tcW w:w="78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13.2%</w:t>
            </w: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405"/>
        </w:trPr>
        <w:tc>
          <w:tcPr>
            <w:tcW w:w="100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jc w:val="right"/>
              <w:ind w:right="192"/>
              <w:spacing w:after="0"/>
              <w:rPr>
                <w:sz w:val="20"/>
                <w:szCs w:val="20"/>
                <w:color w:val="auto"/>
              </w:rPr>
            </w:pPr>
            <w:r>
              <w:rPr>
                <w:rFonts w:ascii="Courier New" w:cs="Courier New" w:eastAsia="Courier New" w:hAnsi="Courier New"/>
                <w:sz w:val="18"/>
                <w:szCs w:val="18"/>
                <w:color w:val="auto"/>
              </w:rPr>
              <w:t>Year</w:t>
            </w:r>
          </w:p>
        </w:tc>
        <w:tc>
          <w:tcPr>
            <w:tcW w:w="140" w:type="dxa"/>
            <w:vAlign w:val="bottom"/>
          </w:tcPr>
          <w:p>
            <w:pPr>
              <w:spacing w:after="0"/>
              <w:rPr>
                <w:sz w:val="24"/>
                <w:szCs w:val="24"/>
                <w:color w:val="auto"/>
              </w:rPr>
            </w:pPr>
          </w:p>
        </w:tc>
        <w:tc>
          <w:tcPr>
            <w:tcW w:w="860" w:type="dxa"/>
            <w:vAlign w:val="bottom"/>
          </w:tcPr>
          <w:p>
            <w:pPr>
              <w:jc w:val="right"/>
              <w:ind w:right="32"/>
              <w:spacing w:after="0"/>
              <w:rPr>
                <w:sz w:val="20"/>
                <w:szCs w:val="20"/>
                <w:color w:val="auto"/>
              </w:rPr>
            </w:pPr>
            <w:r>
              <w:rPr>
                <w:rFonts w:ascii="Courier New" w:cs="Courier New" w:eastAsia="Courier New" w:hAnsi="Courier New"/>
                <w:sz w:val="18"/>
                <w:szCs w:val="18"/>
                <w:color w:val="auto"/>
                <w:w w:val="95"/>
              </w:rPr>
              <w:t>Quarter</w:t>
            </w:r>
          </w:p>
        </w:tc>
      </w:tr>
      <w:tr>
        <w:trPr>
          <w:trHeight w:val="203"/>
        </w:trPr>
        <w:tc>
          <w:tcPr>
            <w:tcW w:w="1000" w:type="dxa"/>
            <w:vAlign w:val="bottom"/>
          </w:tcPr>
          <w:p>
            <w:pPr>
              <w:spacing w:after="0" w:line="203" w:lineRule="exact"/>
              <w:rPr>
                <w:sz w:val="20"/>
                <w:szCs w:val="20"/>
                <w:color w:val="auto"/>
              </w:rPr>
            </w:pPr>
            <w:r>
              <w:rPr>
                <w:rFonts w:ascii="Courier New" w:cs="Courier New" w:eastAsia="Courier New" w:hAnsi="Courier New"/>
                <w:sz w:val="18"/>
                <w:szCs w:val="18"/>
                <w:color w:val="auto"/>
              </w:rPr>
              <w:t>Operating</w:t>
            </w:r>
          </w:p>
        </w:tc>
        <w:tc>
          <w:tcPr>
            <w:tcW w:w="41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Results:</w:t>
            </w: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Ended</w:t>
            </w:r>
          </w:p>
        </w:tc>
        <w:tc>
          <w:tcPr>
            <w:tcW w:w="140" w:type="dxa"/>
            <w:vAlign w:val="bottom"/>
          </w:tcPr>
          <w:p>
            <w:pPr>
              <w:spacing w:after="0"/>
              <w:rPr>
                <w:sz w:val="17"/>
                <w:szCs w:val="17"/>
                <w:color w:val="auto"/>
              </w:rPr>
            </w:pPr>
          </w:p>
        </w:tc>
        <w:tc>
          <w:tcPr>
            <w:tcW w:w="8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Ended</w:t>
            </w:r>
          </w:p>
        </w:tc>
      </w:tr>
      <w:tr>
        <w:trPr>
          <w:trHeight w:val="203"/>
        </w:trPr>
        <w:tc>
          <w:tcPr>
            <w:tcW w:w="1000" w:type="dxa"/>
            <w:vAlign w:val="bottom"/>
          </w:tcPr>
          <w:p>
            <w:pPr>
              <w:spacing w:after="0"/>
              <w:rPr>
                <w:sz w:val="17"/>
                <w:szCs w:val="17"/>
                <w:color w:val="auto"/>
              </w:rPr>
            </w:pPr>
          </w:p>
        </w:tc>
        <w:tc>
          <w:tcPr>
            <w:tcW w:w="4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1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12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Net investment income</w:t>
            </w:r>
          </w:p>
        </w:tc>
        <w:tc>
          <w:tcPr>
            <w:tcW w:w="780" w:type="dxa"/>
            <w:vAlign w:val="bottom"/>
          </w:tcPr>
          <w:p>
            <w:pPr>
              <w:spacing w:after="0"/>
              <w:rPr>
                <w:sz w:val="17"/>
                <w:szCs w:val="17"/>
                <w:color w:val="auto"/>
              </w:rPr>
            </w:pP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57.1</w:t>
            </w:r>
          </w:p>
        </w:tc>
        <w:tc>
          <w:tcPr>
            <w:tcW w:w="1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16.7</w:t>
            </w:r>
          </w:p>
        </w:tc>
      </w:tr>
      <w:tr>
        <w:trPr>
          <w:trHeight w:val="203"/>
        </w:trPr>
        <w:tc>
          <w:tcPr>
            <w:tcW w:w="512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Net investment income per share</w:t>
            </w:r>
          </w:p>
        </w:tc>
        <w:tc>
          <w:tcPr>
            <w:tcW w:w="780" w:type="dxa"/>
            <w:vAlign w:val="bottom"/>
          </w:tcPr>
          <w:p>
            <w:pPr>
              <w:spacing w:after="0"/>
              <w:rPr>
                <w:sz w:val="17"/>
                <w:szCs w:val="17"/>
                <w:color w:val="auto"/>
              </w:rPr>
            </w:pP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1.08</w:t>
            </w:r>
          </w:p>
        </w:tc>
        <w:tc>
          <w:tcPr>
            <w:tcW w:w="1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0.30</w:t>
            </w:r>
          </w:p>
        </w:tc>
      </w:tr>
      <w:tr>
        <w:trPr>
          <w:trHeight w:val="203"/>
        </w:trPr>
        <w:tc>
          <w:tcPr>
            <w:tcW w:w="512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Distributions declared per share</w:t>
            </w:r>
          </w:p>
        </w:tc>
        <w:tc>
          <w:tcPr>
            <w:tcW w:w="780" w:type="dxa"/>
            <w:vAlign w:val="bottom"/>
          </w:tcPr>
          <w:p>
            <w:pPr>
              <w:spacing w:after="0"/>
              <w:rPr>
                <w:sz w:val="17"/>
                <w:szCs w:val="17"/>
                <w:color w:val="auto"/>
              </w:rPr>
            </w:pP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1.12</w:t>
            </w:r>
          </w:p>
        </w:tc>
        <w:tc>
          <w:tcPr>
            <w:tcW w:w="1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0.28</w:t>
            </w:r>
          </w:p>
        </w:tc>
      </w:tr>
      <w:tr>
        <w:trPr>
          <w:trHeight w:val="405"/>
        </w:trPr>
        <w:tc>
          <w:tcPr>
            <w:tcW w:w="1000" w:type="dxa"/>
            <w:vAlign w:val="bottom"/>
          </w:tcPr>
          <w:p>
            <w:pPr>
              <w:spacing w:after="0"/>
              <w:rPr>
                <w:sz w:val="20"/>
                <w:szCs w:val="20"/>
                <w:color w:val="auto"/>
              </w:rPr>
            </w:pPr>
            <w:r>
              <w:rPr>
                <w:rFonts w:ascii="Courier New" w:cs="Courier New" w:eastAsia="Courier New" w:hAnsi="Courier New"/>
                <w:sz w:val="18"/>
                <w:szCs w:val="18"/>
                <w:color w:val="auto"/>
              </w:rPr>
              <w:t>Portfolio</w:t>
            </w:r>
          </w:p>
        </w:tc>
        <w:tc>
          <w:tcPr>
            <w:tcW w:w="4120" w:type="dxa"/>
            <w:vAlign w:val="bottom"/>
          </w:tcPr>
          <w:p>
            <w:pPr>
              <w:ind w:left="60"/>
              <w:spacing w:after="0"/>
              <w:rPr>
                <w:sz w:val="20"/>
                <w:szCs w:val="20"/>
                <w:color w:val="auto"/>
              </w:rPr>
            </w:pPr>
            <w:r>
              <w:rPr>
                <w:rFonts w:ascii="Courier New" w:cs="Courier New" w:eastAsia="Courier New" w:hAnsi="Courier New"/>
                <w:sz w:val="18"/>
                <w:szCs w:val="18"/>
                <w:color w:val="auto"/>
              </w:rPr>
              <w:t>Activity:</w:t>
            </w: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03"/>
        </w:trPr>
        <w:tc>
          <w:tcPr>
            <w:tcW w:w="512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Purchases of long-term investments</w:t>
            </w:r>
          </w:p>
        </w:tc>
        <w:tc>
          <w:tcPr>
            <w:tcW w:w="780" w:type="dxa"/>
            <w:vAlign w:val="bottom"/>
          </w:tcPr>
          <w:p>
            <w:pPr>
              <w:spacing w:after="0"/>
              <w:rPr>
                <w:sz w:val="17"/>
                <w:szCs w:val="17"/>
                <w:color w:val="auto"/>
              </w:rPr>
            </w:pP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328.3</w:t>
            </w:r>
          </w:p>
        </w:tc>
        <w:tc>
          <w:tcPr>
            <w:tcW w:w="1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84.5</w:t>
            </w:r>
          </w:p>
        </w:tc>
      </w:tr>
      <w:tr>
        <w:trPr>
          <w:trHeight w:val="203"/>
        </w:trPr>
        <w:tc>
          <w:tcPr>
            <w:tcW w:w="512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w w:val="98"/>
              </w:rPr>
              <w:t>Sales and repayments of long-term investments</w:t>
            </w:r>
          </w:p>
        </w:tc>
        <w:tc>
          <w:tcPr>
            <w:tcW w:w="780" w:type="dxa"/>
            <w:vAlign w:val="bottom"/>
          </w:tcPr>
          <w:p>
            <w:pPr>
              <w:spacing w:after="0"/>
              <w:rPr>
                <w:sz w:val="17"/>
                <w:szCs w:val="17"/>
                <w:color w:val="auto"/>
              </w:rPr>
            </w:pP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201.7</w:t>
            </w:r>
          </w:p>
        </w:tc>
        <w:tc>
          <w:tcPr>
            <w:tcW w:w="1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27.8</w:t>
            </w:r>
          </w:p>
        </w:tc>
      </w:tr>
      <w:tr>
        <w:trPr>
          <w:trHeight w:val="405"/>
        </w:trPr>
        <w:tc>
          <w:tcPr>
            <w:tcW w:w="1000" w:type="dxa"/>
            <w:vAlign w:val="bottom"/>
          </w:tcPr>
          <w:p>
            <w:pPr>
              <w:ind w:left="320"/>
              <w:spacing w:after="0"/>
              <w:rPr>
                <w:sz w:val="20"/>
                <w:szCs w:val="20"/>
                <w:color w:val="auto"/>
              </w:rPr>
            </w:pPr>
            <w:r>
              <w:rPr>
                <w:rFonts w:ascii="Courier New" w:cs="Courier New" w:eastAsia="Courier New" w:hAnsi="Courier New"/>
                <w:sz w:val="18"/>
                <w:szCs w:val="18"/>
                <w:color w:val="auto"/>
              </w:rPr>
              <w:t>Number</w:t>
            </w:r>
          </w:p>
        </w:tc>
        <w:tc>
          <w:tcPr>
            <w:tcW w:w="4120" w:type="dxa"/>
            <w:vAlign w:val="bottom"/>
          </w:tcPr>
          <w:p>
            <w:pPr>
              <w:ind w:left="60"/>
              <w:spacing w:after="0"/>
              <w:rPr>
                <w:sz w:val="20"/>
                <w:szCs w:val="20"/>
                <w:color w:val="auto"/>
              </w:rPr>
            </w:pPr>
            <w:r>
              <w:rPr>
                <w:rFonts w:ascii="Courier New" w:cs="Courier New" w:eastAsia="Courier New" w:hAnsi="Courier New"/>
                <w:sz w:val="18"/>
                <w:szCs w:val="18"/>
                <w:color w:val="auto"/>
              </w:rPr>
              <w:t>of new portfolio companies invested</w:t>
            </w: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8"/>
                <w:szCs w:val="18"/>
                <w:color w:val="auto"/>
              </w:rPr>
              <w:t>13</w:t>
            </w:r>
          </w:p>
        </w:tc>
        <w:tc>
          <w:tcPr>
            <w:tcW w:w="1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8"/>
                <w:szCs w:val="18"/>
                <w:color w:val="auto"/>
              </w:rPr>
              <w:t>4</w:t>
            </w:r>
          </w:p>
        </w:tc>
      </w:tr>
      <w:tr>
        <w:trPr>
          <w:trHeight w:val="203"/>
        </w:trPr>
        <w:tc>
          <w:tcPr>
            <w:tcW w:w="10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Number</w:t>
            </w:r>
          </w:p>
        </w:tc>
        <w:tc>
          <w:tcPr>
            <w:tcW w:w="490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of existing portfolio companies invested</w:t>
            </w:r>
          </w:p>
        </w:tc>
        <w:tc>
          <w:tcPr>
            <w:tcW w:w="260" w:type="dxa"/>
            <w:vAlign w:val="bottom"/>
          </w:tcPr>
          <w:p>
            <w:pPr>
              <w:spacing w:after="0"/>
              <w:rPr>
                <w:sz w:val="17"/>
                <w:szCs w:val="17"/>
                <w:color w:val="auto"/>
              </w:rPr>
            </w:pPr>
          </w:p>
        </w:tc>
        <w:tc>
          <w:tcPr>
            <w:tcW w:w="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w:t>
            </w:r>
          </w:p>
        </w:tc>
        <w:tc>
          <w:tcPr>
            <w:tcW w:w="140" w:type="dxa"/>
            <w:vAlign w:val="bottom"/>
          </w:tcPr>
          <w:p>
            <w:pPr>
              <w:spacing w:after="0"/>
              <w:rPr>
                <w:sz w:val="17"/>
                <w:szCs w:val="17"/>
                <w:color w:val="auto"/>
              </w:rPr>
            </w:pPr>
          </w:p>
        </w:tc>
        <w:tc>
          <w:tcPr>
            <w:tcW w:w="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w:t>
            </w:r>
          </w:p>
        </w:tc>
      </w:tr>
      <w:tr>
        <w:trPr>
          <w:trHeight w:val="203"/>
        </w:trPr>
        <w:tc>
          <w:tcPr>
            <w:tcW w:w="10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Number</w:t>
            </w:r>
          </w:p>
        </w:tc>
        <w:tc>
          <w:tcPr>
            <w:tcW w:w="490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9"/>
              </w:rPr>
              <w:t>of portfolio companies at end of year/quarter</w:t>
            </w:r>
          </w:p>
        </w:tc>
        <w:tc>
          <w:tcPr>
            <w:tcW w:w="260" w:type="dxa"/>
            <w:vAlign w:val="bottom"/>
          </w:tcPr>
          <w:p>
            <w:pPr>
              <w:spacing w:after="0"/>
              <w:rPr>
                <w:sz w:val="17"/>
                <w:szCs w:val="17"/>
                <w:color w:val="auto"/>
              </w:rPr>
            </w:pPr>
          </w:p>
        </w:tc>
        <w:tc>
          <w:tcPr>
            <w:tcW w:w="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54</w:t>
            </w:r>
          </w:p>
        </w:tc>
        <w:tc>
          <w:tcPr>
            <w:tcW w:w="140" w:type="dxa"/>
            <w:vAlign w:val="bottom"/>
          </w:tcPr>
          <w:p>
            <w:pPr>
              <w:spacing w:after="0"/>
              <w:rPr>
                <w:sz w:val="17"/>
                <w:szCs w:val="17"/>
                <w:color w:val="auto"/>
              </w:rPr>
            </w:pPr>
          </w:p>
        </w:tc>
        <w:tc>
          <w:tcPr>
            <w:tcW w:w="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54</w:t>
            </w:r>
          </w:p>
        </w:tc>
      </w:tr>
    </w:tbl>
    <w:p>
      <w:pPr>
        <w:spacing w:after="0" w:line="39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CONFERENCE CALL AT 10:00 A.M. ET ON NOVEMBER 15, 2012</w:t>
      </w:r>
    </w:p>
    <w:p>
      <w:pPr>
        <w:spacing w:after="0" w:line="212" w:lineRule="exact"/>
        <w:rPr>
          <w:sz w:val="20"/>
          <w:szCs w:val="20"/>
          <w:color w:val="auto"/>
        </w:rPr>
      </w:pPr>
    </w:p>
    <w:p>
      <w:pPr>
        <w:ind w:right="40"/>
        <w:spacing w:after="0" w:line="235" w:lineRule="auto"/>
        <w:rPr>
          <w:sz w:val="20"/>
          <w:szCs w:val="20"/>
          <w:color w:val="auto"/>
        </w:rPr>
      </w:pPr>
      <w:r>
        <w:rPr>
          <w:rFonts w:ascii="Arial" w:cs="Arial" w:eastAsia="Arial" w:hAnsi="Arial"/>
          <w:sz w:val="22"/>
          <w:szCs w:val="22"/>
          <w:color w:val="auto"/>
        </w:rPr>
        <w:t>PennantPark Investment Corporation ("we," "our," "us" or "Company") will host a conference call at 10:00 a.m. (Eastern Time) on Thursday, November 15, 2012 to discuss its financial results. All interested parties are welcome to participate. You can access the conference call by dialing (888) 417-8533 approximately 5-10 minutes prior to the call. International callers should dial (719) 325-2215. All callers should reference PennantPark Investment Corporation. An archived replay of the call will be available through November 29, 2012 by calling (888) 203-1112. International callers please dial (719) 457-0820. For all phone replays, please reference conference ID #6727411.</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PORTFOLIO AND INVESTMENT ACTIVITY</w:t>
      </w:r>
    </w:p>
    <w:p>
      <w:pPr>
        <w:spacing w:after="0" w:line="212" w:lineRule="exact"/>
        <w:rPr>
          <w:sz w:val="20"/>
          <w:szCs w:val="20"/>
          <w:color w:val="auto"/>
        </w:rPr>
      </w:pPr>
    </w:p>
    <w:p>
      <w:pPr>
        <w:ind w:right="20"/>
        <w:spacing w:after="0" w:line="245" w:lineRule="auto"/>
        <w:rPr>
          <w:sz w:val="20"/>
          <w:szCs w:val="20"/>
          <w:color w:val="auto"/>
        </w:rPr>
      </w:pPr>
      <w:r>
        <w:rPr>
          <w:rFonts w:ascii="Arial" w:cs="Arial" w:eastAsia="Arial" w:hAnsi="Arial"/>
          <w:sz w:val="21"/>
          <w:szCs w:val="21"/>
          <w:color w:val="auto"/>
        </w:rPr>
        <w:t>As of September 30, 2012, our portfolio totaled $990.5 million and consisted of $291.7 million of senior secured loans, $191.3 million of second lien secured debt, $400.7 million of subordinated debt and $106.8 million of preferred and common equity investments. Our portfolio consisted of 69% fixed-rate and 31% variable-rate investments (including 26% with a London Interbank Offered Rate, or LIBOR, or prime floor). As of September 30, 2012, we had one non-accrual debt investment, representing 3.2% and 1.1% of our overall portfolio on a cost basis and fair value, respectively. This debt investment was reorganized and removed from non-accrual status after September 30, 2012. Our overall portfolio consisted of 54 companies with an average investment size of $18.3 million, had a weighted average yield on debt investments of 13.2%, and was invested 30% in senior secured loans, 19% in second lien secured debt, 40% in subordinated debt and 11% in preferred and common equity investments.</w:t>
      </w:r>
    </w:p>
    <w:p>
      <w:pPr>
        <w:spacing w:after="0" w:line="184" w:lineRule="exact"/>
        <w:rPr>
          <w:sz w:val="20"/>
          <w:szCs w:val="20"/>
          <w:color w:val="auto"/>
        </w:rPr>
      </w:pPr>
    </w:p>
    <w:p>
      <w:pPr>
        <w:ind w:right="60"/>
        <w:spacing w:after="0" w:line="279" w:lineRule="auto"/>
        <w:rPr>
          <w:sz w:val="20"/>
          <w:szCs w:val="20"/>
          <w:color w:val="auto"/>
        </w:rPr>
      </w:pPr>
      <w:r>
        <w:rPr>
          <w:rFonts w:ascii="Arial" w:cs="Arial" w:eastAsia="Arial" w:hAnsi="Arial"/>
          <w:sz w:val="19"/>
          <w:szCs w:val="19"/>
          <w:color w:val="auto"/>
        </w:rPr>
        <w:t>As of September 30, 2011, our portfolio totaled $827.5 million and consisted of $296.5 million of senior secured loans, $165.3 million of second lien secured debt, $309.3 million of subordinated debt and $56.4 million of preferred and common equity investments. Our portfolio consisted of 61% fixed-rate investments and 39% variable-rate investments (including 31% with a LIBOR or prime floor). Our overall portfolio consisted of 48 companies with an average investment size of $17.2 million, had a weighted average yield on debt investments of 13.3%, and was invested 36% in senior secured loans, 20% in second lien secured debt, 37% in subordinated debt and 7% in preferred and common equity investments.</w:t>
      </w:r>
    </w:p>
    <w:p>
      <w:pPr>
        <w:spacing w:after="0" w:line="150" w:lineRule="exact"/>
        <w:rPr>
          <w:sz w:val="20"/>
          <w:szCs w:val="20"/>
          <w:color w:val="auto"/>
        </w:rPr>
      </w:pPr>
    </w:p>
    <w:p>
      <w:pPr>
        <w:ind w:right="60"/>
        <w:spacing w:after="0" w:line="249" w:lineRule="auto"/>
        <w:rPr>
          <w:sz w:val="20"/>
          <w:szCs w:val="20"/>
          <w:color w:val="auto"/>
        </w:rPr>
      </w:pPr>
      <w:r>
        <w:rPr>
          <w:rFonts w:ascii="Arial" w:cs="Arial" w:eastAsia="Arial" w:hAnsi="Arial"/>
          <w:sz w:val="21"/>
          <w:szCs w:val="21"/>
          <w:color w:val="auto"/>
        </w:rPr>
        <w:t>For the three months ended September 30, 2012, we purchased $84.5 million in four new and four existing portfolio companies with a weighted average yield on debt investments of 12.2%. Sales and repayments of investments for the same period totaled $27.8 million. This compares to the three months ended September 30, 2011, in which we purchased $137.7 million in four new and four existing portfolio companies with a weighted average yield on debt investments of 12.9%. Sales and repayments of long term investments for the same period totaled $47.6 million.</w:t>
      </w:r>
    </w:p>
    <w:p>
      <w:pPr>
        <w:spacing w:after="0" w:line="178" w:lineRule="exact"/>
        <w:rPr>
          <w:sz w:val="20"/>
          <w:szCs w:val="20"/>
          <w:color w:val="auto"/>
        </w:rPr>
      </w:pPr>
    </w:p>
    <w:p>
      <w:pPr>
        <w:jc w:val="both"/>
        <w:ind w:right="20"/>
        <w:spacing w:after="0" w:line="297" w:lineRule="auto"/>
        <w:rPr>
          <w:sz w:val="20"/>
          <w:szCs w:val="20"/>
          <w:color w:val="auto"/>
        </w:rPr>
      </w:pPr>
      <w:r>
        <w:rPr>
          <w:rFonts w:ascii="Arial" w:cs="Arial" w:eastAsia="Arial" w:hAnsi="Arial"/>
          <w:sz w:val="19"/>
          <w:szCs w:val="19"/>
          <w:color w:val="auto"/>
        </w:rPr>
        <w:t>For the fiscal year ended September 30, 2012, we purchased $328.3 million in 13 new and 17 existing portfolio companies with a weighted average yield on debt investments of 13.3%. Sales and repayments of long-term investments for the same period totaled $201.7 million. This compares to the fiscal year ended September 30, 2011, in which we purchased $479.7 million in 17 new and</w:t>
      </w:r>
    </w:p>
    <w:p>
      <w:pPr>
        <w:sectPr>
          <w:pgSz w:w="11900" w:h="16925" w:orient="portrait"/>
          <w:cols w:equalWidth="0" w:num="1">
            <w:col w:w="11240"/>
          </w:cols>
          <w:pgMar w:left="320" w:top="111" w:right="339" w:bottom="0" w:gutter="0" w:footer="0" w:header="0"/>
        </w:sectPr>
      </w:pPr>
    </w:p>
    <w:bookmarkStart w:id="3" w:name="page4"/>
    <w:bookmarkEnd w:id="3"/>
    <w:p>
      <w:pPr>
        <w:spacing w:after="0" w:line="18" w:lineRule="exact"/>
        <w:rPr>
          <w:sz w:val="20"/>
          <w:szCs w:val="20"/>
          <w:color w:val="auto"/>
        </w:rPr>
      </w:pPr>
    </w:p>
    <w:p>
      <w:pPr>
        <w:ind w:right="120"/>
        <w:spacing w:after="0" w:line="251" w:lineRule="auto"/>
        <w:rPr>
          <w:sz w:val="20"/>
          <w:szCs w:val="20"/>
          <w:color w:val="auto"/>
        </w:rPr>
      </w:pPr>
      <w:r>
        <w:rPr>
          <w:rFonts w:ascii="Arial" w:cs="Arial" w:eastAsia="Arial" w:hAnsi="Arial"/>
          <w:sz w:val="22"/>
          <w:szCs w:val="22"/>
          <w:color w:val="auto"/>
        </w:rPr>
        <w:t>11 existing portfolio companies with a weighted average yield on debt investments of 13.7%. Sales and repayments of long term investments for the same period totaled $304.0 million.</w:t>
      </w:r>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RESULTS OF OPERATIONS</w:t>
      </w:r>
    </w:p>
    <w:p>
      <w:pPr>
        <w:spacing w:after="0" w:line="212" w:lineRule="exact"/>
        <w:rPr>
          <w:sz w:val="20"/>
          <w:szCs w:val="20"/>
          <w:color w:val="auto"/>
        </w:rPr>
      </w:pPr>
    </w:p>
    <w:p>
      <w:pPr>
        <w:spacing w:after="0"/>
        <w:rPr>
          <w:sz w:val="20"/>
          <w:szCs w:val="20"/>
          <w:color w:val="auto"/>
        </w:rPr>
      </w:pPr>
      <w:r>
        <w:rPr>
          <w:rFonts w:ascii="Arial" w:cs="Arial" w:eastAsia="Arial" w:hAnsi="Arial"/>
          <w:sz w:val="21"/>
          <w:szCs w:val="21"/>
          <w:color w:val="auto"/>
        </w:rPr>
        <w:t>Set forth below are the results of operations for the three months and fiscal years ended September 30, 2012 and 2011.</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Investment Income</w:t>
      </w:r>
    </w:p>
    <w:p>
      <w:pPr>
        <w:spacing w:after="0" w:line="212" w:lineRule="exact"/>
        <w:rPr>
          <w:sz w:val="20"/>
          <w:szCs w:val="20"/>
          <w:color w:val="auto"/>
        </w:rPr>
      </w:pPr>
    </w:p>
    <w:p>
      <w:pPr>
        <w:ind w:right="200"/>
        <w:spacing w:after="0" w:line="297" w:lineRule="auto"/>
        <w:rPr>
          <w:sz w:val="20"/>
          <w:szCs w:val="20"/>
          <w:color w:val="auto"/>
        </w:rPr>
      </w:pPr>
      <w:r>
        <w:rPr>
          <w:rFonts w:ascii="Arial" w:cs="Arial" w:eastAsia="Arial" w:hAnsi="Arial"/>
          <w:sz w:val="19"/>
          <w:szCs w:val="19"/>
          <w:color w:val="auto"/>
        </w:rPr>
        <w:t>Investment income for the three months ended September 30, 2012 and 2011 was $30.8 million and $26.1 million, respectively, and was primarily attributable to $12.8 million and $9.6 million from senior secured loans, $7.9 million and $5.2 million from second lien secured debt investments, and $10.1 million and $11.2 million from subordinated debt investments, respectively.</w:t>
      </w:r>
    </w:p>
    <w:p>
      <w:pPr>
        <w:spacing w:after="0" w:line="134" w:lineRule="exact"/>
        <w:rPr>
          <w:sz w:val="20"/>
          <w:szCs w:val="20"/>
          <w:color w:val="auto"/>
        </w:rPr>
      </w:pPr>
    </w:p>
    <w:p>
      <w:pPr>
        <w:spacing w:after="0" w:line="236" w:lineRule="auto"/>
        <w:rPr>
          <w:sz w:val="20"/>
          <w:szCs w:val="20"/>
          <w:color w:val="auto"/>
        </w:rPr>
      </w:pPr>
      <w:r>
        <w:rPr>
          <w:rFonts w:ascii="Arial" w:cs="Arial" w:eastAsia="Arial" w:hAnsi="Arial"/>
          <w:sz w:val="22"/>
          <w:szCs w:val="22"/>
          <w:color w:val="auto"/>
        </w:rPr>
        <w:t>Investment income for the fiscal years ended September 30, 2012 and 2011 was $113.4 million and $91.7 million, respectively, and was primarily attributable to $42.8 million and $37.1 million from senior secured loans, $21.2 million and $15.2 million from second lien secured debt investments, and $49.4 million and $38.8 million from subordinated debt investments, respectively. The increase in investment income over the prior year was due to growth of our portfolio which was also driven by investment of the proceeds from our equity offerings.</w:t>
      </w:r>
    </w:p>
    <w:p>
      <w:pPr>
        <w:spacing w:after="0" w:line="18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Expenses</w:t>
      </w:r>
    </w:p>
    <w:p>
      <w:pPr>
        <w:spacing w:after="0" w:line="212" w:lineRule="exact"/>
        <w:rPr>
          <w:sz w:val="20"/>
          <w:szCs w:val="20"/>
          <w:color w:val="auto"/>
        </w:rPr>
      </w:pPr>
    </w:p>
    <w:p>
      <w:pPr>
        <w:ind w:right="200"/>
        <w:spacing w:after="0" w:line="282" w:lineRule="auto"/>
        <w:rPr>
          <w:sz w:val="20"/>
          <w:szCs w:val="20"/>
          <w:color w:val="auto"/>
        </w:rPr>
      </w:pPr>
      <w:r>
        <w:rPr>
          <w:rFonts w:ascii="Arial" w:cs="Arial" w:eastAsia="Arial" w:hAnsi="Arial"/>
          <w:sz w:val="19"/>
          <w:szCs w:val="19"/>
          <w:color w:val="auto"/>
        </w:rPr>
        <w:t>Expenses for the three months ended September 30, 2012 and 2011 totaled $14.1 million and $11.0 million, respectively. Base management fees totaled $4.8 million and $4.0 million, performance-based incentive fees totaled $4.2 million and $3.8 million, our senior secured revolving credit facility, or the Credit Facility, and Small Business Administration, or SBA, debentures expenses totaled $3.4 million and $1.8 million, general and administrative expenses totaled $2.0 million and $1.4 million, and excise tax totaled $(0.3) million and less than $0.1 million, respectively, for the same periods.</w:t>
      </w:r>
    </w:p>
    <w:p>
      <w:pPr>
        <w:spacing w:after="0" w:line="147" w:lineRule="exact"/>
        <w:rPr>
          <w:sz w:val="20"/>
          <w:szCs w:val="20"/>
          <w:color w:val="auto"/>
        </w:rPr>
      </w:pPr>
    </w:p>
    <w:p>
      <w:pPr>
        <w:ind w:right="60"/>
        <w:spacing w:after="0" w:line="246" w:lineRule="auto"/>
        <w:rPr>
          <w:sz w:val="20"/>
          <w:szCs w:val="20"/>
          <w:color w:val="auto"/>
        </w:rPr>
      </w:pPr>
      <w:r>
        <w:rPr>
          <w:rFonts w:ascii="Arial" w:cs="Arial" w:eastAsia="Arial" w:hAnsi="Arial"/>
          <w:sz w:val="21"/>
          <w:szCs w:val="21"/>
          <w:color w:val="auto"/>
        </w:rPr>
        <w:t>Expenses for the fiscal years ended September 30, 2012 and 2011 totaled $56.3 million and $39.1 million, respectively. Base management fees totaled $17.5 million and $14.9 million, performance-based incentive fees totaled $14.2 million and $13.2 million, Credit Facility and SBA debentures expenses totaled $17.1 million (including the $5.4 million upfront fees associated with amending and extending our Credit Facility) and $5.3 million, general and administrative expenses totaled $7.2 million and $5.5 million, and an excise tax of $0.3 million and $0.2 million, respectively, for the same periods. The increase in expenses over the prior year was primarily due to the growth of the upfront costs of amending our Credit Facility, increase borrowing costs, and the growth of our portfolio.</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Net Investment Income</w:t>
      </w:r>
    </w:p>
    <w:p>
      <w:pPr>
        <w:spacing w:after="0" w:line="212" w:lineRule="exact"/>
        <w:rPr>
          <w:sz w:val="20"/>
          <w:szCs w:val="20"/>
          <w:color w:val="auto"/>
        </w:rPr>
      </w:pPr>
    </w:p>
    <w:p>
      <w:pPr>
        <w:ind w:right="780"/>
        <w:spacing w:after="0" w:line="250" w:lineRule="auto"/>
        <w:rPr>
          <w:sz w:val="20"/>
          <w:szCs w:val="20"/>
          <w:color w:val="auto"/>
        </w:rPr>
      </w:pPr>
      <w:r>
        <w:rPr>
          <w:rFonts w:ascii="Arial" w:cs="Arial" w:eastAsia="Arial" w:hAnsi="Arial"/>
          <w:sz w:val="22"/>
          <w:szCs w:val="22"/>
          <w:color w:val="auto"/>
        </w:rPr>
        <w:t>Net investment income totaled $16.7 million and $15.1 million, or $0.30 and $0.33 per share, for the three months ended September 30, 2012 and 2011, respectively.</w:t>
      </w:r>
    </w:p>
    <w:p>
      <w:pPr>
        <w:spacing w:after="0" w:line="175" w:lineRule="exact"/>
        <w:rPr>
          <w:sz w:val="20"/>
          <w:szCs w:val="20"/>
          <w:color w:val="auto"/>
        </w:rPr>
      </w:pPr>
    </w:p>
    <w:p>
      <w:pPr>
        <w:ind w:right="160"/>
        <w:spacing w:after="0"/>
        <w:rPr>
          <w:sz w:val="20"/>
          <w:szCs w:val="20"/>
          <w:color w:val="auto"/>
        </w:rPr>
      </w:pPr>
      <w:r>
        <w:rPr>
          <w:rFonts w:ascii="Arial" w:cs="Arial" w:eastAsia="Arial" w:hAnsi="Arial"/>
          <w:sz w:val="22"/>
          <w:szCs w:val="22"/>
          <w:color w:val="auto"/>
        </w:rPr>
        <w:t>Net investment income totaled $57.1 million and $52.6 million, or $1.08 and $1.25 per share, for the fiscal years ended September 30, 2012 and 2011, respectively. Net investment income increased from prior year due to the growth of our portfolio, while the per share net investment income decreased due to share issuances.</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Net Realized Gains or Losses</w:t>
      </w:r>
    </w:p>
    <w:p>
      <w:pPr>
        <w:spacing w:after="0" w:line="212" w:lineRule="exact"/>
        <w:rPr>
          <w:sz w:val="20"/>
          <w:szCs w:val="20"/>
          <w:color w:val="auto"/>
        </w:rPr>
      </w:pPr>
    </w:p>
    <w:p>
      <w:pPr>
        <w:jc w:val="both"/>
        <w:ind w:right="180"/>
        <w:spacing w:after="0"/>
        <w:rPr>
          <w:sz w:val="20"/>
          <w:szCs w:val="20"/>
          <w:color w:val="auto"/>
        </w:rPr>
      </w:pPr>
      <w:r>
        <w:rPr>
          <w:rFonts w:ascii="Arial" w:cs="Arial" w:eastAsia="Arial" w:hAnsi="Arial"/>
          <w:sz w:val="22"/>
          <w:szCs w:val="22"/>
          <w:color w:val="auto"/>
        </w:rPr>
        <w:t>Sales and repayments of long-term investments for the three months ended September 30, 2012 and 2011 totaled $27.8 million and $47.6 million, respectively, and net realized (losses) gains totaled $(2.3) million and $7.6 million, respectively, for the same periods.</w:t>
      </w:r>
    </w:p>
    <w:p>
      <w:pPr>
        <w:spacing w:after="0" w:line="186" w:lineRule="exact"/>
        <w:rPr>
          <w:sz w:val="20"/>
          <w:szCs w:val="20"/>
          <w:color w:val="auto"/>
        </w:rPr>
      </w:pPr>
    </w:p>
    <w:p>
      <w:pPr>
        <w:jc w:val="both"/>
        <w:ind w:right="320"/>
        <w:spacing w:after="0" w:line="297" w:lineRule="auto"/>
        <w:rPr>
          <w:sz w:val="20"/>
          <w:szCs w:val="20"/>
          <w:color w:val="auto"/>
        </w:rPr>
      </w:pPr>
      <w:r>
        <w:rPr>
          <w:rFonts w:ascii="Arial" w:cs="Arial" w:eastAsia="Arial" w:hAnsi="Arial"/>
          <w:sz w:val="19"/>
          <w:szCs w:val="19"/>
          <w:color w:val="auto"/>
        </w:rPr>
        <w:t>Sales and repayments of long-term investments for the fiscal years ended September 30, 2012 and 2011 totaled $201.7 million and $304.0 million, respectively, and net realized (losses) gains totaled $(12.8) million and $16.3 million, respectively, for the same periods. Net realized losses increase over the prior year due to sales, restructurings, and repayments of our investments.</w:t>
      </w:r>
    </w:p>
    <w:p>
      <w:pPr>
        <w:spacing w:after="0" w:line="12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Net Change in Unrealized Appreciation or Depreciation on Investments and Credit Facility</w:t>
      </w:r>
    </w:p>
    <w:p>
      <w:pPr>
        <w:spacing w:after="0" w:line="212" w:lineRule="exact"/>
        <w:rPr>
          <w:sz w:val="20"/>
          <w:szCs w:val="20"/>
          <w:color w:val="auto"/>
        </w:rPr>
      </w:pPr>
    </w:p>
    <w:p>
      <w:pPr>
        <w:ind w:right="500"/>
        <w:spacing w:after="0"/>
        <w:rPr>
          <w:sz w:val="20"/>
          <w:szCs w:val="20"/>
          <w:color w:val="auto"/>
        </w:rPr>
      </w:pPr>
      <w:r>
        <w:rPr>
          <w:rFonts w:ascii="Arial" w:cs="Arial" w:eastAsia="Arial" w:hAnsi="Arial"/>
          <w:sz w:val="22"/>
          <w:szCs w:val="22"/>
          <w:color w:val="auto"/>
        </w:rPr>
        <w:t>For the three months ended September 30, 2012 and 2011, our investments had a net change in unrealized appreciation (depreciation) of $3.6 million and $(53.8) million, respectively. Net change in unrealized appreciation on our Credit Facility totaled $0.4 million and $0.1 million, respectively, for the same periods.</w:t>
      </w:r>
    </w:p>
    <w:p>
      <w:pPr>
        <w:spacing w:after="0" w:line="186" w:lineRule="exact"/>
        <w:rPr>
          <w:sz w:val="20"/>
          <w:szCs w:val="20"/>
          <w:color w:val="auto"/>
        </w:rPr>
      </w:pPr>
    </w:p>
    <w:p>
      <w:pPr>
        <w:ind w:right="200"/>
        <w:spacing w:after="0" w:line="282" w:lineRule="auto"/>
        <w:rPr>
          <w:sz w:val="20"/>
          <w:szCs w:val="20"/>
          <w:color w:val="auto"/>
        </w:rPr>
      </w:pPr>
      <w:r>
        <w:rPr>
          <w:rFonts w:ascii="Arial" w:cs="Arial" w:eastAsia="Arial" w:hAnsi="Arial"/>
          <w:sz w:val="19"/>
          <w:szCs w:val="19"/>
          <w:color w:val="auto"/>
        </w:rPr>
        <w:t>For the fiscal years ended September 30, 2012 and 2011, our investments had a net change in unrealized appreciation (depreciation) of $20.6 million and $(46.8) million, respectively. Net change in unrealized appreciation on our Credit Facility totaled $1.6 million and $11.9 million, respectively, for the same periods. Net change in unrealized depreciation on investments increased over the prior year due to the overall changes in the leveraged finance markets. Net change in unrealized depreciation on our Credit Facility over the prior year was the result of amending and restating the terms of our Credit Facility.</w:t>
      </w:r>
    </w:p>
    <w:p>
      <w:pPr>
        <w:spacing w:after="0" w:line="14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Net Increase in Net Assets Resulting from Operations</w:t>
      </w:r>
    </w:p>
    <w:p>
      <w:pPr>
        <w:spacing w:after="0" w:line="212" w:lineRule="exact"/>
        <w:rPr>
          <w:sz w:val="20"/>
          <w:szCs w:val="20"/>
          <w:color w:val="auto"/>
        </w:rPr>
      </w:pPr>
    </w:p>
    <w:p>
      <w:pPr>
        <w:ind w:right="80"/>
        <w:spacing w:after="0" w:line="250" w:lineRule="auto"/>
        <w:rPr>
          <w:sz w:val="20"/>
          <w:szCs w:val="20"/>
          <w:color w:val="auto"/>
        </w:rPr>
      </w:pPr>
      <w:r>
        <w:rPr>
          <w:rFonts w:ascii="Arial" w:cs="Arial" w:eastAsia="Arial" w:hAnsi="Arial"/>
          <w:sz w:val="22"/>
          <w:szCs w:val="22"/>
          <w:color w:val="auto"/>
        </w:rPr>
        <w:t>Net increase (decrease) in net assets resulting from operations totaled $17.7 million and $(31.2) million, or $0.31 and $(0.68) per share, for the three months ended September 30, 2012 and 2011, respectively.</w:t>
      </w:r>
    </w:p>
    <w:p>
      <w:pPr>
        <w:sectPr>
          <w:pgSz w:w="11900" w:h="16857" w:orient="portrait"/>
          <w:cols w:equalWidth="0" w:num="1">
            <w:col w:w="11240"/>
          </w:cols>
          <w:pgMar w:left="320" w:top="118" w:right="339" w:bottom="0" w:gutter="0" w:footer="0" w:header="0"/>
        </w:sectPr>
      </w:pPr>
    </w:p>
    <w:bookmarkStart w:id="4" w:name="page5"/>
    <w:bookmarkEnd w:id="4"/>
    <w:p>
      <w:pPr>
        <w:spacing w:after="0" w:line="24" w:lineRule="exact"/>
        <w:rPr>
          <w:sz w:val="20"/>
          <w:szCs w:val="20"/>
          <w:color w:val="auto"/>
        </w:rPr>
      </w:pPr>
    </w:p>
    <w:p>
      <w:pPr>
        <w:jc w:val="both"/>
        <w:ind w:right="40"/>
        <w:spacing w:after="0" w:line="238" w:lineRule="auto"/>
        <w:rPr>
          <w:sz w:val="20"/>
          <w:szCs w:val="20"/>
          <w:color w:val="auto"/>
        </w:rPr>
      </w:pPr>
      <w:r>
        <w:rPr>
          <w:rFonts w:ascii="Arial" w:cs="Arial" w:eastAsia="Arial" w:hAnsi="Arial"/>
          <w:sz w:val="22"/>
          <w:szCs w:val="22"/>
          <w:color w:val="auto"/>
        </w:rPr>
        <w:t>Net increase in net assets resulting from operations totaled $63.4 million and $10.3 million, or $1.20 and $0.24 per share, for the fiscal years ended September 30, 2012 and 2011, respectively. The net increase in net assets from operations was higher than the prior year due to the continued growth in net investment income as a result of growing our portfolio and unrealized gains offset by realized losses.</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LIQUIDITY AND CAPITAL RESOURCES</w:t>
      </w:r>
    </w:p>
    <w:p>
      <w:pPr>
        <w:spacing w:after="0" w:line="212" w:lineRule="exact"/>
        <w:rPr>
          <w:sz w:val="20"/>
          <w:szCs w:val="20"/>
          <w:color w:val="auto"/>
        </w:rPr>
      </w:pPr>
    </w:p>
    <w:p>
      <w:pPr>
        <w:spacing w:after="0" w:line="282" w:lineRule="auto"/>
        <w:rPr>
          <w:sz w:val="20"/>
          <w:szCs w:val="20"/>
          <w:color w:val="auto"/>
        </w:rPr>
      </w:pPr>
      <w:r>
        <w:rPr>
          <w:rFonts w:ascii="Arial" w:cs="Arial" w:eastAsia="Arial" w:hAnsi="Arial"/>
          <w:sz w:val="19"/>
          <w:szCs w:val="19"/>
          <w:color w:val="auto"/>
        </w:rPr>
        <w:t>Our liquidity and capital resources are derived primarily from proceeds of securities offerings, our Credit Facility, SBA debentures and cash flows from operations, including investment sales and repayments, and income earned. Our primary use of funds from operations includes investments in portfolio companies payments of fees and other operating expenses we incur. We have used, and expect to continue to use, our Credit Facility, the SBA debentures, proceeds from the rotation of our portfolio and proceeds from public and private offerings of securities to finance our investment objectives.</w:t>
      </w:r>
    </w:p>
    <w:p>
      <w:pPr>
        <w:spacing w:after="0" w:line="147" w:lineRule="exact"/>
        <w:rPr>
          <w:sz w:val="20"/>
          <w:szCs w:val="20"/>
          <w:color w:val="auto"/>
        </w:rPr>
      </w:pPr>
    </w:p>
    <w:p>
      <w:pPr>
        <w:ind w:right="220"/>
        <w:spacing w:after="0"/>
        <w:rPr>
          <w:sz w:val="20"/>
          <w:szCs w:val="20"/>
          <w:color w:val="auto"/>
        </w:rPr>
      </w:pPr>
      <w:r>
        <w:rPr>
          <w:rFonts w:ascii="Arial" w:cs="Arial" w:eastAsia="Arial" w:hAnsi="Arial"/>
          <w:sz w:val="22"/>
          <w:szCs w:val="22"/>
          <w:color w:val="auto"/>
        </w:rPr>
        <w:t>On September 30, 2012 and 2011, there was $145.0 million (including a temporary draw of $35.5 million) and $240.9 million, respectively, in outstanding borrowings under the Credit Facility, with a weighted average interest rate of 3.49% and 1.27%, exclusive of the fee on undrawn commitments of 0.50% and 0.20%, respectively.</w:t>
      </w:r>
    </w:p>
    <w:p>
      <w:pPr>
        <w:spacing w:after="0" w:line="186" w:lineRule="exact"/>
        <w:rPr>
          <w:sz w:val="20"/>
          <w:szCs w:val="20"/>
          <w:color w:val="auto"/>
        </w:rPr>
      </w:pPr>
    </w:p>
    <w:p>
      <w:pPr>
        <w:ind w:right="100"/>
        <w:spacing w:after="0" w:line="238" w:lineRule="auto"/>
        <w:rPr>
          <w:sz w:val="20"/>
          <w:szCs w:val="20"/>
          <w:color w:val="auto"/>
        </w:rPr>
      </w:pPr>
      <w:r>
        <w:rPr>
          <w:rFonts w:ascii="Arial" w:cs="Arial" w:eastAsia="Arial" w:hAnsi="Arial"/>
          <w:sz w:val="22"/>
          <w:szCs w:val="22"/>
          <w:color w:val="auto"/>
        </w:rPr>
        <w:t>On September 30, 2012 and 2011, $150.0 million in SBA debt commitments were fully drawn with a weighted average interest rate of 3.70%, exclusive of the 3.43% in upfront fees (4.04% after upfront fees). The SBA debentures upfront fees of 3.43% consist of a commitment fee of 1.00% and an issuance at a 2.43% discount to face. Both fees will be amortized over the lives of the loans.</w:t>
      </w:r>
    </w:p>
    <w:p>
      <w:pPr>
        <w:spacing w:after="0" w:line="185" w:lineRule="exact"/>
        <w:rPr>
          <w:sz w:val="20"/>
          <w:szCs w:val="20"/>
          <w:color w:val="auto"/>
        </w:rPr>
      </w:pPr>
    </w:p>
    <w:p>
      <w:pPr>
        <w:ind w:right="140"/>
        <w:spacing w:after="0" w:line="257" w:lineRule="auto"/>
        <w:rPr>
          <w:sz w:val="20"/>
          <w:szCs w:val="20"/>
          <w:color w:val="auto"/>
        </w:rPr>
      </w:pPr>
      <w:r>
        <w:rPr>
          <w:rFonts w:ascii="Arial" w:cs="Arial" w:eastAsia="Arial" w:hAnsi="Arial"/>
          <w:sz w:val="21"/>
          <w:szCs w:val="21"/>
          <w:color w:val="auto"/>
        </w:rPr>
        <w:t>Our operating activities used cash of $115.3 million for the fiscal year ended September 30, 2012, and our financing activities provided cash proceeds of $51.3 million for the same period. Our operating activities used cash primarily for investing that was provided primarily from proceeds from our follow-on offerings of common stock.</w:t>
      </w:r>
    </w:p>
    <w:p>
      <w:pPr>
        <w:spacing w:after="0" w:line="169" w:lineRule="exact"/>
        <w:rPr>
          <w:sz w:val="20"/>
          <w:szCs w:val="20"/>
          <w:color w:val="auto"/>
        </w:rPr>
      </w:pPr>
    </w:p>
    <w:p>
      <w:pPr>
        <w:ind w:right="20"/>
        <w:spacing w:after="0" w:line="238" w:lineRule="auto"/>
        <w:rPr>
          <w:sz w:val="20"/>
          <w:szCs w:val="20"/>
          <w:color w:val="auto"/>
        </w:rPr>
      </w:pPr>
      <w:r>
        <w:rPr>
          <w:rFonts w:ascii="Arial" w:cs="Arial" w:eastAsia="Arial" w:hAnsi="Arial"/>
          <w:sz w:val="22"/>
          <w:szCs w:val="22"/>
          <w:color w:val="auto"/>
        </w:rPr>
        <w:t>Our operating activities used cash of $137.8 million for the fiscal year ended September 30, 2011, and our financing activities provided cash proceeds of $207.6 million for the same period. Our operating activities used cash primarily for investing that was provided primarily from proceeds from our follow-on offering of common stock and draws under our Credit Facility and SBA debentures.</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DISTRIBUTIONS</w:t>
      </w:r>
    </w:p>
    <w:p>
      <w:pPr>
        <w:spacing w:after="0" w:line="212" w:lineRule="exact"/>
        <w:rPr>
          <w:sz w:val="20"/>
          <w:szCs w:val="20"/>
          <w:color w:val="auto"/>
        </w:rPr>
      </w:pPr>
    </w:p>
    <w:p>
      <w:pPr>
        <w:spacing w:after="0" w:line="279" w:lineRule="auto"/>
        <w:rPr>
          <w:sz w:val="20"/>
          <w:szCs w:val="20"/>
          <w:color w:val="auto"/>
        </w:rPr>
      </w:pPr>
      <w:r>
        <w:rPr>
          <w:rFonts w:ascii="Arial" w:cs="Arial" w:eastAsia="Arial" w:hAnsi="Arial"/>
          <w:sz w:val="19"/>
          <w:szCs w:val="19"/>
          <w:color w:val="auto"/>
        </w:rPr>
        <w:t>During the fiscal years ended September 30, 2012 and 2011, we declared distributions of $1.12 and $1.07 per share, respectively, for total distributions of $60.1 million and $46.3 million, respectively. For the three months ended September 30, 2012 and 2011, we declared distributions of $0.28 and $0.27 per share, respectively, for total distributions of $15.8 million and $12.3 million, respectively. Distributions are paid from taxable earnings and may include a return of capital and/or capital gains. The specific tax characteristics of the distributions will be reported to stockholders on Form 1099-DIV after the end of the calendar year and in our periodic reports filed with the Securities and Exchange Commission.</w:t>
      </w:r>
    </w:p>
    <w:p>
      <w:pPr>
        <w:spacing w:after="0" w:line="14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RECENT DEVELOPMENTS</w:t>
      </w:r>
    </w:p>
    <w:p>
      <w:pPr>
        <w:spacing w:after="0" w:line="212" w:lineRule="exact"/>
        <w:rPr>
          <w:sz w:val="20"/>
          <w:szCs w:val="20"/>
          <w:color w:val="auto"/>
        </w:rPr>
      </w:pPr>
    </w:p>
    <w:p>
      <w:pPr>
        <w:ind w:right="280"/>
        <w:spacing w:after="0" w:line="238" w:lineRule="auto"/>
        <w:rPr>
          <w:sz w:val="20"/>
          <w:szCs w:val="20"/>
          <w:color w:val="auto"/>
        </w:rPr>
      </w:pPr>
      <w:r>
        <w:rPr>
          <w:rFonts w:ascii="Arial" w:cs="Arial" w:eastAsia="Arial" w:hAnsi="Arial"/>
          <w:sz w:val="22"/>
          <w:szCs w:val="22"/>
          <w:color w:val="auto"/>
        </w:rPr>
        <w:t>On October 25, 2012, we sold an additional 700,000 shares of common stock at a public offering price of $10.82 per share generating gross proceeds of $7.6 million and net proceeds of $7.3 million after underwriting discounts and offering expenses payable by us, from the underwriters' partial exercise of the option to purchase additional shares we granted to them in connection with the offering that closed on September 28, 2012.</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AVAILABLE INFORMATION</w:t>
      </w:r>
    </w:p>
    <w:p>
      <w:pPr>
        <w:spacing w:after="0" w:line="14" w:lineRule="exact"/>
        <w:rPr>
          <w:sz w:val="20"/>
          <w:szCs w:val="20"/>
          <w:color w:val="auto"/>
        </w:rPr>
      </w:pPr>
    </w:p>
    <w:p>
      <w:pPr>
        <w:ind w:right="220"/>
        <w:spacing w:after="0" w:line="236" w:lineRule="auto"/>
        <w:rPr>
          <w:sz w:val="20"/>
          <w:szCs w:val="20"/>
          <w:color w:val="auto"/>
        </w:rPr>
      </w:pPr>
      <w:r>
        <w:rPr>
          <w:rFonts w:ascii="Arial" w:cs="Arial" w:eastAsia="Arial" w:hAnsi="Arial"/>
          <w:sz w:val="22"/>
          <w:szCs w:val="22"/>
          <w:color w:val="auto"/>
        </w:rPr>
        <w:t>The Company makes available on its website its report on Form 10-K filed with the Securities and Exchange Commission and stockholders may find the report on our website at www.pennantpark.com.</w:t>
      </w:r>
    </w:p>
    <w:p>
      <w:pPr>
        <w:spacing w:after="0" w:line="200" w:lineRule="exact"/>
        <w:rPr>
          <w:sz w:val="20"/>
          <w:szCs w:val="20"/>
          <w:color w:val="auto"/>
        </w:rPr>
      </w:pPr>
    </w:p>
    <w:p>
      <w:pPr>
        <w:spacing w:after="0" w:line="207"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PENNANTPARK INVESTMENT CORPORATIONAND SUBSIDIARIES</w:t>
      </w:r>
    </w:p>
    <w:p>
      <w:pPr>
        <w:ind w:left="1380"/>
        <w:spacing w:after="0" w:line="238" w:lineRule="auto"/>
        <w:rPr>
          <w:sz w:val="20"/>
          <w:szCs w:val="20"/>
          <w:color w:val="auto"/>
        </w:rPr>
      </w:pPr>
      <w:r>
        <w:rPr>
          <w:rFonts w:ascii="Courier New" w:cs="Courier New" w:eastAsia="Courier New" w:hAnsi="Courier New"/>
          <w:sz w:val="18"/>
          <w:szCs w:val="18"/>
          <w:color w:val="auto"/>
        </w:rPr>
        <w:t>CONSOLIDATED STATEMENTS OF ASSETS AND LIABILITIES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22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3200" w:type="dxa"/>
            <w:vAlign w:val="bottom"/>
            <w:gridSpan w:val="2"/>
          </w:tcPr>
          <w:p>
            <w:pPr>
              <w:jc w:val="right"/>
              <w:ind w:right="752"/>
              <w:spacing w:after="0"/>
              <w:rPr>
                <w:sz w:val="20"/>
                <w:szCs w:val="20"/>
                <w:color w:val="auto"/>
              </w:rPr>
            </w:pPr>
            <w:r>
              <w:rPr>
                <w:rFonts w:ascii="Courier New" w:cs="Courier New" w:eastAsia="Courier New" w:hAnsi="Courier New"/>
                <w:sz w:val="18"/>
                <w:szCs w:val="18"/>
                <w:color w:val="auto"/>
              </w:rPr>
              <w:t>September 30,</w:t>
            </w:r>
          </w:p>
        </w:tc>
      </w:tr>
      <w:tr>
        <w:trPr>
          <w:trHeight w:val="203"/>
        </w:trPr>
        <w:tc>
          <w:tcPr>
            <w:tcW w:w="222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32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8"/>
              </w:rPr>
              <w:t>------------------------------</w:t>
            </w:r>
          </w:p>
        </w:tc>
      </w:tr>
      <w:tr>
        <w:trPr>
          <w:trHeight w:val="203"/>
        </w:trPr>
        <w:tc>
          <w:tcPr>
            <w:tcW w:w="222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162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2012</w:t>
            </w:r>
          </w:p>
        </w:tc>
        <w:tc>
          <w:tcPr>
            <w:tcW w:w="15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2011</w:t>
            </w:r>
          </w:p>
        </w:tc>
      </w:tr>
      <w:tr>
        <w:trPr>
          <w:trHeight w:val="203"/>
        </w:trPr>
        <w:tc>
          <w:tcPr>
            <w:tcW w:w="222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1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w:t>
            </w: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220" w:type="dxa"/>
            <w:vAlign w:val="bottom"/>
          </w:tcPr>
          <w:p>
            <w:pPr>
              <w:spacing w:after="0" w:line="203" w:lineRule="exact"/>
              <w:rPr>
                <w:sz w:val="20"/>
                <w:szCs w:val="20"/>
                <w:color w:val="auto"/>
              </w:rPr>
            </w:pPr>
            <w:r>
              <w:rPr>
                <w:rFonts w:ascii="Courier New" w:cs="Courier New" w:eastAsia="Courier New" w:hAnsi="Courier New"/>
                <w:sz w:val="18"/>
                <w:szCs w:val="18"/>
                <w:color w:val="auto"/>
              </w:rPr>
              <w:t>Assets</w:t>
            </w:r>
          </w:p>
        </w:tc>
        <w:tc>
          <w:tcPr>
            <w:tcW w:w="24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47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Investments at fair value</w:t>
            </w:r>
          </w:p>
        </w:tc>
        <w:tc>
          <w:tcPr>
            <w:tcW w:w="16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2"/>
        </w:trPr>
        <w:tc>
          <w:tcPr>
            <w:tcW w:w="470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Non-controlled, non-affiliated</w:t>
            </w:r>
          </w:p>
        </w:tc>
        <w:tc>
          <w:tcPr>
            <w:tcW w:w="16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470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investments, at fair value (cost--</w:t>
            </w:r>
          </w:p>
        </w:tc>
        <w:tc>
          <w:tcPr>
            <w:tcW w:w="16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470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$871,867,953 and $816,078,311,</w:t>
            </w:r>
          </w:p>
        </w:tc>
        <w:tc>
          <w:tcPr>
            <w:tcW w:w="16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2"/>
        </w:trPr>
        <w:tc>
          <w:tcPr>
            <w:tcW w:w="22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respectively)</w:t>
            </w:r>
          </w:p>
        </w:tc>
        <w:tc>
          <w:tcPr>
            <w:tcW w:w="2480" w:type="dxa"/>
            <w:vAlign w:val="bottom"/>
          </w:tcPr>
          <w:p>
            <w:pPr>
              <w:spacing w:after="0"/>
              <w:rPr>
                <w:sz w:val="17"/>
                <w:szCs w:val="17"/>
                <w:color w:val="auto"/>
              </w:rPr>
            </w:pPr>
          </w:p>
        </w:tc>
        <w:tc>
          <w:tcPr>
            <w:tcW w:w="1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  871,892,745</w:t>
            </w: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773,375,381</w:t>
            </w:r>
          </w:p>
        </w:tc>
      </w:tr>
      <w:tr>
        <w:trPr>
          <w:trHeight w:val="203"/>
        </w:trPr>
        <w:tc>
          <w:tcPr>
            <w:tcW w:w="470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8"/>
              </w:rPr>
              <w:t>Non-controlled, affiliated investments, at</w:t>
            </w:r>
          </w:p>
        </w:tc>
        <w:tc>
          <w:tcPr>
            <w:tcW w:w="16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22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6"/>
              </w:rPr>
              <w:t>fair value (cost--</w:t>
            </w:r>
          </w:p>
        </w:tc>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$72,576,858 and</w:t>
            </w:r>
          </w:p>
        </w:tc>
        <w:tc>
          <w:tcPr>
            <w:tcW w:w="16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470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$36,744,425, respectively)</w:t>
            </w:r>
          </w:p>
        </w:tc>
        <w:tc>
          <w:tcPr>
            <w:tcW w:w="1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80,955,257</w:t>
            </w: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40,673,133</w:t>
            </w:r>
          </w:p>
        </w:tc>
      </w:tr>
      <w:tr>
        <w:trPr>
          <w:trHeight w:val="203"/>
        </w:trPr>
        <w:tc>
          <w:tcPr>
            <w:tcW w:w="470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Controlled, affiliated investments, at</w:t>
            </w:r>
          </w:p>
        </w:tc>
        <w:tc>
          <w:tcPr>
            <w:tcW w:w="16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2"/>
        </w:trPr>
        <w:tc>
          <w:tcPr>
            <w:tcW w:w="22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6"/>
              </w:rPr>
              <w:t>fair value (cost--</w:t>
            </w:r>
          </w:p>
        </w:tc>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$64,167,051 and</w:t>
            </w:r>
          </w:p>
        </w:tc>
        <w:tc>
          <w:tcPr>
            <w:tcW w:w="16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470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$13,500,100, respectively)</w:t>
            </w:r>
          </w:p>
        </w:tc>
        <w:tc>
          <w:tcPr>
            <w:tcW w:w="1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37,631,708</w:t>
            </w: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13,500,001</w:t>
            </w:r>
          </w:p>
        </w:tc>
      </w:tr>
      <w:tr>
        <w:trPr>
          <w:trHeight w:val="202"/>
        </w:trPr>
        <w:tc>
          <w:tcPr>
            <w:tcW w:w="222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1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w:t>
            </w: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70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8"/>
              </w:rPr>
              <w:t>Total of investments, at fair value (cost-</w:t>
            </w:r>
          </w:p>
        </w:tc>
        <w:tc>
          <w:tcPr>
            <w:tcW w:w="1620" w:type="dxa"/>
            <w:vAlign w:val="bottom"/>
          </w:tcPr>
          <w:p>
            <w:pPr>
              <w:spacing w:after="0"/>
              <w:rPr>
                <w:sz w:val="17"/>
                <w:szCs w:val="17"/>
                <w:color w:val="auto"/>
              </w:rPr>
            </w:pPr>
          </w:p>
        </w:tc>
        <w:tc>
          <w:tcPr>
            <w:tcW w:w="1580" w:type="dxa"/>
            <w:vAlign w:val="bottom"/>
          </w:tcPr>
          <w:p>
            <w:pPr>
              <w:spacing w:after="0"/>
              <w:rPr>
                <w:sz w:val="17"/>
                <w:szCs w:val="17"/>
                <w:color w:val="auto"/>
              </w:rPr>
            </w:pPr>
          </w:p>
        </w:tc>
      </w:tr>
    </w:tbl>
    <w:p>
      <w:pPr>
        <w:sectPr>
          <w:pgSz w:w="11900" w:h="16862" w:orient="portrait"/>
          <w:cols w:equalWidth="0" w:num="1">
            <w:col w:w="11160"/>
          </w:cols>
          <w:pgMar w:left="320" w:top="118" w:right="419" w:bottom="0" w:gutter="0" w:footer="0" w:header="0"/>
        </w:sectPr>
      </w:pPr>
    </w:p>
    <w:bookmarkStart w:id="5" w:name="page6"/>
    <w:bookmarkEnd w:id="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700" w:type="dxa"/>
            <w:vAlign w:val="bottom"/>
          </w:tcPr>
          <w:p>
            <w:pPr>
              <w:ind w:left="320"/>
              <w:spacing w:after="0"/>
              <w:rPr>
                <w:sz w:val="20"/>
                <w:szCs w:val="20"/>
                <w:color w:val="auto"/>
              </w:rPr>
            </w:pPr>
            <w:r>
              <w:rPr>
                <w:rFonts w:ascii="Courier New" w:cs="Courier New" w:eastAsia="Courier New" w:hAnsi="Courier New"/>
                <w:sz w:val="18"/>
                <w:szCs w:val="18"/>
                <w:color w:val="auto"/>
              </w:rPr>
              <w:t>-$1,008,611,862 and $866,322,836,</w:t>
            </w:r>
          </w:p>
        </w:tc>
        <w:tc>
          <w:tcPr>
            <w:tcW w:w="1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47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respectively)</w:t>
            </w:r>
          </w:p>
        </w:tc>
        <w:tc>
          <w:tcPr>
            <w:tcW w:w="160" w:type="dxa"/>
            <w:vAlign w:val="bottom"/>
          </w:tcPr>
          <w:p>
            <w:pPr>
              <w:spacing w:after="0"/>
              <w:rPr>
                <w:sz w:val="17"/>
                <w:szCs w:val="17"/>
                <w:color w:val="auto"/>
              </w:rPr>
            </w:pPr>
          </w:p>
        </w:tc>
        <w:tc>
          <w:tcPr>
            <w:tcW w:w="15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990,479,710</w:t>
            </w:r>
          </w:p>
        </w:tc>
        <w:tc>
          <w:tcPr>
            <w:tcW w:w="320" w:type="dxa"/>
            <w:vAlign w:val="bottom"/>
          </w:tcPr>
          <w:p>
            <w:pPr>
              <w:spacing w:after="0"/>
              <w:rPr>
                <w:sz w:val="17"/>
                <w:szCs w:val="17"/>
                <w:color w:val="auto"/>
              </w:rPr>
            </w:pP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827,548,515</w:t>
            </w: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equivalents</w:t>
            </w:r>
          </w:p>
        </w:tc>
        <w:tc>
          <w:tcPr>
            <w:tcW w:w="160" w:type="dxa"/>
            <w:vAlign w:val="bottom"/>
          </w:tcPr>
          <w:p>
            <w:pPr>
              <w:spacing w:after="0"/>
              <w:rPr>
                <w:sz w:val="17"/>
                <w:szCs w:val="17"/>
                <w:color w:val="auto"/>
              </w:rPr>
            </w:pPr>
          </w:p>
        </w:tc>
        <w:tc>
          <w:tcPr>
            <w:tcW w:w="15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7,559,453</w:t>
            </w:r>
          </w:p>
        </w:tc>
        <w:tc>
          <w:tcPr>
            <w:tcW w:w="320" w:type="dxa"/>
            <w:vAlign w:val="bottom"/>
          </w:tcPr>
          <w:p>
            <w:pPr>
              <w:spacing w:after="0"/>
              <w:rPr>
                <w:sz w:val="17"/>
                <w:szCs w:val="17"/>
                <w:color w:val="auto"/>
              </w:rPr>
            </w:pP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71,604,519</w:t>
            </w: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Interest receivable</w:t>
            </w:r>
          </w:p>
        </w:tc>
        <w:tc>
          <w:tcPr>
            <w:tcW w:w="160" w:type="dxa"/>
            <w:vAlign w:val="bottom"/>
          </w:tcPr>
          <w:p>
            <w:pPr>
              <w:spacing w:after="0"/>
              <w:rPr>
                <w:sz w:val="17"/>
                <w:szCs w:val="17"/>
                <w:color w:val="auto"/>
              </w:rPr>
            </w:pPr>
          </w:p>
        </w:tc>
        <w:tc>
          <w:tcPr>
            <w:tcW w:w="15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14,928,862</w:t>
            </w:r>
          </w:p>
        </w:tc>
        <w:tc>
          <w:tcPr>
            <w:tcW w:w="320" w:type="dxa"/>
            <w:vAlign w:val="bottom"/>
          </w:tcPr>
          <w:p>
            <w:pPr>
              <w:spacing w:after="0"/>
              <w:rPr>
                <w:sz w:val="17"/>
                <w:szCs w:val="17"/>
                <w:color w:val="auto"/>
              </w:rPr>
            </w:pP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10,878,236</w:t>
            </w: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Receivable for investments sold</w:t>
            </w:r>
          </w:p>
        </w:tc>
        <w:tc>
          <w:tcPr>
            <w:tcW w:w="160" w:type="dxa"/>
            <w:vAlign w:val="bottom"/>
          </w:tcPr>
          <w:p>
            <w:pPr>
              <w:spacing w:after="0"/>
              <w:rPr>
                <w:sz w:val="17"/>
                <w:szCs w:val="17"/>
                <w:color w:val="auto"/>
              </w:rPr>
            </w:pPr>
          </w:p>
        </w:tc>
        <w:tc>
          <w:tcPr>
            <w:tcW w:w="15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878,204</w:t>
            </w:r>
          </w:p>
        </w:tc>
        <w:tc>
          <w:tcPr>
            <w:tcW w:w="320" w:type="dxa"/>
            <w:vAlign w:val="bottom"/>
          </w:tcPr>
          <w:p>
            <w:pPr>
              <w:spacing w:after="0"/>
              <w:rPr>
                <w:sz w:val="17"/>
                <w:szCs w:val="17"/>
                <w:color w:val="auto"/>
              </w:rPr>
            </w:pP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13,118,967</w:t>
            </w: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Prepaid expenses and other assets</w:t>
            </w:r>
          </w:p>
        </w:tc>
        <w:tc>
          <w:tcPr>
            <w:tcW w:w="160" w:type="dxa"/>
            <w:vAlign w:val="bottom"/>
          </w:tcPr>
          <w:p>
            <w:pPr>
              <w:spacing w:after="0"/>
              <w:rPr>
                <w:sz w:val="17"/>
                <w:szCs w:val="17"/>
                <w:color w:val="auto"/>
              </w:rPr>
            </w:pPr>
          </w:p>
        </w:tc>
        <w:tc>
          <w:tcPr>
            <w:tcW w:w="15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5,121,302</w:t>
            </w:r>
          </w:p>
        </w:tc>
        <w:tc>
          <w:tcPr>
            <w:tcW w:w="320" w:type="dxa"/>
            <w:vAlign w:val="bottom"/>
          </w:tcPr>
          <w:p>
            <w:pPr>
              <w:spacing w:after="0"/>
              <w:rPr>
                <w:sz w:val="17"/>
                <w:szCs w:val="17"/>
                <w:color w:val="auto"/>
              </w:rPr>
            </w:pP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5,587,977</w:t>
            </w:r>
          </w:p>
        </w:tc>
      </w:tr>
      <w:tr>
        <w:trPr>
          <w:trHeight w:val="203"/>
        </w:trPr>
        <w:tc>
          <w:tcPr>
            <w:tcW w:w="4700" w:type="dxa"/>
            <w:vAlign w:val="bottom"/>
          </w:tcPr>
          <w:p>
            <w:pPr>
              <w:spacing w:after="0"/>
              <w:rPr>
                <w:sz w:val="17"/>
                <w:szCs w:val="17"/>
                <w:color w:val="auto"/>
              </w:rPr>
            </w:pPr>
          </w:p>
        </w:tc>
        <w:tc>
          <w:tcPr>
            <w:tcW w:w="16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6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47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Total assets</w:t>
            </w:r>
          </w:p>
        </w:tc>
        <w:tc>
          <w:tcPr>
            <w:tcW w:w="160" w:type="dxa"/>
            <w:vAlign w:val="bottom"/>
          </w:tcPr>
          <w:p>
            <w:pPr>
              <w:spacing w:after="0"/>
              <w:rPr>
                <w:sz w:val="17"/>
                <w:szCs w:val="17"/>
                <w:color w:val="auto"/>
              </w:rPr>
            </w:pPr>
          </w:p>
        </w:tc>
        <w:tc>
          <w:tcPr>
            <w:tcW w:w="15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1,018,967,531</w:t>
            </w:r>
          </w:p>
        </w:tc>
        <w:tc>
          <w:tcPr>
            <w:tcW w:w="320" w:type="dxa"/>
            <w:vAlign w:val="bottom"/>
          </w:tcPr>
          <w:p>
            <w:pPr>
              <w:spacing w:after="0"/>
              <w:rPr>
                <w:sz w:val="17"/>
                <w:szCs w:val="17"/>
                <w:color w:val="auto"/>
              </w:rPr>
            </w:pP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928,738,214</w:t>
            </w:r>
          </w:p>
        </w:tc>
      </w:tr>
      <w:tr>
        <w:trPr>
          <w:trHeight w:val="202"/>
        </w:trPr>
        <w:tc>
          <w:tcPr>
            <w:tcW w:w="4700" w:type="dxa"/>
            <w:vAlign w:val="bottom"/>
          </w:tcPr>
          <w:p>
            <w:pPr>
              <w:spacing w:after="0"/>
              <w:rPr>
                <w:sz w:val="17"/>
                <w:szCs w:val="17"/>
                <w:color w:val="auto"/>
              </w:rPr>
            </w:pPr>
          </w:p>
        </w:tc>
        <w:tc>
          <w:tcPr>
            <w:tcW w:w="16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6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405"/>
        </w:trPr>
        <w:tc>
          <w:tcPr>
            <w:tcW w:w="4700" w:type="dxa"/>
            <w:vAlign w:val="bottom"/>
          </w:tcPr>
          <w:p>
            <w:pPr>
              <w:spacing w:after="0"/>
              <w:rPr>
                <w:sz w:val="20"/>
                <w:szCs w:val="20"/>
                <w:color w:val="auto"/>
              </w:rPr>
            </w:pPr>
            <w:r>
              <w:rPr>
                <w:rFonts w:ascii="Courier New" w:cs="Courier New" w:eastAsia="Courier New" w:hAnsi="Courier New"/>
                <w:sz w:val="18"/>
                <w:szCs w:val="18"/>
                <w:color w:val="auto"/>
              </w:rPr>
              <w:t>Liabilities</w:t>
            </w:r>
          </w:p>
        </w:tc>
        <w:tc>
          <w:tcPr>
            <w:tcW w:w="1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Distributions payable</w:t>
            </w:r>
          </w:p>
        </w:tc>
        <w:tc>
          <w:tcPr>
            <w:tcW w:w="160" w:type="dxa"/>
            <w:vAlign w:val="bottom"/>
          </w:tcPr>
          <w:p>
            <w:pPr>
              <w:spacing w:after="0"/>
              <w:rPr>
                <w:sz w:val="17"/>
                <w:szCs w:val="17"/>
                <w:color w:val="auto"/>
              </w:rPr>
            </w:pPr>
          </w:p>
        </w:tc>
        <w:tc>
          <w:tcPr>
            <w:tcW w:w="15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15,824,061</w:t>
            </w:r>
          </w:p>
        </w:tc>
        <w:tc>
          <w:tcPr>
            <w:tcW w:w="320" w:type="dxa"/>
            <w:vAlign w:val="bottom"/>
          </w:tcPr>
          <w:p>
            <w:pPr>
              <w:spacing w:after="0"/>
              <w:rPr>
                <w:sz w:val="17"/>
                <w:szCs w:val="17"/>
                <w:color w:val="auto"/>
              </w:rPr>
            </w:pP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12,336,241</w:t>
            </w: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Payable for investments purchased</w:t>
            </w:r>
          </w:p>
        </w:tc>
        <w:tc>
          <w:tcPr>
            <w:tcW w:w="160" w:type="dxa"/>
            <w:vAlign w:val="bottom"/>
          </w:tcPr>
          <w:p>
            <w:pPr>
              <w:spacing w:after="0"/>
              <w:rPr>
                <w:sz w:val="17"/>
                <w:szCs w:val="17"/>
                <w:color w:val="auto"/>
              </w:rPr>
            </w:pPr>
          </w:p>
        </w:tc>
        <w:tc>
          <w:tcPr>
            <w:tcW w:w="15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spacing w:after="0"/>
              <w:rPr>
                <w:sz w:val="17"/>
                <w:szCs w:val="17"/>
                <w:color w:val="auto"/>
              </w:rPr>
            </w:pP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18,572,499</w:t>
            </w: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Unfunded investments</w:t>
            </w:r>
          </w:p>
        </w:tc>
        <w:tc>
          <w:tcPr>
            <w:tcW w:w="160" w:type="dxa"/>
            <w:vAlign w:val="bottom"/>
          </w:tcPr>
          <w:p>
            <w:pPr>
              <w:spacing w:after="0"/>
              <w:rPr>
                <w:sz w:val="17"/>
                <w:szCs w:val="17"/>
                <w:color w:val="auto"/>
              </w:rPr>
            </w:pPr>
          </w:p>
        </w:tc>
        <w:tc>
          <w:tcPr>
            <w:tcW w:w="15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26,935,270</w:t>
            </w:r>
          </w:p>
        </w:tc>
        <w:tc>
          <w:tcPr>
            <w:tcW w:w="320" w:type="dxa"/>
            <w:vAlign w:val="bottom"/>
          </w:tcPr>
          <w:p>
            <w:pPr>
              <w:spacing w:after="0"/>
              <w:rPr>
                <w:sz w:val="17"/>
                <w:szCs w:val="17"/>
                <w:color w:val="auto"/>
              </w:rPr>
            </w:pP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37,132,151</w:t>
            </w: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Credit Facility payable (cost--$145,000,000</w:t>
            </w:r>
          </w:p>
        </w:tc>
        <w:tc>
          <w:tcPr>
            <w:tcW w:w="1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47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and $240,900,000, respectively)</w:t>
            </w:r>
          </w:p>
        </w:tc>
        <w:tc>
          <w:tcPr>
            <w:tcW w:w="160" w:type="dxa"/>
            <w:vAlign w:val="bottom"/>
          </w:tcPr>
          <w:p>
            <w:pPr>
              <w:spacing w:after="0"/>
              <w:rPr>
                <w:sz w:val="17"/>
                <w:szCs w:val="17"/>
                <w:color w:val="auto"/>
              </w:rPr>
            </w:pPr>
          </w:p>
        </w:tc>
        <w:tc>
          <w:tcPr>
            <w:tcW w:w="15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144,452,500</w:t>
            </w:r>
          </w:p>
        </w:tc>
        <w:tc>
          <w:tcPr>
            <w:tcW w:w="320" w:type="dxa"/>
            <w:vAlign w:val="bottom"/>
          </w:tcPr>
          <w:p>
            <w:pPr>
              <w:spacing w:after="0"/>
              <w:rPr>
                <w:sz w:val="17"/>
                <w:szCs w:val="17"/>
                <w:color w:val="auto"/>
              </w:rPr>
            </w:pP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238,792,125</w:t>
            </w: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SBA debentures payable (cost--$150,000,000)</w:t>
            </w:r>
          </w:p>
        </w:tc>
        <w:tc>
          <w:tcPr>
            <w:tcW w:w="160" w:type="dxa"/>
            <w:vAlign w:val="bottom"/>
          </w:tcPr>
          <w:p>
            <w:pPr>
              <w:spacing w:after="0"/>
              <w:rPr>
                <w:sz w:val="17"/>
                <w:szCs w:val="17"/>
                <w:color w:val="auto"/>
              </w:rPr>
            </w:pPr>
          </w:p>
        </w:tc>
        <w:tc>
          <w:tcPr>
            <w:tcW w:w="15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150,000,000</w:t>
            </w:r>
          </w:p>
        </w:tc>
        <w:tc>
          <w:tcPr>
            <w:tcW w:w="320" w:type="dxa"/>
            <w:vAlign w:val="bottom"/>
          </w:tcPr>
          <w:p>
            <w:pPr>
              <w:spacing w:after="0"/>
              <w:rPr>
                <w:sz w:val="17"/>
                <w:szCs w:val="17"/>
                <w:color w:val="auto"/>
              </w:rPr>
            </w:pP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150,000,000</w:t>
            </w: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Interest payable on Credit Facility and SBA</w:t>
            </w:r>
          </w:p>
        </w:tc>
        <w:tc>
          <w:tcPr>
            <w:tcW w:w="1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47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debentures</w:t>
            </w:r>
          </w:p>
        </w:tc>
        <w:tc>
          <w:tcPr>
            <w:tcW w:w="160" w:type="dxa"/>
            <w:vAlign w:val="bottom"/>
          </w:tcPr>
          <w:p>
            <w:pPr>
              <w:spacing w:after="0"/>
              <w:rPr>
                <w:sz w:val="17"/>
                <w:szCs w:val="17"/>
                <w:color w:val="auto"/>
              </w:rPr>
            </w:pPr>
          </w:p>
        </w:tc>
        <w:tc>
          <w:tcPr>
            <w:tcW w:w="15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854,725</w:t>
            </w:r>
          </w:p>
        </w:tc>
        <w:tc>
          <w:tcPr>
            <w:tcW w:w="320" w:type="dxa"/>
            <w:vAlign w:val="bottom"/>
          </w:tcPr>
          <w:p>
            <w:pPr>
              <w:spacing w:after="0"/>
              <w:rPr>
                <w:sz w:val="17"/>
                <w:szCs w:val="17"/>
                <w:color w:val="auto"/>
              </w:rPr>
            </w:pP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687,362</w:t>
            </w: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Management fee payable</w:t>
            </w:r>
          </w:p>
        </w:tc>
        <w:tc>
          <w:tcPr>
            <w:tcW w:w="160" w:type="dxa"/>
            <w:vAlign w:val="bottom"/>
          </w:tcPr>
          <w:p>
            <w:pPr>
              <w:spacing w:after="0"/>
              <w:rPr>
                <w:sz w:val="17"/>
                <w:szCs w:val="17"/>
                <w:color w:val="auto"/>
              </w:rPr>
            </w:pPr>
          </w:p>
        </w:tc>
        <w:tc>
          <w:tcPr>
            <w:tcW w:w="15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4,791,913</w:t>
            </w:r>
          </w:p>
        </w:tc>
        <w:tc>
          <w:tcPr>
            <w:tcW w:w="320" w:type="dxa"/>
            <w:vAlign w:val="bottom"/>
          </w:tcPr>
          <w:p>
            <w:pPr>
              <w:spacing w:after="0"/>
              <w:rPr>
                <w:sz w:val="17"/>
                <w:szCs w:val="17"/>
                <w:color w:val="auto"/>
              </w:rPr>
            </w:pP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4,008,054</w:t>
            </w: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Performance-based incentive fee payable</w:t>
            </w:r>
          </w:p>
        </w:tc>
        <w:tc>
          <w:tcPr>
            <w:tcW w:w="160" w:type="dxa"/>
            <w:vAlign w:val="bottom"/>
          </w:tcPr>
          <w:p>
            <w:pPr>
              <w:spacing w:after="0"/>
              <w:rPr>
                <w:sz w:val="17"/>
                <w:szCs w:val="17"/>
                <w:color w:val="auto"/>
              </w:rPr>
            </w:pPr>
          </w:p>
        </w:tc>
        <w:tc>
          <w:tcPr>
            <w:tcW w:w="15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4,206,989</w:t>
            </w:r>
          </w:p>
        </w:tc>
        <w:tc>
          <w:tcPr>
            <w:tcW w:w="320" w:type="dxa"/>
            <w:vAlign w:val="bottom"/>
          </w:tcPr>
          <w:p>
            <w:pPr>
              <w:spacing w:after="0"/>
              <w:rPr>
                <w:sz w:val="17"/>
                <w:szCs w:val="17"/>
                <w:color w:val="auto"/>
              </w:rPr>
            </w:pP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3,773,829</w:t>
            </w: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Accrued other expenses</w:t>
            </w:r>
          </w:p>
        </w:tc>
        <w:tc>
          <w:tcPr>
            <w:tcW w:w="160" w:type="dxa"/>
            <w:vAlign w:val="bottom"/>
          </w:tcPr>
          <w:p>
            <w:pPr>
              <w:spacing w:after="0"/>
              <w:rPr>
                <w:sz w:val="17"/>
                <w:szCs w:val="17"/>
                <w:color w:val="auto"/>
              </w:rPr>
            </w:pPr>
          </w:p>
        </w:tc>
        <w:tc>
          <w:tcPr>
            <w:tcW w:w="15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2,185,026</w:t>
            </w:r>
          </w:p>
        </w:tc>
        <w:tc>
          <w:tcPr>
            <w:tcW w:w="320" w:type="dxa"/>
            <w:vAlign w:val="bottom"/>
          </w:tcPr>
          <w:p>
            <w:pPr>
              <w:spacing w:after="0"/>
              <w:rPr>
                <w:sz w:val="17"/>
                <w:szCs w:val="17"/>
                <w:color w:val="auto"/>
              </w:rPr>
            </w:pP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778,757</w:t>
            </w:r>
          </w:p>
        </w:tc>
      </w:tr>
      <w:tr>
        <w:trPr>
          <w:trHeight w:val="203"/>
        </w:trPr>
        <w:tc>
          <w:tcPr>
            <w:tcW w:w="4700" w:type="dxa"/>
            <w:vAlign w:val="bottom"/>
          </w:tcPr>
          <w:p>
            <w:pPr>
              <w:spacing w:after="0"/>
              <w:rPr>
                <w:sz w:val="17"/>
                <w:szCs w:val="17"/>
                <w:color w:val="auto"/>
              </w:rPr>
            </w:pPr>
          </w:p>
        </w:tc>
        <w:tc>
          <w:tcPr>
            <w:tcW w:w="16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6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47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Total liabilities</w:t>
            </w:r>
          </w:p>
        </w:tc>
        <w:tc>
          <w:tcPr>
            <w:tcW w:w="160" w:type="dxa"/>
            <w:vAlign w:val="bottom"/>
          </w:tcPr>
          <w:p>
            <w:pPr>
              <w:spacing w:after="0"/>
              <w:rPr>
                <w:sz w:val="17"/>
                <w:szCs w:val="17"/>
                <w:color w:val="auto"/>
              </w:rPr>
            </w:pPr>
          </w:p>
        </w:tc>
        <w:tc>
          <w:tcPr>
            <w:tcW w:w="15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349,250,484</w:t>
            </w:r>
          </w:p>
        </w:tc>
        <w:tc>
          <w:tcPr>
            <w:tcW w:w="320" w:type="dxa"/>
            <w:vAlign w:val="bottom"/>
          </w:tcPr>
          <w:p>
            <w:pPr>
              <w:spacing w:after="0"/>
              <w:rPr>
                <w:sz w:val="17"/>
                <w:szCs w:val="17"/>
                <w:color w:val="auto"/>
              </w:rPr>
            </w:pP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466,081,018</w:t>
            </w:r>
          </w:p>
        </w:tc>
      </w:tr>
      <w:tr>
        <w:trPr>
          <w:trHeight w:val="203"/>
        </w:trPr>
        <w:tc>
          <w:tcPr>
            <w:tcW w:w="4700" w:type="dxa"/>
            <w:vAlign w:val="bottom"/>
          </w:tcPr>
          <w:p>
            <w:pPr>
              <w:spacing w:after="0"/>
              <w:rPr>
                <w:sz w:val="17"/>
                <w:szCs w:val="17"/>
                <w:color w:val="auto"/>
              </w:rPr>
            </w:pPr>
          </w:p>
        </w:tc>
        <w:tc>
          <w:tcPr>
            <w:tcW w:w="16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6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405"/>
        </w:trPr>
        <w:tc>
          <w:tcPr>
            <w:tcW w:w="4700" w:type="dxa"/>
            <w:vAlign w:val="bottom"/>
          </w:tcPr>
          <w:p>
            <w:pPr>
              <w:spacing w:after="0"/>
              <w:rPr>
                <w:sz w:val="20"/>
                <w:szCs w:val="20"/>
                <w:color w:val="auto"/>
              </w:rPr>
            </w:pPr>
            <w:r>
              <w:rPr>
                <w:rFonts w:ascii="Courier New" w:cs="Courier New" w:eastAsia="Courier New" w:hAnsi="Courier New"/>
                <w:sz w:val="18"/>
                <w:szCs w:val="18"/>
                <w:color w:val="auto"/>
              </w:rPr>
              <w:t>Net Assets</w:t>
            </w:r>
          </w:p>
        </w:tc>
        <w:tc>
          <w:tcPr>
            <w:tcW w:w="1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Common stock, 65,514,503 and 45,689,781</w:t>
            </w:r>
          </w:p>
        </w:tc>
        <w:tc>
          <w:tcPr>
            <w:tcW w:w="1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47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shares are issued and outstanding,</w:t>
            </w:r>
          </w:p>
        </w:tc>
        <w:tc>
          <w:tcPr>
            <w:tcW w:w="1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47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8"/>
              </w:rPr>
              <w:t>respectively. Par value is $0.001 per share</w:t>
            </w:r>
          </w:p>
        </w:tc>
        <w:tc>
          <w:tcPr>
            <w:tcW w:w="1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47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and 100,000,000 shares are authorized.</w:t>
            </w:r>
          </w:p>
        </w:tc>
        <w:tc>
          <w:tcPr>
            <w:tcW w:w="160" w:type="dxa"/>
            <w:vAlign w:val="bottom"/>
          </w:tcPr>
          <w:p>
            <w:pPr>
              <w:spacing w:after="0"/>
              <w:rPr>
                <w:sz w:val="17"/>
                <w:szCs w:val="17"/>
                <w:color w:val="auto"/>
              </w:rPr>
            </w:pPr>
          </w:p>
        </w:tc>
        <w:tc>
          <w:tcPr>
            <w:tcW w:w="15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65,514</w:t>
            </w:r>
          </w:p>
        </w:tc>
        <w:tc>
          <w:tcPr>
            <w:tcW w:w="320" w:type="dxa"/>
            <w:vAlign w:val="bottom"/>
          </w:tcPr>
          <w:p>
            <w:pPr>
              <w:spacing w:after="0"/>
              <w:rPr>
                <w:sz w:val="17"/>
                <w:szCs w:val="17"/>
                <w:color w:val="auto"/>
              </w:rPr>
            </w:pP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45,690</w:t>
            </w: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Paid-in capital in excess of par value</w:t>
            </w:r>
          </w:p>
        </w:tc>
        <w:tc>
          <w:tcPr>
            <w:tcW w:w="160" w:type="dxa"/>
            <w:vAlign w:val="bottom"/>
          </w:tcPr>
          <w:p>
            <w:pPr>
              <w:spacing w:after="0"/>
              <w:rPr>
                <w:sz w:val="17"/>
                <w:szCs w:val="17"/>
                <w:color w:val="auto"/>
              </w:rPr>
            </w:pPr>
          </w:p>
        </w:tc>
        <w:tc>
          <w:tcPr>
            <w:tcW w:w="15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744,704,825</w:t>
            </w:r>
          </w:p>
        </w:tc>
        <w:tc>
          <w:tcPr>
            <w:tcW w:w="320" w:type="dxa"/>
            <w:vAlign w:val="bottom"/>
          </w:tcPr>
          <w:p>
            <w:pPr>
              <w:spacing w:after="0"/>
              <w:rPr>
                <w:sz w:val="17"/>
                <w:szCs w:val="17"/>
                <w:color w:val="auto"/>
              </w:rPr>
            </w:pP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540,603,020</w:t>
            </w: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Undistributed net investment income</w:t>
            </w:r>
          </w:p>
        </w:tc>
        <w:tc>
          <w:tcPr>
            <w:tcW w:w="160" w:type="dxa"/>
            <w:vAlign w:val="bottom"/>
          </w:tcPr>
          <w:p>
            <w:pPr>
              <w:spacing w:after="0"/>
              <w:rPr>
                <w:sz w:val="17"/>
                <w:szCs w:val="17"/>
                <w:color w:val="auto"/>
              </w:rPr>
            </w:pPr>
          </w:p>
        </w:tc>
        <w:tc>
          <w:tcPr>
            <w:tcW w:w="15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2,804,397</w:t>
            </w:r>
          </w:p>
        </w:tc>
        <w:tc>
          <w:tcPr>
            <w:tcW w:w="320" w:type="dxa"/>
            <w:vAlign w:val="bottom"/>
          </w:tcPr>
          <w:p>
            <w:pPr>
              <w:spacing w:after="0"/>
              <w:rPr>
                <w:sz w:val="17"/>
                <w:szCs w:val="17"/>
                <w:color w:val="auto"/>
              </w:rPr>
            </w:pP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8,326,854</w:t>
            </w: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Accumulated net realized loss on investments</w:t>
            </w:r>
          </w:p>
        </w:tc>
        <w:tc>
          <w:tcPr>
            <w:tcW w:w="160" w:type="dxa"/>
            <w:vAlign w:val="bottom"/>
          </w:tcPr>
          <w:p>
            <w:pPr>
              <w:spacing w:after="0"/>
              <w:rPr>
                <w:sz w:val="17"/>
                <w:szCs w:val="17"/>
                <w:color w:val="auto"/>
              </w:rPr>
            </w:pPr>
          </w:p>
        </w:tc>
        <w:tc>
          <w:tcPr>
            <w:tcW w:w="1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(60,273,037)</w:t>
            </w:r>
          </w:p>
        </w:tc>
        <w:tc>
          <w:tcPr>
            <w:tcW w:w="320" w:type="dxa"/>
            <w:vAlign w:val="bottom"/>
          </w:tcPr>
          <w:p>
            <w:pPr>
              <w:spacing w:after="0"/>
              <w:rPr>
                <w:sz w:val="17"/>
                <w:szCs w:val="17"/>
                <w:color w:val="auto"/>
              </w:rPr>
            </w:pP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(49,651,922)</w:t>
            </w: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Net unrealized depreciation on investments</w:t>
            </w:r>
          </w:p>
        </w:tc>
        <w:tc>
          <w:tcPr>
            <w:tcW w:w="160" w:type="dxa"/>
            <w:vAlign w:val="bottom"/>
          </w:tcPr>
          <w:p>
            <w:pPr>
              <w:spacing w:after="0"/>
              <w:rPr>
                <w:sz w:val="17"/>
                <w:szCs w:val="17"/>
                <w:color w:val="auto"/>
              </w:rPr>
            </w:pPr>
          </w:p>
        </w:tc>
        <w:tc>
          <w:tcPr>
            <w:tcW w:w="1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(18,132,152)</w:t>
            </w:r>
          </w:p>
        </w:tc>
        <w:tc>
          <w:tcPr>
            <w:tcW w:w="320" w:type="dxa"/>
            <w:vAlign w:val="bottom"/>
          </w:tcPr>
          <w:p>
            <w:pPr>
              <w:spacing w:after="0"/>
              <w:rPr>
                <w:sz w:val="17"/>
                <w:szCs w:val="17"/>
                <w:color w:val="auto"/>
              </w:rPr>
            </w:pP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(38,774,321)</w:t>
            </w: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Net unrealized depreciation on Credit</w:t>
            </w:r>
          </w:p>
        </w:tc>
        <w:tc>
          <w:tcPr>
            <w:tcW w:w="1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47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Facility</w:t>
            </w:r>
          </w:p>
        </w:tc>
        <w:tc>
          <w:tcPr>
            <w:tcW w:w="160" w:type="dxa"/>
            <w:vAlign w:val="bottom"/>
          </w:tcPr>
          <w:p>
            <w:pPr>
              <w:spacing w:after="0"/>
              <w:rPr>
                <w:sz w:val="17"/>
                <w:szCs w:val="17"/>
                <w:color w:val="auto"/>
              </w:rPr>
            </w:pPr>
          </w:p>
        </w:tc>
        <w:tc>
          <w:tcPr>
            <w:tcW w:w="15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547,500</w:t>
            </w:r>
          </w:p>
        </w:tc>
        <w:tc>
          <w:tcPr>
            <w:tcW w:w="320" w:type="dxa"/>
            <w:vAlign w:val="bottom"/>
          </w:tcPr>
          <w:p>
            <w:pPr>
              <w:spacing w:after="0"/>
              <w:rPr>
                <w:sz w:val="17"/>
                <w:szCs w:val="17"/>
                <w:color w:val="auto"/>
              </w:rPr>
            </w:pP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2,107,875</w:t>
            </w:r>
          </w:p>
        </w:tc>
      </w:tr>
      <w:tr>
        <w:trPr>
          <w:trHeight w:val="203"/>
        </w:trPr>
        <w:tc>
          <w:tcPr>
            <w:tcW w:w="4700" w:type="dxa"/>
            <w:vAlign w:val="bottom"/>
          </w:tcPr>
          <w:p>
            <w:pPr>
              <w:spacing w:after="0"/>
              <w:rPr>
                <w:sz w:val="17"/>
                <w:szCs w:val="17"/>
                <w:color w:val="auto"/>
              </w:rPr>
            </w:pPr>
          </w:p>
        </w:tc>
        <w:tc>
          <w:tcPr>
            <w:tcW w:w="16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6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47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Total net assets</w:t>
            </w:r>
          </w:p>
        </w:tc>
        <w:tc>
          <w:tcPr>
            <w:tcW w:w="160" w:type="dxa"/>
            <w:vAlign w:val="bottom"/>
          </w:tcPr>
          <w:p>
            <w:pPr>
              <w:spacing w:after="0"/>
              <w:rPr>
                <w:sz w:val="17"/>
                <w:szCs w:val="17"/>
                <w:color w:val="auto"/>
              </w:rPr>
            </w:pPr>
          </w:p>
        </w:tc>
        <w:tc>
          <w:tcPr>
            <w:tcW w:w="15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669,717,047</w:t>
            </w:r>
          </w:p>
        </w:tc>
        <w:tc>
          <w:tcPr>
            <w:tcW w:w="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462,657,196</w:t>
            </w:r>
          </w:p>
        </w:tc>
      </w:tr>
      <w:tr>
        <w:trPr>
          <w:trHeight w:val="203"/>
        </w:trPr>
        <w:tc>
          <w:tcPr>
            <w:tcW w:w="4700" w:type="dxa"/>
            <w:vAlign w:val="bottom"/>
          </w:tcPr>
          <w:p>
            <w:pPr>
              <w:spacing w:after="0"/>
              <w:rPr>
                <w:sz w:val="17"/>
                <w:szCs w:val="17"/>
                <w:color w:val="auto"/>
              </w:rPr>
            </w:pPr>
          </w:p>
        </w:tc>
        <w:tc>
          <w:tcPr>
            <w:tcW w:w="16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6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47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Total liabilities and net assets</w:t>
            </w:r>
          </w:p>
        </w:tc>
        <w:tc>
          <w:tcPr>
            <w:tcW w:w="16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$1,018,967,531</w:t>
            </w:r>
          </w:p>
        </w:tc>
        <w:tc>
          <w:tcPr>
            <w:tcW w:w="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928,738,214</w:t>
            </w:r>
          </w:p>
        </w:tc>
      </w:tr>
      <w:tr>
        <w:trPr>
          <w:trHeight w:val="203"/>
        </w:trPr>
        <w:tc>
          <w:tcPr>
            <w:tcW w:w="4700" w:type="dxa"/>
            <w:vAlign w:val="bottom"/>
          </w:tcPr>
          <w:p>
            <w:pPr>
              <w:spacing w:after="0"/>
              <w:rPr>
                <w:sz w:val="17"/>
                <w:szCs w:val="17"/>
                <w:color w:val="auto"/>
              </w:rPr>
            </w:pPr>
          </w:p>
        </w:tc>
        <w:tc>
          <w:tcPr>
            <w:tcW w:w="16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6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Net asset value per share</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10.22</w:t>
            </w:r>
          </w:p>
        </w:tc>
        <w:tc>
          <w:tcPr>
            <w:tcW w:w="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10.13</w:t>
            </w:r>
          </w:p>
        </w:tc>
      </w:tr>
      <w:tr>
        <w:trPr>
          <w:trHeight w:val="203"/>
        </w:trPr>
        <w:tc>
          <w:tcPr>
            <w:tcW w:w="4700" w:type="dxa"/>
            <w:vAlign w:val="bottom"/>
          </w:tcPr>
          <w:p>
            <w:pPr>
              <w:spacing w:after="0"/>
              <w:rPr>
                <w:sz w:val="17"/>
                <w:szCs w:val="17"/>
                <w:color w:val="auto"/>
              </w:rPr>
            </w:pPr>
          </w:p>
        </w:tc>
        <w:tc>
          <w:tcPr>
            <w:tcW w:w="16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6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810"/>
        </w:trPr>
        <w:tc>
          <w:tcPr>
            <w:tcW w:w="6700" w:type="dxa"/>
            <w:vAlign w:val="bottom"/>
            <w:gridSpan w:val="4"/>
          </w:tcPr>
          <w:p>
            <w:pPr>
              <w:ind w:left="1380"/>
              <w:spacing w:after="0"/>
              <w:rPr>
                <w:sz w:val="20"/>
                <w:szCs w:val="20"/>
                <w:color w:val="auto"/>
              </w:rPr>
            </w:pPr>
            <w:r>
              <w:rPr>
                <w:rFonts w:ascii="Courier New" w:cs="Courier New" w:eastAsia="Courier New" w:hAnsi="Courier New"/>
                <w:sz w:val="18"/>
                <w:szCs w:val="18"/>
                <w:color w:val="auto"/>
                <w:w w:val="98"/>
              </w:rPr>
              <w:t>PENNANTPARK INVESTMENT CORPORATIONAND SUBSIDIARIES</w:t>
            </w:r>
          </w:p>
        </w:tc>
        <w:tc>
          <w:tcPr>
            <w:tcW w:w="1320" w:type="dxa"/>
            <w:vAlign w:val="bottom"/>
          </w:tcPr>
          <w:p>
            <w:pPr>
              <w:spacing w:after="0"/>
              <w:rPr>
                <w:sz w:val="24"/>
                <w:szCs w:val="24"/>
                <w:color w:val="auto"/>
              </w:rPr>
            </w:pPr>
          </w:p>
        </w:tc>
      </w:tr>
      <w:tr>
        <w:trPr>
          <w:trHeight w:val="202"/>
        </w:trPr>
        <w:tc>
          <w:tcPr>
            <w:tcW w:w="6380" w:type="dxa"/>
            <w:vAlign w:val="bottom"/>
            <w:gridSpan w:val="3"/>
          </w:tcPr>
          <w:p>
            <w:pPr>
              <w:ind w:left="2000"/>
              <w:spacing w:after="0" w:line="203" w:lineRule="exact"/>
              <w:rPr>
                <w:sz w:val="20"/>
                <w:szCs w:val="20"/>
                <w:color w:val="auto"/>
              </w:rPr>
            </w:pPr>
            <w:r>
              <w:rPr>
                <w:rFonts w:ascii="Courier New" w:cs="Courier New" w:eastAsia="Courier New" w:hAnsi="Courier New"/>
                <w:sz w:val="18"/>
                <w:szCs w:val="18"/>
                <w:color w:val="auto"/>
              </w:rPr>
              <w:t>CONSOLIDATED STATEMENTS OF OPERATIONS</w:t>
            </w:r>
          </w:p>
        </w:tc>
        <w:tc>
          <w:tcPr>
            <w:tcW w:w="32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405"/>
        </w:trPr>
        <w:tc>
          <w:tcPr>
            <w:tcW w:w="4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160" w:type="dxa"/>
            <w:vAlign w:val="bottom"/>
            <w:gridSpan w:val="3"/>
          </w:tcPr>
          <w:p>
            <w:pPr>
              <w:jc w:val="right"/>
              <w:ind w:right="232"/>
              <w:spacing w:after="0"/>
              <w:rPr>
                <w:sz w:val="20"/>
                <w:szCs w:val="20"/>
                <w:color w:val="auto"/>
              </w:rPr>
            </w:pPr>
            <w:r>
              <w:rPr>
                <w:rFonts w:ascii="Courier New" w:cs="Courier New" w:eastAsia="Courier New" w:hAnsi="Courier New"/>
                <w:sz w:val="18"/>
                <w:szCs w:val="18"/>
                <w:color w:val="auto"/>
              </w:rPr>
              <w:t>Years Ended September 30,</w:t>
            </w:r>
          </w:p>
        </w:tc>
      </w:tr>
      <w:tr>
        <w:trPr>
          <w:trHeight w:val="203"/>
        </w:trPr>
        <w:tc>
          <w:tcPr>
            <w:tcW w:w="4700" w:type="dxa"/>
            <w:vAlign w:val="bottom"/>
          </w:tcPr>
          <w:p>
            <w:pPr>
              <w:spacing w:after="0"/>
              <w:rPr>
                <w:sz w:val="17"/>
                <w:szCs w:val="17"/>
                <w:color w:val="auto"/>
              </w:rPr>
            </w:pPr>
          </w:p>
        </w:tc>
        <w:tc>
          <w:tcPr>
            <w:tcW w:w="3320" w:type="dxa"/>
            <w:vAlign w:val="bottom"/>
            <w:gridSpan w:val="4"/>
          </w:tcPr>
          <w:p>
            <w:pPr>
              <w:jc w:val="right"/>
              <w:ind w:right="32"/>
              <w:spacing w:after="0" w:line="203" w:lineRule="exact"/>
              <w:rPr>
                <w:sz w:val="20"/>
                <w:szCs w:val="20"/>
                <w:color w:val="auto"/>
              </w:rPr>
            </w:pPr>
            <w:r>
              <w:rPr>
                <w:rFonts w:ascii="Courier New" w:cs="Courier New" w:eastAsia="Courier New" w:hAnsi="Courier New"/>
                <w:sz w:val="18"/>
                <w:szCs w:val="18"/>
                <w:color w:val="auto"/>
                <w:w w:val="98"/>
              </w:rPr>
              <w:t>------------------------------</w:t>
            </w:r>
          </w:p>
        </w:tc>
      </w:tr>
      <w:tr>
        <w:trPr>
          <w:trHeight w:val="203"/>
        </w:trPr>
        <w:tc>
          <w:tcPr>
            <w:tcW w:w="4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2012</w:t>
            </w:r>
          </w:p>
        </w:tc>
        <w:tc>
          <w:tcPr>
            <w:tcW w:w="320" w:type="dxa"/>
            <w:vAlign w:val="bottom"/>
          </w:tcPr>
          <w:p>
            <w:pPr>
              <w:spacing w:after="0"/>
              <w:rPr>
                <w:sz w:val="17"/>
                <w:szCs w:val="17"/>
                <w:color w:val="auto"/>
              </w:rPr>
            </w:pPr>
          </w:p>
        </w:tc>
        <w:tc>
          <w:tcPr>
            <w:tcW w:w="132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2011</w:t>
            </w:r>
          </w:p>
        </w:tc>
      </w:tr>
      <w:tr>
        <w:trPr>
          <w:trHeight w:val="203"/>
        </w:trPr>
        <w:tc>
          <w:tcPr>
            <w:tcW w:w="4700" w:type="dxa"/>
            <w:vAlign w:val="bottom"/>
          </w:tcPr>
          <w:p>
            <w:pPr>
              <w:spacing w:after="0"/>
              <w:rPr>
                <w:sz w:val="17"/>
                <w:szCs w:val="17"/>
                <w:color w:val="auto"/>
              </w:rPr>
            </w:pPr>
          </w:p>
        </w:tc>
        <w:tc>
          <w:tcPr>
            <w:tcW w:w="16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6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Investment income:</w:t>
            </w:r>
          </w:p>
        </w:tc>
        <w:tc>
          <w:tcPr>
            <w:tcW w:w="1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From non-controlled, non-affiliated</w:t>
            </w:r>
          </w:p>
        </w:tc>
        <w:tc>
          <w:tcPr>
            <w:tcW w:w="1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47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investments:</w:t>
            </w:r>
          </w:p>
        </w:tc>
        <w:tc>
          <w:tcPr>
            <w:tcW w:w="1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47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Interest</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99,663,198</w:t>
            </w:r>
          </w:p>
        </w:tc>
        <w:tc>
          <w:tcPr>
            <w:tcW w:w="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83,632,455</w:t>
            </w:r>
          </w:p>
        </w:tc>
      </w:tr>
      <w:tr>
        <w:trPr>
          <w:trHeight w:val="203"/>
        </w:trPr>
        <w:tc>
          <w:tcPr>
            <w:tcW w:w="47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Other</w:t>
            </w:r>
          </w:p>
        </w:tc>
        <w:tc>
          <w:tcPr>
            <w:tcW w:w="160" w:type="dxa"/>
            <w:vAlign w:val="bottom"/>
          </w:tcPr>
          <w:p>
            <w:pPr>
              <w:spacing w:after="0"/>
              <w:rPr>
                <w:sz w:val="17"/>
                <w:szCs w:val="17"/>
                <w:color w:val="auto"/>
              </w:rPr>
            </w:pPr>
          </w:p>
        </w:tc>
        <w:tc>
          <w:tcPr>
            <w:tcW w:w="15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8,486,387</w:t>
            </w:r>
          </w:p>
        </w:tc>
        <w:tc>
          <w:tcPr>
            <w:tcW w:w="320" w:type="dxa"/>
            <w:vAlign w:val="bottom"/>
          </w:tcPr>
          <w:p>
            <w:pPr>
              <w:spacing w:after="0"/>
              <w:rPr>
                <w:sz w:val="17"/>
                <w:szCs w:val="17"/>
                <w:color w:val="auto"/>
              </w:rPr>
            </w:pP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4,726,387</w:t>
            </w: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From non-controlled, affiliated investments:</w:t>
            </w:r>
          </w:p>
        </w:tc>
        <w:tc>
          <w:tcPr>
            <w:tcW w:w="1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47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Interest</w:t>
            </w:r>
          </w:p>
        </w:tc>
        <w:tc>
          <w:tcPr>
            <w:tcW w:w="160" w:type="dxa"/>
            <w:vAlign w:val="bottom"/>
          </w:tcPr>
          <w:p>
            <w:pPr>
              <w:spacing w:after="0"/>
              <w:rPr>
                <w:sz w:val="17"/>
                <w:szCs w:val="17"/>
                <w:color w:val="auto"/>
              </w:rPr>
            </w:pPr>
          </w:p>
        </w:tc>
        <w:tc>
          <w:tcPr>
            <w:tcW w:w="15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3,542,583</w:t>
            </w:r>
          </w:p>
        </w:tc>
        <w:tc>
          <w:tcPr>
            <w:tcW w:w="320" w:type="dxa"/>
            <w:vAlign w:val="bottom"/>
          </w:tcPr>
          <w:p>
            <w:pPr>
              <w:spacing w:after="0"/>
              <w:rPr>
                <w:sz w:val="17"/>
                <w:szCs w:val="17"/>
                <w:color w:val="auto"/>
              </w:rPr>
            </w:pP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2,217,320</w:t>
            </w: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From controlled, affiliated investments:</w:t>
            </w:r>
          </w:p>
        </w:tc>
        <w:tc>
          <w:tcPr>
            <w:tcW w:w="1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47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Interest</w:t>
            </w:r>
          </w:p>
        </w:tc>
        <w:tc>
          <w:tcPr>
            <w:tcW w:w="160" w:type="dxa"/>
            <w:vAlign w:val="bottom"/>
          </w:tcPr>
          <w:p>
            <w:pPr>
              <w:spacing w:after="0"/>
              <w:rPr>
                <w:sz w:val="17"/>
                <w:szCs w:val="17"/>
                <w:color w:val="auto"/>
              </w:rPr>
            </w:pPr>
          </w:p>
        </w:tc>
        <w:tc>
          <w:tcPr>
            <w:tcW w:w="15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1,700,222</w:t>
            </w:r>
          </w:p>
        </w:tc>
        <w:tc>
          <w:tcPr>
            <w:tcW w:w="320" w:type="dxa"/>
            <w:vAlign w:val="bottom"/>
          </w:tcPr>
          <w:p>
            <w:pPr>
              <w:spacing w:after="0"/>
              <w:rPr>
                <w:sz w:val="17"/>
                <w:szCs w:val="17"/>
                <w:color w:val="auto"/>
              </w:rPr>
            </w:pP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1,162,333</w:t>
            </w:r>
          </w:p>
        </w:tc>
      </w:tr>
      <w:tr>
        <w:trPr>
          <w:trHeight w:val="203"/>
        </w:trPr>
        <w:tc>
          <w:tcPr>
            <w:tcW w:w="4700" w:type="dxa"/>
            <w:vAlign w:val="bottom"/>
          </w:tcPr>
          <w:p>
            <w:pPr>
              <w:spacing w:after="0"/>
              <w:rPr>
                <w:sz w:val="17"/>
                <w:szCs w:val="17"/>
                <w:color w:val="auto"/>
              </w:rPr>
            </w:pPr>
          </w:p>
        </w:tc>
        <w:tc>
          <w:tcPr>
            <w:tcW w:w="16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6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470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Total investment income</w:t>
            </w:r>
          </w:p>
        </w:tc>
        <w:tc>
          <w:tcPr>
            <w:tcW w:w="160" w:type="dxa"/>
            <w:vAlign w:val="bottom"/>
          </w:tcPr>
          <w:p>
            <w:pPr>
              <w:spacing w:after="0"/>
              <w:rPr>
                <w:sz w:val="17"/>
                <w:szCs w:val="17"/>
                <w:color w:val="auto"/>
              </w:rPr>
            </w:pPr>
          </w:p>
        </w:tc>
        <w:tc>
          <w:tcPr>
            <w:tcW w:w="15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113,392,390</w:t>
            </w:r>
          </w:p>
        </w:tc>
        <w:tc>
          <w:tcPr>
            <w:tcW w:w="320" w:type="dxa"/>
            <w:vAlign w:val="bottom"/>
          </w:tcPr>
          <w:p>
            <w:pPr>
              <w:spacing w:after="0"/>
              <w:rPr>
                <w:sz w:val="17"/>
                <w:szCs w:val="17"/>
                <w:color w:val="auto"/>
              </w:rPr>
            </w:pP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91,738,495</w:t>
            </w:r>
          </w:p>
        </w:tc>
      </w:tr>
      <w:tr>
        <w:trPr>
          <w:trHeight w:val="203"/>
        </w:trPr>
        <w:tc>
          <w:tcPr>
            <w:tcW w:w="4700" w:type="dxa"/>
            <w:vAlign w:val="bottom"/>
          </w:tcPr>
          <w:p>
            <w:pPr>
              <w:spacing w:after="0"/>
              <w:rPr>
                <w:sz w:val="17"/>
                <w:szCs w:val="17"/>
                <w:color w:val="auto"/>
              </w:rPr>
            </w:pPr>
          </w:p>
        </w:tc>
        <w:tc>
          <w:tcPr>
            <w:tcW w:w="16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6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Expenses:</w:t>
            </w:r>
          </w:p>
        </w:tc>
        <w:tc>
          <w:tcPr>
            <w:tcW w:w="1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47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Base management fee</w:t>
            </w:r>
          </w:p>
        </w:tc>
        <w:tc>
          <w:tcPr>
            <w:tcW w:w="160" w:type="dxa"/>
            <w:vAlign w:val="bottom"/>
          </w:tcPr>
          <w:p>
            <w:pPr>
              <w:spacing w:after="0"/>
              <w:rPr>
                <w:sz w:val="17"/>
                <w:szCs w:val="17"/>
                <w:color w:val="auto"/>
              </w:rPr>
            </w:pPr>
          </w:p>
        </w:tc>
        <w:tc>
          <w:tcPr>
            <w:tcW w:w="15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17,507,262</w:t>
            </w:r>
          </w:p>
        </w:tc>
        <w:tc>
          <w:tcPr>
            <w:tcW w:w="320" w:type="dxa"/>
            <w:vAlign w:val="bottom"/>
          </w:tcPr>
          <w:p>
            <w:pPr>
              <w:spacing w:after="0"/>
              <w:rPr>
                <w:sz w:val="17"/>
                <w:szCs w:val="17"/>
                <w:color w:val="auto"/>
              </w:rPr>
            </w:pP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14,899,983</w:t>
            </w:r>
          </w:p>
        </w:tc>
      </w:tr>
      <w:tr>
        <w:trPr>
          <w:trHeight w:val="202"/>
        </w:trPr>
        <w:tc>
          <w:tcPr>
            <w:tcW w:w="47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Performance-based incentive fee</w:t>
            </w:r>
          </w:p>
        </w:tc>
        <w:tc>
          <w:tcPr>
            <w:tcW w:w="160" w:type="dxa"/>
            <w:vAlign w:val="bottom"/>
          </w:tcPr>
          <w:p>
            <w:pPr>
              <w:spacing w:after="0"/>
              <w:rPr>
                <w:sz w:val="17"/>
                <w:szCs w:val="17"/>
                <w:color w:val="auto"/>
              </w:rPr>
            </w:pPr>
          </w:p>
        </w:tc>
        <w:tc>
          <w:tcPr>
            <w:tcW w:w="15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14,223,777</w:t>
            </w:r>
          </w:p>
        </w:tc>
        <w:tc>
          <w:tcPr>
            <w:tcW w:w="320" w:type="dxa"/>
            <w:vAlign w:val="bottom"/>
          </w:tcPr>
          <w:p>
            <w:pPr>
              <w:spacing w:after="0"/>
              <w:rPr>
                <w:sz w:val="17"/>
                <w:szCs w:val="17"/>
                <w:color w:val="auto"/>
              </w:rPr>
            </w:pP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13,161,597</w:t>
            </w:r>
          </w:p>
        </w:tc>
      </w:tr>
      <w:tr>
        <w:trPr>
          <w:trHeight w:val="202"/>
        </w:trPr>
        <w:tc>
          <w:tcPr>
            <w:tcW w:w="47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Interest and expenses on the Credit</w:t>
            </w:r>
          </w:p>
        </w:tc>
        <w:tc>
          <w:tcPr>
            <w:tcW w:w="1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47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Facility and SBA debentures</w:t>
            </w:r>
          </w:p>
        </w:tc>
        <w:tc>
          <w:tcPr>
            <w:tcW w:w="160" w:type="dxa"/>
            <w:vAlign w:val="bottom"/>
          </w:tcPr>
          <w:p>
            <w:pPr>
              <w:spacing w:after="0"/>
              <w:rPr>
                <w:sz w:val="17"/>
                <w:szCs w:val="17"/>
                <w:color w:val="auto"/>
              </w:rPr>
            </w:pPr>
          </w:p>
        </w:tc>
        <w:tc>
          <w:tcPr>
            <w:tcW w:w="15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11,680,634</w:t>
            </w:r>
          </w:p>
        </w:tc>
        <w:tc>
          <w:tcPr>
            <w:tcW w:w="320" w:type="dxa"/>
            <w:vAlign w:val="bottom"/>
          </w:tcPr>
          <w:p>
            <w:pPr>
              <w:spacing w:after="0"/>
              <w:rPr>
                <w:sz w:val="17"/>
                <w:szCs w:val="17"/>
                <w:color w:val="auto"/>
              </w:rPr>
            </w:pP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5,322,231</w:t>
            </w:r>
          </w:p>
        </w:tc>
      </w:tr>
      <w:tr>
        <w:trPr>
          <w:trHeight w:val="203"/>
        </w:trPr>
        <w:tc>
          <w:tcPr>
            <w:tcW w:w="47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Administrative services expenses</w:t>
            </w:r>
          </w:p>
        </w:tc>
        <w:tc>
          <w:tcPr>
            <w:tcW w:w="160" w:type="dxa"/>
            <w:vAlign w:val="bottom"/>
          </w:tcPr>
          <w:p>
            <w:pPr>
              <w:spacing w:after="0"/>
              <w:rPr>
                <w:sz w:val="17"/>
                <w:szCs w:val="17"/>
                <w:color w:val="auto"/>
              </w:rPr>
            </w:pPr>
          </w:p>
        </w:tc>
        <w:tc>
          <w:tcPr>
            <w:tcW w:w="15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3,745,741</w:t>
            </w:r>
          </w:p>
        </w:tc>
        <w:tc>
          <w:tcPr>
            <w:tcW w:w="320" w:type="dxa"/>
            <w:vAlign w:val="bottom"/>
          </w:tcPr>
          <w:p>
            <w:pPr>
              <w:spacing w:after="0"/>
              <w:rPr>
                <w:sz w:val="17"/>
                <w:szCs w:val="17"/>
                <w:color w:val="auto"/>
              </w:rPr>
            </w:pP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2,596,756</w:t>
            </w:r>
          </w:p>
        </w:tc>
      </w:tr>
      <w:tr>
        <w:trPr>
          <w:trHeight w:val="202"/>
        </w:trPr>
        <w:tc>
          <w:tcPr>
            <w:tcW w:w="47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Other general and administrative</w:t>
            </w:r>
          </w:p>
        </w:tc>
        <w:tc>
          <w:tcPr>
            <w:tcW w:w="1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47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expenses</w:t>
            </w:r>
          </w:p>
        </w:tc>
        <w:tc>
          <w:tcPr>
            <w:tcW w:w="160" w:type="dxa"/>
            <w:vAlign w:val="bottom"/>
          </w:tcPr>
          <w:p>
            <w:pPr>
              <w:spacing w:after="0"/>
              <w:rPr>
                <w:sz w:val="17"/>
                <w:szCs w:val="17"/>
                <w:color w:val="auto"/>
              </w:rPr>
            </w:pPr>
          </w:p>
        </w:tc>
        <w:tc>
          <w:tcPr>
            <w:tcW w:w="15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3,496,326</w:t>
            </w:r>
          </w:p>
        </w:tc>
        <w:tc>
          <w:tcPr>
            <w:tcW w:w="320" w:type="dxa"/>
            <w:vAlign w:val="bottom"/>
          </w:tcPr>
          <w:p>
            <w:pPr>
              <w:spacing w:after="0"/>
              <w:rPr>
                <w:sz w:val="17"/>
                <w:szCs w:val="17"/>
                <w:color w:val="auto"/>
              </w:rPr>
            </w:pP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2,884,029</w:t>
            </w:r>
          </w:p>
        </w:tc>
      </w:tr>
      <w:tr>
        <w:trPr>
          <w:trHeight w:val="203"/>
        </w:trPr>
        <w:tc>
          <w:tcPr>
            <w:tcW w:w="4700" w:type="dxa"/>
            <w:vAlign w:val="bottom"/>
          </w:tcPr>
          <w:p>
            <w:pPr>
              <w:spacing w:after="0"/>
              <w:rPr>
                <w:sz w:val="17"/>
                <w:szCs w:val="17"/>
                <w:color w:val="auto"/>
              </w:rPr>
            </w:pPr>
          </w:p>
        </w:tc>
        <w:tc>
          <w:tcPr>
            <w:tcW w:w="16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6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47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Expenses before debt issuance costs and</w:t>
            </w:r>
          </w:p>
        </w:tc>
        <w:tc>
          <w:tcPr>
            <w:tcW w:w="1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47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excise taxes</w:t>
            </w:r>
          </w:p>
        </w:tc>
        <w:tc>
          <w:tcPr>
            <w:tcW w:w="160" w:type="dxa"/>
            <w:vAlign w:val="bottom"/>
          </w:tcPr>
          <w:p>
            <w:pPr>
              <w:spacing w:after="0"/>
              <w:rPr>
                <w:sz w:val="17"/>
                <w:szCs w:val="17"/>
                <w:color w:val="auto"/>
              </w:rPr>
            </w:pPr>
          </w:p>
        </w:tc>
        <w:tc>
          <w:tcPr>
            <w:tcW w:w="15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50,653,740</w:t>
            </w:r>
          </w:p>
        </w:tc>
        <w:tc>
          <w:tcPr>
            <w:tcW w:w="320" w:type="dxa"/>
            <w:vAlign w:val="bottom"/>
          </w:tcPr>
          <w:p>
            <w:pPr>
              <w:spacing w:after="0"/>
              <w:rPr>
                <w:sz w:val="17"/>
                <w:szCs w:val="17"/>
                <w:color w:val="auto"/>
              </w:rPr>
            </w:pP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38,864,596</w:t>
            </w:r>
          </w:p>
        </w:tc>
      </w:tr>
      <w:tr>
        <w:trPr>
          <w:trHeight w:val="202"/>
        </w:trPr>
        <w:tc>
          <w:tcPr>
            <w:tcW w:w="47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Debt issuance costs</w:t>
            </w:r>
          </w:p>
        </w:tc>
        <w:tc>
          <w:tcPr>
            <w:tcW w:w="160" w:type="dxa"/>
            <w:vAlign w:val="bottom"/>
          </w:tcPr>
          <w:p>
            <w:pPr>
              <w:spacing w:after="0"/>
              <w:rPr>
                <w:sz w:val="17"/>
                <w:szCs w:val="17"/>
                <w:color w:val="auto"/>
              </w:rPr>
            </w:pPr>
          </w:p>
        </w:tc>
        <w:tc>
          <w:tcPr>
            <w:tcW w:w="15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5,361,319</w:t>
            </w:r>
          </w:p>
        </w:tc>
        <w:tc>
          <w:tcPr>
            <w:tcW w:w="320" w:type="dxa"/>
            <w:vAlign w:val="bottom"/>
          </w:tcPr>
          <w:p>
            <w:pPr>
              <w:spacing w:after="0"/>
              <w:rPr>
                <w:sz w:val="17"/>
                <w:szCs w:val="17"/>
                <w:color w:val="auto"/>
              </w:rPr>
            </w:pP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7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Excise tax</w:t>
            </w:r>
          </w:p>
        </w:tc>
        <w:tc>
          <w:tcPr>
            <w:tcW w:w="160" w:type="dxa"/>
            <w:vAlign w:val="bottom"/>
          </w:tcPr>
          <w:p>
            <w:pPr>
              <w:spacing w:after="0"/>
              <w:rPr>
                <w:sz w:val="17"/>
                <w:szCs w:val="17"/>
                <w:color w:val="auto"/>
              </w:rPr>
            </w:pPr>
          </w:p>
        </w:tc>
        <w:tc>
          <w:tcPr>
            <w:tcW w:w="15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307,990</w:t>
            </w:r>
          </w:p>
        </w:tc>
        <w:tc>
          <w:tcPr>
            <w:tcW w:w="320" w:type="dxa"/>
            <w:vAlign w:val="bottom"/>
          </w:tcPr>
          <w:p>
            <w:pPr>
              <w:spacing w:after="0"/>
              <w:rPr>
                <w:sz w:val="17"/>
                <w:szCs w:val="17"/>
                <w:color w:val="auto"/>
              </w:rPr>
            </w:pP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228,824</w:t>
            </w:r>
          </w:p>
        </w:tc>
      </w:tr>
      <w:tr>
        <w:trPr>
          <w:trHeight w:val="203"/>
        </w:trPr>
        <w:tc>
          <w:tcPr>
            <w:tcW w:w="4700" w:type="dxa"/>
            <w:vAlign w:val="bottom"/>
          </w:tcPr>
          <w:p>
            <w:pPr>
              <w:spacing w:after="0"/>
              <w:rPr>
                <w:sz w:val="17"/>
                <w:szCs w:val="17"/>
                <w:color w:val="auto"/>
              </w:rPr>
            </w:pPr>
          </w:p>
        </w:tc>
        <w:tc>
          <w:tcPr>
            <w:tcW w:w="16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6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47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Total Expenses</w:t>
            </w:r>
          </w:p>
        </w:tc>
        <w:tc>
          <w:tcPr>
            <w:tcW w:w="160" w:type="dxa"/>
            <w:vAlign w:val="bottom"/>
          </w:tcPr>
          <w:p>
            <w:pPr>
              <w:spacing w:after="0"/>
              <w:rPr>
                <w:sz w:val="17"/>
                <w:szCs w:val="17"/>
                <w:color w:val="auto"/>
              </w:rPr>
            </w:pPr>
          </w:p>
        </w:tc>
        <w:tc>
          <w:tcPr>
            <w:tcW w:w="15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56,323,049</w:t>
            </w:r>
          </w:p>
        </w:tc>
        <w:tc>
          <w:tcPr>
            <w:tcW w:w="320" w:type="dxa"/>
            <w:vAlign w:val="bottom"/>
          </w:tcPr>
          <w:p>
            <w:pPr>
              <w:spacing w:after="0"/>
              <w:rPr>
                <w:sz w:val="17"/>
                <w:szCs w:val="17"/>
                <w:color w:val="auto"/>
              </w:rPr>
            </w:pP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39,093,420</w:t>
            </w:r>
          </w:p>
        </w:tc>
      </w:tr>
    </w:tbl>
    <w:p>
      <w:pPr>
        <w:sectPr>
          <w:pgSz w:w="11900" w:h="16838" w:orient="portrait"/>
          <w:cols w:equalWidth="0" w:num="1">
            <w:col w:w="10139"/>
          </w:cols>
          <w:pgMar w:left="320" w:top="136" w:right="1440" w:bottom="0" w:gutter="0" w:footer="0" w:header="0"/>
        </w:sectPr>
      </w:pPr>
    </w:p>
    <w:bookmarkStart w:id="6" w:name="page7"/>
    <w:bookmarkEnd w:id="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700" w:type="dxa"/>
            <w:vAlign w:val="bottom"/>
          </w:tcPr>
          <w:p>
            <w:pPr>
              <w:spacing w:after="0"/>
              <w:rPr>
                <w:sz w:val="17"/>
                <w:szCs w:val="17"/>
                <w:color w:val="auto"/>
              </w:rPr>
            </w:pPr>
          </w:p>
        </w:tc>
        <w:tc>
          <w:tcPr>
            <w:tcW w:w="1680" w:type="dxa"/>
            <w:vAlign w:val="bottom"/>
            <w:gridSpan w:val="2"/>
          </w:tcPr>
          <w:p>
            <w:pPr>
              <w:jc w:val="right"/>
              <w:ind w:right="72"/>
              <w:spacing w:after="0"/>
              <w:rPr>
                <w:sz w:val="20"/>
                <w:szCs w:val="20"/>
                <w:color w:val="auto"/>
              </w:rPr>
            </w:pPr>
            <w:r>
              <w:rPr>
                <w:rFonts w:ascii="Courier New" w:cs="Courier New" w:eastAsia="Courier New" w:hAnsi="Courier New"/>
                <w:sz w:val="18"/>
                <w:szCs w:val="18"/>
                <w:color w:val="auto"/>
                <w:w w:val="99"/>
              </w:rPr>
              <w:t>--------------</w:t>
            </w:r>
          </w:p>
        </w:tc>
        <w:tc>
          <w:tcPr>
            <w:tcW w:w="1640" w:type="dxa"/>
            <w:vAlign w:val="bottom"/>
            <w:gridSpan w:val="2"/>
          </w:tcPr>
          <w:p>
            <w:pPr>
              <w:jc w:val="right"/>
              <w:ind w:right="32"/>
              <w:spacing w:after="0"/>
              <w:rPr>
                <w:sz w:val="20"/>
                <w:szCs w:val="20"/>
                <w:color w:val="auto"/>
              </w:rPr>
            </w:pPr>
            <w:r>
              <w:rPr>
                <w:rFonts w:ascii="Courier New" w:cs="Courier New" w:eastAsia="Courier New" w:hAnsi="Courier New"/>
                <w:sz w:val="18"/>
                <w:szCs w:val="18"/>
                <w:color w:val="auto"/>
                <w:w w:val="99"/>
              </w:rPr>
              <w:t>--------------</w:t>
            </w:r>
          </w:p>
        </w:tc>
      </w:tr>
      <w:tr>
        <w:trPr>
          <w:trHeight w:val="203"/>
        </w:trPr>
        <w:tc>
          <w:tcPr>
            <w:tcW w:w="47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Net investment income</w:t>
            </w:r>
          </w:p>
        </w:tc>
        <w:tc>
          <w:tcPr>
            <w:tcW w:w="260" w:type="dxa"/>
            <w:vAlign w:val="bottom"/>
          </w:tcPr>
          <w:p>
            <w:pPr>
              <w:spacing w:after="0"/>
              <w:rPr>
                <w:sz w:val="17"/>
                <w:szCs w:val="17"/>
                <w:color w:val="auto"/>
              </w:rPr>
            </w:pP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57,069,341</w:t>
            </w:r>
          </w:p>
        </w:tc>
        <w:tc>
          <w:tcPr>
            <w:tcW w:w="260" w:type="dxa"/>
            <w:vAlign w:val="bottom"/>
          </w:tcPr>
          <w:p>
            <w:pPr>
              <w:spacing w:after="0"/>
              <w:rPr>
                <w:sz w:val="17"/>
                <w:szCs w:val="17"/>
                <w:color w:val="auto"/>
              </w:rPr>
            </w:pPr>
          </w:p>
        </w:tc>
        <w:tc>
          <w:tcPr>
            <w:tcW w:w="13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52,645,075</w:t>
            </w:r>
          </w:p>
        </w:tc>
      </w:tr>
      <w:tr>
        <w:trPr>
          <w:trHeight w:val="203"/>
        </w:trPr>
        <w:tc>
          <w:tcPr>
            <w:tcW w:w="4700" w:type="dxa"/>
            <w:vAlign w:val="bottom"/>
          </w:tcPr>
          <w:p>
            <w:pPr>
              <w:spacing w:after="0"/>
              <w:rPr>
                <w:sz w:val="17"/>
                <w:szCs w:val="17"/>
                <w:color w:val="auto"/>
              </w:rPr>
            </w:pPr>
          </w:p>
        </w:tc>
        <w:tc>
          <w:tcPr>
            <w:tcW w:w="16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6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Realized and unrealized (loss) gain on</w:t>
            </w:r>
          </w:p>
        </w:tc>
        <w:tc>
          <w:tcPr>
            <w:tcW w:w="2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47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investments and Credit Facility:</w:t>
            </w:r>
          </w:p>
        </w:tc>
        <w:tc>
          <w:tcPr>
            <w:tcW w:w="2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Net realized (loss) gain on non-controlled,</w:t>
            </w:r>
          </w:p>
        </w:tc>
        <w:tc>
          <w:tcPr>
            <w:tcW w:w="2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47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non-affiliated investments</w:t>
            </w:r>
          </w:p>
        </w:tc>
        <w:tc>
          <w:tcPr>
            <w:tcW w:w="260" w:type="dxa"/>
            <w:vAlign w:val="bottom"/>
          </w:tcPr>
          <w:p>
            <w:pPr>
              <w:spacing w:after="0"/>
              <w:rPr>
                <w:sz w:val="17"/>
                <w:szCs w:val="17"/>
                <w:color w:val="auto"/>
              </w:rPr>
            </w:pP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(12,798,035)</w:t>
            </w:r>
          </w:p>
        </w:tc>
        <w:tc>
          <w:tcPr>
            <w:tcW w:w="260" w:type="dxa"/>
            <w:vAlign w:val="bottom"/>
          </w:tcPr>
          <w:p>
            <w:pPr>
              <w:spacing w:after="0"/>
              <w:rPr>
                <w:sz w:val="17"/>
                <w:szCs w:val="17"/>
                <w:color w:val="auto"/>
              </w:rPr>
            </w:pPr>
          </w:p>
        </w:tc>
        <w:tc>
          <w:tcPr>
            <w:tcW w:w="13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16,259,622</w:t>
            </w: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Net change in unrealized appreciation</w:t>
            </w:r>
          </w:p>
        </w:tc>
        <w:tc>
          <w:tcPr>
            <w:tcW w:w="2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47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(depreciation) on:</w:t>
            </w:r>
          </w:p>
        </w:tc>
        <w:tc>
          <w:tcPr>
            <w:tcW w:w="2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47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Non-controlled, non-affiliated</w:t>
            </w:r>
          </w:p>
        </w:tc>
        <w:tc>
          <w:tcPr>
            <w:tcW w:w="2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2"/>
        </w:trPr>
        <w:tc>
          <w:tcPr>
            <w:tcW w:w="47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investments</w:t>
            </w:r>
          </w:p>
        </w:tc>
        <w:tc>
          <w:tcPr>
            <w:tcW w:w="260" w:type="dxa"/>
            <w:vAlign w:val="bottom"/>
          </w:tcPr>
          <w:p>
            <w:pPr>
              <w:spacing w:after="0"/>
              <w:rPr>
                <w:sz w:val="17"/>
                <w:szCs w:val="17"/>
                <w:color w:val="auto"/>
              </w:rPr>
            </w:pP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42,727,722</w:t>
            </w:r>
          </w:p>
        </w:tc>
        <w:tc>
          <w:tcPr>
            <w:tcW w:w="260" w:type="dxa"/>
            <w:vAlign w:val="bottom"/>
          </w:tcPr>
          <w:p>
            <w:pPr>
              <w:spacing w:after="0"/>
              <w:rPr>
                <w:sz w:val="17"/>
                <w:szCs w:val="17"/>
                <w:color w:val="auto"/>
              </w:rPr>
            </w:pP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(45,350,345)</w:t>
            </w:r>
          </w:p>
        </w:tc>
      </w:tr>
      <w:tr>
        <w:trPr>
          <w:trHeight w:val="203"/>
        </w:trPr>
        <w:tc>
          <w:tcPr>
            <w:tcW w:w="47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Non-controlled and controlled,</w:t>
            </w:r>
          </w:p>
        </w:tc>
        <w:tc>
          <w:tcPr>
            <w:tcW w:w="2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47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affiliated investments</w:t>
            </w:r>
          </w:p>
        </w:tc>
        <w:tc>
          <w:tcPr>
            <w:tcW w:w="260" w:type="dxa"/>
            <w:vAlign w:val="bottom"/>
          </w:tcPr>
          <w:p>
            <w:pPr>
              <w:spacing w:after="0"/>
              <w:rPr>
                <w:sz w:val="17"/>
                <w:szCs w:val="17"/>
                <w:color w:val="auto"/>
              </w:rPr>
            </w:pP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(22,085,553)</w:t>
            </w:r>
          </w:p>
        </w:tc>
        <w:tc>
          <w:tcPr>
            <w:tcW w:w="260" w:type="dxa"/>
            <w:vAlign w:val="bottom"/>
          </w:tcPr>
          <w:p>
            <w:pPr>
              <w:spacing w:after="0"/>
              <w:rPr>
                <w:sz w:val="17"/>
                <w:szCs w:val="17"/>
                <w:color w:val="auto"/>
              </w:rPr>
            </w:pP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(1,439,878)</w:t>
            </w:r>
          </w:p>
        </w:tc>
      </w:tr>
      <w:tr>
        <w:trPr>
          <w:trHeight w:val="203"/>
        </w:trPr>
        <w:tc>
          <w:tcPr>
            <w:tcW w:w="47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Credit Facility appreciation</w:t>
            </w:r>
          </w:p>
        </w:tc>
        <w:tc>
          <w:tcPr>
            <w:tcW w:w="260" w:type="dxa"/>
            <w:vAlign w:val="bottom"/>
          </w:tcPr>
          <w:p>
            <w:pPr>
              <w:spacing w:after="0"/>
              <w:rPr>
                <w:sz w:val="17"/>
                <w:szCs w:val="17"/>
                <w:color w:val="auto"/>
              </w:rPr>
            </w:pP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(1,560,375)</w:t>
            </w:r>
          </w:p>
        </w:tc>
        <w:tc>
          <w:tcPr>
            <w:tcW w:w="260" w:type="dxa"/>
            <w:vAlign w:val="bottom"/>
          </w:tcPr>
          <w:p>
            <w:pPr>
              <w:spacing w:after="0"/>
              <w:rPr>
                <w:sz w:val="17"/>
                <w:szCs w:val="17"/>
                <w:color w:val="auto"/>
              </w:rPr>
            </w:pP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(11,851,000)</w:t>
            </w:r>
          </w:p>
        </w:tc>
      </w:tr>
      <w:tr>
        <w:trPr>
          <w:trHeight w:val="203"/>
        </w:trPr>
        <w:tc>
          <w:tcPr>
            <w:tcW w:w="4700" w:type="dxa"/>
            <w:vAlign w:val="bottom"/>
          </w:tcPr>
          <w:p>
            <w:pPr>
              <w:spacing w:after="0"/>
              <w:rPr>
                <w:sz w:val="17"/>
                <w:szCs w:val="17"/>
                <w:color w:val="auto"/>
              </w:rPr>
            </w:pPr>
          </w:p>
        </w:tc>
        <w:tc>
          <w:tcPr>
            <w:tcW w:w="16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6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47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Net change in unrealized appreciation</w:t>
            </w:r>
          </w:p>
        </w:tc>
        <w:tc>
          <w:tcPr>
            <w:tcW w:w="2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47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(depreciation)</w:t>
            </w:r>
          </w:p>
        </w:tc>
        <w:tc>
          <w:tcPr>
            <w:tcW w:w="260" w:type="dxa"/>
            <w:vAlign w:val="bottom"/>
          </w:tcPr>
          <w:p>
            <w:pPr>
              <w:spacing w:after="0"/>
              <w:rPr>
                <w:sz w:val="17"/>
                <w:szCs w:val="17"/>
                <w:color w:val="auto"/>
              </w:rPr>
            </w:pP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19,081,794</w:t>
            </w:r>
          </w:p>
        </w:tc>
        <w:tc>
          <w:tcPr>
            <w:tcW w:w="260" w:type="dxa"/>
            <w:vAlign w:val="bottom"/>
          </w:tcPr>
          <w:p>
            <w:pPr>
              <w:spacing w:after="0"/>
              <w:rPr>
                <w:sz w:val="17"/>
                <w:szCs w:val="17"/>
                <w:color w:val="auto"/>
              </w:rPr>
            </w:pP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(58,641,223)</w:t>
            </w:r>
          </w:p>
        </w:tc>
      </w:tr>
      <w:tr>
        <w:trPr>
          <w:trHeight w:val="203"/>
        </w:trPr>
        <w:tc>
          <w:tcPr>
            <w:tcW w:w="4700" w:type="dxa"/>
            <w:vAlign w:val="bottom"/>
          </w:tcPr>
          <w:p>
            <w:pPr>
              <w:spacing w:after="0"/>
              <w:rPr>
                <w:sz w:val="17"/>
                <w:szCs w:val="17"/>
                <w:color w:val="auto"/>
              </w:rPr>
            </w:pPr>
          </w:p>
        </w:tc>
        <w:tc>
          <w:tcPr>
            <w:tcW w:w="16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6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Net realized and unrealized gain (loss) from</w:t>
            </w:r>
          </w:p>
        </w:tc>
        <w:tc>
          <w:tcPr>
            <w:tcW w:w="2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47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investments and Credit Facility</w:t>
            </w:r>
          </w:p>
        </w:tc>
        <w:tc>
          <w:tcPr>
            <w:tcW w:w="260" w:type="dxa"/>
            <w:vAlign w:val="bottom"/>
          </w:tcPr>
          <w:p>
            <w:pPr>
              <w:spacing w:after="0"/>
              <w:rPr>
                <w:sz w:val="17"/>
                <w:szCs w:val="17"/>
                <w:color w:val="auto"/>
              </w:rPr>
            </w:pP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6,283,759</w:t>
            </w:r>
          </w:p>
        </w:tc>
        <w:tc>
          <w:tcPr>
            <w:tcW w:w="260" w:type="dxa"/>
            <w:vAlign w:val="bottom"/>
          </w:tcPr>
          <w:p>
            <w:pPr>
              <w:spacing w:after="0"/>
              <w:rPr>
                <w:sz w:val="17"/>
                <w:szCs w:val="17"/>
                <w:color w:val="auto"/>
              </w:rPr>
            </w:pP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(42,381,601)</w:t>
            </w: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Net increase in net assets resulting from</w:t>
            </w:r>
          </w:p>
        </w:tc>
        <w:tc>
          <w:tcPr>
            <w:tcW w:w="2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47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operations</w:t>
            </w:r>
          </w:p>
        </w:tc>
        <w:tc>
          <w:tcPr>
            <w:tcW w:w="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63,353,100</w:t>
            </w:r>
          </w:p>
        </w:tc>
        <w:tc>
          <w:tcPr>
            <w:tcW w:w="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10,263,474</w:t>
            </w:r>
          </w:p>
        </w:tc>
      </w:tr>
      <w:tr>
        <w:trPr>
          <w:trHeight w:val="203"/>
        </w:trPr>
        <w:tc>
          <w:tcPr>
            <w:tcW w:w="4700" w:type="dxa"/>
            <w:vAlign w:val="bottom"/>
          </w:tcPr>
          <w:p>
            <w:pPr>
              <w:spacing w:after="0"/>
              <w:rPr>
                <w:sz w:val="17"/>
                <w:szCs w:val="17"/>
                <w:color w:val="auto"/>
              </w:rPr>
            </w:pPr>
          </w:p>
        </w:tc>
        <w:tc>
          <w:tcPr>
            <w:tcW w:w="16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6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Net increase in net assets resulting from</w:t>
            </w:r>
          </w:p>
        </w:tc>
        <w:tc>
          <w:tcPr>
            <w:tcW w:w="2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47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operations per common share basic and</w:t>
            </w:r>
          </w:p>
        </w:tc>
        <w:tc>
          <w:tcPr>
            <w:tcW w:w="2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47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diluted</w:t>
            </w:r>
          </w:p>
        </w:tc>
        <w:tc>
          <w:tcPr>
            <w:tcW w:w="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1.20</w:t>
            </w:r>
          </w:p>
        </w:tc>
        <w:tc>
          <w:tcPr>
            <w:tcW w:w="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0.24</w:t>
            </w:r>
          </w:p>
        </w:tc>
      </w:tr>
      <w:tr>
        <w:trPr>
          <w:trHeight w:val="203"/>
        </w:trPr>
        <w:tc>
          <w:tcPr>
            <w:tcW w:w="4700" w:type="dxa"/>
            <w:vAlign w:val="bottom"/>
          </w:tcPr>
          <w:p>
            <w:pPr>
              <w:spacing w:after="0"/>
              <w:rPr>
                <w:sz w:val="17"/>
                <w:szCs w:val="17"/>
                <w:color w:val="auto"/>
              </w:rPr>
            </w:pPr>
          </w:p>
        </w:tc>
        <w:tc>
          <w:tcPr>
            <w:tcW w:w="16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6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Net investment income per common share</w:t>
            </w:r>
          </w:p>
        </w:tc>
        <w:tc>
          <w:tcPr>
            <w:tcW w:w="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1.08</w:t>
            </w:r>
          </w:p>
        </w:tc>
        <w:tc>
          <w:tcPr>
            <w:tcW w:w="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1.25</w:t>
            </w:r>
          </w:p>
        </w:tc>
      </w:tr>
      <w:tr>
        <w:trPr>
          <w:trHeight w:val="203"/>
        </w:trPr>
        <w:tc>
          <w:tcPr>
            <w:tcW w:w="4700" w:type="dxa"/>
            <w:vAlign w:val="bottom"/>
          </w:tcPr>
          <w:p>
            <w:pPr>
              <w:spacing w:after="0"/>
              <w:rPr>
                <w:sz w:val="17"/>
                <w:szCs w:val="17"/>
                <w:color w:val="auto"/>
              </w:rPr>
            </w:pPr>
          </w:p>
        </w:tc>
        <w:tc>
          <w:tcPr>
            <w:tcW w:w="16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6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w:t>
            </w:r>
          </w:p>
        </w:tc>
      </w:tr>
    </w:tbl>
    <w:p>
      <w:pPr>
        <w:spacing w:after="0" w:line="39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PENNANTPARK INVESTMENT CORPORATION</w:t>
      </w:r>
    </w:p>
    <w:p>
      <w:pPr>
        <w:spacing w:after="0" w:line="14" w:lineRule="exact"/>
        <w:rPr>
          <w:sz w:val="20"/>
          <w:szCs w:val="20"/>
          <w:color w:val="auto"/>
        </w:rPr>
      </w:pPr>
    </w:p>
    <w:p>
      <w:pPr>
        <w:spacing w:after="0" w:line="234" w:lineRule="auto"/>
        <w:rPr>
          <w:sz w:val="20"/>
          <w:szCs w:val="20"/>
          <w:color w:val="auto"/>
        </w:rPr>
      </w:pPr>
      <w:r>
        <w:rPr>
          <w:rFonts w:ascii="Arial" w:cs="Arial" w:eastAsia="Arial" w:hAnsi="Arial"/>
          <w:sz w:val="22"/>
          <w:szCs w:val="22"/>
          <w:color w:val="auto"/>
        </w:rPr>
        <w:t>PennantPark Investment Corporation is a business development company which principally invests in U.S. middle-market private companies in the form of senior secured loans, mezzanine debt and equity investments. PennantPark Investment Corporation is managed by PennantPark Investment Advisers, LLC.</w:t>
      </w:r>
    </w:p>
    <w:p>
      <w:pPr>
        <w:spacing w:after="0" w:line="18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FORWARD-LOOKING STATEMENTS</w:t>
      </w:r>
    </w:p>
    <w:p>
      <w:pPr>
        <w:spacing w:after="0" w:line="212" w:lineRule="exact"/>
        <w:rPr>
          <w:sz w:val="20"/>
          <w:szCs w:val="20"/>
          <w:color w:val="auto"/>
        </w:rPr>
      </w:pPr>
    </w:p>
    <w:p>
      <w:pPr>
        <w:ind w:right="40"/>
        <w:spacing w:after="0" w:line="279" w:lineRule="auto"/>
        <w:rPr>
          <w:sz w:val="20"/>
          <w:szCs w:val="20"/>
          <w:color w:val="auto"/>
        </w:rPr>
      </w:pPr>
      <w:r>
        <w:rPr>
          <w:rFonts w:ascii="Arial" w:cs="Arial" w:eastAsia="Arial" w:hAnsi="Arial"/>
          <w:sz w:val="19"/>
          <w:szCs w:val="19"/>
          <w:color w:val="auto"/>
        </w:rPr>
        <w:t>This press release may contain "forward-looking statements" within the meaning of the Private Securities Litigation Reform Act of 1995.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The Company undertakes no duty to update any forward-looking statement made herein. All forward-looking statements speak only as of the date of this press release.</w:t>
      </w:r>
    </w:p>
    <w:p>
      <w:pPr>
        <w:spacing w:after="0" w:line="150" w:lineRule="exact"/>
        <w:rPr>
          <w:sz w:val="20"/>
          <w:szCs w:val="20"/>
          <w:color w:val="auto"/>
        </w:rPr>
      </w:pPr>
    </w:p>
    <w:p>
      <w:pPr>
        <w:ind w:right="20"/>
        <w:spacing w:after="0" w:line="235" w:lineRule="auto"/>
        <w:rPr>
          <w:sz w:val="20"/>
          <w:szCs w:val="20"/>
          <w:color w:val="auto"/>
        </w:rPr>
      </w:pPr>
      <w:r>
        <w:rPr>
          <w:rFonts w:ascii="Arial" w:cs="Arial" w:eastAsia="Arial" w:hAnsi="Arial"/>
          <w:sz w:val="22"/>
          <w:szCs w:val="22"/>
          <w:color w:val="auto"/>
        </w:rPr>
        <w:t>We may use words such as "anticipates," "believes," "expects," "intends," "seeks," "plans," "estimates" and similar expressions to identify forward-looking statements. Such statements are based on currently available operating, financial and competitive information and are subject to various risks and uncertainties that could cause actual results to differ materially from our historical experience and our present expectations. Undue reliance should not be placed on such forward-looking statements as such statements speak only as of the date on which they are made. We do not undertake to update our forward-looking statements unless required by law.</w:t>
      </w: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CONTACT:</w:t>
      </w:r>
    </w:p>
    <w:p>
      <w:pPr>
        <w:spacing w:after="0" w:line="238" w:lineRule="auto"/>
        <w:rPr>
          <w:sz w:val="20"/>
          <w:szCs w:val="20"/>
          <w:color w:val="auto"/>
        </w:rPr>
      </w:pPr>
      <w:r>
        <w:rPr>
          <w:rFonts w:ascii="Courier New" w:cs="Courier New" w:eastAsia="Courier New" w:hAnsi="Courier New"/>
          <w:sz w:val="18"/>
          <w:szCs w:val="18"/>
          <w:color w:val="auto"/>
        </w:rPr>
        <w:t>Aviv Efrat</w:t>
      </w:r>
    </w:p>
    <w:p>
      <w:pPr>
        <w:spacing w:after="0" w:line="238" w:lineRule="auto"/>
        <w:rPr>
          <w:sz w:val="20"/>
          <w:szCs w:val="20"/>
          <w:color w:val="auto"/>
        </w:rPr>
      </w:pPr>
      <w:r>
        <w:rPr>
          <w:rFonts w:ascii="Courier New" w:cs="Courier New" w:eastAsia="Courier New" w:hAnsi="Courier New"/>
          <w:sz w:val="18"/>
          <w:szCs w:val="18"/>
          <w:color w:val="auto"/>
        </w:rPr>
        <w:t>PennantPark Investment Corporation</w:t>
      </w:r>
    </w:p>
    <w:p>
      <w:pPr>
        <w:spacing w:after="0"/>
        <w:rPr>
          <w:sz w:val="20"/>
          <w:szCs w:val="20"/>
          <w:color w:val="auto"/>
        </w:rPr>
      </w:pPr>
      <w:r>
        <w:rPr>
          <w:rFonts w:ascii="Courier New" w:cs="Courier New" w:eastAsia="Courier New" w:hAnsi="Courier New"/>
          <w:sz w:val="18"/>
          <w:szCs w:val="18"/>
          <w:color w:val="auto"/>
        </w:rPr>
        <w:t>Reception: (212) 905-1000</w:t>
      </w:r>
    </w:p>
    <w:p>
      <w:pPr>
        <w:spacing w:after="0" w:line="237" w:lineRule="auto"/>
        <w:rPr>
          <w:sz w:val="20"/>
          <w:szCs w:val="20"/>
          <w:color w:val="auto"/>
        </w:rPr>
      </w:pPr>
      <w:r>
        <w:rPr>
          <w:rFonts w:ascii="Courier New" w:cs="Courier New" w:eastAsia="Courier New" w:hAnsi="Courier New"/>
          <w:sz w:val="18"/>
          <w:szCs w:val="18"/>
          <w:color w:val="auto"/>
        </w:rPr>
        <w:t>www.pennantpark.com</w:t>
      </w:r>
    </w:p>
    <w:sectPr>
      <w:pgSz w:w="11900" w:h="16838" w:orient="portrait"/>
      <w:cols w:equalWidth="0" w:num="1">
        <w:col w:w="11220"/>
      </w:cols>
      <w:pgMar w:left="320" w:top="136"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2020-05-05T15:07:09Z</dcterms:created>
  <dcterms:modified xsi:type="dcterms:W3CDTF">2020-05-05T15:07:09Z</dcterms:modified>
</cp:coreProperties>
</file>