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20,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80"/>
        <w:spacing w:after="0" w:line="274" w:lineRule="auto"/>
        <w:rPr>
          <w:sz w:val="20"/>
          <w:szCs w:val="20"/>
          <w:color w:val="auto"/>
        </w:rPr>
      </w:pPr>
      <w:r>
        <w:rPr>
          <w:rFonts w:ascii="Arial" w:cs="Arial" w:eastAsia="Arial" w:hAnsi="Arial"/>
          <w:sz w:val="21"/>
          <w:szCs w:val="21"/>
          <w:color w:val="auto"/>
        </w:rPr>
        <w:t>PennantPark Investment Corporation Announces Financial Results for quarter and year ended September 30, 2008. A copy of this press release is furnished as exhibit 99.1 to this report pursuant to Item 2.02 and Regulation FD.</w:t>
      </w:r>
    </w:p>
    <w:p>
      <w:pPr>
        <w:spacing w:after="0" w:line="145"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20,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620" w:type="dxa"/>
            <w:vAlign w:val="bottom"/>
          </w:tcPr>
          <w:p>
            <w:pPr>
              <w:spacing w:after="0"/>
              <w:rPr>
                <w:sz w:val="20"/>
                <w:szCs w:val="20"/>
                <w:color w:val="auto"/>
              </w:rPr>
            </w:pPr>
            <w:r>
              <w:rPr>
                <w:rFonts w:ascii="Arial" w:cs="Arial" w:eastAsia="Arial" w:hAnsi="Arial"/>
                <w:sz w:val="22"/>
                <w:szCs w:val="22"/>
                <w:color w:val="auto"/>
              </w:rPr>
              <w:t>Dated: November 20, 2008</w:t>
            </w:r>
          </w:p>
        </w:tc>
        <w:tc>
          <w:tcPr>
            <w:tcW w:w="6100" w:type="dxa"/>
            <w:vAlign w:val="bottom"/>
            <w:gridSpan w:val="3"/>
          </w:tcPr>
          <w:p>
            <w:pPr>
              <w:ind w:left="12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620" w:type="dxa"/>
            <w:vAlign w:val="bottom"/>
          </w:tcPr>
          <w:p>
            <w:pPr>
              <w:spacing w:after="0"/>
              <w:rPr>
                <w:sz w:val="24"/>
                <w:szCs w:val="24"/>
                <w:color w:val="auto"/>
              </w:rPr>
            </w:pPr>
          </w:p>
        </w:tc>
        <w:tc>
          <w:tcPr>
            <w:tcW w:w="6100" w:type="dxa"/>
            <w:vAlign w:val="bottom"/>
            <w:gridSpan w:val="3"/>
          </w:tcPr>
          <w:p>
            <w:pPr>
              <w:ind w:left="1280"/>
              <w:spacing w:after="0"/>
              <w:rPr>
                <w:sz w:val="20"/>
                <w:szCs w:val="20"/>
                <w:color w:val="auto"/>
              </w:rPr>
            </w:pPr>
            <w:r>
              <w:rPr>
                <w:rFonts w:ascii="Arial" w:cs="Arial" w:eastAsia="Arial" w:hAnsi="Arial"/>
                <w:sz w:val="22"/>
                <w:szCs w:val="22"/>
                <w:color w:val="auto"/>
              </w:rPr>
              <w:t>By: /s/ Aviv Efrat</w:t>
            </w:r>
          </w:p>
        </w:tc>
      </w:tr>
      <w:tr>
        <w:trPr>
          <w:trHeight w:val="20"/>
        </w:trPr>
        <w:tc>
          <w:tcPr>
            <w:tcW w:w="3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620" w:type="dxa"/>
            <w:vAlign w:val="bottom"/>
          </w:tcPr>
          <w:p>
            <w:pPr>
              <w:spacing w:after="0"/>
              <w:rPr>
                <w:sz w:val="21"/>
                <w:szCs w:val="21"/>
                <w:color w:val="auto"/>
              </w:rPr>
            </w:pPr>
          </w:p>
        </w:tc>
        <w:tc>
          <w:tcPr>
            <w:tcW w:w="6100" w:type="dxa"/>
            <w:vAlign w:val="bottom"/>
            <w:gridSpan w:val="3"/>
          </w:tcPr>
          <w:p>
            <w:pPr>
              <w:ind w:left="15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620" w:type="dxa"/>
            <w:vAlign w:val="bottom"/>
          </w:tcPr>
          <w:p>
            <w:pPr>
              <w:spacing w:after="0"/>
              <w:rPr>
                <w:sz w:val="23"/>
                <w:szCs w:val="23"/>
                <w:color w:val="auto"/>
              </w:rPr>
            </w:pPr>
          </w:p>
        </w:tc>
        <w:tc>
          <w:tcPr>
            <w:tcW w:w="6100" w:type="dxa"/>
            <w:vAlign w:val="bottom"/>
            <w:gridSpan w:val="3"/>
          </w:tcPr>
          <w:p>
            <w:pPr>
              <w:ind w:left="15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20,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39" w:right="559" w:bottom="1440" w:gutter="0" w:footer="0" w:header="0"/>
        </w:sectPr>
      </w:pPr>
    </w:p>
    <w:bookmarkStart w:id="2" w:name="page3"/>
    <w:bookmarkEnd w:id="2"/>
    <w:p>
      <w:pPr>
        <w:ind w:left="220"/>
        <w:spacing w:after="0"/>
        <w:rPr>
          <w:sz w:val="20"/>
          <w:szCs w:val="20"/>
          <w:color w:val="auto"/>
        </w:rPr>
      </w:pPr>
      <w:r>
        <w:rPr>
          <w:rFonts w:ascii="Arial" w:cs="Arial" w:eastAsia="Arial" w:hAnsi="Arial"/>
          <w:sz w:val="19"/>
          <w:szCs w:val="19"/>
          <w:b w:val="1"/>
          <w:bCs w:val="1"/>
          <w:color w:val="auto"/>
        </w:rPr>
        <w:t>PennantPark Investment Corporation Announces Financial Results for Quarter and Year Ended September 30, 2008</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9"/>
          <w:szCs w:val="19"/>
          <w:color w:val="auto"/>
        </w:rPr>
        <w:t>NEW YORK, NY -- 11/20/2008 -- PennantPark Investment Corporation (the "Company") (NASDAQ: PNNT) today announces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results for its fourth quarter and fiscal year ended September 30, 2008.</w:t>
      </w: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HIGHLIGHTS</w:t>
      </w:r>
    </w:p>
    <w:p>
      <w:pPr>
        <w:ind w:left="4980"/>
        <w:spacing w:after="0" w:line="238" w:lineRule="auto"/>
        <w:rPr>
          <w:sz w:val="20"/>
          <w:szCs w:val="20"/>
          <w:color w:val="auto"/>
        </w:rPr>
      </w:pPr>
      <w:r>
        <w:rPr>
          <w:rFonts w:ascii="Courier New" w:cs="Courier New" w:eastAsia="Courier New" w:hAnsi="Courier New"/>
          <w:sz w:val="18"/>
          <w:szCs w:val="18"/>
          <w:color w:val="auto"/>
        </w:rPr>
        <w:t>- ----------</w:t>
      </w:r>
    </w:p>
    <w:p>
      <w:pPr>
        <w:jc w:val="center"/>
        <w:ind w:right="20"/>
        <w:spacing w:after="0" w:line="238" w:lineRule="auto"/>
        <w:rPr>
          <w:sz w:val="20"/>
          <w:szCs w:val="20"/>
          <w:color w:val="auto"/>
        </w:rPr>
      </w:pPr>
      <w:r>
        <w:rPr>
          <w:rFonts w:ascii="Courier New" w:cs="Courier New" w:eastAsia="Courier New" w:hAnsi="Courier New"/>
          <w:sz w:val="18"/>
          <w:szCs w:val="18"/>
          <w:color w:val="auto"/>
        </w:rPr>
        <w:t>Fiscal year ended September 30, 2008</w:t>
      </w:r>
    </w:p>
    <w:p>
      <w:pPr>
        <w:jc w:val="center"/>
        <w:ind w:right="20"/>
        <w:spacing w:after="0"/>
        <w:rPr>
          <w:sz w:val="20"/>
          <w:szCs w:val="20"/>
          <w:color w:val="auto"/>
        </w:rPr>
      </w:pPr>
      <w:r>
        <w:rPr>
          <w:rFonts w:ascii="Courier New" w:cs="Courier New" w:eastAsia="Courier New" w:hAnsi="Courier New"/>
          <w:sz w:val="18"/>
          <w:szCs w:val="18"/>
          <w:color w:val="auto"/>
        </w:rPr>
        <w:t>($ in millions, except per share amounts)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372.1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6480" w:type="dxa"/>
            <w:vAlign w:val="bottom"/>
            <w:gridSpan w:val="4"/>
          </w:tcPr>
          <w:p>
            <w:pPr>
              <w:spacing w:after="0"/>
              <w:rPr>
                <w:sz w:val="20"/>
                <w:szCs w:val="20"/>
                <w:color w:val="auto"/>
              </w:rPr>
            </w:pPr>
            <w:r>
              <w:rPr>
                <w:rFonts w:ascii="Courier New" w:cs="Courier New" w:eastAsia="Courier New" w:hAnsi="Courier New"/>
                <w:sz w:val="18"/>
                <w:szCs w:val="18"/>
                <w:color w:val="auto"/>
                <w:w w:val="98"/>
              </w:rPr>
              <w:t>Amount drawn under credit facility (excluding temporary draw)</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162.0</w:t>
            </w:r>
          </w:p>
        </w:tc>
      </w:tr>
      <w:tr>
        <w:trPr>
          <w:trHeight w:val="405"/>
        </w:trPr>
        <w:tc>
          <w:tcPr>
            <w:tcW w:w="6320" w:type="dxa"/>
            <w:vAlign w:val="bottom"/>
            <w:gridSpan w:val="3"/>
          </w:tcPr>
          <w:p>
            <w:pPr>
              <w:ind w:left="1700"/>
              <w:spacing w:after="0"/>
              <w:rPr>
                <w:sz w:val="20"/>
                <w:szCs w:val="20"/>
                <w:color w:val="auto"/>
              </w:rPr>
            </w:pPr>
            <w:r>
              <w:rPr>
                <w:rFonts w:ascii="Courier New" w:cs="Courier New" w:eastAsia="Courier New" w:hAnsi="Courier New"/>
                <w:sz w:val="18"/>
                <w:szCs w:val="18"/>
                <w:color w:val="auto"/>
                <w:w w:val="99"/>
              </w:rPr>
              <w:t>Investment portfolio composition and yield: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63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Subordinated debt, second lien secured debt, and equity</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293.3</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Senior secured debt</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w:t>
            </w:r>
          </w:p>
        </w:tc>
      </w:tr>
      <w:tr>
        <w:trPr>
          <w:trHeight w:val="203"/>
        </w:trPr>
        <w:tc>
          <w:tcPr>
            <w:tcW w:w="4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63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core investment debt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63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non-core senior secured debt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608"/>
        </w:trPr>
        <w:tc>
          <w:tcPr>
            <w:tcW w:w="4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Year Ended</w:t>
            </w: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Quarter Ended</w:t>
            </w:r>
          </w:p>
        </w:tc>
      </w:tr>
      <w:tr>
        <w:trPr>
          <w:trHeight w:val="203"/>
        </w:trPr>
        <w:tc>
          <w:tcPr>
            <w:tcW w:w="43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16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Results:</w:t>
            </w:r>
          </w:p>
        </w:tc>
        <w:tc>
          <w:tcPr>
            <w:tcW w:w="660" w:type="dxa"/>
            <w:vAlign w:val="bottom"/>
          </w:tcPr>
          <w:p>
            <w:pPr>
              <w:spacing w:after="0"/>
              <w:rPr>
                <w:sz w:val="17"/>
                <w:szCs w:val="17"/>
                <w:color w:val="auto"/>
              </w:rPr>
            </w:pPr>
          </w:p>
        </w:tc>
        <w:tc>
          <w:tcPr>
            <w:tcW w:w="13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2008</w:t>
            </w:r>
          </w:p>
        </w:tc>
      </w:tr>
      <w:tr>
        <w:trPr>
          <w:trHeight w:val="203"/>
        </w:trPr>
        <w:tc>
          <w:tcPr>
            <w:tcW w:w="4320" w:type="dxa"/>
            <w:vAlign w:val="bottom"/>
          </w:tcPr>
          <w:p>
            <w:pPr>
              <w:spacing w:after="0"/>
              <w:rPr>
                <w:sz w:val="17"/>
                <w:szCs w:val="17"/>
                <w:color w:val="auto"/>
              </w:rPr>
            </w:pPr>
          </w:p>
        </w:tc>
        <w:tc>
          <w:tcPr>
            <w:tcW w:w="3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4980" w:type="dxa"/>
            <w:vAlign w:val="bottom"/>
            <w:gridSpan w:val="2"/>
          </w:tcPr>
          <w:p>
            <w:pPr>
              <w:ind w:left="2960"/>
              <w:spacing w:after="0"/>
              <w:rPr>
                <w:sz w:val="20"/>
                <w:szCs w:val="20"/>
                <w:color w:val="auto"/>
              </w:rPr>
            </w:pPr>
            <w:r>
              <w:rPr>
                <w:rFonts w:ascii="Courier New" w:cs="Courier New" w:eastAsia="Courier New" w:hAnsi="Courier New"/>
                <w:sz w:val="18"/>
                <w:szCs w:val="18"/>
                <w:color w:val="auto"/>
                <w:w w:val="97"/>
              </w:rPr>
              <w:t>Portfolio Activity:</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6320" w:type="dxa"/>
            <w:vAlign w:val="bottom"/>
            <w:gridSpan w:val="3"/>
          </w:tcPr>
          <w:p>
            <w:pPr>
              <w:jc w:val="center"/>
              <w:ind w:left="1832"/>
              <w:spacing w:after="0" w:line="203" w:lineRule="exact"/>
              <w:rPr>
                <w:sz w:val="20"/>
                <w:szCs w:val="20"/>
                <w:color w:val="auto"/>
              </w:rPr>
            </w:pPr>
            <w:r>
              <w:rPr>
                <w:rFonts w:ascii="Courier New" w:cs="Courier New" w:eastAsia="Courier New" w:hAnsi="Courier New"/>
                <w:sz w:val="18"/>
                <w:szCs w:val="18"/>
                <w:color w:val="auto"/>
                <w:w w:val="97"/>
              </w:rPr>
              <w:t>Sales and repayments of long term</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investments</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w:t>
            </w:r>
          </w:p>
        </w:tc>
      </w:tr>
      <w:tr>
        <w:trPr>
          <w:trHeight w:val="405"/>
        </w:trPr>
        <w:tc>
          <w:tcPr>
            <w:tcW w:w="6320" w:type="dxa"/>
            <w:vAlign w:val="bottom"/>
            <w:gridSpan w:val="3"/>
          </w:tcPr>
          <w:p>
            <w:pPr>
              <w:jc w:val="center"/>
              <w:ind w:left="1832"/>
              <w:spacing w:after="0"/>
              <w:rPr>
                <w:sz w:val="20"/>
                <w:szCs w:val="20"/>
                <w:color w:val="auto"/>
              </w:rPr>
            </w:pPr>
            <w:r>
              <w:rPr>
                <w:rFonts w:ascii="Courier New" w:cs="Courier New" w:eastAsia="Courier New" w:hAnsi="Courier New"/>
                <w:sz w:val="18"/>
                <w:szCs w:val="18"/>
                <w:color w:val="auto"/>
                <w:w w:val="97"/>
              </w:rPr>
              <w:t>Number of new portfolio companies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invested</w:t>
            </w:r>
          </w:p>
        </w:tc>
        <w:tc>
          <w:tcPr>
            <w:tcW w:w="6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320" w:type="dxa"/>
            <w:vAlign w:val="bottom"/>
            <w:gridSpan w:val="3"/>
          </w:tcPr>
          <w:p>
            <w:pPr>
              <w:jc w:val="center"/>
              <w:ind w:left="1832"/>
              <w:spacing w:after="0" w:line="203" w:lineRule="exact"/>
              <w:rPr>
                <w:sz w:val="20"/>
                <w:szCs w:val="20"/>
                <w:color w:val="auto"/>
              </w:rPr>
            </w:pPr>
            <w:r>
              <w:rPr>
                <w:rFonts w:ascii="Courier New" w:cs="Courier New" w:eastAsia="Courier New" w:hAnsi="Courier New"/>
                <w:sz w:val="18"/>
                <w:szCs w:val="18"/>
                <w:color w:val="auto"/>
                <w:w w:val="97"/>
              </w:rPr>
              <w:t>Number of existing portfolio companies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invested</w:t>
            </w:r>
          </w:p>
        </w:tc>
        <w:tc>
          <w:tcPr>
            <w:tcW w:w="6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gridSpan w:val="3"/>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Number of portfolio companies at end of</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period</w:t>
            </w:r>
          </w:p>
        </w:tc>
        <w:tc>
          <w:tcPr>
            <w:tcW w:w="6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CONFERENCE CALL AT 10:00 A.M. ET ON NOVEMBER 21, 2008</w:t>
      </w:r>
    </w:p>
    <w:p>
      <w:pPr>
        <w:spacing w:after="0" w:line="206" w:lineRule="exact"/>
        <w:rPr>
          <w:sz w:val="20"/>
          <w:szCs w:val="20"/>
          <w:color w:val="auto"/>
        </w:rPr>
      </w:pPr>
    </w:p>
    <w:p>
      <w:pPr>
        <w:jc w:val="both"/>
        <w:ind w:left="20" w:right="20" w:hanging="15"/>
        <w:spacing w:after="0" w:line="276" w:lineRule="auto"/>
        <w:rPr>
          <w:sz w:val="20"/>
          <w:szCs w:val="20"/>
          <w:color w:val="auto"/>
        </w:rPr>
      </w:pPr>
      <w:r>
        <w:rPr>
          <w:rFonts w:ascii="Arial" w:cs="Arial" w:eastAsia="Arial" w:hAnsi="Arial"/>
          <w:sz w:val="19"/>
          <w:szCs w:val="19"/>
          <w:color w:val="auto"/>
        </w:rPr>
        <w:t>The Company will host a conference call at 10:00 a.m. (Eastern Time) on Friday, November 21, 2008 to discuss its fourth quarter and fiscal year 2008 results. All interested parties are welcome to participate. You can access the conference call by dialing (877)</w:t>
      </w:r>
    </w:p>
    <w:p>
      <w:pPr>
        <w:spacing w:after="0" w:line="1" w:lineRule="exact"/>
        <w:rPr>
          <w:sz w:val="20"/>
          <w:szCs w:val="20"/>
          <w:color w:val="auto"/>
        </w:rPr>
      </w:pPr>
    </w:p>
    <w:p>
      <w:pPr>
        <w:jc w:val="center"/>
        <w:spacing w:after="0" w:line="233" w:lineRule="auto"/>
        <w:rPr>
          <w:sz w:val="20"/>
          <w:szCs w:val="20"/>
          <w:color w:val="auto"/>
        </w:rPr>
      </w:pPr>
      <w:r>
        <w:rPr>
          <w:rFonts w:ascii="Arial" w:cs="Arial" w:eastAsia="Arial" w:hAnsi="Arial"/>
          <w:sz w:val="22"/>
          <w:szCs w:val="22"/>
          <w:color w:val="auto"/>
        </w:rPr>
        <w:t>856-1965 approximately 5-10 minutes prior to the call. International callers should dial (719) 325-4823. All callers should reference PennantPark Investment Corporation. An archived replay of the call will be available through December 5, 2008 by calling (888) 203-1112. International callers please dial (719) 457-0820. For all replays, please reference conference ID #3324697.</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September 30, 2008, our portfolio totaled $372.1 million and consisted of $166.2 million of subordinated debt, $104.2</w:t>
      </w:r>
    </w:p>
    <w:p>
      <w:pPr>
        <w:spacing w:after="0" w:line="43" w:lineRule="exact"/>
        <w:rPr>
          <w:sz w:val="20"/>
          <w:szCs w:val="20"/>
          <w:color w:val="auto"/>
        </w:rPr>
      </w:pPr>
    </w:p>
    <w:p>
      <w:pPr>
        <w:jc w:val="center"/>
        <w:spacing w:after="0" w:line="287" w:lineRule="auto"/>
        <w:rPr>
          <w:sz w:val="20"/>
          <w:szCs w:val="20"/>
          <w:color w:val="auto"/>
        </w:rPr>
      </w:pPr>
      <w:r>
        <w:rPr>
          <w:rFonts w:ascii="Arial" w:cs="Arial" w:eastAsia="Arial" w:hAnsi="Arial"/>
          <w:sz w:val="19"/>
          <w:szCs w:val="19"/>
          <w:color w:val="auto"/>
        </w:rPr>
        <w:t>million of second lien secured debt, $22.9 million of equity investments and $78.8 million of senior secured loans. This compares to our portfolio which totaled $291.0 million and consisted of $57.3 million of subordinated debt, $67.8 million of second lien secured debt, $7.0 million of equity investments and $158.9 million of senior secured loans as of September 30, 2007.</w:t>
      </w:r>
    </w:p>
    <w:p>
      <w:pPr>
        <w:spacing w:after="0" w:line="143"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As of September 30, 2008, our core assets (consisting of subordinated debt, second lien secured debt, equity investments and selective senior secured loans) totaled $305.5 million and consisted of investments in nineteen different companies with an average investment size of $16.1 million per company and a weighted average yield of 12.5% on debt investments. This compares to our core assets which totaled $132.1 million and consisted of investments in eight different companies with an average investment size of $16.5 million per company and weighted average yield of 13.0% on debt investments as of September 30, 2007.</w:t>
      </w:r>
    </w:p>
    <w:p>
      <w:pPr>
        <w:spacing w:after="0" w:line="188" w:lineRule="exact"/>
        <w:rPr>
          <w:sz w:val="20"/>
          <w:szCs w:val="20"/>
          <w:color w:val="auto"/>
        </w:rPr>
      </w:pPr>
    </w:p>
    <w:p>
      <w:pPr>
        <w:jc w:val="center"/>
        <w:ind w:right="20"/>
        <w:spacing w:after="0" w:line="249" w:lineRule="auto"/>
        <w:rPr>
          <w:sz w:val="20"/>
          <w:szCs w:val="20"/>
          <w:color w:val="auto"/>
        </w:rPr>
      </w:pPr>
      <w:r>
        <w:rPr>
          <w:rFonts w:ascii="Arial" w:cs="Arial" w:eastAsia="Arial" w:hAnsi="Arial"/>
          <w:sz w:val="21"/>
          <w:szCs w:val="21"/>
          <w:color w:val="auto"/>
        </w:rPr>
        <w:t>On September 30, 2008, our non-core senior secured loan portfolio totaled $66.6 million and consisted of nineteen different companies (including one company also in our core portfolio) with an average investment size of $3.5 million, and a weighted average yield of 5.2%. This compares to our non-core senior secured loan portfolio which totaled $158.9 million and consisted of thirty-one different companies (including one company also in our core portfolio) with an average investment size of $5.3 million and a weighted average yield of 7.5% as of September 30, 2007.</w:t>
      </w:r>
    </w:p>
    <w:p>
      <w:pPr>
        <w:sectPr>
          <w:pgSz w:w="11900" w:h="16838" w:orient="portrait"/>
          <w:cols w:equalWidth="0" w:num="1">
            <w:col w:w="11220"/>
          </w:cols>
          <w:pgMar w:left="340" w:top="111" w:right="339" w:bottom="174" w:gutter="0" w:footer="0" w:header="0"/>
        </w:sectPr>
      </w:pPr>
    </w:p>
    <w:bookmarkStart w:id="3" w:name="page4"/>
    <w:bookmarkEnd w:id="3"/>
    <w:p>
      <w:pPr>
        <w:jc w:val="center"/>
        <w:ind w:right="20"/>
        <w:spacing w:after="0" w:line="279" w:lineRule="auto"/>
        <w:rPr>
          <w:sz w:val="20"/>
          <w:szCs w:val="20"/>
          <w:color w:val="auto"/>
        </w:rPr>
      </w:pPr>
      <w:r>
        <w:rPr>
          <w:rFonts w:ascii="Arial" w:cs="Arial" w:eastAsia="Arial" w:hAnsi="Arial"/>
          <w:sz w:val="19"/>
          <w:szCs w:val="19"/>
          <w:color w:val="auto"/>
        </w:rPr>
        <w:t>As of September 30, 2008, our overall portfolio consisted of thirty-seven companies with an average investment size of $10.1 million and a weighted average yield on debt investments of 11.1%, and was invested 45% in subordinated debt, 28% in second lien secured debt, 6% in preferred and common equity investments and 21% in senior secured loans. This compares to our portfolio which consisted of thirty-eight companies with an average investment size of $7.6 million and a weighted average yield on debt investments of 10.1%, and which was invested 20% in subordinated debt, 23% in second lien secured debt, 2% in common equity investments and 55% in senior secured loans as of September 30, 2007.</w:t>
      </w:r>
    </w:p>
    <w:p>
      <w:pPr>
        <w:spacing w:after="0" w:line="151" w:lineRule="exact"/>
        <w:rPr>
          <w:sz w:val="20"/>
          <w:szCs w:val="20"/>
          <w:color w:val="auto"/>
        </w:rPr>
      </w:pPr>
    </w:p>
    <w:p>
      <w:pPr>
        <w:jc w:val="center"/>
        <w:ind w:right="20"/>
        <w:spacing w:after="0" w:line="250" w:lineRule="auto"/>
        <w:rPr>
          <w:sz w:val="20"/>
          <w:szCs w:val="20"/>
          <w:color w:val="auto"/>
        </w:rPr>
      </w:pPr>
      <w:r>
        <w:rPr>
          <w:rFonts w:ascii="Arial" w:cs="Arial" w:eastAsia="Arial" w:hAnsi="Arial"/>
          <w:sz w:val="22"/>
          <w:szCs w:val="22"/>
          <w:color w:val="auto"/>
        </w:rPr>
        <w:t>Due to the overall decline in market values, our portfolio had unrealized depreciation of $5.9 million and $48.1 million for the three months and fiscal year ended September 30, 2008, respectively.</w:t>
      </w:r>
    </w:p>
    <w:p>
      <w:pPr>
        <w:spacing w:after="0" w:line="175"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For the three months ended September 30, 2008, we invested $57.4 million in three new portfolio companies with an overall average yield of 14.2% on debt investments. Sales and repayments of primarily senior secured loans for the same period totaled $55.7 million. For the fiscal year ended September 30, 2008, we invested $206.8 million in fourteen new and two existing portfolio companies with an overall average yield of 13.8% on debt investments. Sales and repayments of primarily senior secured loans for the same period totaled $70.1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"We believe that we are well positioned to deal with the challenging market and economic environment," said Arthur Penn,</w:t>
      </w:r>
    </w:p>
    <w:p>
      <w:pPr>
        <w:spacing w:after="0" w:line="43" w:lineRule="exact"/>
        <w:rPr>
          <w:sz w:val="20"/>
          <w:szCs w:val="20"/>
          <w:color w:val="auto"/>
        </w:rPr>
      </w:pPr>
    </w:p>
    <w:p>
      <w:pPr>
        <w:jc w:val="center"/>
        <w:ind w:right="20"/>
        <w:spacing w:after="0" w:line="246" w:lineRule="auto"/>
        <w:rPr>
          <w:sz w:val="20"/>
          <w:szCs w:val="20"/>
          <w:color w:val="auto"/>
        </w:rPr>
      </w:pPr>
      <w:r>
        <w:rPr>
          <w:rFonts w:ascii="Arial" w:cs="Arial" w:eastAsia="Arial" w:hAnsi="Arial"/>
          <w:sz w:val="21"/>
          <w:szCs w:val="21"/>
          <w:color w:val="auto"/>
        </w:rPr>
        <w:t>Chairman and Chief Executive Officer. "We are well matched. Our underlying portfolio companies generally have strong interest coverage that is paid to us as interest income and covers our dividend. We have substantial liquidity to make new investments in this opportunistic environment to generate more cash flow, to grow income, and cushion for potential defaults. All of this should translate into a stable dividend stream and over time, growth in Net Asset Value."</w:t>
      </w:r>
    </w:p>
    <w:p>
      <w:pPr>
        <w:spacing w:after="0" w:line="18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Set forth below are the results of operations for the three months and fiscal year ended September 30, 2008, for the three months</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1"/>
          <w:szCs w:val="21"/>
          <w:color w:val="auto"/>
        </w:rPr>
        <w:t>ended September 30, 2007 and for the period from January 11, 2007 (inception) through September 30, 2007.</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have adopted SFAS 157 on October 1, 2008 and believe that this implementation does not affect the Company's financial</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position or its results of operations.</w:t>
      </w:r>
    </w:p>
    <w:p>
      <w:pPr>
        <w:spacing w:after="0" w:line="188"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We have also adopted SFAS 159 on October 1, 2008 and have made an irrevocable election to apply the fair value option to our credit facility liability. After adoption, subsequent changes in the fair value of our credit facility will be recorded in the Statement of Operations. We have not elected to apply the fair value option to any other financial assets or liabilities.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Investment income for the three months ended September 30, 2008 and September 30, 2007, was $11.4 million and $6.9 million,</w:t>
      </w:r>
    </w:p>
    <w:p>
      <w:pPr>
        <w:spacing w:after="0" w:line="43" w:lineRule="exact"/>
        <w:rPr>
          <w:sz w:val="20"/>
          <w:szCs w:val="20"/>
          <w:color w:val="auto"/>
        </w:rPr>
      </w:pPr>
    </w:p>
    <w:p>
      <w:pPr>
        <w:jc w:val="center"/>
        <w:ind w:right="20"/>
        <w:spacing w:after="0" w:line="232" w:lineRule="auto"/>
        <w:rPr>
          <w:sz w:val="20"/>
          <w:szCs w:val="20"/>
          <w:color w:val="auto"/>
        </w:rPr>
      </w:pPr>
      <w:r>
        <w:rPr>
          <w:rFonts w:ascii="Arial" w:cs="Arial" w:eastAsia="Arial" w:hAnsi="Arial"/>
          <w:sz w:val="22"/>
          <w:szCs w:val="22"/>
          <w:color w:val="auto"/>
        </w:rPr>
        <w:t>respectively. Investment income for the three months ended September 30, 2008 was primarily attributed to $4.7 million of interest income from senior secured loan investments; $3.8 million from second lien secured debt investments; and $2.1 million from subordinated debt investments. The remaining investment income for the same period was primarily attributed to interest income from short-term investments and to accretion of discount and amortization of premium. This compares to investment income for the three months ended September 30, 2007 which was primarily attributed to interest income from senior secured loan investments.</w:t>
      </w:r>
    </w:p>
    <w:p>
      <w:pPr>
        <w:spacing w:after="0" w:line="18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9"/>
          <w:szCs w:val="19"/>
          <w:color w:val="auto"/>
        </w:rPr>
        <w:t>Investment income for the fiscal year ended September 30, 2008 and for the period from January 11, 2007 (inception) through September 30, 2007, was $39.8 million and $13.1 million, respectively. Investment income for the fiscal year ended September 30, 2008 was primarily attributed to $16.2 million of interest income from senior secured loan investments; $14.7 million from second lien secured debt investments; and $7.2 million from subordinated debt investments. The remaining investment income for the same period was primarily attributed to interest income from short-term investments and to accretion of discount and amortization of premium. This compares to investment income for the period from January 11, 2007 (inception) through September 30, 2007, which was primarily attributed to interest income from senior secured loan investments.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Net expenses for the three months ended September 30, 2008 and September 30, 2007, totaled $6.0 million and $2.6 million, respectively. Of these totals, $1.9 million and $0.2 million were attributable to credit facility related expenses, and approximately $811,000 and $1.2 million to general and administrative expenses, for the same period, respectively. Net base management fee for the same periods totaled $1.9 million and $1.1 million, and performance-based incentive fee totaled $1.4 million and zero, respectively.</w:t>
      </w:r>
    </w:p>
    <w:p>
      <w:pPr>
        <w:spacing w:after="0" w:line="18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9"/>
          <w:szCs w:val="19"/>
          <w:color w:val="auto"/>
        </w:rPr>
        <w:t>Net expenses for the fiscal year ended September 30, 2008 and for the period from January 11, 2007 (inception) through September 30, 2007, totaled $21.2 million and $5.8 million, respectively. Of these totals, $6.3 million and $1.8 were attributable to credit facility related expenses, and $4.4 million and $2.1 million (including non-recurring expenses) to general and administrative expenses, for the same periods, respectively. Net base management fee for the same periods totaled $6.7 million and $1.9 million, and performance-based incentive fee totaled $3.8 million and zero,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Investment Income</w:t>
      </w:r>
    </w:p>
    <w:p>
      <w:pPr>
        <w:sectPr>
          <w:pgSz w:w="11900" w:h="16838" w:orient="portrait"/>
          <w:cols w:equalWidth="0" w:num="1">
            <w:col w:w="11180"/>
          </w:cols>
          <w:pgMar w:left="360" w:top="118" w:right="359" w:bottom="242" w:gutter="0" w:footer="0" w:header="0"/>
        </w:sectPr>
      </w:pPr>
    </w:p>
    <w:bookmarkStart w:id="4" w:name="page5"/>
    <w:bookmarkEnd w:id="4"/>
    <w:p>
      <w:pPr>
        <w:jc w:val="center"/>
        <w:ind w:left="340" w:right="60"/>
        <w:spacing w:after="0" w:line="251" w:lineRule="auto"/>
        <w:rPr>
          <w:sz w:val="20"/>
          <w:szCs w:val="20"/>
          <w:color w:val="auto"/>
        </w:rPr>
      </w:pPr>
      <w:r>
        <w:rPr>
          <w:rFonts w:ascii="Arial" w:cs="Arial" w:eastAsia="Arial" w:hAnsi="Arial"/>
          <w:sz w:val="22"/>
          <w:szCs w:val="22"/>
          <w:color w:val="auto"/>
        </w:rPr>
        <w:t>Net investment income totaled $5.4 million and $4.3 million or $0.26 and $0.21 per share for the three months ended September 30, 2008 and September 30, 2007, respectively.</w:t>
      </w:r>
    </w:p>
    <w:p>
      <w:pPr>
        <w:spacing w:after="0" w:line="173" w:lineRule="exact"/>
        <w:rPr>
          <w:sz w:val="20"/>
          <w:szCs w:val="20"/>
          <w:color w:val="auto"/>
        </w:rPr>
      </w:pPr>
    </w:p>
    <w:p>
      <w:pPr>
        <w:jc w:val="center"/>
        <w:ind w:left="340" w:right="120"/>
        <w:spacing w:after="0" w:line="274" w:lineRule="auto"/>
        <w:rPr>
          <w:sz w:val="20"/>
          <w:szCs w:val="20"/>
          <w:color w:val="auto"/>
        </w:rPr>
      </w:pPr>
      <w:r>
        <w:rPr>
          <w:rFonts w:ascii="Arial" w:cs="Arial" w:eastAsia="Arial" w:hAnsi="Arial"/>
          <w:sz w:val="21"/>
          <w:szCs w:val="21"/>
          <w:color w:val="auto"/>
        </w:rPr>
        <w:t>Net investment income totaled $18.6 million and $7.3 million or $0.88 and $0.35 per share for the fiscal year ended September 30, 2008 and for the period from January 11, 2007 (inception) through September 30, 2007,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Sales and repayments of long-term investments totaled $55.7 million and $7.0 million, for the three months ended September 30, 2008 and September 30, 2007, respectively. Net realized losses totaled $10.5 million and approximately $66,000, respectively, for the same periods, primarily due to the sale of senior secured loans.</w:t>
      </w:r>
    </w:p>
    <w:p>
      <w:pPr>
        <w:spacing w:after="0" w:line="18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Sales and repayments of long-term investments totaled $70.1 million and $99.6 million, respectively, for the fiscal year ended September 30, 2008 and for the period from January 11, 2007 (inception) through September 30, 2007. Net realized losses totaled $11.2 million and $82,000, respectively, for the same periods.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Unrealized Depreciation on Investments and Cash Equivalents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Company's investments and cash equivalents had a net increase in unrealized depreciation of $5.9 million and $18.8 million, respectively, for the three months ended September 30, 2008 and September 30, 2007, respectively, primarily due to the overall decline in market values.</w:t>
      </w:r>
    </w:p>
    <w:p>
      <w:pPr>
        <w:spacing w:after="0" w:line="186"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The Company's investments and cash equivalents had a net increase in unrealized depreciation of $48.1 million and $23.9 million, for the fiscal year ended September 30, 2008 and for the period from January 11, 2007 (inception) through September 30, 2007, respectively, primarily due to the erosion in the market prices of leveraged finance instruments.</w:t>
      </w:r>
    </w:p>
    <w:p>
      <w:pPr>
        <w:spacing w:after="0" w:line="134" w:lineRule="exact"/>
        <w:rPr>
          <w:sz w:val="20"/>
          <w:szCs w:val="20"/>
          <w:color w:val="auto"/>
        </w:rPr>
      </w:pPr>
    </w:p>
    <w:p>
      <w:pPr>
        <w:jc w:val="center"/>
        <w:ind w:left="340" w:right="220"/>
        <w:spacing w:after="0" w:line="250" w:lineRule="auto"/>
        <w:rPr>
          <w:sz w:val="20"/>
          <w:szCs w:val="20"/>
          <w:color w:val="auto"/>
        </w:rPr>
      </w:pPr>
      <w:r>
        <w:rPr>
          <w:rFonts w:ascii="Arial" w:cs="Arial" w:eastAsia="Arial" w:hAnsi="Arial"/>
          <w:sz w:val="22"/>
          <w:szCs w:val="22"/>
          <w:color w:val="auto"/>
        </w:rPr>
        <w:t>On September 30, 2008 and September 30, 2007, net unrealized depreciation on investments totaled $72.0 million and $23.9 million, respectively.</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9"/>
          <w:szCs w:val="19"/>
          <w:color w:val="auto"/>
        </w:rPr>
        <w:t>Net decrease in net assets resulting from operations totaled $11.0 million and $14.5 million, or $0.53 and $0.70 per share, for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three months ended September 30, 2008 and September 30, 2007,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decrease in net assets resulting from operations totaled $40.7 million and $16.7 million, or $1.93 and $0.80 per share, respectively, for the fiscal year ended September 30, 2008 and for the period from January 11, 2007 (inception) through September 30,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Company's liquidity and capital resources are generated primarily through its senior secured, multi-currency, $300 million,</w:t>
      </w:r>
    </w:p>
    <w:p>
      <w:pPr>
        <w:spacing w:after="0" w:line="43" w:lineRule="exact"/>
        <w:rPr>
          <w:sz w:val="20"/>
          <w:szCs w:val="20"/>
          <w:color w:val="auto"/>
        </w:rPr>
      </w:pPr>
    </w:p>
    <w:p>
      <w:pPr>
        <w:jc w:val="center"/>
        <w:spacing w:after="0" w:line="243" w:lineRule="auto"/>
        <w:rPr>
          <w:sz w:val="20"/>
          <w:szCs w:val="20"/>
          <w:color w:val="auto"/>
        </w:rPr>
      </w:pPr>
      <w:r>
        <w:rPr>
          <w:rFonts w:ascii="Arial" w:cs="Arial" w:eastAsia="Arial" w:hAnsi="Arial"/>
          <w:sz w:val="21"/>
          <w:szCs w:val="21"/>
          <w:color w:val="auto"/>
        </w:rPr>
        <w:t>five-year revolving credit facility maturing in June 2012 as well as from cash flows from operations, investment sales and prepayments, and income earned from investments and cash equivalents. On September 30, 2008, the Company had $202.0 million in borrowings outstanding, including $40.0 million of temporary draws invested in cash equivalents. Our operating activities resulted in a net use of cash of $390.7 million and $37.9 million, respectively, for the fiscal year ended September 30, 2008 and for the period from January 11, 2007 (inception) through September 30, 2007, and our financing activities resulted in a net inflow of cash of $173.0 million and $295.8 million, respectively, for the same periods, primarily from net borrowings under our credit facilities and prior year issuance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Distributions declared to stockholders totaled $19.0 million and $7.6 million, or $0.90 and $0.36 per share, respectively, for the fiscal year ended September 30, 2008 and for the period from January 11, 2007 (inception) through September 30, 2007. Tax characteristics of all dividends will be reported to stockholders on form 1099-DIV after the end of the calendar year.</w:t>
      </w:r>
    </w:p>
    <w:p>
      <w:pPr>
        <w:spacing w:after="0" w:line="13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AVAILABLE INFORMATION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PennantPark Investment Corporation will make available on its website its Annual Report on Form 10-K, which also serves as its</w:t>
      </w:r>
    </w:p>
    <w:p>
      <w:pPr>
        <w:spacing w:after="0" w:line="43" w:lineRule="exact"/>
        <w:rPr>
          <w:sz w:val="20"/>
          <w:szCs w:val="20"/>
          <w:color w:val="auto"/>
        </w:rPr>
      </w:pPr>
    </w:p>
    <w:p>
      <w:pPr>
        <w:jc w:val="center"/>
        <w:ind w:left="340" w:right="280"/>
        <w:spacing w:after="0" w:line="234" w:lineRule="auto"/>
        <w:rPr>
          <w:sz w:val="20"/>
          <w:szCs w:val="20"/>
          <w:color w:val="auto"/>
        </w:rPr>
      </w:pPr>
      <w:r>
        <w:rPr>
          <w:rFonts w:ascii="Arial" w:cs="Arial" w:eastAsia="Arial" w:hAnsi="Arial"/>
          <w:sz w:val="22"/>
          <w:szCs w:val="22"/>
          <w:color w:val="auto"/>
        </w:rPr>
        <w:t>annual report to stockholders. The Company has filed its Annual Report on Form 10-K with the Securities Exchange Commission, and stockholders may find the report on www.pennantpark.com. Stockholders may receive a hard copy of the annual report free of charge by submitting a written request to the Company.</w:t>
      </w:r>
    </w:p>
    <w:p>
      <w:pPr>
        <w:spacing w:after="0" w:line="205" w:lineRule="exact"/>
        <w:rPr>
          <w:sz w:val="20"/>
          <w:szCs w:val="20"/>
          <w:color w:val="auto"/>
        </w:rPr>
      </w:pPr>
    </w:p>
    <w:p>
      <w:pPr>
        <w:ind w:left="4880"/>
        <w:spacing w:after="0"/>
        <w:rPr>
          <w:sz w:val="20"/>
          <w:szCs w:val="20"/>
          <w:color w:val="auto"/>
        </w:rPr>
      </w:pPr>
      <w:r>
        <w:rPr>
          <w:rFonts w:ascii="Courier New" w:cs="Courier New" w:eastAsia="Courier New" w:hAnsi="Courier New"/>
          <w:sz w:val="18"/>
          <w:szCs w:val="18"/>
          <w:color w:val="auto"/>
        </w:rPr>
        <w:t>PENNANTPARK INVESTMENT CORPORATION</w:t>
      </w:r>
    </w:p>
    <w:p>
      <w:pPr>
        <w:ind w:left="472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ind w:left="6840"/>
        <w:spacing w:after="0" w:line="238" w:lineRule="auto"/>
        <w:rPr>
          <w:sz w:val="20"/>
          <w:szCs w:val="20"/>
          <w:color w:val="auto"/>
        </w:rPr>
      </w:pPr>
      <w:r>
        <w:rPr>
          <w:rFonts w:ascii="Courier New" w:cs="Courier New" w:eastAsia="Courier New" w:hAnsi="Courier New"/>
          <w:sz w:val="18"/>
          <w:szCs w:val="18"/>
          <w:color w:val="auto"/>
        </w:rPr>
        <w:t>(Audited)</w:t>
      </w:r>
    </w:p>
    <w:p>
      <w:pPr>
        <w:spacing w:after="0" w:line="200" w:lineRule="exact"/>
        <w:rPr>
          <w:sz w:val="20"/>
          <w:szCs w:val="20"/>
          <w:color w:val="auto"/>
        </w:rPr>
      </w:pPr>
    </w:p>
    <w:p>
      <w:pPr>
        <w:spacing w:after="0" w:line="204" w:lineRule="exact"/>
        <w:rPr>
          <w:sz w:val="20"/>
          <w:szCs w:val="20"/>
          <w:color w:val="auto"/>
        </w:rPr>
      </w:pPr>
    </w:p>
    <w:p>
      <w:pPr>
        <w:ind w:left="6580"/>
        <w:spacing w:after="0"/>
        <w:tabs>
          <w:tab w:leader="none" w:pos="8140" w:val="left"/>
        </w:tabs>
        <w:rPr>
          <w:sz w:val="20"/>
          <w:szCs w:val="20"/>
          <w:color w:val="auto"/>
        </w:rPr>
      </w:pPr>
      <w:r>
        <w:rPr>
          <w:rFonts w:ascii="Courier New" w:cs="Courier New" w:eastAsia="Courier New" w:hAnsi="Courier New"/>
          <w:sz w:val="18"/>
          <w:szCs w:val="18"/>
          <w:color w:val="auto"/>
        </w:rPr>
        <w:t>September 30,</w:t>
      </w:r>
      <w:r>
        <w:rPr>
          <w:sz w:val="20"/>
          <w:szCs w:val="20"/>
          <w:color w:val="auto"/>
        </w:rPr>
        <w:tab/>
      </w:r>
      <w:r>
        <w:rPr>
          <w:rFonts w:ascii="Courier New" w:cs="Courier New" w:eastAsia="Courier New" w:hAnsi="Courier New"/>
          <w:sz w:val="16"/>
          <w:szCs w:val="16"/>
          <w:color w:val="auto"/>
        </w:rPr>
        <w:t>September 30,</w:t>
      </w:r>
    </w:p>
    <w:p>
      <w:pPr>
        <w:ind w:left="7260"/>
        <w:spacing w:after="0" w:line="238" w:lineRule="auto"/>
        <w:tabs>
          <w:tab w:leader="none" w:pos="8820" w:val="left"/>
        </w:tabs>
        <w:rPr>
          <w:sz w:val="20"/>
          <w:szCs w:val="20"/>
          <w:color w:val="auto"/>
        </w:rPr>
      </w:pPr>
      <w:r>
        <w:rPr>
          <w:rFonts w:ascii="Courier New" w:cs="Courier New" w:eastAsia="Courier New" w:hAnsi="Courier New"/>
          <w:sz w:val="18"/>
          <w:szCs w:val="18"/>
          <w:color w:val="auto"/>
        </w:rPr>
        <w:t>2008</w:t>
      </w:r>
      <w:r>
        <w:rPr>
          <w:sz w:val="20"/>
          <w:szCs w:val="20"/>
          <w:color w:val="auto"/>
        </w:rPr>
        <w:tab/>
      </w:r>
      <w:r>
        <w:rPr>
          <w:rFonts w:ascii="Courier New" w:cs="Courier New" w:eastAsia="Courier New" w:hAnsi="Courier New"/>
          <w:sz w:val="18"/>
          <w:szCs w:val="18"/>
          <w:color w:val="auto"/>
        </w:rPr>
        <w:t>2007</w:t>
      </w:r>
    </w:p>
    <w:p>
      <w:pPr>
        <w:ind w:left="6580"/>
        <w:spacing w:after="0" w:line="238" w:lineRule="auto"/>
        <w:tabs>
          <w:tab w:leader="none" w:pos="8140" w:val="left"/>
        </w:tabs>
        <w:rPr>
          <w:sz w:val="20"/>
          <w:szCs w:val="20"/>
          <w:color w:val="auto"/>
        </w:rPr>
      </w:pPr>
      <w:r>
        <w:rPr>
          <w:rFonts w:ascii="Courier New" w:cs="Courier New" w:eastAsia="Courier New" w:hAnsi="Courier New"/>
          <w:sz w:val="18"/>
          <w:szCs w:val="18"/>
          <w:color w:val="auto"/>
        </w:rPr>
        <w:t>=============</w:t>
        <w:tab/>
        <w:t>=============</w:t>
      </w:r>
    </w:p>
    <w:p>
      <w:pPr>
        <w:jc w:val="center"/>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1240"/>
          </w:cols>
          <w:pgMar w:left="320" w:top="118" w:right="339" w:bottom="0" w:gutter="0" w:footer="0" w:header="0"/>
        </w:sectPr>
      </w:pPr>
    </w:p>
    <w:bookmarkStart w:id="5" w:name="page6"/>
    <w:bookmarkEnd w:id="5"/>
    <w:tbl>
      <w:tblPr>
        <w:tblLayout w:type="fixed"/>
        <w:tblInd w:w="560" w:type="dxa"/>
        <w:tblCellMar>
          <w:top w:w="0" w:type="dxa"/>
          <w:left w:w="0" w:type="dxa"/>
          <w:bottom w:w="0" w:type="dxa"/>
          <w:right w:w="0" w:type="dxa"/>
        </w:tblCellMar>
      </w:tblPr>
      <w:tr>
        <w:trPr>
          <w:trHeight w:val="204"/>
        </w:trPr>
        <w:tc>
          <w:tcPr>
            <w:tcW w:w="6400" w:type="dxa"/>
            <w:vAlign w:val="bottom"/>
            <w:gridSpan w:val="3"/>
          </w:tcPr>
          <w:p>
            <w:pPr>
              <w:jc w:val="center"/>
              <w:ind w:left="1392"/>
              <w:spacing w:after="0"/>
              <w:rPr>
                <w:sz w:val="20"/>
                <w:szCs w:val="20"/>
                <w:color w:val="auto"/>
              </w:rPr>
            </w:pPr>
            <w:r>
              <w:rPr>
                <w:rFonts w:ascii="Courier New" w:cs="Courier New" w:eastAsia="Courier New" w:hAnsi="Courier New"/>
                <w:sz w:val="18"/>
                <w:szCs w:val="18"/>
                <w:color w:val="auto"/>
                <w:w w:val="97"/>
              </w:rPr>
              <w:t>Investments at fair value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Non-controlled, non-affiliated investments,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center"/>
              <w:ind w:left="1492"/>
              <w:spacing w:after="0" w:line="203" w:lineRule="exact"/>
              <w:rPr>
                <w:sz w:val="20"/>
                <w:szCs w:val="20"/>
                <w:color w:val="auto"/>
              </w:rPr>
            </w:pPr>
            <w:r>
              <w:rPr>
                <w:rFonts w:ascii="Courier New" w:cs="Courier New" w:eastAsia="Courier New" w:hAnsi="Courier New"/>
                <w:sz w:val="18"/>
                <w:szCs w:val="18"/>
                <w:color w:val="auto"/>
                <w:w w:val="97"/>
              </w:rPr>
              <w:t>at fair value (cost -- $427,481,745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$298,789,297, respectively)</w:t>
            </w: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$ 354,261,950</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$ 274,679,030</w:t>
            </w:r>
          </w:p>
        </w:tc>
      </w:tr>
      <w:tr>
        <w:trPr>
          <w:trHeight w:val="203"/>
        </w:trPr>
        <w:tc>
          <w:tcPr>
            <w:tcW w:w="6400" w:type="dxa"/>
            <w:vAlign w:val="bottom"/>
            <w:gridSpan w:val="3"/>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Non-controlled, affiliated investments, at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center"/>
              <w:ind w:left="1512"/>
              <w:spacing w:after="0" w:line="203" w:lineRule="exact"/>
              <w:rPr>
                <w:sz w:val="20"/>
                <w:szCs w:val="20"/>
                <w:color w:val="auto"/>
              </w:rPr>
            </w:pPr>
            <w:r>
              <w:rPr>
                <w:rFonts w:ascii="Courier New" w:cs="Courier New" w:eastAsia="Courier New" w:hAnsi="Courier New"/>
                <w:sz w:val="18"/>
                <w:szCs w:val="18"/>
                <w:color w:val="auto"/>
                <w:w w:val="97"/>
              </w:rPr>
              <w:t>fair value (cost -- $16,692,261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$16,092,573, respectively)</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17,885,870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16,337,578</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372,147,820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291,016,608</w:t>
            </w: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Cash equivalents (cost -- $40,249,201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$258,016,351, respectively)</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40,249,201</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257,959,635</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6,046,199</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4,517,850</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1,367,479</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1,513,583</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419,810,699</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555,007,676</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center"/>
              <w:ind w:left="3092"/>
              <w:spacing w:after="0"/>
              <w:rPr>
                <w:sz w:val="20"/>
                <w:szCs w:val="20"/>
                <w:color w:val="auto"/>
              </w:rPr>
            </w:pPr>
            <w:r>
              <w:rPr>
                <w:rFonts w:ascii="Courier New" w:cs="Courier New" w:eastAsia="Courier New" w:hAnsi="Courier New"/>
                <w:sz w:val="18"/>
                <w:szCs w:val="18"/>
                <w:color w:val="auto"/>
                <w:w w:val="97"/>
              </w:rPr>
              <w:t>Liabilities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5,056,505</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cash equivalents purchased</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252,759,931</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16,583,921</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3,989,948</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 facility payable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202,000,000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 payable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725,317</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170,989</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1,300,617</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1,109,793</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209,082,439</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284,614,582</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00" w:type="dxa"/>
            <w:vAlign w:val="bottom"/>
          </w:tcPr>
          <w:p>
            <w:pPr>
              <w:jc w:val="center"/>
              <w:ind w:left="3112"/>
              <w:spacing w:after="0"/>
              <w:rPr>
                <w:sz w:val="20"/>
                <w:szCs w:val="20"/>
                <w:color w:val="auto"/>
              </w:rPr>
            </w:pPr>
            <w:r>
              <w:rPr>
                <w:rFonts w:ascii="Courier New" w:cs="Courier New" w:eastAsia="Courier New" w:hAnsi="Courier New"/>
                <w:sz w:val="18"/>
                <w:szCs w:val="18"/>
                <w:color w:val="auto"/>
                <w:w w:val="98"/>
              </w:rPr>
              <w:t>Net Assets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Common stock, par value $0.001 per share,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center"/>
              <w:ind w:left="1512"/>
              <w:spacing w:after="0" w:line="203" w:lineRule="exact"/>
              <w:rPr>
                <w:sz w:val="20"/>
                <w:szCs w:val="20"/>
                <w:color w:val="auto"/>
              </w:rPr>
            </w:pPr>
            <w:r>
              <w:rPr>
                <w:rFonts w:ascii="Courier New" w:cs="Courier New" w:eastAsia="Courier New" w:hAnsi="Courier New"/>
                <w:sz w:val="18"/>
                <w:szCs w:val="18"/>
                <w:color w:val="auto"/>
                <w:w w:val="97"/>
              </w:rPr>
              <w:t>100,000,000 shares authorized and 21,068,772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21,069</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294,586,604</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Distributions in excess of net investment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(602,660)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(196,769)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(11,250,567)</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(95,832)</w:t>
            </w:r>
          </w:p>
        </w:tc>
      </w:tr>
      <w:tr>
        <w:trPr>
          <w:trHeight w:val="203"/>
        </w:trPr>
        <w:tc>
          <w:tcPr>
            <w:tcW w:w="6400" w:type="dxa"/>
            <w:vAlign w:val="bottom"/>
            <w:gridSpan w:val="3"/>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Net unrealized depreciation on investments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(72,026,186)</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(23,921,978)</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net assets</w:t>
            </w:r>
          </w:p>
        </w:tc>
        <w:tc>
          <w:tcPr>
            <w:tcW w:w="17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$ 210,728,260</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$ 270,393,094</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liabilities and net assets</w:t>
            </w:r>
          </w:p>
        </w:tc>
        <w:tc>
          <w:tcPr>
            <w:tcW w:w="17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$ 419,810,699</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$ 555,007,676</w:t>
            </w:r>
          </w:p>
        </w:tc>
      </w:tr>
      <w:tr>
        <w:trPr>
          <w:trHeight w:val="202"/>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0"/>
              <w:spacing w:after="0"/>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Courier New" w:cs="Courier New" w:eastAsia="Courier New" w:hAnsi="Courier New"/>
          <w:sz w:val="18"/>
          <w:szCs w:val="18"/>
          <w:color w:val="auto"/>
        </w:rPr>
        <w:t>PENNANTPARK INVESTMENT CORPORATION</w:t>
      </w:r>
    </w:p>
    <w:p>
      <w:pPr>
        <w:ind w:left="4560"/>
        <w:spacing w:after="0" w:line="238" w:lineRule="auto"/>
        <w:rPr>
          <w:sz w:val="20"/>
          <w:szCs w:val="20"/>
          <w:color w:val="auto"/>
        </w:rPr>
      </w:pPr>
      <w:r>
        <w:rPr>
          <w:rFonts w:ascii="Courier New" w:cs="Courier New" w:eastAsia="Courier New" w:hAnsi="Courier New"/>
          <w:sz w:val="18"/>
          <w:szCs w:val="18"/>
          <w:color w:val="auto"/>
        </w:rPr>
        <w:t>STATEMENTS OF OPERATIONS</w:t>
      </w:r>
    </w:p>
    <w:tbl>
      <w:tblPr>
        <w:tblLayout w:type="fixed"/>
        <w:tblInd w:w="82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40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rPr>
              <w:t>(Audited)</w:t>
            </w:r>
          </w:p>
        </w:tc>
        <w:tc>
          <w:tcPr>
            <w:tcW w:w="1500" w:type="dxa"/>
            <w:vAlign w:val="bottom"/>
          </w:tcPr>
          <w:p>
            <w:pPr>
              <w:spacing w:after="0"/>
              <w:rPr>
                <w:sz w:val="17"/>
                <w:szCs w:val="17"/>
                <w:color w:val="auto"/>
              </w:rPr>
            </w:pPr>
          </w:p>
        </w:tc>
      </w:tr>
      <w:tr>
        <w:trPr>
          <w:trHeight w:val="608"/>
        </w:trPr>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2680" w:type="dxa"/>
            <w:vAlign w:val="bottom"/>
          </w:tcPr>
          <w:p>
            <w:pPr>
              <w:spacing w:after="0"/>
              <w:rPr>
                <w:sz w:val="17"/>
                <w:szCs w:val="17"/>
                <w:color w:val="auto"/>
              </w:rPr>
            </w:pPr>
          </w:p>
        </w:tc>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January 11, 2007</w:t>
            </w:r>
          </w:p>
        </w:tc>
      </w:tr>
      <w:tr>
        <w:trPr>
          <w:trHeight w:val="203"/>
        </w:trPr>
        <w:tc>
          <w:tcPr>
            <w:tcW w:w="2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5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(inception)</w:t>
            </w:r>
          </w:p>
        </w:tc>
      </w:tr>
      <w:tr>
        <w:trPr>
          <w:trHeight w:val="203"/>
        </w:trPr>
        <w:tc>
          <w:tcPr>
            <w:tcW w:w="2680" w:type="dxa"/>
            <w:vAlign w:val="bottom"/>
          </w:tcPr>
          <w:p>
            <w:pPr>
              <w:spacing w:after="0"/>
              <w:rPr>
                <w:sz w:val="17"/>
                <w:szCs w:val="17"/>
                <w:color w:val="auto"/>
              </w:rPr>
            </w:pPr>
          </w:p>
        </w:tc>
        <w:tc>
          <w:tcPr>
            <w:tcW w:w="34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Year ended</w:t>
            </w:r>
          </w:p>
        </w:tc>
        <w:tc>
          <w:tcPr>
            <w:tcW w:w="15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through</w:t>
            </w:r>
          </w:p>
        </w:tc>
      </w:tr>
      <w:tr>
        <w:trPr>
          <w:trHeight w:val="203"/>
        </w:trPr>
        <w:tc>
          <w:tcPr>
            <w:tcW w:w="2680" w:type="dxa"/>
            <w:vAlign w:val="bottom"/>
          </w:tcPr>
          <w:p>
            <w:pPr>
              <w:spacing w:after="0"/>
              <w:rPr>
                <w:sz w:val="17"/>
                <w:szCs w:val="17"/>
                <w:color w:val="auto"/>
              </w:rPr>
            </w:pPr>
          </w:p>
        </w:tc>
        <w:tc>
          <w:tcPr>
            <w:tcW w:w="34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September 30,</w:t>
            </w:r>
          </w:p>
        </w:tc>
        <w:tc>
          <w:tcPr>
            <w:tcW w:w="15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2680" w:type="dxa"/>
            <w:vAlign w:val="bottom"/>
          </w:tcPr>
          <w:p>
            <w:pPr>
              <w:spacing w:after="0"/>
              <w:rPr>
                <w:sz w:val="17"/>
                <w:szCs w:val="17"/>
                <w:color w:val="auto"/>
              </w:rPr>
            </w:pPr>
          </w:p>
        </w:tc>
        <w:tc>
          <w:tcPr>
            <w:tcW w:w="3400" w:type="dxa"/>
            <w:vAlign w:val="bottom"/>
          </w:tcPr>
          <w:p>
            <w:pPr>
              <w:jc w:val="right"/>
              <w:ind w:right="312"/>
              <w:spacing w:after="0" w:line="203" w:lineRule="exact"/>
              <w:rPr>
                <w:sz w:val="20"/>
                <w:szCs w:val="20"/>
                <w:color w:val="auto"/>
              </w:rPr>
            </w:pPr>
            <w:r>
              <w:rPr>
                <w:rFonts w:ascii="Courier New" w:cs="Courier New" w:eastAsia="Courier New" w:hAnsi="Courier New"/>
                <w:sz w:val="18"/>
                <w:szCs w:val="18"/>
                <w:color w:val="auto"/>
              </w:rPr>
              <w:t>2008</w:t>
            </w:r>
          </w:p>
        </w:tc>
        <w:tc>
          <w:tcPr>
            <w:tcW w:w="15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2680" w:type="dxa"/>
            <w:vAlign w:val="bottom"/>
          </w:tcPr>
          <w:p>
            <w:pPr>
              <w:spacing w:after="0"/>
              <w:rPr>
                <w:sz w:val="17"/>
                <w:szCs w:val="17"/>
                <w:color w:val="auto"/>
              </w:rPr>
            </w:pPr>
          </w:p>
        </w:tc>
        <w:tc>
          <w:tcPr>
            <w:tcW w:w="34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80" w:type="dxa"/>
            <w:vAlign w:val="bottom"/>
          </w:tcPr>
          <w:p>
            <w:pPr>
              <w:spacing w:after="0"/>
              <w:rPr>
                <w:sz w:val="17"/>
                <w:szCs w:val="17"/>
                <w:color w:val="auto"/>
              </w:rPr>
            </w:pPr>
          </w:p>
        </w:tc>
        <w:tc>
          <w:tcPr>
            <w:tcW w:w="340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Investment income:</w:t>
            </w:r>
          </w:p>
        </w:tc>
        <w:tc>
          <w:tcPr>
            <w:tcW w:w="1500" w:type="dxa"/>
            <w:vAlign w:val="bottom"/>
          </w:tcPr>
          <w:p>
            <w:pPr>
              <w:spacing w:after="0"/>
              <w:rPr>
                <w:sz w:val="17"/>
                <w:szCs w:val="17"/>
                <w:color w:val="auto"/>
              </w:rPr>
            </w:pPr>
          </w:p>
        </w:tc>
      </w:tr>
      <w:tr>
        <w:trPr>
          <w:trHeight w:val="202"/>
        </w:trPr>
        <w:tc>
          <w:tcPr>
            <w:tcW w:w="608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From non-controlled, non-affiliated</w:t>
            </w:r>
          </w:p>
        </w:tc>
        <w:tc>
          <w:tcPr>
            <w:tcW w:w="1500" w:type="dxa"/>
            <w:vAlign w:val="bottom"/>
          </w:tcPr>
          <w:p>
            <w:pPr>
              <w:spacing w:after="0"/>
              <w:rPr>
                <w:sz w:val="17"/>
                <w:szCs w:val="17"/>
                <w:color w:val="auto"/>
              </w:rPr>
            </w:pPr>
          </w:p>
        </w:tc>
      </w:tr>
      <w:tr>
        <w:trPr>
          <w:trHeight w:val="202"/>
        </w:trPr>
        <w:tc>
          <w:tcPr>
            <w:tcW w:w="2680" w:type="dxa"/>
            <w:vAlign w:val="bottom"/>
          </w:tcPr>
          <w:p>
            <w:pPr>
              <w:spacing w:after="0"/>
              <w:rPr>
                <w:sz w:val="17"/>
                <w:szCs w:val="17"/>
                <w:color w:val="auto"/>
              </w:rPr>
            </w:pPr>
          </w:p>
        </w:tc>
        <w:tc>
          <w:tcPr>
            <w:tcW w:w="3400" w:type="dxa"/>
            <w:vAlign w:val="bottom"/>
          </w:tcPr>
          <w:p>
            <w:pPr>
              <w:jc w:val="right"/>
              <w:ind w:right="1632"/>
              <w:spacing w:after="0" w:line="203" w:lineRule="exact"/>
              <w:rPr>
                <w:sz w:val="20"/>
                <w:szCs w:val="20"/>
                <w:color w:val="auto"/>
              </w:rPr>
            </w:pPr>
            <w:r>
              <w:rPr>
                <w:rFonts w:ascii="Courier New" w:cs="Courier New" w:eastAsia="Courier New" w:hAnsi="Courier New"/>
                <w:sz w:val="18"/>
                <w:szCs w:val="18"/>
                <w:color w:val="auto"/>
              </w:rPr>
              <w:t>investments:</w:t>
            </w:r>
          </w:p>
        </w:tc>
        <w:tc>
          <w:tcPr>
            <w:tcW w:w="15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37,809,280</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12,013,028</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340,533</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879,537</w:t>
            </w:r>
          </w:p>
        </w:tc>
      </w:tr>
      <w:tr>
        <w:trPr>
          <w:trHeight w:val="202"/>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255,944</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4,995</w:t>
            </w:r>
          </w:p>
        </w:tc>
      </w:tr>
      <w:tr>
        <w:trPr>
          <w:trHeight w:val="203"/>
        </w:trPr>
        <w:tc>
          <w:tcPr>
            <w:tcW w:w="608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From non-controlled, affiliated investments:</w:t>
            </w:r>
          </w:p>
        </w:tc>
        <w:tc>
          <w:tcPr>
            <w:tcW w:w="15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1,405,205</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209,781</w:t>
            </w:r>
          </w:p>
        </w:tc>
      </w:tr>
      <w:tr>
        <w:trPr>
          <w:trHeight w:val="203"/>
        </w:trPr>
        <w:tc>
          <w:tcPr>
            <w:tcW w:w="2680" w:type="dxa"/>
            <w:vAlign w:val="bottom"/>
          </w:tcPr>
          <w:p>
            <w:pPr>
              <w:spacing w:after="0"/>
              <w:rPr>
                <w:sz w:val="17"/>
                <w:szCs w:val="17"/>
                <w:color w:val="auto"/>
              </w:rPr>
            </w:pP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Total investment income</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39,810,962</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13,107,341</w:t>
            </w:r>
          </w:p>
        </w:tc>
      </w:tr>
      <w:tr>
        <w:trPr>
          <w:trHeight w:val="202"/>
        </w:trPr>
        <w:tc>
          <w:tcPr>
            <w:tcW w:w="2680" w:type="dxa"/>
            <w:vAlign w:val="bottom"/>
          </w:tcPr>
          <w:p>
            <w:pPr>
              <w:spacing w:after="0"/>
              <w:rPr>
                <w:sz w:val="17"/>
                <w:szCs w:val="17"/>
                <w:color w:val="auto"/>
              </w:rPr>
            </w:pP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80" w:type="dxa"/>
            <w:vAlign w:val="bottom"/>
          </w:tcPr>
          <w:p>
            <w:pPr>
              <w:spacing w:after="0"/>
              <w:rPr>
                <w:sz w:val="24"/>
                <w:szCs w:val="24"/>
                <w:color w:val="auto"/>
              </w:rPr>
            </w:pPr>
          </w:p>
        </w:tc>
        <w:tc>
          <w:tcPr>
            <w:tcW w:w="3400" w:type="dxa"/>
            <w:vAlign w:val="bottom"/>
          </w:tcPr>
          <w:p>
            <w:pPr>
              <w:jc w:val="center"/>
              <w:ind w:right="1292"/>
              <w:spacing w:after="0"/>
              <w:rPr>
                <w:sz w:val="20"/>
                <w:szCs w:val="20"/>
                <w:color w:val="auto"/>
              </w:rPr>
            </w:pPr>
            <w:r>
              <w:rPr>
                <w:rFonts w:ascii="Courier New" w:cs="Courier New" w:eastAsia="Courier New" w:hAnsi="Courier New"/>
                <w:sz w:val="18"/>
                <w:szCs w:val="18"/>
                <w:color w:val="auto"/>
                <w:w w:val="96"/>
              </w:rPr>
              <w:t>Expenses:</w:t>
            </w:r>
          </w:p>
        </w:tc>
        <w:tc>
          <w:tcPr>
            <w:tcW w:w="1500" w:type="dxa"/>
            <w:vAlign w:val="bottom"/>
          </w:tcPr>
          <w:p>
            <w:pPr>
              <w:spacing w:after="0"/>
              <w:rPr>
                <w:sz w:val="24"/>
                <w:szCs w:val="24"/>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7,136,580</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2,565,085</w:t>
            </w:r>
          </w:p>
        </w:tc>
      </w:tr>
    </w:tbl>
    <w:p>
      <w:pPr>
        <w:sectPr>
          <w:pgSz w:w="11900" w:h="16838" w:orient="portrait"/>
          <w:cols w:equalWidth="0" w:num="1">
            <w:col w:w="9019"/>
          </w:cols>
          <w:pgMar w:left="1440" w:top="136" w:right="1440" w:bottom="0" w:gutter="0" w:footer="0" w:header="0"/>
        </w:sectPr>
      </w:pPr>
    </w:p>
    <w:bookmarkStart w:id="6" w:name="page7"/>
    <w:bookmarkEnd w:id="6"/>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04"/>
        </w:trPr>
        <w:tc>
          <w:tcPr>
            <w:tcW w:w="4820" w:type="dxa"/>
            <w:vAlign w:val="bottom"/>
          </w:tcPr>
          <w:p>
            <w:pPr>
              <w:ind w:left="260"/>
              <w:spacing w:after="0"/>
              <w:rPr>
                <w:sz w:val="20"/>
                <w:szCs w:val="20"/>
                <w:color w:val="auto"/>
              </w:rPr>
            </w:pPr>
            <w:r>
              <w:rPr>
                <w:rFonts w:ascii="Courier New" w:cs="Courier New" w:eastAsia="Courier New" w:hAnsi="Courier New"/>
                <w:sz w:val="18"/>
                <w:szCs w:val="18"/>
                <w:color w:val="auto"/>
              </w:rPr>
              <w:t>Performance-based incentive fee</w:t>
            </w:r>
          </w:p>
        </w:tc>
        <w:tc>
          <w:tcPr>
            <w:tcW w:w="22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3,791,900</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Interest and other credit facility expenses</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6,308,933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1,835,816</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2,301,973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778,587</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2,136,303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1,158,750</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Expenses before base management fee waiver</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21,675,689</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6,338,238</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Base management fee waiver</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(641,273)</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105,880</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Net expenses</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21,254,958</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5,802,845</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18,556,004</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7,304,496</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gridSpan w:val="3"/>
          </w:tcPr>
          <w:p>
            <w:pPr>
              <w:jc w:val="center"/>
              <w:ind w:left="1432"/>
              <w:spacing w:after="0"/>
              <w:rPr>
                <w:sz w:val="20"/>
                <w:szCs w:val="20"/>
                <w:color w:val="auto"/>
              </w:rPr>
            </w:pPr>
            <w:r>
              <w:rPr>
                <w:rFonts w:ascii="Courier New" w:cs="Courier New" w:eastAsia="Courier New" w:hAnsi="Courier New"/>
                <w:sz w:val="18"/>
                <w:szCs w:val="18"/>
                <w:color w:val="auto"/>
                <w:w w:val="97"/>
              </w:rPr>
              <w:t>Realized and unrealized gain (loss) on</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3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360" w:type="dxa"/>
            <w:vAlign w:val="bottom"/>
            <w:gridSpan w:val="3"/>
          </w:tcPr>
          <w:p>
            <w:pPr>
              <w:jc w:val="center"/>
              <w:ind w:left="1432"/>
              <w:spacing w:after="0" w:line="203" w:lineRule="exact"/>
              <w:rPr>
                <w:sz w:val="20"/>
                <w:szCs w:val="20"/>
                <w:color w:val="auto"/>
              </w:rPr>
            </w:pPr>
            <w:r>
              <w:rPr>
                <w:rFonts w:ascii="Courier New" w:cs="Courier New" w:eastAsia="Courier New" w:hAnsi="Courier New"/>
                <w:sz w:val="18"/>
                <w:szCs w:val="18"/>
                <w:color w:val="auto"/>
                <w:w w:val="97"/>
              </w:rPr>
              <w:t>Net realized loss on investments and cash</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(11,154,735)</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(81,769)</w:t>
            </w:r>
          </w:p>
        </w:tc>
      </w:tr>
      <w:tr>
        <w:trPr>
          <w:trHeight w:val="203"/>
        </w:trPr>
        <w:tc>
          <w:tcPr>
            <w:tcW w:w="6360" w:type="dxa"/>
            <w:vAlign w:val="bottom"/>
            <w:gridSpan w:val="3"/>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Net change in unrealized appreciation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on:</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3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(49,052,812)</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(24,166,983)</w:t>
            </w:r>
          </w:p>
        </w:tc>
      </w:tr>
      <w:tr>
        <w:trPr>
          <w:trHeight w:val="203"/>
        </w:trPr>
        <w:tc>
          <w:tcPr>
            <w:tcW w:w="48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2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948,604</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245,005</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(48,104,208)</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(23,921,978)</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gridSpan w:val="3"/>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Net realized and unrealized loss from</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(59,258,943)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(24,003,747)</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gridSpan w:val="3"/>
          </w:tcPr>
          <w:p>
            <w:pPr>
              <w:jc w:val="center"/>
              <w:ind w:left="1432"/>
              <w:spacing w:after="0" w:line="203" w:lineRule="exact"/>
              <w:rPr>
                <w:sz w:val="20"/>
                <w:szCs w:val="20"/>
                <w:color w:val="auto"/>
              </w:rPr>
            </w:pPr>
            <w:r>
              <w:rPr>
                <w:rFonts w:ascii="Courier New" w:cs="Courier New" w:eastAsia="Courier New" w:hAnsi="Courier New"/>
                <w:sz w:val="18"/>
                <w:szCs w:val="18"/>
                <w:color w:val="auto"/>
                <w:w w:val="97"/>
              </w:rPr>
              <w:t>Net decrease in net assets resulting from</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(40,702,939)</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(16,699,251)</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common share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(0.80)</w:t>
            </w:r>
          </w:p>
        </w:tc>
      </w:tr>
      <w:tr>
        <w:trPr>
          <w:trHeight w:val="203"/>
        </w:trPr>
        <w:tc>
          <w:tcPr>
            <w:tcW w:w="482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2020-05-05T15:06:47Z</dcterms:created>
  <dcterms:modified xsi:type="dcterms:W3CDTF">2020-05-05T15:06:47Z</dcterms:modified>
</cp:coreProperties>
</file>