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WASHINGTON, D.C. 20549</w:t>
      </w:r>
    </w:p>
    <w:p>
      <w:pPr>
        <w:spacing w:after="0" w:line="15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340" w:right="1940" w:hanging="3332"/>
        <w:spacing w:after="0" w:line="407" w:lineRule="auto"/>
        <w:tabs>
          <w:tab w:leader="none" w:pos="46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SEPTEMBER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-427355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-97155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49" w:lineRule="exact"/>
        <w:rPr>
          <w:sz w:val="24"/>
          <w:szCs w:val="24"/>
          <w:color w:val="auto"/>
        </w:rPr>
      </w:pPr>
    </w:p>
    <w:p>
      <w:pPr>
        <w:ind w:left="326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4218305</wp:posOffset>
            </wp:positionH>
            <wp:positionV relativeFrom="paragraph">
              <wp:posOffset>-7620</wp:posOffset>
            </wp:positionV>
            <wp:extent cx="848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814-00736</w:t>
      </w:r>
    </w:p>
    <w:p>
      <w:pPr>
        <w:spacing w:after="0" w:line="166"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PENNANTPARK INVESTMENT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4"/>
          <w:szCs w:val="24"/>
          <w:color w:val="auto"/>
        </w:rPr>
      </w:pPr>
    </w:p>
    <w:p>
      <w:pPr>
        <w:ind w:left="2340"/>
        <w:spacing w:after="0"/>
        <w:tabs>
          <w:tab w:leader="none" w:pos="8120" w:val="left"/>
        </w:tabs>
        <w:rPr>
          <w:sz w:val="20"/>
          <w:szCs w:val="20"/>
          <w:color w:val="auto"/>
        </w:rPr>
      </w:pPr>
      <w:r>
        <w:rPr>
          <w:rFonts w:ascii="Arial" w:cs="Arial" w:eastAsia="Arial" w:hAnsi="Arial"/>
          <w:sz w:val="14"/>
          <w:szCs w:val="14"/>
          <w:b w:val="1"/>
          <w:bCs w:val="1"/>
          <w:color w:val="auto"/>
        </w:rPr>
        <w:t>MARYLAND</w:t>
      </w:r>
      <w:r>
        <w:rPr>
          <w:sz w:val="20"/>
          <w:szCs w:val="20"/>
          <w:color w:val="auto"/>
        </w:rPr>
        <w:tab/>
      </w:r>
      <w:r>
        <w:rPr>
          <w:rFonts w:ascii="Arial" w:cs="Arial" w:eastAsia="Arial" w:hAnsi="Arial"/>
          <w:sz w:val="14"/>
          <w:szCs w:val="14"/>
          <w:b w:val="1"/>
          <w:bCs w:val="1"/>
          <w:color w:val="auto"/>
        </w:rPr>
        <w:t>20-8250744</w:t>
      </w:r>
    </w:p>
    <w:p>
      <w:pPr>
        <w:spacing w:after="0" w:line="28" w:lineRule="exact"/>
        <w:rPr>
          <w:sz w:val="24"/>
          <w:szCs w:val="24"/>
          <w:color w:val="auto"/>
        </w:rPr>
      </w:pPr>
    </w:p>
    <w:p>
      <w:pPr>
        <w:ind w:left="900"/>
        <w:spacing w:after="0"/>
        <w:tabs>
          <w:tab w:leader="none" w:pos="7380" w:val="left"/>
        </w:tabs>
        <w:rPr>
          <w:sz w:val="20"/>
          <w:szCs w:val="20"/>
          <w:color w:val="auto"/>
        </w:rPr>
      </w:pPr>
      <w:r>
        <w:rPr>
          <w:rFonts w:ascii="Arial" w:cs="Arial" w:eastAsia="Arial" w:hAnsi="Arial"/>
          <w:sz w:val="14"/>
          <w:szCs w:val="14"/>
          <w:b w:val="1"/>
          <w:bCs w:val="1"/>
          <w:color w:val="auto"/>
        </w:rPr>
        <w:t>(State or other jurisdiction of incorporation or organization)</w:t>
      </w:r>
      <w:r>
        <w:rPr>
          <w:sz w:val="20"/>
          <w:szCs w:val="20"/>
          <w:color w:val="auto"/>
        </w:rPr>
        <w:tab/>
      </w:r>
      <w:r>
        <w:rPr>
          <w:rFonts w:ascii="Arial" w:cs="Arial" w:eastAsia="Arial" w:hAnsi="Arial"/>
          <w:sz w:val="13"/>
          <w:szCs w:val="13"/>
          <w:b w:val="1"/>
          <w:bCs w:val="1"/>
          <w:color w:val="auto"/>
        </w:rPr>
        <w:t>(I.R.S. Employer Identification No.)</w:t>
      </w:r>
    </w:p>
    <w:p>
      <w:pPr>
        <w:sectPr>
          <w:pgSz w:w="11900" w:h="16838" w:orient="portrait"/>
          <w:cols w:equalWidth="0" w:num="1">
            <w:col w:w="11200"/>
          </w:cols>
          <w:pgMar w:left="320" w:top="414" w:right="379" w:bottom="1440" w:gutter="0" w:footer="0" w:header="0"/>
        </w:sectPr>
      </w:pPr>
    </w:p>
    <w:p>
      <w:pPr>
        <w:spacing w:after="0" w:line="217" w:lineRule="exact"/>
        <w:rPr>
          <w:sz w:val="24"/>
          <w:szCs w:val="24"/>
          <w:color w:val="auto"/>
        </w:rPr>
      </w:pPr>
    </w:p>
    <w:p>
      <w:pPr>
        <w:jc w:val="center"/>
        <w:ind w:right="2140"/>
        <w:spacing w:after="0"/>
        <w:rPr>
          <w:sz w:val="20"/>
          <w:szCs w:val="20"/>
          <w:color w:val="auto"/>
        </w:rPr>
      </w:pPr>
      <w:r>
        <w:rPr>
          <w:rFonts w:ascii="Arial" w:cs="Arial" w:eastAsia="Arial" w:hAnsi="Arial"/>
          <w:sz w:val="14"/>
          <w:szCs w:val="14"/>
          <w:b w:val="1"/>
          <w:bCs w:val="1"/>
          <w:color w:val="auto"/>
        </w:rPr>
        <w:t>590 Madison Avenue, 15</w:t>
      </w:r>
      <w:r>
        <w:rPr>
          <w:rFonts w:ascii="Arial" w:cs="Arial" w:eastAsia="Arial" w:hAnsi="Arial"/>
          <w:sz w:val="12"/>
          <w:szCs w:val="12"/>
          <w:b w:val="1"/>
          <w:bCs w:val="1"/>
          <w:color w:val="auto"/>
        </w:rPr>
        <w:t>th</w:t>
      </w:r>
      <w:r>
        <w:rPr>
          <w:rFonts w:ascii="Arial" w:cs="Arial" w:eastAsia="Arial" w:hAnsi="Arial"/>
          <w:sz w:val="14"/>
          <w:szCs w:val="14"/>
          <w:b w:val="1"/>
          <w:bCs w:val="1"/>
          <w:color w:val="auto"/>
        </w:rPr>
        <w:t xml:space="preserve"> Floor</w:t>
      </w:r>
    </w:p>
    <w:p>
      <w:pPr>
        <w:spacing w:after="0" w:line="4" w:lineRule="exact"/>
        <w:rPr>
          <w:sz w:val="24"/>
          <w:szCs w:val="24"/>
          <w:color w:val="auto"/>
        </w:rPr>
      </w:pPr>
    </w:p>
    <w:p>
      <w:pPr>
        <w:jc w:val="center"/>
        <w:ind w:right="2140"/>
        <w:spacing w:after="0"/>
        <w:rPr>
          <w:sz w:val="20"/>
          <w:szCs w:val="20"/>
          <w:color w:val="auto"/>
        </w:rPr>
      </w:pPr>
      <w:r>
        <w:rPr>
          <w:rFonts w:ascii="Arial" w:cs="Arial" w:eastAsia="Arial" w:hAnsi="Arial"/>
          <w:sz w:val="14"/>
          <w:szCs w:val="14"/>
          <w:b w:val="1"/>
          <w:bCs w:val="1"/>
          <w:color w:val="auto"/>
        </w:rPr>
        <w:t>New York, N.Y.</w:t>
      </w:r>
    </w:p>
    <w:p>
      <w:pPr>
        <w:spacing w:after="0" w:line="66" w:lineRule="exact"/>
        <w:rPr>
          <w:sz w:val="24"/>
          <w:szCs w:val="24"/>
          <w:color w:val="auto"/>
        </w:rPr>
      </w:pPr>
    </w:p>
    <w:p>
      <w:pPr>
        <w:ind w:left="1580"/>
        <w:spacing w:after="0"/>
        <w:rPr>
          <w:sz w:val="20"/>
          <w:szCs w:val="20"/>
          <w:color w:val="auto"/>
        </w:rPr>
      </w:pPr>
      <w:r>
        <w:rPr>
          <w:rFonts w:ascii="Arial" w:cs="Arial" w:eastAsia="Arial" w:hAnsi="Arial"/>
          <w:sz w:val="14"/>
          <w:szCs w:val="14"/>
          <w:b w:val="1"/>
          <w:bCs w:val="1"/>
          <w:color w:val="auto"/>
        </w:rPr>
        <w:t>(Address of principal executive offices)</w:t>
      </w:r>
    </w:p>
    <w:p>
      <w:pPr>
        <w:jc w:val="right"/>
        <w:spacing w:after="0" w:line="226" w:lineRule="auto"/>
        <w:rPr>
          <w:sz w:val="20"/>
          <w:szCs w:val="20"/>
          <w:color w:val="auto"/>
        </w:rPr>
      </w:pPr>
      <w:r>
        <w:rPr>
          <w:rFonts w:ascii="Arial" w:cs="Arial" w:eastAsia="Arial" w:hAnsi="Arial"/>
          <w:sz w:val="14"/>
          <w:szCs w:val="14"/>
          <w:b w:val="1"/>
          <w:bCs w:val="1"/>
          <w:color w:val="auto"/>
        </w:rPr>
        <w:t>Registrant’s telephone number, including area code (212)-905-1000</w:t>
      </w:r>
    </w:p>
    <w:p>
      <w:pPr>
        <w:ind w:left="3860"/>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jc w:val="center"/>
        <w:ind w:right="2380"/>
        <w:spacing w:after="0"/>
        <w:rPr>
          <w:sz w:val="20"/>
          <w:szCs w:val="20"/>
          <w:color w:val="auto"/>
        </w:rPr>
      </w:pPr>
      <w:r>
        <w:rPr>
          <w:rFonts w:ascii="Arial" w:cs="Arial" w:eastAsia="Arial" w:hAnsi="Arial"/>
          <w:sz w:val="14"/>
          <w:szCs w:val="14"/>
          <w:b w:val="1"/>
          <w:bCs w:val="1"/>
          <w:color w:val="auto"/>
        </w:rPr>
        <w:t>10022</w:t>
      </w:r>
    </w:p>
    <w:p>
      <w:pPr>
        <w:spacing w:after="0" w:line="4" w:lineRule="exact"/>
        <w:rPr>
          <w:sz w:val="24"/>
          <w:szCs w:val="24"/>
          <w:color w:val="auto"/>
        </w:rPr>
      </w:pPr>
    </w:p>
    <w:p>
      <w:pPr>
        <w:jc w:val="center"/>
        <w:ind w:right="2380"/>
        <w:spacing w:after="0"/>
        <w:rPr>
          <w:sz w:val="20"/>
          <w:szCs w:val="20"/>
          <w:color w:val="auto"/>
        </w:rPr>
      </w:pPr>
      <w:r>
        <w:rPr>
          <w:rFonts w:ascii="Arial" w:cs="Arial" w:eastAsia="Arial" w:hAnsi="Arial"/>
          <w:sz w:val="13"/>
          <w:szCs w:val="13"/>
          <w:b w:val="1"/>
          <w:bCs w:val="1"/>
          <w:color w:val="auto"/>
        </w:rPr>
        <w:t>(Zip Code)</w:t>
      </w:r>
    </w:p>
    <w:p>
      <w:pPr>
        <w:spacing w:after="0" w:line="360" w:lineRule="exact"/>
        <w:rPr>
          <w:sz w:val="24"/>
          <w:szCs w:val="24"/>
          <w:color w:val="auto"/>
        </w:rPr>
      </w:pPr>
    </w:p>
    <w:p>
      <w:pPr>
        <w:sectPr>
          <w:pgSz w:w="11900" w:h="16838" w:orient="portrait"/>
          <w:cols w:equalWidth="0" w:num="2">
            <w:col w:w="7680" w:space="480"/>
            <w:col w:w="3040"/>
          </w:cols>
          <w:pgMar w:left="320" w:top="414" w:right="379" w:bottom="1440" w:gutter="0" w:footer="0" w:header="0"/>
          <w:type w:val="continuous"/>
        </w:sectPr>
      </w:pPr>
    </w:p>
    <w:p>
      <w:pPr>
        <w:ind w:left="2180"/>
        <w:spacing w:after="0"/>
        <w:tabs>
          <w:tab w:leader="none" w:pos="706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2"/>
          <w:szCs w:val="12"/>
          <w:b w:val="1"/>
          <w:bCs w:val="1"/>
          <w:color w:val="auto"/>
        </w:rPr>
        <w:t>Name of Each Exchange on Which Registered</w:t>
      </w:r>
    </w:p>
    <w:p>
      <w:pPr>
        <w:spacing w:after="0" w:line="4" w:lineRule="exact"/>
        <w:rPr>
          <w:sz w:val="24"/>
          <w:szCs w:val="24"/>
          <w:color w:val="auto"/>
        </w:rPr>
      </w:pPr>
    </w:p>
    <w:p>
      <w:pPr>
        <w:ind w:left="1520"/>
        <w:spacing w:after="0"/>
        <w:tabs>
          <w:tab w:leader="none" w:pos="7480" w:val="left"/>
        </w:tabs>
        <w:rPr>
          <w:sz w:val="20"/>
          <w:szCs w:val="20"/>
          <w:color w:val="auto"/>
        </w:rPr>
      </w:pPr>
      <w:r>
        <w:rPr>
          <w:rFonts w:ascii="Arial" w:cs="Arial" w:eastAsia="Arial" w:hAnsi="Arial"/>
          <w:sz w:val="14"/>
          <w:szCs w:val="14"/>
          <w:color w:val="auto"/>
        </w:rPr>
        <w:t>Common Stock, par value $0.001 per share</w:t>
      </w:r>
      <w:r>
        <w:rPr>
          <w:sz w:val="20"/>
          <w:szCs w:val="20"/>
          <w:color w:val="auto"/>
        </w:rPr>
        <w:tab/>
      </w:r>
      <w:r>
        <w:rPr>
          <w:rFonts w:ascii="Arial" w:cs="Arial" w:eastAsia="Arial" w:hAnsi="Arial"/>
          <w:sz w:val="13"/>
          <w:szCs w:val="13"/>
          <w:color w:val="auto"/>
        </w:rPr>
        <w:t>The NASDAQ Stock Market LLC</w:t>
      </w:r>
    </w:p>
    <w:p>
      <w:pPr>
        <w:spacing w:after="0" w:line="53" w:lineRule="exact"/>
        <w:rPr>
          <w:sz w:val="24"/>
          <w:szCs w:val="24"/>
          <w:color w:val="auto"/>
        </w:rPr>
      </w:pPr>
    </w:p>
    <w:p>
      <w:pPr>
        <w:ind w:left="370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45" w:lineRule="exact"/>
        <w:rPr>
          <w:sz w:val="24"/>
          <w:szCs w:val="24"/>
          <w:color w:val="auto"/>
        </w:rPr>
      </w:pPr>
    </w:p>
    <w:p>
      <w:pPr>
        <w:ind w:left="440"/>
        <w:spacing w:after="0" w:line="161" w:lineRule="exact"/>
        <w:tabs>
          <w:tab w:leader="none" w:pos="7320" w:val="left"/>
          <w:tab w:leader="none" w:pos="7840" w:val="left"/>
        </w:tabs>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96" w:lineRule="exact"/>
        <w:rPr>
          <w:sz w:val="24"/>
          <w:szCs w:val="24"/>
          <w:color w:val="auto"/>
        </w:rPr>
      </w:pPr>
    </w:p>
    <w:p>
      <w:pPr>
        <w:ind w:left="440"/>
        <w:spacing w:after="0" w:line="161" w:lineRule="exact"/>
        <w:tabs>
          <w:tab w:leader="none" w:pos="7440" w:val="left"/>
          <w:tab w:leader="none" w:pos="798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96" w:lineRule="exact"/>
        <w:rPr>
          <w:sz w:val="24"/>
          <w:szCs w:val="24"/>
          <w:color w:val="auto"/>
        </w:rPr>
      </w:pPr>
    </w:p>
    <w:p>
      <w:pPr>
        <w:ind w:right="140" w:firstLine="43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31" w:lineRule="exact"/>
        <w:rPr>
          <w:sz w:val="24"/>
          <w:szCs w:val="24"/>
          <w:color w:val="auto"/>
        </w:rPr>
      </w:pPr>
    </w:p>
    <w:p>
      <w:pPr>
        <w:ind w:right="120" w:firstLine="438"/>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ind w:firstLine="438"/>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32" w:lineRule="exact"/>
        <w:rPr>
          <w:sz w:val="24"/>
          <w:szCs w:val="24"/>
          <w:color w:val="auto"/>
        </w:rPr>
      </w:pPr>
    </w:p>
    <w:p>
      <w:pPr>
        <w:ind w:right="60" w:firstLine="43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2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80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22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80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22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12" w:lineRule="exact"/>
        <w:rPr>
          <w:sz w:val="24"/>
          <w:szCs w:val="24"/>
          <w:color w:val="auto"/>
        </w:rPr>
      </w:pPr>
    </w:p>
    <w:p>
      <w:pPr>
        <w:jc w:val="both"/>
        <w:ind w:right="100" w:firstLine="43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440"/>
        <w:spacing w:after="0" w:line="161" w:lineRule="exact"/>
        <w:tabs>
          <w:tab w:leader="none" w:pos="7100" w:val="left"/>
          <w:tab w:leader="none" w:pos="76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r>
        <w:rPr>
          <w:rFonts w:ascii="Arial" w:cs="Arial" w:eastAsia="Arial" w:hAnsi="Arial"/>
          <w:sz w:val="13"/>
          <w:szCs w:val="13"/>
          <w:color w:val="auto"/>
        </w:rPr>
        <w:t>.</w:t>
      </w:r>
    </w:p>
    <w:p>
      <w:pPr>
        <w:spacing w:after="0" w:line="96" w:lineRule="exact"/>
        <w:rPr>
          <w:sz w:val="24"/>
          <w:szCs w:val="24"/>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The aggregate market value of common stock held by non-affiliates of the Registrant on March 31, 2018 based on the closing price on that date of $6.68 on the NASDAQ Global Select Market was approximately $464 million. For the purposes of calculating the aggregate market value of common stock held by non-affiliates, all directors and executive officers of the Registrant have been treated as affiliates. There were 69,053,958 shares of the Registrant’s common stock outstanding as of November 15, 2018.</w:t>
      </w:r>
    </w:p>
    <w:p>
      <w:pPr>
        <w:spacing w:after="0" w:line="34" w:lineRule="exact"/>
        <w:rPr>
          <w:sz w:val="24"/>
          <w:szCs w:val="24"/>
          <w:color w:val="auto"/>
        </w:rPr>
      </w:pPr>
    </w:p>
    <w:p>
      <w:pPr>
        <w:ind w:right="120" w:firstLine="438"/>
        <w:spacing w:after="0" w:line="253" w:lineRule="auto"/>
        <w:rPr>
          <w:sz w:val="20"/>
          <w:szCs w:val="20"/>
          <w:color w:val="auto"/>
        </w:rPr>
      </w:pPr>
      <w:r>
        <w:rPr>
          <w:rFonts w:ascii="Arial" w:cs="Arial" w:eastAsia="Arial" w:hAnsi="Arial"/>
          <w:sz w:val="14"/>
          <w:szCs w:val="14"/>
          <w:color w:val="auto"/>
        </w:rPr>
        <w:t>Documents Incorporated by Reference: Portions of the Registrant’s Proxy Statement relating to the Registrant’s 2019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8520" w:type="dxa"/>
            <w:vAlign w:val="bottom"/>
          </w:tcPr>
          <w:p>
            <w:pPr>
              <w:jc w:val="center"/>
              <w:ind w:left="1108"/>
              <w:spacing w:after="0"/>
              <w:rPr>
                <w:sz w:val="20"/>
                <w:szCs w:val="20"/>
                <w:color w:val="auto"/>
              </w:rPr>
            </w:pPr>
            <w:r>
              <w:rPr>
                <w:rFonts w:ascii="Arial" w:cs="Arial" w:eastAsia="Arial" w:hAnsi="Arial"/>
                <w:sz w:val="14"/>
                <w:szCs w:val="14"/>
                <w:b w:val="1"/>
                <w:bCs w:val="1"/>
                <w:color w:val="auto"/>
              </w:rPr>
              <w:t>PENNANTPARK INVESTMENT CORPORATION</w:t>
            </w:r>
          </w:p>
        </w:tc>
        <w:tc>
          <w:tcPr>
            <w:tcW w:w="1960" w:type="dxa"/>
            <w:vAlign w:val="bottom"/>
          </w:tcPr>
          <w:p>
            <w:pPr>
              <w:spacing w:after="0"/>
              <w:rPr>
                <w:sz w:val="14"/>
                <w:szCs w:val="14"/>
                <w:color w:val="auto"/>
              </w:rPr>
            </w:pPr>
          </w:p>
        </w:tc>
      </w:tr>
      <w:tr>
        <w:trPr>
          <w:trHeight w:val="149"/>
        </w:trPr>
        <w:tc>
          <w:tcPr>
            <w:tcW w:w="780" w:type="dxa"/>
            <w:vAlign w:val="bottom"/>
          </w:tcPr>
          <w:p>
            <w:pPr>
              <w:spacing w:after="0"/>
              <w:rPr>
                <w:sz w:val="12"/>
                <w:szCs w:val="12"/>
                <w:color w:val="auto"/>
              </w:rPr>
            </w:pPr>
          </w:p>
        </w:tc>
        <w:tc>
          <w:tcPr>
            <w:tcW w:w="8520" w:type="dxa"/>
            <w:vAlign w:val="bottom"/>
          </w:tcPr>
          <w:p>
            <w:pPr>
              <w:jc w:val="center"/>
              <w:ind w:left="1108"/>
              <w:spacing w:after="0" w:line="149" w:lineRule="exact"/>
              <w:rPr>
                <w:sz w:val="20"/>
                <w:szCs w:val="20"/>
                <w:color w:val="auto"/>
              </w:rPr>
            </w:pPr>
            <w:r>
              <w:rPr>
                <w:rFonts w:ascii="Arial" w:cs="Arial" w:eastAsia="Arial" w:hAnsi="Arial"/>
                <w:sz w:val="14"/>
                <w:szCs w:val="14"/>
                <w:b w:val="1"/>
                <w:bCs w:val="1"/>
                <w:color w:val="auto"/>
              </w:rPr>
              <w:t>FORM 10-K</w:t>
            </w:r>
          </w:p>
        </w:tc>
        <w:tc>
          <w:tcPr>
            <w:tcW w:w="1960" w:type="dxa"/>
            <w:vAlign w:val="bottom"/>
          </w:tcPr>
          <w:p>
            <w:pPr>
              <w:spacing w:after="0"/>
              <w:rPr>
                <w:sz w:val="12"/>
                <w:szCs w:val="12"/>
                <w:color w:val="auto"/>
              </w:rPr>
            </w:pPr>
          </w:p>
        </w:tc>
      </w:tr>
      <w:tr>
        <w:trPr>
          <w:trHeight w:val="148"/>
        </w:trPr>
        <w:tc>
          <w:tcPr>
            <w:tcW w:w="780" w:type="dxa"/>
            <w:vAlign w:val="bottom"/>
          </w:tcPr>
          <w:p>
            <w:pPr>
              <w:spacing w:after="0"/>
              <w:rPr>
                <w:sz w:val="12"/>
                <w:szCs w:val="12"/>
                <w:color w:val="auto"/>
              </w:rPr>
            </w:pPr>
          </w:p>
        </w:tc>
        <w:tc>
          <w:tcPr>
            <w:tcW w:w="8520" w:type="dxa"/>
            <w:vAlign w:val="bottom"/>
          </w:tcPr>
          <w:p>
            <w:pPr>
              <w:jc w:val="center"/>
              <w:ind w:left="1108"/>
              <w:spacing w:after="0" w:line="149" w:lineRule="exact"/>
              <w:rPr>
                <w:sz w:val="20"/>
                <w:szCs w:val="20"/>
                <w:color w:val="auto"/>
              </w:rPr>
            </w:pPr>
            <w:r>
              <w:rPr>
                <w:rFonts w:ascii="Arial" w:cs="Arial" w:eastAsia="Arial" w:hAnsi="Arial"/>
                <w:sz w:val="14"/>
                <w:szCs w:val="14"/>
                <w:b w:val="1"/>
                <w:bCs w:val="1"/>
                <w:color w:val="auto"/>
              </w:rPr>
              <w:t>FOR THE FISCAL YEAR ENDED SEPTEMBER 30, 2018</w:t>
            </w:r>
          </w:p>
        </w:tc>
        <w:tc>
          <w:tcPr>
            <w:tcW w:w="1960" w:type="dxa"/>
            <w:vAlign w:val="bottom"/>
          </w:tcPr>
          <w:p>
            <w:pPr>
              <w:spacing w:after="0"/>
              <w:rPr>
                <w:sz w:val="12"/>
                <w:szCs w:val="12"/>
                <w:color w:val="auto"/>
              </w:rPr>
            </w:pPr>
          </w:p>
        </w:tc>
      </w:tr>
      <w:tr>
        <w:trPr>
          <w:trHeight w:val="186"/>
        </w:trPr>
        <w:tc>
          <w:tcPr>
            <w:tcW w:w="780" w:type="dxa"/>
            <w:vAlign w:val="bottom"/>
          </w:tcPr>
          <w:p>
            <w:pPr>
              <w:spacing w:after="0"/>
              <w:rPr>
                <w:sz w:val="16"/>
                <w:szCs w:val="16"/>
                <w:color w:val="auto"/>
              </w:rPr>
            </w:pPr>
          </w:p>
        </w:tc>
        <w:tc>
          <w:tcPr>
            <w:tcW w:w="8520" w:type="dxa"/>
            <w:vAlign w:val="bottom"/>
          </w:tcPr>
          <w:p>
            <w:pPr>
              <w:jc w:val="center"/>
              <w:ind w:left="1108"/>
              <w:spacing w:after="0"/>
              <w:rPr>
                <w:sz w:val="20"/>
                <w:szCs w:val="20"/>
                <w:color w:val="auto"/>
              </w:rPr>
            </w:pPr>
            <w:r>
              <w:rPr>
                <w:rFonts w:ascii="Arial" w:cs="Arial" w:eastAsia="Arial" w:hAnsi="Arial"/>
                <w:sz w:val="14"/>
                <w:szCs w:val="14"/>
                <w:b w:val="1"/>
                <w:bCs w:val="1"/>
                <w:color w:val="auto"/>
              </w:rPr>
              <w:t>TABLE OF CONTENTS</w:t>
            </w:r>
          </w:p>
        </w:tc>
        <w:tc>
          <w:tcPr>
            <w:tcW w:w="1960" w:type="dxa"/>
            <w:vAlign w:val="bottom"/>
          </w:tcPr>
          <w:p>
            <w:pPr>
              <w:spacing w:after="0"/>
              <w:rPr>
                <w:sz w:val="16"/>
                <w:szCs w:val="16"/>
                <w:color w:val="auto"/>
              </w:rPr>
            </w:pPr>
          </w:p>
        </w:tc>
      </w:tr>
      <w:tr>
        <w:trPr>
          <w:trHeight w:val="445"/>
        </w:trPr>
        <w:tc>
          <w:tcPr>
            <w:tcW w:w="780" w:type="dxa"/>
            <w:vAlign w:val="bottom"/>
          </w:tcPr>
          <w:p>
            <w:pPr>
              <w:spacing w:after="0"/>
              <w:rPr>
                <w:sz w:val="24"/>
                <w:szCs w:val="24"/>
                <w:color w:val="auto"/>
              </w:rPr>
            </w:pPr>
          </w:p>
        </w:tc>
        <w:tc>
          <w:tcPr>
            <w:tcW w:w="8520" w:type="dxa"/>
            <w:vAlign w:val="bottom"/>
          </w:tcPr>
          <w:p>
            <w:pPr>
              <w:jc w:val="center"/>
              <w:ind w:left="1108"/>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w:t>
              </w:r>
            </w:hyperlink>
          </w:p>
        </w:tc>
        <w:tc>
          <w:tcPr>
            <w:tcW w:w="196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8520" w:type="dxa"/>
            <w:vAlign w:val="bottom"/>
          </w:tcPr>
          <w:p>
            <w:pPr>
              <w:ind w:left="260"/>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Business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1A.</w:t>
            </w:r>
          </w:p>
        </w:tc>
        <w:tc>
          <w:tcPr>
            <w:tcW w:w="8520" w:type="dxa"/>
            <w:vAlign w:val="bottom"/>
          </w:tcPr>
          <w:p>
            <w:pPr>
              <w:ind w:left="260"/>
              <w:spacing w:after="0"/>
              <w:rPr>
                <w:rFonts w:ascii="Arial" w:cs="Arial" w:eastAsia="Arial" w:hAnsi="Arial"/>
                <w:sz w:val="14"/>
                <w:szCs w:val="14"/>
                <w:u w:val="single" w:color="auto"/>
                <w:color w:val="0000EE"/>
              </w:rPr>
            </w:pPr>
            <w:hyperlink w:anchor="page16">
              <w:r>
                <w:rPr>
                  <w:rFonts w:ascii="Arial" w:cs="Arial" w:eastAsia="Arial" w:hAnsi="Arial"/>
                  <w:sz w:val="14"/>
                  <w:szCs w:val="14"/>
                  <w:u w:val="single" w:color="auto"/>
                  <w:color w:val="0000EE"/>
                </w:rPr>
                <w:t>Risk Factors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1B.</w:t>
            </w:r>
          </w:p>
        </w:tc>
        <w:tc>
          <w:tcPr>
            <w:tcW w:w="8520" w:type="dxa"/>
            <w:vAlign w:val="bottom"/>
          </w:tcPr>
          <w:p>
            <w:pPr>
              <w:ind w:left="260"/>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Unresolved Staff Comments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2.</w:t>
            </w:r>
          </w:p>
        </w:tc>
        <w:tc>
          <w:tcPr>
            <w:tcW w:w="8520" w:type="dxa"/>
            <w:vAlign w:val="bottom"/>
          </w:tcPr>
          <w:p>
            <w:pPr>
              <w:ind w:left="260"/>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Properties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3.</w:t>
            </w:r>
          </w:p>
        </w:tc>
        <w:tc>
          <w:tcPr>
            <w:tcW w:w="8520" w:type="dxa"/>
            <w:vAlign w:val="bottom"/>
          </w:tcPr>
          <w:p>
            <w:pPr>
              <w:ind w:left="260"/>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Legal Proceedings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4.</w:t>
            </w:r>
          </w:p>
        </w:tc>
        <w:tc>
          <w:tcPr>
            <w:tcW w:w="8520" w:type="dxa"/>
            <w:vAlign w:val="bottom"/>
          </w:tcPr>
          <w:p>
            <w:pPr>
              <w:ind w:left="260"/>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Mine Safety Disclosures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297"/>
        </w:trPr>
        <w:tc>
          <w:tcPr>
            <w:tcW w:w="780" w:type="dxa"/>
            <w:vAlign w:val="bottom"/>
          </w:tcPr>
          <w:p>
            <w:pPr>
              <w:spacing w:after="0"/>
              <w:rPr>
                <w:sz w:val="24"/>
                <w:szCs w:val="24"/>
                <w:color w:val="auto"/>
              </w:rPr>
            </w:pPr>
          </w:p>
        </w:tc>
        <w:tc>
          <w:tcPr>
            <w:tcW w:w="8520" w:type="dxa"/>
            <w:vAlign w:val="bottom"/>
          </w:tcPr>
          <w:p>
            <w:pPr>
              <w:jc w:val="center"/>
              <w:ind w:left="1088"/>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PART II</w:t>
              </w:r>
            </w:hyperlink>
          </w:p>
        </w:tc>
        <w:tc>
          <w:tcPr>
            <w:tcW w:w="196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5.</w:t>
            </w:r>
          </w:p>
        </w:tc>
        <w:tc>
          <w:tcPr>
            <w:tcW w:w="8520" w:type="dxa"/>
            <w:vAlign w:val="bottom"/>
          </w:tcPr>
          <w:p>
            <w:pPr>
              <w:ind w:left="260"/>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Market For Registrant’s Common Equity, Related Stockholder Matters and Issuer Purchases of Equity Securities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6.</w:t>
            </w:r>
          </w:p>
        </w:tc>
        <w:tc>
          <w:tcPr>
            <w:tcW w:w="8520" w:type="dxa"/>
            <w:vAlign w:val="bottom"/>
          </w:tcPr>
          <w:p>
            <w:pPr>
              <w:ind w:left="260"/>
              <w:spacing w:after="0"/>
              <w:rPr>
                <w:rFonts w:ascii="Arial" w:cs="Arial" w:eastAsia="Arial" w:hAnsi="Arial"/>
                <w:sz w:val="14"/>
                <w:szCs w:val="14"/>
                <w:u w:val="single" w:color="auto"/>
                <w:color w:val="0000EE"/>
              </w:rPr>
            </w:pPr>
            <w:hyperlink w:anchor="page36">
              <w:r>
                <w:rPr>
                  <w:rFonts w:ascii="Arial" w:cs="Arial" w:eastAsia="Arial" w:hAnsi="Arial"/>
                  <w:sz w:val="14"/>
                  <w:szCs w:val="14"/>
                  <w:u w:val="single" w:color="auto"/>
                  <w:color w:val="0000EE"/>
                </w:rPr>
                <w:t>Selected Financial Data</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34</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7.</w:t>
            </w:r>
          </w:p>
        </w:tc>
        <w:tc>
          <w:tcPr>
            <w:tcW w:w="8520" w:type="dxa"/>
            <w:vAlign w:val="bottom"/>
          </w:tcPr>
          <w:p>
            <w:pPr>
              <w:ind w:left="260"/>
              <w:spacing w:after="0"/>
              <w:rPr>
                <w:rFonts w:ascii="Arial" w:cs="Arial" w:eastAsia="Arial" w:hAnsi="Arial"/>
                <w:sz w:val="14"/>
                <w:szCs w:val="14"/>
                <w:u w:val="single" w:color="auto"/>
                <w:color w:val="0000EE"/>
              </w:rPr>
            </w:pPr>
            <w:hyperlink w:anchor="page37">
              <w:r>
                <w:rPr>
                  <w:rFonts w:ascii="Arial" w:cs="Arial" w:eastAsia="Arial" w:hAnsi="Arial"/>
                  <w:sz w:val="14"/>
                  <w:szCs w:val="14"/>
                  <w:u w:val="single" w:color="auto"/>
                  <w:color w:val="0000EE"/>
                </w:rPr>
                <w:t>Management’s Discussion and Analysis of Financial Condition and Results of Operations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7A.</w:t>
            </w:r>
          </w:p>
        </w:tc>
        <w:tc>
          <w:tcPr>
            <w:tcW w:w="8520" w:type="dxa"/>
            <w:vAlign w:val="bottom"/>
          </w:tcPr>
          <w:p>
            <w:pPr>
              <w:ind w:left="260"/>
              <w:spacing w:after="0"/>
              <w:rPr>
                <w:rFonts w:ascii="Arial" w:cs="Arial" w:eastAsia="Arial" w:hAnsi="Arial"/>
                <w:sz w:val="14"/>
                <w:szCs w:val="14"/>
                <w:u w:val="single" w:color="auto"/>
                <w:color w:val="0000EE"/>
              </w:rPr>
            </w:pPr>
            <w:hyperlink w:anchor="page45">
              <w:r>
                <w:rPr>
                  <w:rFonts w:ascii="Arial" w:cs="Arial" w:eastAsia="Arial" w:hAnsi="Arial"/>
                  <w:sz w:val="14"/>
                  <w:szCs w:val="14"/>
                  <w:u w:val="single" w:color="auto"/>
                  <w:color w:val="0000EE"/>
                </w:rPr>
                <w:t>Quantitative and Qualitative Disclosures About Market Risk</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8520" w:type="dxa"/>
            <w:vAlign w:val="bottom"/>
          </w:tcPr>
          <w:p>
            <w:pPr>
              <w:ind w:left="260"/>
              <w:spacing w:after="0"/>
              <w:rPr>
                <w:rFonts w:ascii="Arial" w:cs="Arial" w:eastAsia="Arial" w:hAnsi="Arial"/>
                <w:sz w:val="14"/>
                <w:szCs w:val="14"/>
                <w:u w:val="single" w:color="auto"/>
                <w:color w:val="0000EE"/>
              </w:rPr>
            </w:pPr>
            <w:hyperlink w:anchor="page46">
              <w:r>
                <w:rPr>
                  <w:rFonts w:ascii="Arial" w:cs="Arial" w:eastAsia="Arial" w:hAnsi="Arial"/>
                  <w:sz w:val="14"/>
                  <w:szCs w:val="14"/>
                  <w:u w:val="single" w:color="auto"/>
                  <w:color w:val="0000EE"/>
                </w:rPr>
                <w:t>Consolidated Financial Statements and Supplementary Data</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44</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9.</w:t>
            </w:r>
          </w:p>
        </w:tc>
        <w:tc>
          <w:tcPr>
            <w:tcW w:w="8520" w:type="dxa"/>
            <w:vAlign w:val="bottom"/>
          </w:tcPr>
          <w:p>
            <w:pPr>
              <w:ind w:left="260"/>
              <w:spacing w:after="0"/>
              <w:rPr>
                <w:rFonts w:ascii="Arial" w:cs="Arial" w:eastAsia="Arial" w:hAnsi="Arial"/>
                <w:sz w:val="14"/>
                <w:szCs w:val="14"/>
                <w:u w:val="single" w:color="auto"/>
                <w:color w:val="0000EE"/>
              </w:rPr>
            </w:pPr>
            <w:hyperlink w:anchor="page73">
              <w:r>
                <w:rPr>
                  <w:rFonts w:ascii="Arial" w:cs="Arial" w:eastAsia="Arial" w:hAnsi="Arial"/>
                  <w:sz w:val="14"/>
                  <w:szCs w:val="14"/>
                  <w:u w:val="single" w:color="auto"/>
                  <w:color w:val="0000EE"/>
                </w:rPr>
                <w:t>Changes in and Disagreements with Accountants on Accounting and Financial Disclosure</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9A.</w:t>
            </w:r>
          </w:p>
        </w:tc>
        <w:tc>
          <w:tcPr>
            <w:tcW w:w="8520" w:type="dxa"/>
            <w:vAlign w:val="bottom"/>
          </w:tcPr>
          <w:p>
            <w:pPr>
              <w:ind w:left="260"/>
              <w:spacing w:after="0"/>
              <w:rPr>
                <w:rFonts w:ascii="Arial" w:cs="Arial" w:eastAsia="Arial" w:hAnsi="Arial"/>
                <w:sz w:val="14"/>
                <w:szCs w:val="14"/>
                <w:u w:val="single" w:color="auto"/>
                <w:color w:val="0000EE"/>
              </w:rPr>
            </w:pPr>
            <w:hyperlink w:anchor="page73">
              <w:r>
                <w:rPr>
                  <w:rFonts w:ascii="Arial" w:cs="Arial" w:eastAsia="Arial" w:hAnsi="Arial"/>
                  <w:sz w:val="14"/>
                  <w:szCs w:val="14"/>
                  <w:u w:val="single" w:color="auto"/>
                  <w:color w:val="0000EE"/>
                </w:rPr>
                <w:t>Controls and Procedures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9B.</w:t>
            </w:r>
          </w:p>
        </w:tc>
        <w:tc>
          <w:tcPr>
            <w:tcW w:w="8520" w:type="dxa"/>
            <w:vAlign w:val="bottom"/>
          </w:tcPr>
          <w:p>
            <w:pPr>
              <w:ind w:left="260"/>
              <w:spacing w:after="0"/>
              <w:rPr>
                <w:rFonts w:ascii="Arial" w:cs="Arial" w:eastAsia="Arial" w:hAnsi="Arial"/>
                <w:sz w:val="14"/>
                <w:szCs w:val="14"/>
                <w:u w:val="single" w:color="auto"/>
                <w:color w:val="0000EE"/>
              </w:rPr>
            </w:pPr>
            <w:hyperlink w:anchor="page73">
              <w:r>
                <w:rPr>
                  <w:rFonts w:ascii="Arial" w:cs="Arial" w:eastAsia="Arial" w:hAnsi="Arial"/>
                  <w:sz w:val="14"/>
                  <w:szCs w:val="14"/>
                  <w:u w:val="single" w:color="auto"/>
                  <w:color w:val="0000EE"/>
                </w:rPr>
                <w:t>Other Information</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297"/>
        </w:trPr>
        <w:tc>
          <w:tcPr>
            <w:tcW w:w="780" w:type="dxa"/>
            <w:vAlign w:val="bottom"/>
          </w:tcPr>
          <w:p>
            <w:pPr>
              <w:spacing w:after="0"/>
              <w:rPr>
                <w:sz w:val="24"/>
                <w:szCs w:val="24"/>
                <w:color w:val="auto"/>
              </w:rPr>
            </w:pPr>
          </w:p>
        </w:tc>
        <w:tc>
          <w:tcPr>
            <w:tcW w:w="8520" w:type="dxa"/>
            <w:vAlign w:val="bottom"/>
          </w:tcPr>
          <w:p>
            <w:pPr>
              <w:jc w:val="center"/>
              <w:ind w:left="1108"/>
              <w:spacing w:after="0"/>
              <w:rPr>
                <w:rFonts w:ascii="Arial" w:cs="Arial" w:eastAsia="Arial" w:hAnsi="Arial"/>
                <w:sz w:val="14"/>
                <w:szCs w:val="14"/>
                <w:b w:val="1"/>
                <w:bCs w:val="1"/>
                <w:u w:val="single" w:color="auto"/>
                <w:color w:val="0000EE"/>
              </w:rPr>
            </w:pPr>
            <w:hyperlink w:anchor="page74">
              <w:r>
                <w:rPr>
                  <w:rFonts w:ascii="Arial" w:cs="Arial" w:eastAsia="Arial" w:hAnsi="Arial"/>
                  <w:sz w:val="14"/>
                  <w:szCs w:val="14"/>
                  <w:b w:val="1"/>
                  <w:bCs w:val="1"/>
                  <w:u w:val="single" w:color="auto"/>
                  <w:color w:val="0000EE"/>
                </w:rPr>
                <w:t>PART III</w:t>
              </w:r>
            </w:hyperlink>
          </w:p>
        </w:tc>
        <w:tc>
          <w:tcPr>
            <w:tcW w:w="196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10.</w:t>
            </w:r>
          </w:p>
        </w:tc>
        <w:tc>
          <w:tcPr>
            <w:tcW w:w="8520" w:type="dxa"/>
            <w:vAlign w:val="bottom"/>
          </w:tcPr>
          <w:p>
            <w:pPr>
              <w:ind w:left="260"/>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Directors, Executive Officers and Corporate Governance</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11.</w:t>
            </w:r>
          </w:p>
        </w:tc>
        <w:tc>
          <w:tcPr>
            <w:tcW w:w="8520" w:type="dxa"/>
            <w:vAlign w:val="bottom"/>
          </w:tcPr>
          <w:p>
            <w:pPr>
              <w:ind w:left="260"/>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Executive Compensation</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12.</w:t>
            </w:r>
          </w:p>
        </w:tc>
        <w:tc>
          <w:tcPr>
            <w:tcW w:w="8520" w:type="dxa"/>
            <w:vAlign w:val="bottom"/>
          </w:tcPr>
          <w:p>
            <w:pPr>
              <w:ind w:left="260"/>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Security Ownership of Certain Beneficial Owners and Management and Related Stockholder Matters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13.</w:t>
            </w:r>
          </w:p>
        </w:tc>
        <w:tc>
          <w:tcPr>
            <w:tcW w:w="8520" w:type="dxa"/>
            <w:vAlign w:val="bottom"/>
          </w:tcPr>
          <w:p>
            <w:pPr>
              <w:ind w:left="260"/>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Certain Relationships and Related Transactions, and Director Independence</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14.</w:t>
            </w:r>
          </w:p>
        </w:tc>
        <w:tc>
          <w:tcPr>
            <w:tcW w:w="8520" w:type="dxa"/>
            <w:vAlign w:val="bottom"/>
          </w:tcPr>
          <w:p>
            <w:pPr>
              <w:ind w:left="260"/>
              <w:spacing w:after="0"/>
              <w:rPr>
                <w:rFonts w:ascii="Arial" w:cs="Arial" w:eastAsia="Arial" w:hAnsi="Arial"/>
                <w:sz w:val="14"/>
                <w:szCs w:val="14"/>
                <w:u w:val="single" w:color="auto"/>
                <w:color w:val="0000EE"/>
              </w:rPr>
            </w:pPr>
            <w:hyperlink w:anchor="page74">
              <w:r>
                <w:rPr>
                  <w:rFonts w:ascii="Arial" w:cs="Arial" w:eastAsia="Arial" w:hAnsi="Arial"/>
                  <w:sz w:val="14"/>
                  <w:szCs w:val="14"/>
                  <w:u w:val="single" w:color="auto"/>
                  <w:color w:val="0000EE"/>
                </w:rPr>
                <w:t>Principal Accountant Fees and Services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97"/>
        </w:trPr>
        <w:tc>
          <w:tcPr>
            <w:tcW w:w="780" w:type="dxa"/>
            <w:vAlign w:val="bottom"/>
          </w:tcPr>
          <w:p>
            <w:pPr>
              <w:spacing w:after="0"/>
              <w:rPr>
                <w:sz w:val="24"/>
                <w:szCs w:val="24"/>
                <w:color w:val="auto"/>
              </w:rPr>
            </w:pPr>
          </w:p>
        </w:tc>
        <w:tc>
          <w:tcPr>
            <w:tcW w:w="8520" w:type="dxa"/>
            <w:vAlign w:val="bottom"/>
          </w:tcPr>
          <w:p>
            <w:pPr>
              <w:jc w:val="center"/>
              <w:ind w:left="1108"/>
              <w:spacing w:after="0"/>
              <w:rPr>
                <w:rFonts w:ascii="Arial" w:cs="Arial" w:eastAsia="Arial" w:hAnsi="Arial"/>
                <w:sz w:val="14"/>
                <w:szCs w:val="14"/>
                <w:b w:val="1"/>
                <w:bCs w:val="1"/>
                <w:u w:val="single" w:color="auto"/>
                <w:color w:val="0000EE"/>
              </w:rPr>
            </w:pPr>
            <w:hyperlink w:anchor="page75">
              <w:r>
                <w:rPr>
                  <w:rFonts w:ascii="Arial" w:cs="Arial" w:eastAsia="Arial" w:hAnsi="Arial"/>
                  <w:sz w:val="14"/>
                  <w:szCs w:val="14"/>
                  <w:b w:val="1"/>
                  <w:bCs w:val="1"/>
                  <w:u w:val="single" w:color="auto"/>
                  <w:color w:val="0000EE"/>
                </w:rPr>
                <w:t>PART IV</w:t>
              </w:r>
            </w:hyperlink>
          </w:p>
        </w:tc>
        <w:tc>
          <w:tcPr>
            <w:tcW w:w="1960" w:type="dxa"/>
            <w:vAlign w:val="bottom"/>
          </w:tcPr>
          <w:p>
            <w:pPr>
              <w:spacing w:after="0"/>
              <w:rPr>
                <w:sz w:val="24"/>
                <w:szCs w:val="24"/>
                <w:color w:val="auto"/>
              </w:rPr>
            </w:pPr>
          </w:p>
        </w:tc>
      </w:tr>
      <w:tr>
        <w:trPr>
          <w:trHeight w:val="297"/>
        </w:trPr>
        <w:tc>
          <w:tcPr>
            <w:tcW w:w="780" w:type="dxa"/>
            <w:vAlign w:val="bottom"/>
          </w:tcPr>
          <w:p>
            <w:pPr>
              <w:spacing w:after="0"/>
              <w:rPr>
                <w:sz w:val="20"/>
                <w:szCs w:val="20"/>
                <w:color w:val="auto"/>
              </w:rPr>
            </w:pPr>
            <w:r>
              <w:rPr>
                <w:rFonts w:ascii="Arial" w:cs="Arial" w:eastAsia="Arial" w:hAnsi="Arial"/>
                <w:sz w:val="14"/>
                <w:szCs w:val="14"/>
                <w:b w:val="1"/>
                <w:bCs w:val="1"/>
                <w:color w:val="auto"/>
              </w:rPr>
              <w:t>Item 15.</w:t>
            </w:r>
          </w:p>
        </w:tc>
        <w:tc>
          <w:tcPr>
            <w:tcW w:w="8520" w:type="dxa"/>
            <w:vAlign w:val="bottom"/>
          </w:tcPr>
          <w:p>
            <w:pPr>
              <w:ind w:left="260"/>
              <w:spacing w:after="0"/>
              <w:rPr>
                <w:rFonts w:ascii="Arial" w:cs="Arial" w:eastAsia="Arial" w:hAnsi="Arial"/>
                <w:sz w:val="14"/>
                <w:szCs w:val="14"/>
                <w:u w:val="single" w:color="auto"/>
                <w:color w:val="0000EE"/>
              </w:rPr>
            </w:pPr>
            <w:hyperlink w:anchor="page75">
              <w:r>
                <w:rPr>
                  <w:rFonts w:ascii="Arial" w:cs="Arial" w:eastAsia="Arial" w:hAnsi="Arial"/>
                  <w:sz w:val="14"/>
                  <w:szCs w:val="14"/>
                  <w:u w:val="single" w:color="auto"/>
                  <w:color w:val="0000EE"/>
                </w:rPr>
                <w:t>Exhibits and Financial Statement Schedules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73</w:t>
            </w:r>
          </w:p>
        </w:tc>
      </w:tr>
      <w:tr>
        <w:trPr>
          <w:trHeight w:val="297"/>
        </w:trPr>
        <w:tc>
          <w:tcPr>
            <w:tcW w:w="780" w:type="dxa"/>
            <w:vAlign w:val="bottom"/>
          </w:tcPr>
          <w:p>
            <w:pPr>
              <w:spacing w:after="0"/>
              <w:rPr>
                <w:sz w:val="24"/>
                <w:szCs w:val="24"/>
                <w:color w:val="auto"/>
              </w:rPr>
            </w:pPr>
          </w:p>
        </w:tc>
        <w:tc>
          <w:tcPr>
            <w:tcW w:w="8520" w:type="dxa"/>
            <w:vAlign w:val="bottom"/>
          </w:tcPr>
          <w:p>
            <w:pPr>
              <w:ind w:left="260"/>
              <w:spacing w:after="0"/>
              <w:rPr>
                <w:rFonts w:ascii="Arial" w:cs="Arial" w:eastAsia="Arial" w:hAnsi="Arial"/>
                <w:sz w:val="14"/>
                <w:szCs w:val="14"/>
                <w:u w:val="single" w:color="auto"/>
                <w:color w:val="0000EE"/>
              </w:rPr>
            </w:pPr>
            <w:hyperlink w:anchor="page76">
              <w:r>
                <w:rPr>
                  <w:rFonts w:ascii="Arial" w:cs="Arial" w:eastAsia="Arial" w:hAnsi="Arial"/>
                  <w:sz w:val="14"/>
                  <w:szCs w:val="14"/>
                  <w:u w:val="single" w:color="auto"/>
                  <w:color w:val="0000EE"/>
                </w:rPr>
                <w:t>Signatures</w:t>
              </w:r>
            </w:hyperlink>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74</w:t>
            </w:r>
          </w:p>
        </w:tc>
      </w:tr>
      <w:tr>
        <w:trPr>
          <w:trHeight w:val="1153"/>
        </w:trPr>
        <w:tc>
          <w:tcPr>
            <w:tcW w:w="780" w:type="dxa"/>
            <w:vAlign w:val="bottom"/>
            <w:tcBorders>
              <w:bottom w:val="single" w:sz="8" w:color="9A9A9A"/>
            </w:tcBorders>
          </w:tcPr>
          <w:p>
            <w:pPr>
              <w:spacing w:after="0"/>
              <w:rPr>
                <w:sz w:val="24"/>
                <w:szCs w:val="24"/>
                <w:color w:val="auto"/>
              </w:rPr>
            </w:pPr>
          </w:p>
        </w:tc>
        <w:tc>
          <w:tcPr>
            <w:tcW w:w="85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275" w:lineRule="exact"/>
        <w:rPr>
          <w:sz w:val="20"/>
          <w:szCs w:val="20"/>
          <w:color w:val="auto"/>
        </w:rPr>
      </w:pPr>
    </w:p>
    <w:p>
      <w:pPr>
        <w:ind w:firstLine="438"/>
        <w:spacing w:after="0" w:line="242" w:lineRule="auto"/>
        <w:rPr>
          <w:sz w:val="20"/>
          <w:szCs w:val="20"/>
          <w:color w:val="auto"/>
        </w:rPr>
      </w:pPr>
      <w:r>
        <w:rPr>
          <w:rFonts w:ascii="Arial" w:cs="Arial" w:eastAsia="Arial" w:hAnsi="Arial"/>
          <w:sz w:val="13"/>
          <w:szCs w:val="13"/>
          <w:b w:val="1"/>
          <w:bCs w:val="1"/>
          <w:i w:val="1"/>
          <w:iCs w:val="1"/>
          <w:color w:val="auto"/>
        </w:rPr>
        <w:t>In this annual report on Form 10-K, or the Report, except where the context suggests otherwise, the terms “Company,” “we,” “our” or “us” refer to PennantPark Investment Corporation and its consolidated subsidiaries; “PennantPark Investment” refers to only PennantPark Investment Corporation; “our SBIC Funds” refers collectively to our consolidated subsidiaries, PennantPark SBIC LP, or SBIC I, and its general partner, PennantPark SBIC GP, LLC, and PennantPark SBIC II LP, or SBIC II, and its general partner, PennantPark SBIC GP II, LLC; “Taxable Subsidiaries” refers to PNNT Cascade Environmental Holdings, LLC, PNNT CI (Galls) Prime Investment Holdings, LLC, PNNT ecoserve, LLC, PNNT Investment Holdings, LLC and PNNT New Gulf Resources, LLC; “PennantPark Investment Advisers” or “Investment Adviser” refers to PennantPark Investment Advisers, LLC; and “PennantPark Investment Administration” or “Administrator” refers to PennantPark Investment Administration, LLC. “SBA” refers to the Small Business Administration; “SBIC” refers to a small business investment company licensed by the SBA; “Credit Facility” refers to our multi-currency, senior secured revolving credit facility, as amended and restated; “2025 Notes” refers to our 6.25% senior notes due 2025; “2019 Notes” refers to our 4.50% notes due 2019; “1940 Act” refers to the Investment Company Act of 1940, as amended; “Code” refers to the Internal Revenue Code of 1986, as amended; “RIC” refers to a regulated investment company under the Code; and “BDC” refers to a business development company under the 1940 Act. References to our portfolio, our investments and our business include investments we make through our SBIC Funds and other consolidated subsidiaries. Some of the statements in this annual report constitute forward-looking statements, which apply to us and relate to future events, future performance or future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115"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Business of PennantPark Investment Corporation</w:t>
      </w:r>
    </w:p>
    <w:p>
      <w:pPr>
        <w:spacing w:after="0" w:line="136" w:lineRule="exact"/>
        <w:rPr>
          <w:sz w:val="20"/>
          <w:szCs w:val="20"/>
          <w:color w:val="auto"/>
        </w:rPr>
      </w:pPr>
    </w:p>
    <w:p>
      <w:pPr>
        <w:ind w:right="240" w:firstLine="438"/>
        <w:spacing w:after="0" w:line="290" w:lineRule="auto"/>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71" w:lineRule="exact"/>
        <w:rPr>
          <w:sz w:val="20"/>
          <w:szCs w:val="20"/>
          <w:color w:val="auto"/>
        </w:rPr>
      </w:pPr>
    </w:p>
    <w:p>
      <w:pPr>
        <w:ind w:right="60" w:firstLine="438"/>
        <w:spacing w:after="0" w:line="245" w:lineRule="auto"/>
        <w:rPr>
          <w:sz w:val="20"/>
          <w:szCs w:val="20"/>
          <w:color w:val="auto"/>
        </w:rPr>
      </w:pPr>
      <w:r>
        <w:rPr>
          <w:rFonts w:ascii="Arial" w:cs="Arial" w:eastAsia="Arial" w:hAnsi="Arial"/>
          <w:sz w:val="13"/>
          <w:szCs w:val="13"/>
          <w:color w:val="auto"/>
        </w:rPr>
        <w:t>We believe U.S.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6"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123" w:lineRule="exact"/>
        <w:rPr>
          <w:sz w:val="20"/>
          <w:szCs w:val="20"/>
          <w:color w:val="auto"/>
        </w:rPr>
      </w:pPr>
    </w:p>
    <w:p>
      <w:pPr>
        <w:ind w:right="100" w:firstLine="438"/>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84"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Our wholly owned subsidiaries, SBIC I and SBIC II, were organized in Delaware as limited partnerships in May 2010 and July 2012, respectively. SBIC I and SBIC II received licenses from the SBA to operate as SBICs under Section 301(c) of the Small Business Investment Act of 1958, as amended, or the 1958 Act, in 2010 and 2013, respectively. Our SBIC Funds’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 Adviser and Administrator</w:t>
      </w:r>
    </w:p>
    <w:p>
      <w:pPr>
        <w:spacing w:after="0" w:line="123"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$8.3 billion in 496 companies with approximately 180 different financial sponsors through its managed funds.</w:t>
      </w:r>
    </w:p>
    <w:p>
      <w:pPr>
        <w:spacing w:after="0" w:line="111"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Opportunity</w:t>
      </w:r>
    </w:p>
    <w:p>
      <w:pPr>
        <w:spacing w:after="0" w:line="123" w:lineRule="exact"/>
        <w:rPr>
          <w:sz w:val="20"/>
          <w:szCs w:val="20"/>
          <w:color w:val="auto"/>
        </w:rPr>
      </w:pPr>
    </w:p>
    <w:p>
      <w:pPr>
        <w:ind w:right="460" w:firstLine="438"/>
        <w:spacing w:after="0" w:line="253" w:lineRule="auto"/>
        <w:rPr>
          <w:sz w:val="20"/>
          <w:szCs w:val="20"/>
          <w:color w:val="auto"/>
        </w:rPr>
      </w:pPr>
      <w:r>
        <w:rPr>
          <w:rFonts w:ascii="Arial" w:cs="Arial" w:eastAsia="Arial" w:hAnsi="Arial"/>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102" w:lineRule="exact"/>
        <w:rPr>
          <w:sz w:val="20"/>
          <w:szCs w:val="20"/>
          <w:color w:val="auto"/>
        </w:rPr>
      </w:pPr>
    </w:p>
    <w:p>
      <w:pPr>
        <w:ind w:left="920" w:hanging="359"/>
        <w:spacing w:after="0" w:line="297" w:lineRule="auto"/>
        <w:tabs>
          <w:tab w:leader="none" w:pos="92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middle-market companies have faced difficulty raising debt in private markets. </w:t>
      </w:r>
      <w:r>
        <w:rPr>
          <w:rFonts w:ascii="Arial" w:cs="Arial" w:eastAsia="Arial" w:hAnsi="Arial"/>
          <w:sz w:val="13"/>
          <w:szCs w:val="13"/>
          <w:color w:val="auto"/>
        </w:rPr>
        <w:t>From time to time, banks, finance companies, hedge funds and collateralized loan</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 or CLO, funds have withdrawn, and may again withdraw, capital from the middle-market, resulting in opportunities for alternative funding sources.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3" w:name="page4"/>
    <w:bookmarkEnd w:id="3"/>
    <w:p>
      <w:pPr>
        <w:jc w:val="both"/>
        <w:ind w:left="920" w:right="60" w:hanging="359"/>
        <w:spacing w:after="0"/>
        <w:tabs>
          <w:tab w:leader="none" w:pos="920"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in raising debt through the capital markets. </w:t>
      </w:r>
      <w:r>
        <w:rPr>
          <w:rFonts w:ascii="Arial" w:cs="Arial" w:eastAsia="Arial" w:hAnsi="Arial"/>
          <w:sz w:val="14"/>
          <w:szCs w:val="14"/>
          <w:color w:val="auto"/>
        </w:rPr>
        <w:t>Many middle-market companies look to raise funds by issuing 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111" w:lineRule="exact"/>
        <w:rPr>
          <w:rFonts w:ascii="Arial" w:cs="Arial" w:eastAsia="Arial" w:hAnsi="Arial"/>
          <w:sz w:val="14"/>
          <w:szCs w:val="14"/>
          <w:color w:val="auto"/>
        </w:rPr>
      </w:pPr>
    </w:p>
    <w:p>
      <w:pPr>
        <w:ind w:left="920" w:right="40" w:hanging="359"/>
        <w:spacing w:after="0"/>
        <w:tabs>
          <w:tab w:leader="none" w:pos="920"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that credit market dislocation for middle-market companies improves the risk-reward on our investments. </w:t>
      </w:r>
      <w:r>
        <w:rPr>
          <w:rFonts w:ascii="Arial" w:cs="Arial" w:eastAsia="Arial" w:hAnsi="Arial"/>
          <w:sz w:val="14"/>
          <w:szCs w:val="14"/>
          <w:color w:val="auto"/>
        </w:rPr>
        <w:t>From time to time, market participants have reduced</w:t>
      </w:r>
      <w:r>
        <w:rPr>
          <w:rFonts w:ascii="Arial" w:cs="Arial" w:eastAsia="Arial" w:hAnsi="Arial"/>
          <w:sz w:val="14"/>
          <w:szCs w:val="14"/>
          <w:b w:val="1"/>
          <w:bCs w:val="1"/>
          <w:color w:val="auto"/>
        </w:rPr>
        <w:t xml:space="preserve"> </w:t>
      </w:r>
      <w:r>
        <w:rPr>
          <w:rFonts w:ascii="Arial" w:cs="Arial" w:eastAsia="Arial" w:hAnsi="Arial"/>
          <w:sz w:val="14"/>
          <w:szCs w:val="14"/>
          <w:color w:val="auto"/>
        </w:rPr>
        <w:t>lending to middle-market and non-investment grade borrowers. As a result, we believe there is less competition in our market, more conservative capital structures, higher yields and stronger covenants.</w:t>
      </w:r>
    </w:p>
    <w:p>
      <w:pPr>
        <w:spacing w:after="0" w:line="111" w:lineRule="exact"/>
        <w:rPr>
          <w:rFonts w:ascii="Arial" w:cs="Arial" w:eastAsia="Arial" w:hAnsi="Arial"/>
          <w:sz w:val="14"/>
          <w:szCs w:val="14"/>
          <w:color w:val="auto"/>
        </w:rPr>
      </w:pPr>
    </w:p>
    <w:p>
      <w:pPr>
        <w:ind w:left="920" w:right="160" w:hanging="359"/>
        <w:spacing w:after="0" w:line="267" w:lineRule="auto"/>
        <w:tabs>
          <w:tab w:leader="none" w:pos="920" w:val="left"/>
        </w:tabs>
        <w:numPr>
          <w:ilvl w:val="0"/>
          <w:numId w:val="4"/>
        </w:numPr>
        <w:rPr>
          <w:rFonts w:ascii="Arial" w:cs="Arial" w:eastAsia="Arial" w:hAnsi="Arial"/>
          <w:sz w:val="13"/>
          <w:szCs w:val="13"/>
          <w:color w:val="auto"/>
        </w:rPr>
      </w:pPr>
      <w:r>
        <w:rPr>
          <w:rFonts w:ascii="Arial" w:cs="Arial" w:eastAsia="Arial" w:hAnsi="Arial"/>
          <w:sz w:val="13"/>
          <w:szCs w:val="13"/>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3"/>
          <w:szCs w:val="13"/>
          <w:color w:val="auto"/>
        </w:rPr>
        <w:t>We expect that private equity firms will continue to be active investors in middle-market companies. These private equity funds generally seek to leverage their investments by combining their capital with loans provided by other sources, and we believe that we are well-positioned to partner with such equity investors.</w:t>
      </w:r>
    </w:p>
    <w:p>
      <w:pPr>
        <w:spacing w:after="0" w:line="95" w:lineRule="exact"/>
        <w:rPr>
          <w:rFonts w:ascii="Arial" w:cs="Arial" w:eastAsia="Arial" w:hAnsi="Arial"/>
          <w:sz w:val="13"/>
          <w:szCs w:val="13"/>
          <w:color w:val="auto"/>
        </w:rPr>
      </w:pPr>
    </w:p>
    <w:p>
      <w:pPr>
        <w:ind w:left="920" w:hanging="359"/>
        <w:spacing w:after="0" w:line="232" w:lineRule="auto"/>
        <w:tabs>
          <w:tab w:leader="none" w:pos="920"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substantial supply of opportunities resulting from maturing loans that seek refinancing. </w:t>
      </w:r>
      <w:r>
        <w:rPr>
          <w:rFonts w:ascii="Arial" w:cs="Arial" w:eastAsia="Arial" w:hAnsi="Arial"/>
          <w:sz w:val="14"/>
          <w:szCs w:val="14"/>
          <w:color w:val="auto"/>
        </w:rPr>
        <w:t>A high volume of financings will come due in the next few</w:t>
      </w:r>
      <w:r>
        <w:rPr>
          <w:rFonts w:ascii="Arial" w:cs="Arial" w:eastAsia="Arial" w:hAnsi="Arial"/>
          <w:sz w:val="14"/>
          <w:szCs w:val="14"/>
          <w:b w:val="1"/>
          <w:bCs w:val="1"/>
          <w:color w:val="auto"/>
        </w:rPr>
        <w:t xml:space="preserve"> </w:t>
      </w:r>
      <w:r>
        <w:rPr>
          <w:rFonts w:ascii="Arial" w:cs="Arial" w:eastAsia="Arial" w:hAnsi="Arial"/>
          <w:sz w:val="14"/>
          <w:szCs w:val="14"/>
          <w:color w:val="auto"/>
        </w:rPr>
        <w:t>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Competitive Advantages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believe that we have the following competitive advantages over other capital providers to middle-market companies:</w:t>
      </w:r>
    </w:p>
    <w:p>
      <w:pPr>
        <w:spacing w:after="0" w:line="136" w:lineRule="exact"/>
        <w:rPr>
          <w:sz w:val="20"/>
          <w:szCs w:val="20"/>
          <w:color w:val="auto"/>
        </w:rPr>
      </w:pPr>
    </w:p>
    <w:p>
      <w:pPr>
        <w:ind w:left="920" w:hanging="359"/>
        <w:spacing w:after="0"/>
        <w:tabs>
          <w:tab w:leader="none" w:pos="920" w:val="left"/>
        </w:tabs>
        <w:numPr>
          <w:ilvl w:val="0"/>
          <w:numId w:val="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Experienced Management Team</w:t>
      </w:r>
    </w:p>
    <w:p>
      <w:pPr>
        <w:spacing w:after="0" w:line="136" w:lineRule="exact"/>
        <w:rPr>
          <w:sz w:val="20"/>
          <w:szCs w:val="20"/>
          <w:color w:val="auto"/>
        </w:rPr>
      </w:pPr>
    </w:p>
    <w:p>
      <w:pPr>
        <w:ind w:right="360" w:firstLine="438"/>
        <w:spacing w:after="0" w:line="233" w:lineRule="auto"/>
        <w:rPr>
          <w:sz w:val="20"/>
          <w:szCs w:val="20"/>
          <w:color w:val="auto"/>
        </w:rPr>
      </w:pPr>
      <w:r>
        <w:rPr>
          <w:rFonts w:ascii="Arial" w:cs="Arial" w:eastAsia="Arial" w:hAnsi="Arial"/>
          <w:sz w:val="14"/>
          <w:szCs w:val="14"/>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117" w:lineRule="exact"/>
        <w:rPr>
          <w:sz w:val="20"/>
          <w:szCs w:val="20"/>
          <w:color w:val="auto"/>
        </w:rPr>
      </w:pPr>
    </w:p>
    <w:p>
      <w:pPr>
        <w:ind w:right="240" w:firstLine="438"/>
        <w:spacing w:after="0" w:line="233" w:lineRule="auto"/>
        <w:rPr>
          <w:sz w:val="20"/>
          <w:szCs w:val="20"/>
          <w:color w:val="auto"/>
        </w:rPr>
      </w:pPr>
      <w:r>
        <w:rPr>
          <w:rFonts w:ascii="Arial" w:cs="Arial" w:eastAsia="Arial" w:hAnsi="Arial"/>
          <w:sz w:val="14"/>
          <w:szCs w:val="14"/>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104" w:lineRule="exact"/>
        <w:rPr>
          <w:sz w:val="20"/>
          <w:szCs w:val="20"/>
          <w:color w:val="auto"/>
        </w:rPr>
      </w:pPr>
    </w:p>
    <w:p>
      <w:pPr>
        <w:ind w:left="920" w:hanging="359"/>
        <w:spacing w:after="0"/>
        <w:tabs>
          <w:tab w:leader="none" w:pos="92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Disciplined Investment Approach with Strong Value Orientation</w:t>
      </w:r>
    </w:p>
    <w:p>
      <w:pPr>
        <w:spacing w:after="0" w:line="136"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17" w:lineRule="exact"/>
        <w:rPr>
          <w:sz w:val="20"/>
          <w:szCs w:val="20"/>
          <w:color w:val="auto"/>
        </w:rPr>
      </w:pPr>
    </w:p>
    <w:p>
      <w:pPr>
        <w:ind w:right="300" w:firstLine="438"/>
        <w:spacing w:after="0" w:line="238"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123" w:lineRule="exact"/>
        <w:rPr>
          <w:sz w:val="20"/>
          <w:szCs w:val="20"/>
          <w:color w:val="auto"/>
        </w:rPr>
      </w:pPr>
    </w:p>
    <w:p>
      <w:pPr>
        <w:ind w:left="920" w:hanging="359"/>
        <w:spacing w:after="0"/>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strong competitive positions;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positive cash flow that is steady and stable;</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experienced management teams with strong track records;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potential for growth and viable exit strategies;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capital structures offering appropriate risk-adjusted terms and covenants.</w:t>
      </w:r>
    </w:p>
    <w:p>
      <w:pPr>
        <w:spacing w:after="0" w:line="136" w:lineRule="exact"/>
        <w:rPr>
          <w:sz w:val="20"/>
          <w:szCs w:val="20"/>
          <w:color w:val="auto"/>
        </w:rPr>
      </w:pPr>
    </w:p>
    <w:p>
      <w:pPr>
        <w:ind w:left="920" w:hanging="359"/>
        <w:spacing w:after="0"/>
        <w:tabs>
          <w:tab w:leader="none" w:pos="92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Ability to Source and Evaluate Transactions through our Investment Adviser’s Proactive, Research Capability and Established Network</w:t>
      </w:r>
    </w:p>
    <w:p>
      <w:pPr>
        <w:spacing w:after="0" w:line="13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The management team of our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17" w:lineRule="exact"/>
        <w:rPr>
          <w:sz w:val="20"/>
          <w:szCs w:val="20"/>
          <w:color w:val="auto"/>
        </w:rPr>
      </w:pPr>
    </w:p>
    <w:p>
      <w:pPr>
        <w:ind w:left="920" w:hanging="359"/>
        <w:spacing w:after="0"/>
        <w:tabs>
          <w:tab w:leader="none" w:pos="92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Flexible Transaction Structuring</w:t>
      </w:r>
    </w:p>
    <w:p>
      <w:pPr>
        <w:spacing w:after="0" w:line="136" w:lineRule="exact"/>
        <w:rPr>
          <w:sz w:val="20"/>
          <w:szCs w:val="20"/>
          <w:color w:val="auto"/>
        </w:rPr>
      </w:pPr>
    </w:p>
    <w:p>
      <w:pPr>
        <w:ind w:right="120" w:firstLine="438"/>
        <w:spacing w:after="0" w:line="290" w:lineRule="auto"/>
        <w:rPr>
          <w:sz w:val="20"/>
          <w:szCs w:val="20"/>
          <w:color w:val="auto"/>
        </w:rPr>
      </w:pPr>
      <w:r>
        <w:rPr>
          <w:rFonts w:ascii="Arial" w:cs="Arial" w:eastAsia="Arial" w:hAnsi="Arial"/>
          <w:sz w:val="13"/>
          <w:szCs w:val="13"/>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84"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93"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i w:val="1"/>
          <w:iCs w:val="1"/>
          <w:color w:val="auto"/>
        </w:rPr>
        <w:t>Competition</w:t>
      </w:r>
    </w:p>
    <w:p>
      <w:pPr>
        <w:spacing w:after="0" w:line="123" w:lineRule="exact"/>
        <w:rPr>
          <w:sz w:val="20"/>
          <w:szCs w:val="20"/>
          <w:color w:val="auto"/>
        </w:rPr>
      </w:pPr>
    </w:p>
    <w:p>
      <w:pPr>
        <w:ind w:right="160" w:firstLine="438"/>
        <w:spacing w:after="0" w:line="255" w:lineRule="auto"/>
        <w:rPr>
          <w:sz w:val="20"/>
          <w:szCs w:val="20"/>
          <w:color w:val="auto"/>
        </w:rPr>
      </w:pPr>
      <w:r>
        <w:rPr>
          <w:rFonts w:ascii="Arial" w:cs="Arial" w:eastAsia="Arial" w:hAnsi="Arial"/>
          <w:sz w:val="13"/>
          <w:szCs w:val="13"/>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07"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Leverage</w:t>
      </w:r>
    </w:p>
    <w:p>
      <w:pPr>
        <w:spacing w:after="0" w:line="123"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As of September 30, 2018, we maintained a multi-currency $445 million Credit Facility, which matures in May 2022. The Credit Facility is secured by substantially all of our investment portfolio assets (excluding the assets of our SBIC Funds). We had $80.5 million (including a $2.0 million temporary draw) and $79.4 million of debt outstanding under the Credit Facility with a weighted average interest rate of 3.79% and 2.42% as of September 30, 2018 and 2017, respectively, excluding undrawn commitment fees. The Credit Facility is a five-year revolving facility with a stated maturity date of May 25, 2022, with a one-year term-out period following its fourth year and pricing set at 225 basis points over the London Interbank Offered Rate, or LIBOR. As of September 30, 2018 and 2017, we had $364.5 million and $365.6 million, respectively, of unused borrowing capacity under our Credit Facility subject to the regulatory restrictions. We believe that our capital resources will provide us with the flexibility to take advantage of market opportunities when they arise. Our use of leverage, as calculated under the asset coverage requirements of the 1940 Act, may generally range between 60% and 80% of our net assets. As of September 30, 2018, we were in compliance with the terms of our Credit Facility.</w:t>
      </w:r>
    </w:p>
    <w:p>
      <w:pPr>
        <w:spacing w:after="0" w:line="111"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As of September 30, 2018 and 2017, our SBIC Funds had $300.0 million in debt commitments, respectively, of which $180.0 million and $199.0 million was drawn, with a weighted average interest rate of 3.15% and 3.70%, exclusive of the 3.43% of upfront fees. The SBA debentures mature between September 2020 and September 2027.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our SBIC Funds and have a priority claim over such assets relative to all other creditors. See “Regulation” for more information.</w:t>
      </w:r>
    </w:p>
    <w:p>
      <w:pPr>
        <w:spacing w:after="0" w:line="11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As of September 30, 2018 and 2017, we had $250.0 million in aggregate principal amount of 2019 Notes outstanding. Interest on the 2019 Notes accrues at a rate of 4.50% per year and is paid semi-annually.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 or fully redeemed.</w:t>
      </w:r>
    </w:p>
    <w:p>
      <w:pPr>
        <w:spacing w:after="0" w:line="104"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On June 29, 2017, the 2025 Notes were redeemed in full and no amounts were outstanding as of September 30, 2018 or 2017. Interest on the 2025 Notes was paid at a rate of 6.25% per year and was paid quarterly. The 2025 Notes had been scheduled to mature on February 1, 2025. See “Management’s Discussion and Analysis of Financial Condition and Results of Operations” for more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Policy Overview</w:t>
      </w:r>
    </w:p>
    <w:p>
      <w:pPr>
        <w:spacing w:after="0" w:line="136"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We seek to create a diversified portfolio that includes first lien secured debt, second lien secured debt, subordinated debt and, to a lesser extent,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04"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Over time, we expect that our portfolio will continue to consist primarily of first lien secured debt, second lien secured debt, subordinated debt and, to a lesser extent, equity investments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markets. See “Regulation— Qualifying Assets” and “Investment Selection Criteria” for more information.</w:t>
      </w:r>
    </w:p>
    <w:p>
      <w:pPr>
        <w:spacing w:after="0" w:line="11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of changes to our operating policies and strategies may adversely affect our business, our ability to make distributions and the value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First Lien Secured Debt</w:t>
      </w:r>
    </w:p>
    <w:p>
      <w:pPr>
        <w:spacing w:after="0" w:line="13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Structurally, first lien secured debt ranks senior in priority of payment to second lien secured debt, subordinated debt and equity, and benefits from a senior security interest in the assets of the borrower. As such, other creditors rank junior to our investments in these securities in the event of insolvency. Due to its lower risk profile and often more restrictive covenants as compared to second lien secured debt and subordinated debt, first lien secured debt generally earns a lower return than second lien secured debt and subordinated debt. In some cases first lien secured debt lenders receive opportunities to invest directly in the equity securities of borrowers and from time to time may also receive warrants to purchase equity securities. We evaluate these investment opportunities on a case-by-case basis.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Second Lien Secured Debt</w:t>
      </w:r>
    </w:p>
    <w:p>
      <w:pPr>
        <w:spacing w:after="0" w:line="13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Due to its higher risk profile and often less restrictive covenants as compared to first lien secured debt, second lien secured debt generally earns a higher return than first lien secured debt. In many cases, second lien secured debt investors receive opportunities to invest directly in the equity securities of borrowers and from time to time may also receive warrants to purchase equity securities. We evaluate these investment opportunities on a case-by-case basis.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i w:val="1"/>
          <w:iCs w:val="1"/>
          <w:color w:val="auto"/>
        </w:rPr>
        <w:t>Subordinated Debt</w:t>
      </w:r>
    </w:p>
    <w:p>
      <w:pPr>
        <w:spacing w:after="0" w:line="13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Structurally, subordinated debt usually ranks junior in priority of payment to first lien secured debt and second lien secured debt, and are often unsecured. As such, other creditors may rank senior to us in the event of insolvency. Subordinated debt ranks senior to common and preferred equity in borrowers’ capital structures. Due to its higher risk profile and often less restrictive covenants as compared to first lien secured debt and second lien secured debt, subordinated debt generally earns a higher return than first lien secured debt and second lien secured debt. In many cases, subordinated debt investors receive opportunities to invest directly in the equity securities of borrowers, and from time to time, may also receive warrants to purchase equity securities. We evaluate these investment opportunities on a case-by-case basis.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Selection Criteria</w:t>
      </w:r>
    </w:p>
    <w:p>
      <w:pPr>
        <w:spacing w:after="0" w:line="123"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We are committed to a value-oriented philosophy used by the senior investment professionals who manage our portfolio and seek to minimize the risk of capital loss without foregoing potential for capital appreciation.</w:t>
      </w:r>
    </w:p>
    <w:p>
      <w:pPr>
        <w:spacing w:after="0" w:line="106"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115" w:lineRule="exact"/>
        <w:rPr>
          <w:sz w:val="20"/>
          <w:szCs w:val="20"/>
          <w:color w:val="auto"/>
        </w:rPr>
      </w:pPr>
    </w:p>
    <w:p>
      <w:pPr>
        <w:ind w:left="920" w:hanging="359"/>
        <w:spacing w:after="0"/>
        <w:tabs>
          <w:tab w:leader="none" w:pos="92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Leading and defensible competitive market positions</w:t>
      </w:r>
    </w:p>
    <w:p>
      <w:pPr>
        <w:spacing w:after="0" w:line="136" w:lineRule="exact"/>
        <w:rPr>
          <w:sz w:val="20"/>
          <w:szCs w:val="20"/>
          <w:color w:val="auto"/>
        </w:rPr>
      </w:pPr>
    </w:p>
    <w:p>
      <w:pPr>
        <w:jc w:val="both"/>
        <w:ind w:right="340" w:firstLine="438"/>
        <w:spacing w:after="0" w:line="238" w:lineRule="auto"/>
        <w:rPr>
          <w:sz w:val="20"/>
          <w:szCs w:val="20"/>
          <w:color w:val="auto"/>
        </w:rPr>
      </w:pPr>
      <w:r>
        <w:rPr>
          <w:rFonts w:ascii="Arial" w:cs="Arial" w:eastAsia="Arial" w:hAnsi="Arial"/>
          <w:sz w:val="14"/>
          <w:szCs w:val="14"/>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102" w:lineRule="exact"/>
        <w:rPr>
          <w:sz w:val="20"/>
          <w:szCs w:val="20"/>
          <w:color w:val="auto"/>
        </w:rPr>
      </w:pPr>
    </w:p>
    <w:p>
      <w:pPr>
        <w:ind w:left="920" w:hanging="359"/>
        <w:spacing w:after="0"/>
        <w:tabs>
          <w:tab w:leader="none" w:pos="920" w:val="left"/>
        </w:tabs>
        <w:numPr>
          <w:ilvl w:val="0"/>
          <w:numId w:val="1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Investing in stable borrowers with positive cash flow</w:t>
      </w:r>
    </w:p>
    <w:p>
      <w:pPr>
        <w:spacing w:after="0" w:line="13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17" w:lineRule="exact"/>
        <w:rPr>
          <w:sz w:val="20"/>
          <w:szCs w:val="20"/>
          <w:color w:val="auto"/>
        </w:rPr>
      </w:pPr>
    </w:p>
    <w:p>
      <w:pPr>
        <w:ind w:left="920" w:hanging="359"/>
        <w:spacing w:after="0"/>
        <w:tabs>
          <w:tab w:leader="none" w:pos="92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Proven management teams</w:t>
      </w:r>
    </w:p>
    <w:p>
      <w:pPr>
        <w:spacing w:after="0" w:line="136"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06" w:lineRule="exact"/>
        <w:rPr>
          <w:sz w:val="20"/>
          <w:szCs w:val="20"/>
          <w:color w:val="auto"/>
        </w:rPr>
      </w:pPr>
    </w:p>
    <w:p>
      <w:pPr>
        <w:ind w:left="920" w:hanging="359"/>
        <w:spacing w:after="0"/>
        <w:tabs>
          <w:tab w:leader="none" w:pos="920" w:val="left"/>
        </w:tabs>
        <w:numPr>
          <w:ilvl w:val="0"/>
          <w:numId w:val="1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Financial sponsorship</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104" w:lineRule="exact"/>
        <w:rPr>
          <w:sz w:val="20"/>
          <w:szCs w:val="20"/>
          <w:color w:val="auto"/>
        </w:rPr>
      </w:pPr>
    </w:p>
    <w:p>
      <w:pPr>
        <w:ind w:left="920" w:hanging="359"/>
        <w:spacing w:after="0"/>
        <w:tabs>
          <w:tab w:leader="none" w:pos="920" w:val="left"/>
        </w:tabs>
        <w:numPr>
          <w:ilvl w:val="0"/>
          <w:numId w:val="1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Investments in different borrowers, industries and geographies</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115" w:lineRule="exact"/>
        <w:rPr>
          <w:sz w:val="20"/>
          <w:szCs w:val="20"/>
          <w:color w:val="auto"/>
        </w:rPr>
      </w:pPr>
    </w:p>
    <w:p>
      <w:pPr>
        <w:ind w:left="920" w:hanging="359"/>
        <w:spacing w:after="0"/>
        <w:tabs>
          <w:tab w:leader="none" w:pos="920" w:val="left"/>
        </w:tabs>
        <w:numPr>
          <w:ilvl w:val="0"/>
          <w:numId w:val="1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Viable exit strategy</w:t>
      </w:r>
    </w:p>
    <w:p>
      <w:pPr>
        <w:spacing w:after="0" w:line="136" w:lineRule="exact"/>
        <w:rPr>
          <w:sz w:val="20"/>
          <w:szCs w:val="20"/>
          <w:color w:val="auto"/>
        </w:rPr>
      </w:pPr>
    </w:p>
    <w:p>
      <w:pPr>
        <w:ind w:right="180" w:firstLine="438"/>
        <w:spacing w:after="0" w:line="231" w:lineRule="auto"/>
        <w:rPr>
          <w:sz w:val="20"/>
          <w:szCs w:val="20"/>
          <w:color w:val="auto"/>
        </w:rPr>
      </w:pPr>
      <w:r>
        <w:rPr>
          <w:rFonts w:ascii="Arial" w:cs="Arial" w:eastAsia="Arial" w:hAnsi="Arial"/>
          <w:sz w:val="14"/>
          <w:szCs w:val="14"/>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Due Diligence</w:t>
      </w:r>
    </w:p>
    <w:p>
      <w:pPr>
        <w:spacing w:after="0" w:line="123" w:lineRule="exact"/>
        <w:rPr>
          <w:sz w:val="20"/>
          <w:szCs w:val="20"/>
          <w:color w:val="auto"/>
        </w:rPr>
      </w:pPr>
    </w:p>
    <w:p>
      <w:pPr>
        <w:jc w:val="both"/>
        <w:ind w:right="320" w:firstLine="438"/>
        <w:spacing w:after="0" w:line="233" w:lineRule="auto"/>
        <w:rPr>
          <w:sz w:val="20"/>
          <w:szCs w:val="20"/>
          <w:color w:val="auto"/>
        </w:rPr>
      </w:pPr>
      <w:r>
        <w:rPr>
          <w:rFonts w:ascii="Arial" w:cs="Arial" w:eastAsia="Arial" w:hAnsi="Arial"/>
          <w:sz w:val="14"/>
          <w:szCs w:val="14"/>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due diligence may include:</w:t>
      </w:r>
    </w:p>
    <w:p>
      <w:pPr>
        <w:spacing w:after="0" w:line="136" w:lineRule="exact"/>
        <w:rPr>
          <w:sz w:val="20"/>
          <w:szCs w:val="20"/>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research relating to the portfolio company’s management, industry, markets, products and services and competitors;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review of loan documents;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background checks.</w:t>
      </w:r>
    </w:p>
    <w:p>
      <w:pPr>
        <w:spacing w:after="0" w:line="136"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independent auditors prior to the closing of the investment, as well as other outside advisers, as appropriate.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0" w:right="359" w:bottom="1440" w:gutter="0" w:footer="0" w:header="0"/>
        </w:sectPr>
      </w:pPr>
    </w:p>
    <w:bookmarkStart w:id="6" w:name="page7"/>
    <w:bookmarkEnd w:id="6"/>
    <w:p>
      <w:pPr>
        <w:ind w:firstLine="438"/>
        <w:spacing w:after="0" w:line="238" w:lineRule="auto"/>
        <w:rPr>
          <w:sz w:val="20"/>
          <w:szCs w:val="20"/>
          <w:color w:val="auto"/>
        </w:rPr>
      </w:pPr>
      <w:r>
        <w:rPr>
          <w:rFonts w:ascii="Arial" w:cs="Arial" w:eastAsia="Arial" w:hAnsi="Arial"/>
          <w:sz w:val="14"/>
          <w:szCs w:val="14"/>
          <w:color w:val="auto"/>
        </w:rPr>
        <w:t>Upon the completion of due diligence on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Structure</w:t>
      </w:r>
    </w:p>
    <w:p>
      <w:pPr>
        <w:spacing w:after="0" w:line="136" w:lineRule="exact"/>
        <w:rPr>
          <w:sz w:val="20"/>
          <w:szCs w:val="20"/>
          <w:color w:val="auto"/>
        </w:rPr>
      </w:pPr>
    </w:p>
    <w:p>
      <w:pPr>
        <w:jc w:val="both"/>
        <w:ind w:right="260" w:firstLine="438"/>
        <w:spacing w:after="0" w:line="238" w:lineRule="auto"/>
        <w:rPr>
          <w:sz w:val="20"/>
          <w:szCs w:val="20"/>
          <w:color w:val="auto"/>
        </w:rPr>
      </w:pPr>
      <w:r>
        <w:rPr>
          <w:rFonts w:ascii="Arial" w:cs="Arial" w:eastAsia="Arial" w:hAnsi="Arial"/>
          <w:sz w:val="14"/>
          <w:szCs w:val="14"/>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15" w:lineRule="exact"/>
        <w:rPr>
          <w:sz w:val="20"/>
          <w:szCs w:val="20"/>
          <w:color w:val="auto"/>
        </w:rPr>
      </w:pPr>
    </w:p>
    <w:p>
      <w:pPr>
        <w:ind w:right="380" w:firstLine="438"/>
        <w:spacing w:after="0" w:line="253" w:lineRule="auto"/>
        <w:rPr>
          <w:sz w:val="20"/>
          <w:szCs w:val="20"/>
          <w:color w:val="auto"/>
        </w:rPr>
      </w:pPr>
      <w:r>
        <w:rPr>
          <w:rFonts w:ascii="Arial" w:cs="Arial" w:eastAsia="Arial" w:hAnsi="Arial"/>
          <w:sz w:val="14"/>
          <w:szCs w:val="14"/>
          <w:color w:val="auto"/>
        </w:rPr>
        <w:t>We expect our first lien secured debt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93"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Typically, our second lien secured debt and subordinated debt investments have maturities of three to ten years. Second lien secured debt and subordinated debt may take the form of a second priority lien on the assets of a portfolio company and have interest-only payments in the early years with cash or payment-in-kind,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second lien secured debt and subordinated debt may be collateralized by a subordinated lien on some or all of the assets of the borrower.</w:t>
      </w:r>
    </w:p>
    <w:p>
      <w:pPr>
        <w:spacing w:after="0" w:line="107"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115" w:lineRule="exact"/>
        <w:rPr>
          <w:sz w:val="20"/>
          <w:szCs w:val="20"/>
          <w:color w:val="auto"/>
        </w:rPr>
      </w:pPr>
    </w:p>
    <w:p>
      <w:pPr>
        <w:ind w:left="920" w:hanging="359"/>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requiring a total return on our investments (including both interest in the form of a floor and potential equity appreciation) that compensates us for credit risk;</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incorporating “put” rights and call protection into the investment structure; and</w:t>
      </w:r>
    </w:p>
    <w:p>
      <w:pPr>
        <w:spacing w:after="0" w:line="136" w:lineRule="exact"/>
        <w:rPr>
          <w:rFonts w:ascii="Arial" w:cs="Arial" w:eastAsia="Arial" w:hAnsi="Arial"/>
          <w:sz w:val="14"/>
          <w:szCs w:val="14"/>
          <w:color w:val="auto"/>
        </w:rPr>
      </w:pPr>
    </w:p>
    <w:p>
      <w:pPr>
        <w:jc w:val="both"/>
        <w:ind w:left="920" w:right="240" w:hanging="359"/>
        <w:spacing w:after="0" w:line="238" w:lineRule="auto"/>
        <w:tabs>
          <w:tab w:leader="none" w:pos="9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15"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03"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Ongoing Relationships with Portfolio Companies</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Monitoring</w:t>
      </w:r>
    </w:p>
    <w:p>
      <w:pPr>
        <w:spacing w:after="0" w:line="123"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136" w:lineRule="exact"/>
        <w:rPr>
          <w:sz w:val="20"/>
          <w:szCs w:val="20"/>
          <w:color w:val="auto"/>
        </w:rPr>
      </w:pPr>
    </w:p>
    <w:p>
      <w:pPr>
        <w:ind w:left="920" w:hanging="359"/>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assessment of success in adhering to a portfolio company’s business plan and compliance with covenants;</w:t>
      </w:r>
    </w:p>
    <w:p>
      <w:pPr>
        <w:spacing w:after="0" w:line="136" w:lineRule="exact"/>
        <w:rPr>
          <w:rFonts w:ascii="Arial" w:cs="Arial" w:eastAsia="Arial" w:hAnsi="Arial"/>
          <w:sz w:val="14"/>
          <w:szCs w:val="14"/>
          <w:color w:val="auto"/>
        </w:rPr>
      </w:pPr>
    </w:p>
    <w:p>
      <w:pPr>
        <w:ind w:left="920" w:right="780" w:hanging="359"/>
        <w:spacing w:after="0" w:line="253" w:lineRule="auto"/>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periodic or regular contact with portfolio company management and, if appropriate, the financial or strategic sponsor, to discuss financial position, requirements and accomplishments;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comparisons to other portfolio companies in the industry, if any;</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attendance at and participation in board meetings or presentations by portfolio companies;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review of periodic financial statements and financial projections for portfolio companies.</w:t>
      </w:r>
    </w:p>
    <w:p>
      <w:pPr>
        <w:spacing w:after="0" w:line="136" w:lineRule="exact"/>
        <w:rPr>
          <w:sz w:val="20"/>
          <w:szCs w:val="20"/>
          <w:color w:val="auto"/>
        </w:rPr>
      </w:pPr>
    </w:p>
    <w:p>
      <w:pPr>
        <w:ind w:right="120" w:firstLine="438"/>
        <w:spacing w:after="0" w:line="244" w:lineRule="auto"/>
        <w:rPr>
          <w:sz w:val="20"/>
          <w:szCs w:val="20"/>
          <w:color w:val="auto"/>
        </w:rPr>
      </w:pPr>
      <w:r>
        <w:rPr>
          <w:rFonts w:ascii="Arial" w:cs="Arial" w:eastAsia="Arial" w:hAnsi="Arial"/>
          <w:sz w:val="13"/>
          <w:szCs w:val="13"/>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spacing w:after="0" w:line="2" w:lineRule="exact"/>
        <w:rPr>
          <w:sz w:val="20"/>
          <w:szCs w:val="20"/>
          <w:color w:val="auto"/>
        </w:rPr>
      </w:pPr>
    </w:p>
    <w:p>
      <w:pPr>
        <w:ind w:right="100" w:firstLine="8"/>
        <w:spacing w:after="0" w:line="237" w:lineRule="auto"/>
        <w:tabs>
          <w:tab w:leader="none" w:pos="204"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136" w:lineRule="exact"/>
        <w:rPr>
          <w:sz w:val="20"/>
          <w:szCs w:val="20"/>
          <w:color w:val="auto"/>
        </w:rPr>
      </w:pPr>
    </w:p>
    <w:p>
      <w:pPr>
        <w:ind w:right="520" w:firstLine="438"/>
        <w:spacing w:after="0" w:line="253" w:lineRule="auto"/>
        <w:rPr>
          <w:sz w:val="20"/>
          <w:szCs w:val="20"/>
          <w:color w:val="auto"/>
        </w:rPr>
      </w:pPr>
      <w:r>
        <w:rPr>
          <w:rFonts w:ascii="Arial" w:cs="Arial" w:eastAsia="Arial" w:hAnsi="Arial"/>
          <w:sz w:val="14"/>
          <w:szCs w:val="14"/>
          <w:color w:val="auto"/>
        </w:rPr>
        <w:t>We offer significant managerial assistance to our portfolio companies. As a BDC, we are required to make available such significant managerial assistance within the meaning of Section 2(a)(47) of the 1940 Act. See “Regulation” for more information.</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Staffing</w:t>
      </w:r>
    </w:p>
    <w:p>
      <w:pPr>
        <w:spacing w:after="0" w:line="123"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99" w:right="39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i w:val="1"/>
          <w:iCs w:val="1"/>
          <w:color w:val="auto"/>
        </w:rPr>
        <w:t>Our Corporate Information</w:t>
      </w:r>
    </w:p>
    <w:p>
      <w:pPr>
        <w:spacing w:after="0" w:line="123" w:lineRule="exact"/>
        <w:rPr>
          <w:sz w:val="20"/>
          <w:szCs w:val="20"/>
          <w:color w:val="auto"/>
        </w:rPr>
      </w:pPr>
    </w:p>
    <w:p>
      <w:pPr>
        <w:ind w:right="80" w:firstLine="438"/>
        <w:spacing w:after="0" w:line="248" w:lineRule="auto"/>
        <w:rPr>
          <w:sz w:val="20"/>
          <w:szCs w:val="20"/>
          <w:color w:val="auto"/>
        </w:rPr>
      </w:pPr>
      <w:r>
        <w:rPr>
          <w:rFonts w:ascii="Arial" w:cs="Arial" w:eastAsia="Arial" w:hAnsi="Arial"/>
          <w:sz w:val="13"/>
          <w:szCs w:val="13"/>
          <w:color w:val="auto"/>
        </w:rPr>
        <w:t xml:space="preserve">Our administrative and principal executive offices are located at 590 Madison Avenue, 15th Floor, New York, NY 10022. Our common stock is quoted on the NASDAQ Global Select Market under the symbol “PNNT.” Our phone number is (212) 905-1000, and our Internet website address is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Information contained on our website is not incorporated by reference into this Report and you should not consider information contained on our website to be part of this Report.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that contains material that we file with the SEC on the EDGAR Database.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w:t>
      </w:r>
    </w:p>
    <w:p>
      <w:pPr>
        <w:spacing w:after="0" w:line="136"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Our principal investment focus is to provide first lien secured debt, second lien secured debt and subordinated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4620" w:type="dxa"/>
            <w:vAlign w:val="bottom"/>
          </w:tcPr>
          <w:p>
            <w:pPr>
              <w:ind w:left="120"/>
              <w:spacing w:after="0"/>
              <w:rPr>
                <w:sz w:val="20"/>
                <w:szCs w:val="20"/>
                <w:color w:val="auto"/>
              </w:rPr>
            </w:pPr>
            <w:r>
              <w:rPr>
                <w:rFonts w:ascii="Arial" w:cs="Arial" w:eastAsia="Arial" w:hAnsi="Arial"/>
                <w:sz w:val="14"/>
                <w:szCs w:val="14"/>
                <w:color w:val="auto"/>
              </w:rPr>
              <w:t>Aerospace and Defense</w:t>
            </w: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4340" w:type="dxa"/>
            <w:vAlign w:val="bottom"/>
          </w:tcPr>
          <w:p>
            <w:pPr>
              <w:ind w:left="120"/>
              <w:spacing w:after="0"/>
              <w:rPr>
                <w:sz w:val="20"/>
                <w:szCs w:val="20"/>
                <w:color w:val="auto"/>
              </w:rPr>
            </w:pPr>
            <w:r>
              <w:rPr>
                <w:rFonts w:ascii="Arial" w:cs="Arial" w:eastAsia="Arial" w:hAnsi="Arial"/>
                <w:sz w:val="14"/>
                <w:szCs w:val="14"/>
                <w:color w:val="auto"/>
              </w:rPr>
              <w:t>Energy/Utilities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20"/>
              <w:spacing w:after="0" w:line="149" w:lineRule="exact"/>
              <w:rPr>
                <w:sz w:val="20"/>
                <w:szCs w:val="20"/>
                <w:color w:val="auto"/>
              </w:rPr>
            </w:pPr>
            <w:r>
              <w:rPr>
                <w:rFonts w:ascii="Arial" w:cs="Arial" w:eastAsia="Arial" w:hAnsi="Arial"/>
                <w:sz w:val="14"/>
                <w:szCs w:val="14"/>
                <w:color w:val="auto"/>
              </w:rPr>
              <w:t>Auto Sector</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Environmental Services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Beverage, Food and Tobacco</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Financial Services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Broadcasting and Entertainment</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Grocery</w:t>
            </w:r>
          </w:p>
        </w:tc>
      </w:tr>
      <w:tr>
        <w:trPr>
          <w:trHeight w:val="176"/>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4620" w:type="dxa"/>
            <w:vAlign w:val="bottom"/>
          </w:tcPr>
          <w:p>
            <w:pPr>
              <w:ind w:left="140"/>
              <w:spacing w:after="0"/>
              <w:rPr>
                <w:sz w:val="20"/>
                <w:szCs w:val="20"/>
                <w:color w:val="auto"/>
              </w:rPr>
            </w:pPr>
            <w:r>
              <w:rPr>
                <w:rFonts w:ascii="Arial" w:cs="Arial" w:eastAsia="Arial" w:hAnsi="Arial"/>
                <w:sz w:val="14"/>
                <w:szCs w:val="14"/>
                <w:color w:val="auto"/>
              </w:rPr>
              <w:t>Buildings and Real Estate</w:t>
            </w: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4340" w:type="dxa"/>
            <w:vAlign w:val="bottom"/>
          </w:tcPr>
          <w:p>
            <w:pPr>
              <w:ind w:left="120"/>
              <w:spacing w:after="0"/>
              <w:rPr>
                <w:sz w:val="20"/>
                <w:szCs w:val="20"/>
                <w:color w:val="auto"/>
              </w:rPr>
            </w:pPr>
            <w:r>
              <w:rPr>
                <w:rFonts w:ascii="Arial" w:cs="Arial" w:eastAsia="Arial" w:hAnsi="Arial"/>
                <w:sz w:val="14"/>
                <w:szCs w:val="14"/>
                <w:color w:val="auto"/>
              </w:rPr>
              <w:t>Healthcare, Education and Childcare</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Building Materials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High Tech Industries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Business Services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w w:val="94"/>
              </w:rPr>
              <w:t>Home &amp; Office Furnishings, Housewares &amp; Durable Consumer Products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Cable Television</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Hotels, Motels, Inns and Gaming</w:t>
            </w:r>
          </w:p>
        </w:tc>
      </w:tr>
      <w:tr>
        <w:trPr>
          <w:trHeight w:val="149"/>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Capital Equipment</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Insurance</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Cargo Transportation</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Leisure, Amusement, Motion Picture, Entertainment</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Chemicals, Plastics and Rubber</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Logistics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Communications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Manufacturing/Basic Industries</w:t>
            </w:r>
          </w:p>
        </w:tc>
      </w:tr>
      <w:tr>
        <w:trPr>
          <w:trHeight w:val="176"/>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4620" w:type="dxa"/>
            <w:vAlign w:val="bottom"/>
          </w:tcPr>
          <w:p>
            <w:pPr>
              <w:ind w:left="140"/>
              <w:spacing w:after="0"/>
              <w:rPr>
                <w:sz w:val="20"/>
                <w:szCs w:val="20"/>
                <w:color w:val="auto"/>
              </w:rPr>
            </w:pPr>
            <w:r>
              <w:rPr>
                <w:rFonts w:ascii="Arial" w:cs="Arial" w:eastAsia="Arial" w:hAnsi="Arial"/>
                <w:sz w:val="14"/>
                <w:szCs w:val="14"/>
                <w:color w:val="auto"/>
              </w:rPr>
              <w:t>Consumer Products</w:t>
            </w: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4340" w:type="dxa"/>
            <w:vAlign w:val="bottom"/>
          </w:tcPr>
          <w:p>
            <w:pPr>
              <w:ind w:left="120"/>
              <w:spacing w:after="0"/>
              <w:rPr>
                <w:sz w:val="20"/>
                <w:szCs w:val="20"/>
                <w:color w:val="auto"/>
              </w:rPr>
            </w:pPr>
            <w:r>
              <w:rPr>
                <w:rFonts w:ascii="Arial" w:cs="Arial" w:eastAsia="Arial" w:hAnsi="Arial"/>
                <w:sz w:val="14"/>
                <w:szCs w:val="14"/>
                <w:color w:val="auto"/>
              </w:rPr>
              <w:t>Media</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Consumer Services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Mining, Steel, Iron and Non-Precious Metals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Containers Packaging &amp; Glass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Oil and Gas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Distribution</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Other Media</w:t>
            </w:r>
          </w:p>
        </w:tc>
      </w:tr>
      <w:tr>
        <w:trPr>
          <w:trHeight w:val="176"/>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4620" w:type="dxa"/>
            <w:vAlign w:val="bottom"/>
          </w:tcPr>
          <w:p>
            <w:pPr>
              <w:ind w:left="140"/>
              <w:spacing w:after="0"/>
              <w:rPr>
                <w:sz w:val="20"/>
                <w:szCs w:val="20"/>
                <w:color w:val="auto"/>
              </w:rPr>
            </w:pPr>
            <w:r>
              <w:rPr>
                <w:rFonts w:ascii="Arial" w:cs="Arial" w:eastAsia="Arial" w:hAnsi="Arial"/>
                <w:sz w:val="14"/>
                <w:szCs w:val="14"/>
                <w:color w:val="auto"/>
              </w:rPr>
              <w:t>Diversified/Conglomerate Manufacturing</w:t>
            </w: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4340" w:type="dxa"/>
            <w:vAlign w:val="bottom"/>
          </w:tcPr>
          <w:p>
            <w:pPr>
              <w:ind w:left="120"/>
              <w:spacing w:after="0"/>
              <w:rPr>
                <w:sz w:val="20"/>
                <w:szCs w:val="20"/>
                <w:color w:val="auto"/>
              </w:rPr>
            </w:pPr>
            <w:r>
              <w:rPr>
                <w:rFonts w:ascii="Arial" w:cs="Arial" w:eastAsia="Arial" w:hAnsi="Arial"/>
                <w:sz w:val="14"/>
                <w:szCs w:val="14"/>
                <w:color w:val="auto"/>
              </w:rPr>
              <w:t>Personal, Food and Miscellaneous Services</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Diversified/Conglomerate Services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Printing and Publishing</w:t>
            </w:r>
          </w:p>
        </w:tc>
      </w:tr>
      <w:tr>
        <w:trPr>
          <w:trHeight w:val="148"/>
        </w:trPr>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20" w:type="dxa"/>
            <w:vAlign w:val="bottom"/>
          </w:tcPr>
          <w:p>
            <w:pPr>
              <w:ind w:left="140"/>
              <w:spacing w:after="0" w:line="149" w:lineRule="exact"/>
              <w:rPr>
                <w:sz w:val="20"/>
                <w:szCs w:val="20"/>
                <w:color w:val="auto"/>
              </w:rPr>
            </w:pPr>
            <w:r>
              <w:rPr>
                <w:rFonts w:ascii="Arial" w:cs="Arial" w:eastAsia="Arial" w:hAnsi="Arial"/>
                <w:sz w:val="14"/>
                <w:szCs w:val="14"/>
                <w:color w:val="auto"/>
              </w:rPr>
              <w:t>Diversified Natural Resources, Precious Metals and Minerals</w:t>
            </w:r>
          </w:p>
        </w:tc>
        <w:tc>
          <w:tcPr>
            <w:tcW w:w="1120" w:type="dxa"/>
            <w:vAlign w:val="bottom"/>
          </w:tcPr>
          <w:p>
            <w:pPr>
              <w:ind w:left="940"/>
              <w:spacing w:after="0" w:line="149" w:lineRule="exact"/>
              <w:rPr>
                <w:sz w:val="20"/>
                <w:szCs w:val="20"/>
                <w:color w:val="auto"/>
              </w:rPr>
            </w:pPr>
            <w:r>
              <w:rPr>
                <w:rFonts w:ascii="Arial" w:cs="Arial" w:eastAsia="Arial" w:hAnsi="Arial"/>
                <w:sz w:val="14"/>
                <w:szCs w:val="14"/>
                <w:color w:val="auto"/>
              </w:rPr>
              <w:t>•</w:t>
            </w:r>
          </w:p>
        </w:tc>
        <w:tc>
          <w:tcPr>
            <w:tcW w:w="4340" w:type="dxa"/>
            <w:vAlign w:val="bottom"/>
          </w:tcPr>
          <w:p>
            <w:pPr>
              <w:ind w:left="120"/>
              <w:spacing w:after="0" w:line="149" w:lineRule="exact"/>
              <w:rPr>
                <w:sz w:val="20"/>
                <w:szCs w:val="20"/>
                <w:color w:val="auto"/>
              </w:rPr>
            </w:pPr>
            <w:r>
              <w:rPr>
                <w:rFonts w:ascii="Arial" w:cs="Arial" w:eastAsia="Arial" w:hAnsi="Arial"/>
                <w:sz w:val="14"/>
                <w:szCs w:val="14"/>
                <w:color w:val="auto"/>
              </w:rPr>
              <w:t>Retail</w:t>
            </w:r>
          </w:p>
        </w:tc>
      </w:tr>
      <w:tr>
        <w:trPr>
          <w:trHeight w:val="160"/>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4620" w:type="dxa"/>
            <w:vAlign w:val="bottom"/>
          </w:tcPr>
          <w:p>
            <w:pPr>
              <w:ind w:left="140"/>
              <w:spacing w:after="0"/>
              <w:rPr>
                <w:sz w:val="20"/>
                <w:szCs w:val="20"/>
                <w:color w:val="auto"/>
              </w:rPr>
            </w:pPr>
            <w:r>
              <w:rPr>
                <w:rFonts w:ascii="Arial" w:cs="Arial" w:eastAsia="Arial" w:hAnsi="Arial"/>
                <w:sz w:val="14"/>
                <w:szCs w:val="14"/>
                <w:color w:val="auto"/>
              </w:rPr>
              <w:t>Education</w:t>
            </w:r>
          </w:p>
        </w:tc>
        <w:tc>
          <w:tcPr>
            <w:tcW w:w="1120" w:type="dxa"/>
            <w:vAlign w:val="bottom"/>
          </w:tcPr>
          <w:p>
            <w:pPr>
              <w:ind w:left="940"/>
              <w:spacing w:after="0"/>
              <w:rPr>
                <w:sz w:val="20"/>
                <w:szCs w:val="20"/>
                <w:color w:val="auto"/>
              </w:rPr>
            </w:pPr>
            <w:r>
              <w:rPr>
                <w:rFonts w:ascii="Arial" w:cs="Arial" w:eastAsia="Arial" w:hAnsi="Arial"/>
                <w:sz w:val="14"/>
                <w:szCs w:val="14"/>
                <w:color w:val="auto"/>
              </w:rPr>
              <w:t>•</w:t>
            </w:r>
          </w:p>
        </w:tc>
        <w:tc>
          <w:tcPr>
            <w:tcW w:w="4340" w:type="dxa"/>
            <w:vAlign w:val="bottom"/>
          </w:tcPr>
          <w:p>
            <w:pPr>
              <w:ind w:left="120"/>
              <w:spacing w:after="0"/>
              <w:rPr>
                <w:sz w:val="20"/>
                <w:szCs w:val="20"/>
                <w:color w:val="auto"/>
              </w:rPr>
            </w:pPr>
            <w:r>
              <w:rPr>
                <w:rFonts w:ascii="Arial" w:cs="Arial" w:eastAsia="Arial" w:hAnsi="Arial"/>
                <w:sz w:val="14"/>
                <w:szCs w:val="14"/>
                <w:color w:val="auto"/>
              </w:rPr>
              <w:t>Wholesale</w:t>
            </w:r>
          </w:p>
        </w:tc>
      </w:tr>
    </w:tbl>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Electronics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Listed below are our top ten portfolio companies and industries represented as a percentage of our consolidated portfolio assets (excluding cash and cash equivalents) as of September 30: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200" w:type="dxa"/>
            <w:vAlign w:val="bottom"/>
            <w:tcBorders>
              <w:bottom w:val="single" w:sz="8" w:color="CCECFF"/>
            </w:tcBorders>
          </w:tcPr>
          <w:p>
            <w:pPr>
              <w:spacing w:after="0"/>
              <w:rPr>
                <w:sz w:val="14"/>
                <w:szCs w:val="14"/>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CFF"/>
            </w:tcBorders>
          </w:tcPr>
          <w:p>
            <w:pPr>
              <w:spacing w:after="0"/>
              <w:rPr>
                <w:sz w:val="14"/>
                <w:szCs w:val="1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200" w:type="dxa"/>
            <w:vAlign w:val="bottom"/>
            <w:tcBorders>
              <w:bottom w:val="single" w:sz="8" w:color="CCECFF"/>
            </w:tcBorders>
          </w:tcPr>
          <w:p>
            <w:pPr>
              <w:spacing w:after="0"/>
              <w:rPr>
                <w:sz w:val="14"/>
                <w:szCs w:val="14"/>
                <w:color w:val="auto"/>
              </w:rPr>
            </w:pPr>
          </w:p>
        </w:tc>
        <w:tc>
          <w:tcPr>
            <w:tcW w:w="9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CFF"/>
            </w:tcBorders>
          </w:tcPr>
          <w:p>
            <w:pPr>
              <w:spacing w:after="0"/>
              <w:rPr>
                <w:sz w:val="14"/>
                <w:szCs w:val="14"/>
                <w:color w:val="auto"/>
              </w:rPr>
            </w:pPr>
          </w:p>
        </w:tc>
      </w:tr>
      <w:tr>
        <w:trPr>
          <w:trHeight w:val="155"/>
        </w:trPr>
        <w:tc>
          <w:tcPr>
            <w:tcW w:w="42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Parq Holdings Limited Partnership</w:t>
            </w:r>
          </w:p>
        </w:tc>
        <w:tc>
          <w:tcPr>
            <w:tcW w:w="200" w:type="dxa"/>
            <w:vAlign w:val="bottom"/>
            <w:shd w:val="clear" w:color="auto" w:fill="CCECFF"/>
          </w:tcPr>
          <w:p>
            <w:pPr>
              <w:spacing w:after="0"/>
              <w:rPr>
                <w:sz w:val="13"/>
                <w:szCs w:val="13"/>
                <w:color w:val="auto"/>
              </w:rPr>
            </w:pPr>
          </w:p>
        </w:tc>
        <w:tc>
          <w:tcPr>
            <w:tcW w:w="1260" w:type="dxa"/>
            <w:vAlign w:val="bottom"/>
            <w:gridSpan w:val="2"/>
            <w:shd w:val="clear" w:color="auto" w:fill="CCECFF"/>
          </w:tcPr>
          <w:p>
            <w:pPr>
              <w:ind w:left="820"/>
              <w:spacing w:after="0" w:line="155" w:lineRule="exact"/>
              <w:rPr>
                <w:sz w:val="20"/>
                <w:szCs w:val="20"/>
                <w:color w:val="auto"/>
              </w:rPr>
            </w:pPr>
            <w:r>
              <w:rPr>
                <w:rFonts w:ascii="Arial" w:cs="Arial" w:eastAsia="Arial" w:hAnsi="Arial"/>
                <w:sz w:val="14"/>
                <w:szCs w:val="14"/>
                <w:color w:val="auto"/>
              </w:rPr>
              <w:t>7%</w:t>
            </w:r>
          </w:p>
        </w:tc>
        <w:tc>
          <w:tcPr>
            <w:tcW w:w="4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Parq Holdings Limited Partnership</w:t>
            </w:r>
          </w:p>
        </w:tc>
        <w:tc>
          <w:tcPr>
            <w:tcW w:w="20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ind w:left="840"/>
              <w:spacing w:after="0" w:line="155" w:lineRule="exact"/>
              <w:rPr>
                <w:sz w:val="20"/>
                <w:szCs w:val="20"/>
                <w:color w:val="auto"/>
              </w:rPr>
            </w:pPr>
            <w:r>
              <w:rPr>
                <w:rFonts w:ascii="Arial" w:cs="Arial" w:eastAsia="Arial" w:hAnsi="Arial"/>
                <w:sz w:val="14"/>
                <w:szCs w:val="14"/>
                <w:color w:val="auto"/>
                <w:w w:val="98"/>
              </w:rPr>
              <w:t>7%</w:t>
            </w: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RAM Energy Holdings LLC</w:t>
            </w:r>
          </w:p>
        </w:tc>
        <w:tc>
          <w:tcPr>
            <w:tcW w:w="920" w:type="dxa"/>
            <w:vAlign w:val="bottom"/>
          </w:tcPr>
          <w:p>
            <w:pPr>
              <w:ind w:left="820"/>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Pre-Paid Legal Services, Inc.</w:t>
            </w:r>
          </w:p>
        </w:tc>
        <w:tc>
          <w:tcPr>
            <w:tcW w:w="920" w:type="dxa"/>
            <w:vAlign w:val="bottom"/>
          </w:tcPr>
          <w:p>
            <w:pPr>
              <w:ind w:left="840"/>
              <w:spacing w:after="0"/>
              <w:rPr>
                <w:sz w:val="20"/>
                <w:szCs w:val="20"/>
                <w:color w:val="auto"/>
              </w:rPr>
            </w:pPr>
            <w:r>
              <w:rPr>
                <w:rFonts w:ascii="Arial" w:cs="Arial" w:eastAsia="Arial" w:hAnsi="Arial"/>
                <w:sz w:val="14"/>
                <w:szCs w:val="14"/>
                <w:color w:val="auto"/>
                <w:w w:val="76"/>
              </w:rPr>
              <w:t>6</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AKW Holdings Limited</w:t>
            </w:r>
          </w:p>
        </w:tc>
        <w:tc>
          <w:tcPr>
            <w:tcW w:w="920" w:type="dxa"/>
            <w:vAlign w:val="bottom"/>
            <w:shd w:val="clear" w:color="auto" w:fill="CCECFF"/>
          </w:tcPr>
          <w:p>
            <w:pPr>
              <w:ind w:left="820"/>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RAM Energy Holdings LLC</w:t>
            </w:r>
          </w:p>
        </w:tc>
        <w:tc>
          <w:tcPr>
            <w:tcW w:w="920" w:type="dxa"/>
            <w:vAlign w:val="bottom"/>
            <w:shd w:val="clear" w:color="auto" w:fill="CCECFF"/>
          </w:tcPr>
          <w:p>
            <w:pPr>
              <w:ind w:left="840"/>
              <w:spacing w:after="0"/>
              <w:rPr>
                <w:sz w:val="20"/>
                <w:szCs w:val="20"/>
                <w:color w:val="auto"/>
              </w:rPr>
            </w:pPr>
            <w:r>
              <w:rPr>
                <w:rFonts w:ascii="Arial" w:cs="Arial" w:eastAsia="Arial" w:hAnsi="Arial"/>
                <w:sz w:val="14"/>
                <w:szCs w:val="14"/>
                <w:color w:val="auto"/>
                <w:w w:val="76"/>
              </w:rPr>
              <w:t>6</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Halo Buyer, Inc.</w:t>
            </w:r>
          </w:p>
        </w:tc>
        <w:tc>
          <w:tcPr>
            <w:tcW w:w="920" w:type="dxa"/>
            <w:vAlign w:val="bottom"/>
          </w:tcPr>
          <w:p>
            <w:pPr>
              <w:ind w:left="820"/>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ETX Energy, LLC</w:t>
            </w:r>
          </w:p>
        </w:tc>
        <w:tc>
          <w:tcPr>
            <w:tcW w:w="920" w:type="dxa"/>
            <w:vAlign w:val="bottom"/>
          </w:tcPr>
          <w:p>
            <w:pPr>
              <w:ind w:left="840"/>
              <w:spacing w:after="0"/>
              <w:rPr>
                <w:sz w:val="20"/>
                <w:szCs w:val="20"/>
                <w:color w:val="auto"/>
              </w:rPr>
            </w:pPr>
            <w:r>
              <w:rPr>
                <w:rFonts w:ascii="Arial" w:cs="Arial" w:eastAsia="Arial" w:hAnsi="Arial"/>
                <w:sz w:val="14"/>
                <w:szCs w:val="14"/>
                <w:color w:val="auto"/>
                <w:w w:val="76"/>
              </w:rPr>
              <w:t>4</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MailSouth, Inc.</w:t>
            </w:r>
          </w:p>
        </w:tc>
        <w:tc>
          <w:tcPr>
            <w:tcW w:w="920" w:type="dxa"/>
            <w:vAlign w:val="bottom"/>
            <w:shd w:val="clear" w:color="auto" w:fill="CCECFF"/>
          </w:tcPr>
          <w:p>
            <w:pPr>
              <w:ind w:left="820"/>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Howard Berger Co. LLC</w:t>
            </w:r>
          </w:p>
        </w:tc>
        <w:tc>
          <w:tcPr>
            <w:tcW w:w="920" w:type="dxa"/>
            <w:vAlign w:val="bottom"/>
            <w:shd w:val="clear" w:color="auto" w:fill="CCECFF"/>
          </w:tcPr>
          <w:p>
            <w:pPr>
              <w:ind w:left="840"/>
              <w:spacing w:after="0"/>
              <w:rPr>
                <w:sz w:val="20"/>
                <w:szCs w:val="20"/>
                <w:color w:val="auto"/>
              </w:rPr>
            </w:pPr>
            <w:r>
              <w:rPr>
                <w:rFonts w:ascii="Arial" w:cs="Arial" w:eastAsia="Arial" w:hAnsi="Arial"/>
                <w:sz w:val="14"/>
                <w:szCs w:val="14"/>
                <w:color w:val="auto"/>
                <w:w w:val="76"/>
              </w:rPr>
              <w:t>4</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PT Network, LLC</w:t>
            </w:r>
          </w:p>
        </w:tc>
        <w:tc>
          <w:tcPr>
            <w:tcW w:w="920" w:type="dxa"/>
            <w:vAlign w:val="bottom"/>
          </w:tcPr>
          <w:p>
            <w:pPr>
              <w:ind w:left="820"/>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Acre Operating Company, LLC</w:t>
            </w:r>
          </w:p>
        </w:tc>
        <w:tc>
          <w:tcPr>
            <w:tcW w:w="920" w:type="dxa"/>
            <w:vAlign w:val="bottom"/>
          </w:tcPr>
          <w:p>
            <w:pPr>
              <w:ind w:left="840"/>
              <w:spacing w:after="0"/>
              <w:rPr>
                <w:sz w:val="20"/>
                <w:szCs w:val="20"/>
                <w:color w:val="auto"/>
              </w:rPr>
            </w:pPr>
            <w:r>
              <w:rPr>
                <w:rFonts w:ascii="Arial" w:cs="Arial" w:eastAsia="Arial" w:hAnsi="Arial"/>
                <w:sz w:val="14"/>
                <w:szCs w:val="14"/>
                <w:color w:val="auto"/>
                <w:w w:val="76"/>
              </w:rPr>
              <w:t>3</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Cano Health, LLC</w:t>
            </w:r>
          </w:p>
        </w:tc>
        <w:tc>
          <w:tcPr>
            <w:tcW w:w="920" w:type="dxa"/>
            <w:vAlign w:val="bottom"/>
            <w:shd w:val="clear" w:color="auto" w:fill="CCECFF"/>
          </w:tcPr>
          <w:p>
            <w:pPr>
              <w:ind w:left="820"/>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Cascade Environmental LLC</w:t>
            </w:r>
          </w:p>
        </w:tc>
        <w:tc>
          <w:tcPr>
            <w:tcW w:w="920" w:type="dxa"/>
            <w:vAlign w:val="bottom"/>
            <w:shd w:val="clear" w:color="auto" w:fill="CCECFF"/>
          </w:tcPr>
          <w:p>
            <w:pPr>
              <w:ind w:left="840"/>
              <w:spacing w:after="0"/>
              <w:rPr>
                <w:sz w:val="20"/>
                <w:szCs w:val="20"/>
                <w:color w:val="auto"/>
              </w:rPr>
            </w:pPr>
            <w:r>
              <w:rPr>
                <w:rFonts w:ascii="Arial" w:cs="Arial" w:eastAsia="Arial" w:hAnsi="Arial"/>
                <w:sz w:val="14"/>
                <w:szCs w:val="14"/>
                <w:color w:val="auto"/>
                <w:w w:val="76"/>
              </w:rPr>
              <w:t>3</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Cascade Environmental LLC</w:t>
            </w:r>
          </w:p>
        </w:tc>
        <w:tc>
          <w:tcPr>
            <w:tcW w:w="920" w:type="dxa"/>
            <w:vAlign w:val="bottom"/>
          </w:tcPr>
          <w:p>
            <w:pPr>
              <w:ind w:left="820"/>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DecoPac, Inc.</w:t>
            </w:r>
          </w:p>
        </w:tc>
        <w:tc>
          <w:tcPr>
            <w:tcW w:w="920" w:type="dxa"/>
            <w:vAlign w:val="bottom"/>
          </w:tcPr>
          <w:p>
            <w:pPr>
              <w:ind w:left="840"/>
              <w:spacing w:after="0"/>
              <w:rPr>
                <w:sz w:val="20"/>
                <w:szCs w:val="20"/>
                <w:color w:val="auto"/>
              </w:rPr>
            </w:pPr>
            <w:r>
              <w:rPr>
                <w:rFonts w:ascii="Arial" w:cs="Arial" w:eastAsia="Arial" w:hAnsi="Arial"/>
                <w:sz w:val="14"/>
                <w:szCs w:val="14"/>
                <w:color w:val="auto"/>
                <w:w w:val="76"/>
              </w:rPr>
              <w:t>3</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Shift4 Payments, LLC</w:t>
            </w:r>
          </w:p>
        </w:tc>
        <w:tc>
          <w:tcPr>
            <w:tcW w:w="920" w:type="dxa"/>
            <w:vAlign w:val="bottom"/>
            <w:shd w:val="clear" w:color="auto" w:fill="CCECFF"/>
          </w:tcPr>
          <w:p>
            <w:pPr>
              <w:ind w:left="820"/>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Lighthouse Network, LLC</w:t>
            </w:r>
          </w:p>
        </w:tc>
        <w:tc>
          <w:tcPr>
            <w:tcW w:w="920" w:type="dxa"/>
            <w:vAlign w:val="bottom"/>
            <w:shd w:val="clear" w:color="auto" w:fill="CCECFF"/>
          </w:tcPr>
          <w:p>
            <w:pPr>
              <w:ind w:left="840"/>
              <w:spacing w:after="0"/>
              <w:rPr>
                <w:sz w:val="20"/>
                <w:szCs w:val="20"/>
                <w:color w:val="auto"/>
              </w:rPr>
            </w:pPr>
            <w:r>
              <w:rPr>
                <w:rFonts w:ascii="Arial" w:cs="Arial" w:eastAsia="Arial" w:hAnsi="Arial"/>
                <w:sz w:val="14"/>
                <w:szCs w:val="14"/>
                <w:color w:val="auto"/>
                <w:w w:val="76"/>
              </w:rPr>
              <w:t>3</w:t>
            </w:r>
          </w:p>
        </w:tc>
        <w:tc>
          <w:tcPr>
            <w:tcW w:w="140" w:type="dxa"/>
            <w:vAlign w:val="bottom"/>
            <w:shd w:val="clear" w:color="auto" w:fill="CCECFF"/>
          </w:tcPr>
          <w:p>
            <w:pPr>
              <w:spacing w:after="0"/>
              <w:rPr>
                <w:sz w:val="14"/>
                <w:szCs w:val="14"/>
                <w:color w:val="auto"/>
              </w:rPr>
            </w:pPr>
          </w:p>
        </w:tc>
      </w:tr>
      <w:tr>
        <w:trPr>
          <w:trHeight w:val="182"/>
        </w:trPr>
        <w:tc>
          <w:tcPr>
            <w:tcW w:w="4480" w:type="dxa"/>
            <w:vAlign w:val="bottom"/>
            <w:gridSpan w:val="2"/>
          </w:tcPr>
          <w:p>
            <w:pPr>
              <w:spacing w:after="0"/>
              <w:rPr>
                <w:sz w:val="20"/>
                <w:szCs w:val="20"/>
                <w:color w:val="auto"/>
              </w:rPr>
            </w:pPr>
            <w:r>
              <w:rPr>
                <w:rFonts w:ascii="Arial" w:cs="Arial" w:eastAsia="Arial" w:hAnsi="Arial"/>
                <w:sz w:val="14"/>
                <w:szCs w:val="14"/>
                <w:color w:val="auto"/>
              </w:rPr>
              <w:t>Winter Park Intermediate, Inc.</w:t>
            </w:r>
          </w:p>
        </w:tc>
        <w:tc>
          <w:tcPr>
            <w:tcW w:w="920" w:type="dxa"/>
            <w:vAlign w:val="bottom"/>
          </w:tcPr>
          <w:p>
            <w:pPr>
              <w:ind w:left="820"/>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5"/>
                <w:szCs w:val="15"/>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Sunborn Oy, Sunborn Saga Oy</w:t>
            </w:r>
          </w:p>
        </w:tc>
        <w:tc>
          <w:tcPr>
            <w:tcW w:w="920" w:type="dxa"/>
            <w:vAlign w:val="bottom"/>
          </w:tcPr>
          <w:p>
            <w:pPr>
              <w:ind w:left="840"/>
              <w:spacing w:after="0"/>
              <w:rPr>
                <w:sz w:val="20"/>
                <w:szCs w:val="20"/>
                <w:color w:val="auto"/>
              </w:rPr>
            </w:pPr>
            <w:r>
              <w:rPr>
                <w:rFonts w:ascii="Arial" w:cs="Arial" w:eastAsia="Arial" w:hAnsi="Arial"/>
                <w:sz w:val="14"/>
                <w:szCs w:val="14"/>
                <w:color w:val="auto"/>
                <w:w w:val="76"/>
              </w:rPr>
              <w:t>3</w:t>
            </w:r>
          </w:p>
        </w:tc>
        <w:tc>
          <w:tcPr>
            <w:tcW w:w="140" w:type="dxa"/>
            <w:vAlign w:val="bottom"/>
          </w:tcPr>
          <w:p>
            <w:pPr>
              <w:spacing w:after="0"/>
              <w:rPr>
                <w:sz w:val="15"/>
                <w:szCs w:val="15"/>
                <w:color w:val="auto"/>
              </w:rPr>
            </w:pPr>
          </w:p>
        </w:tc>
      </w:tr>
    </w:tbl>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200" w:type="dxa"/>
            <w:vAlign w:val="bottom"/>
            <w:tcBorders>
              <w:bottom w:val="single" w:sz="8" w:color="CCECFF"/>
            </w:tcBorders>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CFF"/>
            </w:tcBorders>
          </w:tcPr>
          <w:p>
            <w:pPr>
              <w:spacing w:after="0"/>
              <w:rPr>
                <w:sz w:val="14"/>
                <w:szCs w:val="1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w:t>
            </w:r>
          </w:p>
        </w:tc>
        <w:tc>
          <w:tcPr>
            <w:tcW w:w="200" w:type="dxa"/>
            <w:vAlign w:val="bottom"/>
            <w:tcBorders>
              <w:bottom w:val="single" w:sz="8" w:color="CCECFF"/>
            </w:tcBorders>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CFF"/>
            </w:tcBorders>
          </w:tcPr>
          <w:p>
            <w:pPr>
              <w:spacing w:after="0"/>
              <w:rPr>
                <w:sz w:val="14"/>
                <w:szCs w:val="14"/>
                <w:color w:val="auto"/>
              </w:rPr>
            </w:pPr>
          </w:p>
        </w:tc>
      </w:tr>
      <w:tr>
        <w:trPr>
          <w:trHeight w:val="155"/>
        </w:trPr>
        <w:tc>
          <w:tcPr>
            <w:tcW w:w="42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Healthcare, Education and Childcare</w:t>
            </w:r>
          </w:p>
        </w:tc>
        <w:tc>
          <w:tcPr>
            <w:tcW w:w="200" w:type="dxa"/>
            <w:vAlign w:val="bottom"/>
            <w:shd w:val="clear" w:color="auto" w:fill="CCECFF"/>
          </w:tcPr>
          <w:p>
            <w:pPr>
              <w:spacing w:after="0"/>
              <w:rPr>
                <w:sz w:val="13"/>
                <w:szCs w:val="13"/>
                <w:color w:val="auto"/>
              </w:rPr>
            </w:pPr>
          </w:p>
        </w:tc>
        <w:tc>
          <w:tcPr>
            <w:tcW w:w="1260" w:type="dxa"/>
            <w:vAlign w:val="bottom"/>
            <w:gridSpan w:val="2"/>
            <w:shd w:val="clear" w:color="auto" w:fill="CCECFF"/>
          </w:tcPr>
          <w:p>
            <w:pPr>
              <w:jc w:val="right"/>
              <w:ind w:right="220"/>
              <w:spacing w:after="0" w:line="155" w:lineRule="exact"/>
              <w:rPr>
                <w:sz w:val="20"/>
                <w:szCs w:val="20"/>
                <w:color w:val="auto"/>
              </w:rPr>
            </w:pPr>
            <w:r>
              <w:rPr>
                <w:rFonts w:ascii="Arial" w:cs="Arial" w:eastAsia="Arial" w:hAnsi="Arial"/>
                <w:sz w:val="14"/>
                <w:szCs w:val="14"/>
                <w:color w:val="auto"/>
              </w:rPr>
              <w:t>15%</w:t>
            </w:r>
          </w:p>
        </w:tc>
        <w:tc>
          <w:tcPr>
            <w:tcW w:w="4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Hotels, Motels, Inns and Gaming</w:t>
            </w:r>
          </w:p>
        </w:tc>
        <w:tc>
          <w:tcPr>
            <w:tcW w:w="20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w:t>
            </w: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Consumer Products</w:t>
            </w: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Personal, Food and Miscellaneous Services</w:t>
            </w: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Energy and Utilities</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Financial Services</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Hotels, Motels, Inns and Gaming</w:t>
            </w: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Media</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Energy and Utilities</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Printing and Publishing</w:t>
            </w: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Healthcare, Education and Childcare</w:t>
            </w: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Financial Services</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Oil and Gas</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Oil and Gas</w:t>
            </w: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Consumer Products</w:t>
            </w: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Business Services</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Distribution</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82"/>
        </w:trPr>
        <w:tc>
          <w:tcPr>
            <w:tcW w:w="4480" w:type="dxa"/>
            <w:vAlign w:val="bottom"/>
            <w:gridSpan w:val="2"/>
          </w:tcPr>
          <w:p>
            <w:pPr>
              <w:spacing w:after="0"/>
              <w:rPr>
                <w:sz w:val="20"/>
                <w:szCs w:val="20"/>
                <w:color w:val="auto"/>
              </w:rPr>
            </w:pPr>
            <w:r>
              <w:rPr>
                <w:rFonts w:ascii="Arial" w:cs="Arial" w:eastAsia="Arial" w:hAnsi="Arial"/>
                <w:sz w:val="14"/>
                <w:szCs w:val="14"/>
                <w:color w:val="auto"/>
              </w:rPr>
              <w:t>Personal, Food and Miscellaneous Services</w:t>
            </w: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5"/>
                <w:szCs w:val="15"/>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Environmental Services</w:t>
            </w: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5"/>
                <w:szCs w:val="15"/>
                <w:color w:val="auto"/>
              </w:rPr>
            </w:pPr>
          </w:p>
        </w:tc>
      </w:tr>
    </w:tbl>
    <w:p>
      <w:pPr>
        <w:spacing w:after="0" w:line="110" w:lineRule="exact"/>
        <w:rPr>
          <w:sz w:val="20"/>
          <w:szCs w:val="20"/>
          <w:color w:val="auto"/>
        </w:rPr>
      </w:pPr>
    </w:p>
    <w:p>
      <w:pPr>
        <w:ind w:right="40" w:firstLine="438"/>
        <w:spacing w:after="0" w:line="226" w:lineRule="auto"/>
        <w:rPr>
          <w:sz w:val="20"/>
          <w:szCs w:val="20"/>
          <w:color w:val="auto"/>
        </w:rPr>
      </w:pPr>
      <w:r>
        <w:rPr>
          <w:rFonts w:ascii="Arial" w:cs="Arial" w:eastAsia="Arial" w:hAnsi="Arial"/>
          <w:sz w:val="14"/>
          <w:szCs w:val="14"/>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 w:name="page9"/>
    <w:bookmarkEnd w:id="8"/>
    <w:p>
      <w:pPr>
        <w:ind w:right="100" w:firstLine="438"/>
        <w:spacing w:after="0" w:line="238"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Management Agreement</w:t>
      </w:r>
    </w:p>
    <w:p>
      <w:pPr>
        <w:spacing w:after="0" w:line="136"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We have entered into an agreement with the Investment Adviser, or the Investment Management Agreement,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provides similar services to our SBIC Funds under their respective investment management agreements. Such investment management agreements do not affect the management or incentive fees that we pay to the Investment Adviser on a consolidated basis. Under the terms of our Investment Management Agreement, the Investment Adviser:</w:t>
      </w:r>
    </w:p>
    <w:p>
      <w:pPr>
        <w:spacing w:after="0" w:line="109" w:lineRule="exact"/>
        <w:rPr>
          <w:sz w:val="20"/>
          <w:szCs w:val="20"/>
          <w:color w:val="auto"/>
        </w:rPr>
      </w:pPr>
    </w:p>
    <w:p>
      <w:pPr>
        <w:ind w:left="920" w:hanging="359"/>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closes and monitors the investments we make;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provides us with such other investment advisory, research and related services, as we may need from time to time.</w:t>
      </w:r>
    </w:p>
    <w:p>
      <w:pPr>
        <w:spacing w:after="0" w:line="136" w:lineRule="exact"/>
        <w:rPr>
          <w:sz w:val="20"/>
          <w:szCs w:val="20"/>
          <w:color w:val="auto"/>
        </w:rPr>
      </w:pPr>
    </w:p>
    <w:p>
      <w:pPr>
        <w:ind w:right="280" w:firstLine="438"/>
        <w:spacing w:after="0" w:line="233" w:lineRule="auto"/>
        <w:rPr>
          <w:sz w:val="20"/>
          <w:szCs w:val="20"/>
          <w:color w:val="auto"/>
        </w:rPr>
      </w:pPr>
      <w:r>
        <w:rPr>
          <w:rFonts w:ascii="Arial" w:cs="Arial" w:eastAsia="Arial" w:hAnsi="Arial"/>
          <w:sz w:val="14"/>
          <w:szCs w:val="14"/>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 Fees</w:t>
      </w:r>
    </w:p>
    <w:p>
      <w:pPr>
        <w:spacing w:after="0" w:line="136" w:lineRule="exact"/>
        <w:rPr>
          <w:sz w:val="20"/>
          <w:szCs w:val="20"/>
          <w:color w:val="auto"/>
        </w:rPr>
      </w:pPr>
    </w:p>
    <w:p>
      <w:pPr>
        <w:ind w:right="20" w:firstLine="456"/>
        <w:spacing w:after="0" w:line="244" w:lineRule="auto"/>
        <w:rPr>
          <w:sz w:val="20"/>
          <w:szCs w:val="20"/>
          <w:color w:val="auto"/>
        </w:rPr>
      </w:pPr>
      <w:r>
        <w:rPr>
          <w:rFonts w:ascii="Arial" w:cs="Arial" w:eastAsia="Arial" w:hAnsi="Arial"/>
          <w:sz w:val="13"/>
          <w:szCs w:val="13"/>
          <w:color w:val="auto"/>
        </w:rPr>
        <w:t>Effective January 1, 2018, the base management fee is calculated at an annual rate of 1.50%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years ended September 30, 2018, 2017 and 2016, the Investment Adviser earned base management fees of $16.5 million (after a waiver of $0.9 million), $20.3 million (after a waiver of $3.9 million) and $20.9 million (after a waiver of $4.0 million), respectively, from us.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is a hypothetical example of the calculation of average adjusted gross assets:</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Gross assets as of December 31, 20XX = $160 million</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U.S. Treasury bills and temporary draws on credit facilities as of December 31, 20XX = $10 million</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Adjusted gross assets as of December 31, 20XX = $150 million</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Gross assets as of March 31, 20XX = $200 million</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U.S. Treasury bills and temporary draws on credit facilities as of March 31, 20XX = $20 million</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Adjusted gross assets as of March 31, 20XX = $180 million</w:t>
      </w:r>
    </w:p>
    <w:p>
      <w:pPr>
        <w:spacing w:after="0" w:line="136"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Average value of adjusted gross assets as of March 31, 20XX and December 31, 20XX, which are the two most recently completed calendar quarters, and appropriately adjusted for any share issuances or repurchases during the current calendar quarter equals ($150 million + $180 million) / 2 = $165 million.</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60"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original issue discount, or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Effective January 1, 2018, we pay the Investment Adviser an incentive fee with respect to our Pre-Incentive Fee Net Investment Income in each calendar quarter as follows:</w:t>
      </w:r>
    </w:p>
    <w:p>
      <w:pPr>
        <w:spacing w:after="0" w:line="3" w:lineRule="exact"/>
        <w:rPr>
          <w:sz w:val="20"/>
          <w:szCs w:val="20"/>
          <w:color w:val="auto"/>
        </w:rPr>
      </w:pPr>
    </w:p>
    <w:p>
      <w:pPr>
        <w:ind w:right="20" w:firstLine="8"/>
        <w:spacing w:after="0" w:line="242" w:lineRule="auto"/>
        <w:tabs>
          <w:tab w:leader="none" w:pos="204" w:val="left"/>
        </w:tabs>
        <w:numPr>
          <w:ilvl w:val="0"/>
          <w:numId w:val="22"/>
        </w:numPr>
        <w:rPr>
          <w:rFonts w:ascii="Arial" w:cs="Arial" w:eastAsia="Arial" w:hAnsi="Arial"/>
          <w:sz w:val="13"/>
          <w:szCs w:val="13"/>
          <w:color w:val="auto"/>
        </w:rPr>
      </w:pPr>
      <w:r>
        <w:rPr>
          <w:rFonts w:ascii="Arial" w:cs="Arial" w:eastAsia="Arial" w:hAnsi="Arial"/>
          <w:sz w:val="13"/>
          <w:szCs w:val="13"/>
          <w:color w:val="auto"/>
        </w:rPr>
        <w:t>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 2.1875% in any calendar quarter. From December 31, 2015 through December 31, 2017, the Investment Adviser voluntarily agreed, in consultation with the board of directors, to irrevocably waive 16% of incentive fees, correlated to our 16% energy cost exposure (oil &amp; gas and energy &amp; utilities industries) at cost as of December 31, 2015. For the years ended September 30, 2018, 2017 and 2016, the Investment</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 w:name="page10"/>
    <w:bookmarkEnd w:id="9"/>
    <w:p>
      <w:pPr>
        <w:spacing w:after="0" w:line="253" w:lineRule="auto"/>
        <w:rPr>
          <w:sz w:val="20"/>
          <w:szCs w:val="20"/>
          <w:color w:val="auto"/>
        </w:rPr>
      </w:pPr>
      <w:r>
        <w:rPr>
          <w:rFonts w:ascii="Arial" w:cs="Arial" w:eastAsia="Arial" w:hAnsi="Arial"/>
          <w:sz w:val="14"/>
          <w:szCs w:val="14"/>
          <w:color w:val="auto"/>
        </w:rPr>
        <w:t>Adviser earned $11.0 million (after a waiver of $0.5 million), $9.3 million (after a waiver of $1.8 million) and $13.5 million (after a waiver of $2.5 million), respectively, in incentive fees on net investment income from us.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is a graphical representation of the calculation of quarterly incentive fee based on Pre-Incentive Fee Net Investment Income: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210820</wp:posOffset>
            </wp:positionV>
            <wp:extent cx="2486025" cy="4883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8602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24" w:lineRule="exact"/>
        <w:rPr>
          <w:sz w:val="20"/>
          <w:szCs w:val="20"/>
          <w:color w:val="auto"/>
        </w:rPr>
      </w:pPr>
    </w:p>
    <w:p>
      <w:pPr>
        <w:ind w:right="20" w:firstLine="456"/>
        <w:spacing w:after="0" w:line="231"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2018, 2017 and 2016, the Investment Adviser did not accrue an incentive fee on capital gains as calculated under the Investment Management Agreement (as described above).</w:t>
      </w:r>
    </w:p>
    <w:p>
      <w:pPr>
        <w:spacing w:after="0" w:line="116" w:lineRule="exact"/>
        <w:rPr>
          <w:sz w:val="20"/>
          <w:szCs w:val="20"/>
          <w:color w:val="auto"/>
        </w:rPr>
      </w:pPr>
    </w:p>
    <w:p>
      <w:pPr>
        <w:ind w:right="40" w:firstLine="456"/>
        <w:spacing w:after="0" w:line="245" w:lineRule="auto"/>
        <w:rPr>
          <w:sz w:val="20"/>
          <w:szCs w:val="20"/>
          <w:color w:val="auto"/>
        </w:rPr>
      </w:pPr>
      <w:r>
        <w:rPr>
          <w:rFonts w:ascii="Arial" w:cs="Arial" w:eastAsia="Arial" w:hAnsi="Arial"/>
          <w:sz w:val="13"/>
          <w:szCs w:val="13"/>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the years ended September 30, 2018, 2017 and 2016, the Investment Adviser did not accrue an incentive fee on capital gains as calculated under GAAP.</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1.25%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0.375%</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income—(base management fee + other expenses)) = 0.675%</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 does not exceed the hurdle; therefore, there is no incentive fee.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2.70%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0.375%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Other expenses (legal, accounting, custodian, transfer agent, etc.) = 0.20%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income—(base management fee + other expenses)) = 2.125%</w:t>
      </w:r>
    </w:p>
    <w:p>
      <w:pPr>
        <w:spacing w:after="0" w:line="136" w:lineRule="exact"/>
        <w:rPr>
          <w:sz w:val="20"/>
          <w:szCs w:val="20"/>
          <w:color w:val="auto"/>
        </w:rPr>
      </w:pPr>
    </w:p>
    <w:p>
      <w:pPr>
        <w:ind w:left="1120"/>
        <w:spacing w:after="0"/>
        <w:tabs>
          <w:tab w:leader="none" w:pos="466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3"/>
          <w:szCs w:val="13"/>
          <w:color w:val="auto"/>
        </w:rPr>
        <w:t>= 17.5% x Pre-Incentive Fee Net Investment Income, subject to “catch-up”</w:t>
      </w:r>
    </w:p>
    <w:p>
      <w:pPr>
        <w:ind w:left="4420" w:hanging="112"/>
        <w:spacing w:after="0" w:line="221" w:lineRule="auto"/>
        <w:tabs>
          <w:tab w:leader="none" w:pos="4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2.125% - 1.75%</w:t>
      </w:r>
    </w:p>
    <w:p>
      <w:pPr>
        <w:ind w:left="4420" w:hanging="112"/>
        <w:spacing w:after="0" w:line="221" w:lineRule="auto"/>
        <w:tabs>
          <w:tab w:leader="none" w:pos="4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0.375%</w:t>
      </w:r>
    </w:p>
    <w:p>
      <w:pPr>
        <w:ind w:left="4420" w:hanging="112"/>
        <w:spacing w:after="0" w:line="221" w:lineRule="auto"/>
        <w:tabs>
          <w:tab w:leader="none" w:pos="4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100% x 0.375%</w:t>
      </w:r>
    </w:p>
    <w:p>
      <w:pPr>
        <w:ind w:left="4420" w:hanging="112"/>
        <w:spacing w:after="0"/>
        <w:tabs>
          <w:tab w:leader="none" w:pos="4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0.375%</w:t>
      </w: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50" w:right="4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Alternative 3:</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Investment income (including interest, dividends, fees, etc.) = 3.00%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Hurdle </w:t>
      </w:r>
      <w:r>
        <w:rPr>
          <w:rFonts w:ascii="Arial" w:cs="Arial" w:eastAsia="Arial" w:hAnsi="Arial"/>
          <w:sz w:val="12"/>
          <w:szCs w:val="12"/>
          <w:color w:val="auto"/>
        </w:rPr>
        <w:t>(1)</w:t>
      </w:r>
      <w:r>
        <w:rPr>
          <w:rFonts w:ascii="Arial" w:cs="Arial" w:eastAsia="Arial" w:hAnsi="Arial"/>
          <w:sz w:val="14"/>
          <w:szCs w:val="14"/>
          <w:color w:val="auto"/>
        </w:rPr>
        <w:t xml:space="preserve"> = 1.75%</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Base management fee </w:t>
      </w:r>
      <w:r>
        <w:rPr>
          <w:rFonts w:ascii="Arial" w:cs="Arial" w:eastAsia="Arial" w:hAnsi="Arial"/>
          <w:sz w:val="12"/>
          <w:szCs w:val="12"/>
          <w:color w:val="auto"/>
        </w:rPr>
        <w:t>(2)</w:t>
      </w:r>
      <w:r>
        <w:rPr>
          <w:rFonts w:ascii="Arial" w:cs="Arial" w:eastAsia="Arial" w:hAnsi="Arial"/>
          <w:sz w:val="14"/>
          <w:szCs w:val="14"/>
          <w:color w:val="auto"/>
        </w:rPr>
        <w:t xml:space="preserve"> = 0.375%</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Other expenses (legal, accounting, custodian, transfer agent, etc.) = 0.20%</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Pre-Incentive Fee Net Investment Income</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(investment income—(base management fee + other expenses)) = 2.425%</w:t>
      </w:r>
    </w:p>
    <w:p>
      <w:pPr>
        <w:sectPr>
          <w:pgSz w:w="11900" w:h="16838" w:orient="portrait"/>
          <w:cols w:equalWidth="0" w:num="1">
            <w:col w:w="11220"/>
          </w:cols>
          <w:pgMar w:left="320" w:top="346" w:right="359" w:bottom="1440" w:gutter="0" w:footer="0" w:header="0"/>
        </w:sectPr>
      </w:pPr>
    </w:p>
    <w:p>
      <w:pPr>
        <w:spacing w:after="0" w:line="15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Incentive fee</w:t>
      </w:r>
    </w:p>
    <w:p>
      <w:pPr>
        <w:spacing w:after="0" w:line="10"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Incentive fee</w:t>
      </w:r>
    </w:p>
    <w:p>
      <w:pPr>
        <w:ind w:left="1120"/>
        <w:spacing w:after="0"/>
        <w:rPr>
          <w:sz w:val="20"/>
          <w:szCs w:val="20"/>
          <w:color w:val="auto"/>
        </w:rPr>
      </w:pPr>
      <w:r>
        <w:rPr>
          <w:rFonts w:ascii="Arial" w:cs="Arial" w:eastAsia="Arial" w:hAnsi="Arial"/>
          <w:sz w:val="14"/>
          <w:szCs w:val="14"/>
          <w:color w:val="auto"/>
        </w:rPr>
        <w:t>Catch-up</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 17.5% x Pre-Incentive Fee Net Investment Income, subject to “catch-up” </w:t>
      </w:r>
      <w:r>
        <w:rPr>
          <w:rFonts w:ascii="Arial" w:cs="Arial" w:eastAsia="Arial" w:hAnsi="Arial"/>
          <w:sz w:val="12"/>
          <w:szCs w:val="12"/>
          <w:color w:val="auto"/>
        </w:rPr>
        <w:t>(3)</w:t>
      </w:r>
    </w:p>
    <w:p>
      <w:pPr>
        <w:ind w:left="220"/>
        <w:spacing w:after="0"/>
        <w:rPr>
          <w:sz w:val="20"/>
          <w:szCs w:val="20"/>
          <w:color w:val="auto"/>
        </w:rPr>
      </w:pPr>
      <w:r>
        <w:rPr>
          <w:rFonts w:ascii="Arial" w:cs="Arial" w:eastAsia="Arial" w:hAnsi="Arial"/>
          <w:sz w:val="13"/>
          <w:szCs w:val="13"/>
          <w:color w:val="auto"/>
        </w:rPr>
        <w:t>= 100% x “catch-up” + (17.5% x (Pre-Incentive Fee Net Investment Income - 2.1212%))</w:t>
      </w:r>
    </w:p>
    <w:p>
      <w:pPr>
        <w:spacing w:after="0"/>
        <w:rPr>
          <w:sz w:val="20"/>
          <w:szCs w:val="20"/>
          <w:color w:val="auto"/>
        </w:rPr>
      </w:pPr>
      <w:r>
        <w:rPr>
          <w:rFonts w:ascii="Arial" w:cs="Arial" w:eastAsia="Arial" w:hAnsi="Arial"/>
          <w:sz w:val="14"/>
          <w:szCs w:val="14"/>
          <w:color w:val="auto"/>
        </w:rPr>
        <w:t>= 2.1212% - 1.75%</w:t>
      </w:r>
    </w:p>
    <w:p>
      <w:pPr>
        <w:spacing w:after="0" w:line="1" w:lineRule="exact"/>
        <w:rPr>
          <w:sz w:val="20"/>
          <w:szCs w:val="20"/>
          <w:color w:val="auto"/>
        </w:rPr>
      </w:pPr>
    </w:p>
    <w:p>
      <w:pPr>
        <w:sectPr>
          <w:pgSz w:w="11900" w:h="16838" w:orient="portrait"/>
          <w:cols w:equalWidth="0" w:num="2">
            <w:col w:w="3740" w:space="720"/>
            <w:col w:w="6760"/>
          </w:cols>
          <w:pgMar w:left="320" w:top="346" w:right="359" w:bottom="1440" w:gutter="0" w:footer="0" w:header="0"/>
          <w:type w:val="continuous"/>
        </w:sectPr>
      </w:pPr>
    </w:p>
    <w:p>
      <w:pPr>
        <w:ind w:left="4420" w:hanging="112"/>
        <w:spacing w:after="0" w:line="202" w:lineRule="auto"/>
        <w:tabs>
          <w:tab w:leader="none" w:pos="4420" w:val="left"/>
        </w:tabs>
        <w:numPr>
          <w:ilvl w:val="1"/>
          <w:numId w:val="24"/>
        </w:numPr>
        <w:rPr>
          <w:rFonts w:ascii="Arial" w:cs="Arial" w:eastAsia="Arial" w:hAnsi="Arial"/>
          <w:sz w:val="14"/>
          <w:szCs w:val="14"/>
          <w:color w:val="auto"/>
        </w:rPr>
      </w:pPr>
      <w:r>
        <w:rPr>
          <w:rFonts w:ascii="Arial" w:cs="Arial" w:eastAsia="Arial" w:hAnsi="Arial"/>
          <w:sz w:val="14"/>
          <w:szCs w:val="14"/>
          <w:color w:val="auto"/>
        </w:rPr>
        <w:t>0.3712%</w:t>
      </w:r>
    </w:p>
    <w:p>
      <w:pPr>
        <w:ind w:left="4420" w:hanging="112"/>
        <w:spacing w:after="0" w:line="221" w:lineRule="auto"/>
        <w:tabs>
          <w:tab w:leader="none" w:pos="4420" w:val="left"/>
        </w:tabs>
        <w:numPr>
          <w:ilvl w:val="1"/>
          <w:numId w:val="24"/>
        </w:numPr>
        <w:rPr>
          <w:rFonts w:ascii="Arial" w:cs="Arial" w:eastAsia="Arial" w:hAnsi="Arial"/>
          <w:sz w:val="14"/>
          <w:szCs w:val="14"/>
          <w:color w:val="auto"/>
        </w:rPr>
      </w:pPr>
      <w:r>
        <w:rPr>
          <w:rFonts w:ascii="Arial" w:cs="Arial" w:eastAsia="Arial" w:hAnsi="Arial"/>
          <w:sz w:val="14"/>
          <w:szCs w:val="14"/>
          <w:color w:val="auto"/>
        </w:rPr>
        <w:t>(100% x 0.3712%) + (17.5% x (2.425% - 2.1212%))</w:t>
      </w:r>
    </w:p>
    <w:p>
      <w:pPr>
        <w:ind w:left="4420" w:hanging="112"/>
        <w:spacing w:after="0" w:line="221" w:lineRule="auto"/>
        <w:tabs>
          <w:tab w:leader="none" w:pos="4420" w:val="left"/>
        </w:tabs>
        <w:numPr>
          <w:ilvl w:val="1"/>
          <w:numId w:val="24"/>
        </w:numPr>
        <w:rPr>
          <w:rFonts w:ascii="Arial" w:cs="Arial" w:eastAsia="Arial" w:hAnsi="Arial"/>
          <w:sz w:val="14"/>
          <w:szCs w:val="14"/>
          <w:color w:val="auto"/>
        </w:rPr>
      </w:pPr>
      <w:r>
        <w:rPr>
          <w:rFonts w:ascii="Arial" w:cs="Arial" w:eastAsia="Arial" w:hAnsi="Arial"/>
          <w:sz w:val="14"/>
          <w:szCs w:val="14"/>
          <w:color w:val="auto"/>
        </w:rPr>
        <w:t>0.3712% + (17.5% x 0.3038%)</w:t>
      </w:r>
    </w:p>
    <w:p>
      <w:pPr>
        <w:ind w:left="4420" w:hanging="112"/>
        <w:spacing w:after="0" w:line="221" w:lineRule="auto"/>
        <w:tabs>
          <w:tab w:leader="none" w:pos="4420" w:val="left"/>
        </w:tabs>
        <w:numPr>
          <w:ilvl w:val="1"/>
          <w:numId w:val="24"/>
        </w:numPr>
        <w:rPr>
          <w:rFonts w:ascii="Arial" w:cs="Arial" w:eastAsia="Arial" w:hAnsi="Arial"/>
          <w:sz w:val="14"/>
          <w:szCs w:val="14"/>
          <w:color w:val="auto"/>
        </w:rPr>
      </w:pPr>
      <w:r>
        <w:rPr>
          <w:rFonts w:ascii="Arial" w:cs="Arial" w:eastAsia="Arial" w:hAnsi="Arial"/>
          <w:sz w:val="14"/>
          <w:szCs w:val="14"/>
          <w:color w:val="auto"/>
        </w:rPr>
        <w:t>0.3712% + 0.053165%</w:t>
      </w:r>
    </w:p>
    <w:p>
      <w:pPr>
        <w:ind w:left="4420" w:hanging="112"/>
        <w:spacing w:after="0"/>
        <w:tabs>
          <w:tab w:leader="none" w:pos="4420" w:val="left"/>
        </w:tabs>
        <w:numPr>
          <w:ilvl w:val="1"/>
          <w:numId w:val="24"/>
        </w:numPr>
        <w:rPr>
          <w:rFonts w:ascii="Arial" w:cs="Arial" w:eastAsia="Arial" w:hAnsi="Arial"/>
          <w:sz w:val="14"/>
          <w:szCs w:val="14"/>
          <w:color w:val="auto"/>
        </w:rPr>
      </w:pPr>
      <w:r>
        <w:rPr>
          <w:rFonts w:ascii="Arial" w:cs="Arial" w:eastAsia="Arial" w:hAnsi="Arial"/>
          <w:sz w:val="14"/>
          <w:szCs w:val="14"/>
          <w:color w:val="auto"/>
        </w:rPr>
        <w:t>0.424365%</w:t>
      </w:r>
    </w:p>
    <w:p>
      <w:pPr>
        <w:spacing w:after="0" w:line="340"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2"/>
          <w:szCs w:val="12"/>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1144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380" w:hanging="372"/>
        <w:spacing w:after="0"/>
        <w:tabs>
          <w:tab w:leader="none" w:pos="380" w:val="left"/>
        </w:tabs>
        <w:numPr>
          <w:ilvl w:val="0"/>
          <w:numId w:val="25"/>
        </w:numPr>
        <w:rPr>
          <w:rFonts w:ascii="Arial" w:cs="Arial" w:eastAsia="Arial" w:hAnsi="Arial"/>
          <w:sz w:val="12"/>
          <w:szCs w:val="12"/>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25"/>
        </w:numPr>
        <w:rPr>
          <w:rFonts w:ascii="Arial" w:cs="Arial" w:eastAsia="Arial" w:hAnsi="Arial"/>
          <w:sz w:val="12"/>
          <w:szCs w:val="12"/>
          <w:color w:val="auto"/>
        </w:rPr>
      </w:pPr>
      <w:r>
        <w:rPr>
          <w:rFonts w:ascii="Arial" w:cs="Arial" w:eastAsia="Arial" w:hAnsi="Arial"/>
          <w:sz w:val="14"/>
          <w:szCs w:val="14"/>
          <w:color w:val="auto"/>
        </w:rPr>
        <w:t>Represents 1.5% annualized base management fee.</w:t>
      </w:r>
    </w:p>
    <w:p>
      <w:pPr>
        <w:ind w:left="380" w:right="260" w:hanging="372"/>
        <w:spacing w:after="0" w:line="237" w:lineRule="auto"/>
        <w:tabs>
          <w:tab w:leader="none" w:pos="380" w:val="left"/>
        </w:tabs>
        <w:numPr>
          <w:ilvl w:val="0"/>
          <w:numId w:val="25"/>
        </w:numPr>
        <w:rPr>
          <w:rFonts w:ascii="Arial" w:cs="Arial" w:eastAsia="Arial" w:hAnsi="Arial"/>
          <w:sz w:val="12"/>
          <w:szCs w:val="12"/>
          <w:color w:val="auto"/>
        </w:rPr>
      </w:pPr>
      <w:r>
        <w:rPr>
          <w:rFonts w:ascii="Arial" w:cs="Arial" w:eastAsia="Arial" w:hAnsi="Arial"/>
          <w:sz w:val="14"/>
          <w:szCs w:val="14"/>
          <w:color w:val="auto"/>
        </w:rPr>
        <w:t>The “catch-up” provision is intended to provide the Investment Adviser with an incentive fee of 17.5% on all of our Pre-Incentive Fee Net Investment Income as if a hurdle rate did not apply when our net investment income exceeds 2.1212% in any calendar quarter.</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Assumptions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Year 1 = no net realized capital gains or losses</w:t>
      </w:r>
    </w:p>
    <w:p>
      <w:pPr>
        <w:spacing w:after="0" w:line="136" w:lineRule="exact"/>
        <w:rPr>
          <w:sz w:val="20"/>
          <w:szCs w:val="20"/>
          <w:color w:val="auto"/>
        </w:rPr>
      </w:pPr>
    </w:p>
    <w:p>
      <w:pPr>
        <w:ind w:left="160" w:right="200"/>
        <w:spacing w:after="0" w:line="253" w:lineRule="auto"/>
        <w:rPr>
          <w:sz w:val="20"/>
          <w:szCs w:val="20"/>
          <w:color w:val="auto"/>
        </w:rPr>
      </w:pPr>
      <w:r>
        <w:rPr>
          <w:rFonts w:ascii="Arial" w:cs="Arial" w:eastAsia="Arial" w:hAnsi="Arial"/>
          <w:sz w:val="14"/>
          <w:szCs w:val="14"/>
          <w:color w:val="auto"/>
        </w:rPr>
        <w:t>Year 2 = 6% realized capital gains and 1% realized capital losses and unrealized capital depreciation, capital gain incentive fee = 17.5% x (realized capital gains for year computed net of all realized capital losses and unrealized capital depreciation at year end)</w:t>
      </w:r>
    </w:p>
    <w:p>
      <w:pPr>
        <w:sectPr>
          <w:pgSz w:w="11900" w:h="16838" w:orient="portrait"/>
          <w:cols w:equalWidth="0" w:num="1">
            <w:col w:w="11220"/>
          </w:cols>
          <w:pgMar w:left="320" w:top="346" w:right="359" w:bottom="1440" w:gutter="0" w:footer="0" w:header="0"/>
          <w:type w:val="continuous"/>
        </w:sectPr>
      </w:pPr>
    </w:p>
    <w:p>
      <w:pPr>
        <w:spacing w:after="0" w:line="106"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Year 1 incentive fee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 17.5% x (0)</w:t>
      </w:r>
    </w:p>
    <w:p>
      <w:pPr>
        <w:spacing w:after="0" w:line="22" w:lineRule="exact"/>
        <w:rPr>
          <w:sz w:val="20"/>
          <w:szCs w:val="20"/>
          <w:color w:val="auto"/>
        </w:rPr>
      </w:pPr>
    </w:p>
    <w:p>
      <w:pPr>
        <w:sectPr>
          <w:pgSz w:w="11900" w:h="16838" w:orient="portrait"/>
          <w:cols w:equalWidth="0" w:num="2">
            <w:col w:w="4300" w:space="720"/>
            <w:col w:w="6200"/>
          </w:cols>
          <w:pgMar w:left="320" w:top="346" w:right="359" w:bottom="1440" w:gutter="0" w:footer="0" w:header="0"/>
          <w:type w:val="continuous"/>
        </w:sectPr>
      </w:pPr>
    </w:p>
    <w:p>
      <w:pPr>
        <w:ind w:left="4160"/>
        <w:spacing w:after="0"/>
        <w:rPr>
          <w:sz w:val="20"/>
          <w:szCs w:val="20"/>
          <w:color w:val="auto"/>
        </w:rPr>
      </w:pPr>
      <w:r>
        <w:rPr>
          <w:rFonts w:ascii="Arial" w:cs="Arial" w:eastAsia="Arial" w:hAnsi="Arial"/>
          <w:sz w:val="12"/>
          <w:szCs w:val="12"/>
          <w:color w:val="auto"/>
        </w:rPr>
        <w:t>= 0</w:t>
      </w:r>
    </w:p>
    <w:p>
      <w:pPr>
        <w:ind w:left="2920"/>
        <w:spacing w:after="0"/>
        <w:rPr>
          <w:sz w:val="20"/>
          <w:szCs w:val="20"/>
          <w:color w:val="auto"/>
        </w:rPr>
      </w:pPr>
      <w:r>
        <w:rPr>
          <w:rFonts w:ascii="Arial" w:cs="Arial" w:eastAsia="Arial" w:hAnsi="Arial"/>
          <w:sz w:val="14"/>
          <w:szCs w:val="14"/>
          <w:color w:val="auto"/>
        </w:rPr>
        <w:t>= no incentive fee</w:t>
      </w:r>
    </w:p>
    <w:p>
      <w:pPr>
        <w:sectPr>
          <w:pgSz w:w="11900" w:h="16838" w:orient="portrait"/>
          <w:cols w:equalWidth="0" w:num="1">
            <w:col w:w="11220"/>
          </w:cols>
          <w:pgMar w:left="320" w:top="346" w:right="359" w:bottom="1440" w:gutter="0" w:footer="0" w:header="0"/>
          <w:type w:val="continuous"/>
        </w:sectPr>
      </w:pPr>
    </w:p>
    <w:p>
      <w:pPr>
        <w:spacing w:after="0" w:line="9"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Year 2 incentive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17.5% x (6% - 1%)</w:t>
      </w:r>
    </w:p>
    <w:p>
      <w:pPr>
        <w:spacing w:after="0" w:line="1" w:lineRule="exact"/>
        <w:rPr>
          <w:sz w:val="20"/>
          <w:szCs w:val="20"/>
          <w:color w:val="auto"/>
        </w:rPr>
      </w:pPr>
    </w:p>
    <w:p>
      <w:pPr>
        <w:sectPr>
          <w:pgSz w:w="11900" w:h="16838" w:orient="portrait"/>
          <w:cols w:equalWidth="0" w:num="2">
            <w:col w:w="4300" w:space="720"/>
            <w:col w:w="6200"/>
          </w:cols>
          <w:pgMar w:left="320" w:top="346" w:right="359" w:bottom="1440" w:gutter="0" w:footer="0" w:header="0"/>
          <w:type w:val="continuous"/>
        </w:sectPr>
      </w:pPr>
    </w:p>
    <w:p>
      <w:pPr>
        <w:ind w:left="4160"/>
        <w:spacing w:after="0" w:line="203" w:lineRule="auto"/>
        <w:rPr>
          <w:sz w:val="20"/>
          <w:szCs w:val="20"/>
          <w:color w:val="auto"/>
        </w:rPr>
      </w:pPr>
      <w:r>
        <w:rPr>
          <w:rFonts w:ascii="Arial" w:cs="Arial" w:eastAsia="Arial" w:hAnsi="Arial"/>
          <w:sz w:val="13"/>
          <w:szCs w:val="13"/>
          <w:color w:val="auto"/>
        </w:rPr>
        <w:t>= 17.5% x 5%</w:t>
      </w:r>
    </w:p>
    <w:p>
      <w:pPr>
        <w:ind w:left="4160"/>
        <w:spacing w:after="0"/>
        <w:rPr>
          <w:sz w:val="20"/>
          <w:szCs w:val="20"/>
          <w:color w:val="auto"/>
        </w:rPr>
      </w:pPr>
      <w:r>
        <w:rPr>
          <w:rFonts w:ascii="Arial" w:cs="Arial" w:eastAsia="Arial" w:hAnsi="Arial"/>
          <w:sz w:val="14"/>
          <w:szCs w:val="14"/>
          <w:color w:val="auto"/>
        </w:rPr>
        <w:t>= 0.875%</w:t>
      </w:r>
    </w:p>
    <w:p>
      <w:pPr>
        <w:sectPr>
          <w:pgSz w:w="11900" w:h="16838" w:orient="portrait"/>
          <w:cols w:equalWidth="0" w:num="1">
            <w:col w:w="11220"/>
          </w:cols>
          <w:pgMar w:left="320" w:top="346" w:right="35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123" w:lineRule="exact"/>
        <w:rPr>
          <w:sz w:val="20"/>
          <w:szCs w:val="20"/>
          <w:color w:val="auto"/>
        </w:rPr>
      </w:pPr>
    </w:p>
    <w:p>
      <w:pPr>
        <w:ind w:right="660" w:firstLine="438"/>
        <w:spacing w:after="0" w:line="253"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Advisers Act. The principal executive office of PennantPark Investment Advisers is located at 590 Madison Avenue, 15th Floor, New York, NY 10022.</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Investment Management Agreement</w:t>
      </w:r>
    </w:p>
    <w:p>
      <w:pPr>
        <w:spacing w:after="0" w:line="136"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The Investment Management Agreement was reapproved by our board of directors, including a majority of our directors who are not interested persons of us or the Investment Adviser, in February 2018. Unless terminated earlier as described below, the Investment Management Agreement will continue in effect for a period of one year through February 2019.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the Investment Adviser’s ability to manage conflicts of interest effectively, our short and long-term performance, our costs, including as compared to comparable externally and internally managed publicly traded BDCs that engage in similar investing activities, the Investment Adviser’s profitability, any economies of scale, and any other benefits of the relationship for the Investment Adviser.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00"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Administration Agreement</w:t>
      </w:r>
    </w:p>
    <w:p>
      <w:pPr>
        <w:spacing w:after="0" w:line="123"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PennantPark Investment,</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type w:val="continuous"/>
        </w:sectPr>
      </w:pPr>
    </w:p>
    <w:bookmarkStart w:id="11" w:name="page12"/>
    <w:bookmarkEnd w:id="11"/>
    <w:p>
      <w:pPr>
        <w:ind w:right="20"/>
        <w:spacing w:after="0" w:line="247" w:lineRule="auto"/>
        <w:rPr>
          <w:sz w:val="20"/>
          <w:szCs w:val="20"/>
          <w:color w:val="auto"/>
        </w:rPr>
      </w:pPr>
      <w:r>
        <w:rPr>
          <w:rFonts w:ascii="Arial" w:cs="Arial" w:eastAsia="Arial" w:hAnsi="Arial"/>
          <w:sz w:val="13"/>
          <w:szCs w:val="13"/>
          <w:color w:val="auto"/>
        </w:rPr>
        <w:t>through the Administrator, provides similar services to our SBIC Funds under their administration agreements with us.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significant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years ended September 30, 2018, 2017 and 2016, we reimbursed the Investment Adviser approximately $2.0 million, $2.5 million and $3.7 million, respectively, including expenses the Investment Adviser incurred on behalf of the Administrator for services described above.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Administration Agreement</w:t>
      </w:r>
    </w:p>
    <w:p>
      <w:pPr>
        <w:spacing w:after="0" w:line="136"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The Administration Agreement was reapproved by our board of directors, including a majority of our directors who are not interested persons of us, in February 2018. Unless terminated earlier as described below, our Administration Agreement will continue in effect for a period of one year through February 2019.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123" w:lineRule="exact"/>
        <w:rPr>
          <w:sz w:val="20"/>
          <w:szCs w:val="20"/>
          <w:color w:val="auto"/>
        </w:rPr>
      </w:pPr>
    </w:p>
    <w:p>
      <w:pPr>
        <w:ind w:right="220" w:firstLine="438"/>
        <w:spacing w:after="0" w:line="251" w:lineRule="auto"/>
        <w:rPr>
          <w:sz w:val="20"/>
          <w:szCs w:val="20"/>
          <w:color w:val="auto"/>
        </w:rPr>
      </w:pPr>
      <w:r>
        <w:rPr>
          <w:rFonts w:ascii="Arial" w:cs="Arial" w:eastAsia="Arial" w:hAnsi="Arial"/>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Agreement</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Development Company, Regulated Investment Company Regulations and Small Business Investment Company Regulations</w:t>
      </w:r>
    </w:p>
    <w:p>
      <w:pPr>
        <w:spacing w:after="0" w:line="13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94" w:lineRule="exact"/>
        <w:rPr>
          <w:sz w:val="20"/>
          <w:szCs w:val="20"/>
          <w:color w:val="auto"/>
        </w:rPr>
      </w:pPr>
    </w:p>
    <w:p>
      <w:pPr>
        <w:ind w:right="60" w:firstLine="438"/>
        <w:spacing w:after="0" w:line="226" w:lineRule="auto"/>
        <w:rPr>
          <w:sz w:val="20"/>
          <w:szCs w:val="20"/>
          <w:color w:val="auto"/>
        </w:rPr>
      </w:pPr>
      <w:r>
        <w:rPr>
          <w:rFonts w:ascii="Arial" w:cs="Arial" w:eastAsia="Arial" w:hAnsi="Arial"/>
          <w:sz w:val="14"/>
          <w:szCs w:val="14"/>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 of securities we own or their affiliates to repurchase them under certain circumstances. We do not intend to acquire securities issued by any registered investment company that exceed the limits imposed by the 1940 Act. Under these limits, we generally cannot acquire more than 3% of the voting stock of any registered investment company, invest more than 5% of the value of our total assets in the securities of one registered investment company or invest more than 10% of the value of our total assets in the securities of more than one registered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and currency fluctuations. None of these policies are fundamental and they may be changed without stockholder approval.</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Qualifying Assets</w:t>
      </w:r>
    </w:p>
    <w:p>
      <w:pPr>
        <w:spacing w:after="0" w:line="136" w:lineRule="exact"/>
        <w:rPr>
          <w:sz w:val="20"/>
          <w:szCs w:val="20"/>
          <w:color w:val="auto"/>
        </w:rPr>
      </w:pPr>
    </w:p>
    <w:p>
      <w:pPr>
        <w:ind w:firstLine="438"/>
        <w:spacing w:after="0" w:line="290" w:lineRule="auto"/>
        <w:rPr>
          <w:sz w:val="20"/>
          <w:szCs w:val="20"/>
          <w:color w:val="auto"/>
        </w:rPr>
      </w:pPr>
      <w:r>
        <w:rPr>
          <w:rFonts w:ascii="Arial" w:cs="Arial" w:eastAsia="Arial" w:hAnsi="Arial"/>
          <w:sz w:val="13"/>
          <w:szCs w:val="13"/>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71" w:lineRule="exact"/>
        <w:rPr>
          <w:sz w:val="20"/>
          <w:szCs w:val="20"/>
          <w:color w:val="auto"/>
        </w:rPr>
      </w:pPr>
    </w:p>
    <w:p>
      <w:pPr>
        <w:ind w:left="920" w:right="20" w:hanging="359"/>
        <w:spacing w:after="0" w:line="238" w:lineRule="auto"/>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115" w:lineRule="exact"/>
        <w:rPr>
          <w:rFonts w:ascii="Arial" w:cs="Arial" w:eastAsia="Arial" w:hAnsi="Arial"/>
          <w:sz w:val="14"/>
          <w:szCs w:val="14"/>
          <w:color w:val="auto"/>
        </w:rPr>
      </w:pPr>
    </w:p>
    <w:p>
      <w:pPr>
        <w:ind w:left="1480" w:hanging="365"/>
        <w:spacing w:after="0"/>
        <w:tabs>
          <w:tab w:leader="none" w:pos="1480" w:val="left"/>
        </w:tabs>
        <w:numPr>
          <w:ilvl w:val="1"/>
          <w:numId w:val="26"/>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136" w:lineRule="exact"/>
        <w:rPr>
          <w:rFonts w:ascii="Arial" w:cs="Arial" w:eastAsia="Arial" w:hAnsi="Arial"/>
          <w:sz w:val="14"/>
          <w:szCs w:val="14"/>
          <w:color w:val="auto"/>
        </w:rPr>
      </w:pPr>
    </w:p>
    <w:p>
      <w:pPr>
        <w:ind w:left="1480" w:right="100" w:hanging="365"/>
        <w:spacing w:after="0" w:line="253" w:lineRule="auto"/>
        <w:tabs>
          <w:tab w:leader="none" w:pos="1480" w:val="left"/>
        </w:tabs>
        <w:numPr>
          <w:ilvl w:val="1"/>
          <w:numId w:val="26"/>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06" w:lineRule="exact"/>
        <w:rPr>
          <w:rFonts w:ascii="Arial" w:cs="Arial" w:eastAsia="Arial" w:hAnsi="Arial"/>
          <w:sz w:val="14"/>
          <w:szCs w:val="14"/>
          <w:color w:val="auto"/>
        </w:rPr>
      </w:pPr>
    </w:p>
    <w:p>
      <w:pPr>
        <w:ind w:left="1480" w:hanging="365"/>
        <w:spacing w:after="0"/>
        <w:tabs>
          <w:tab w:leader="none" w:pos="1480" w:val="left"/>
        </w:tabs>
        <w:numPr>
          <w:ilvl w:val="1"/>
          <w:numId w:val="26"/>
        </w:numPr>
        <w:rPr>
          <w:rFonts w:ascii="Arial" w:cs="Arial" w:eastAsia="Arial" w:hAnsi="Arial"/>
          <w:sz w:val="14"/>
          <w:szCs w:val="14"/>
          <w:color w:val="auto"/>
        </w:rPr>
      </w:pPr>
      <w:r>
        <w:rPr>
          <w:rFonts w:ascii="Arial" w:cs="Arial" w:eastAsia="Arial" w:hAnsi="Arial"/>
          <w:sz w:val="14"/>
          <w:szCs w:val="14"/>
          <w:color w:val="auto"/>
        </w:rPr>
        <w:t>satisfies any of the following:</w:t>
      </w:r>
    </w:p>
    <w:p>
      <w:pPr>
        <w:spacing w:after="0" w:line="136" w:lineRule="exact"/>
        <w:rPr>
          <w:rFonts w:ascii="Arial" w:cs="Arial" w:eastAsia="Arial" w:hAnsi="Arial"/>
          <w:sz w:val="14"/>
          <w:szCs w:val="14"/>
          <w:color w:val="auto"/>
        </w:rPr>
      </w:pPr>
    </w:p>
    <w:p>
      <w:pPr>
        <w:ind w:left="2040" w:hanging="372"/>
        <w:spacing w:after="0"/>
        <w:tabs>
          <w:tab w:leader="none" w:pos="2040" w:val="left"/>
        </w:tabs>
        <w:numPr>
          <w:ilvl w:val="2"/>
          <w:numId w:val="26"/>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w:t>
      </w:r>
    </w:p>
    <w:p>
      <w:pPr>
        <w:spacing w:after="0" w:line="136" w:lineRule="exact"/>
        <w:rPr>
          <w:rFonts w:ascii="Arial" w:cs="Arial" w:eastAsia="Arial" w:hAnsi="Arial"/>
          <w:sz w:val="14"/>
          <w:szCs w:val="14"/>
          <w:color w:val="auto"/>
        </w:rPr>
      </w:pPr>
    </w:p>
    <w:p>
      <w:pPr>
        <w:ind w:left="2040" w:hanging="372"/>
        <w:spacing w:after="0"/>
        <w:tabs>
          <w:tab w:leader="none" w:pos="2040" w:val="left"/>
        </w:tabs>
        <w:numPr>
          <w:ilvl w:val="2"/>
          <w:numId w:val="26"/>
        </w:numPr>
        <w:rPr>
          <w:rFonts w:ascii="Arial" w:cs="Arial" w:eastAsia="Arial" w:hAnsi="Arial"/>
          <w:sz w:val="14"/>
          <w:szCs w:val="14"/>
          <w:color w:val="auto"/>
        </w:rPr>
      </w:pPr>
      <w:r>
        <w:rPr>
          <w:rFonts w:ascii="Arial" w:cs="Arial" w:eastAsia="Arial" w:hAnsi="Arial"/>
          <w:sz w:val="14"/>
          <w:szCs w:val="14"/>
          <w:color w:val="auto"/>
        </w:rPr>
        <w:t>has any class of securities listed on a national securities exchange subject to a maximum market capitalization of $250.0 million; or</w:t>
      </w:r>
    </w:p>
    <w:p>
      <w:pPr>
        <w:spacing w:after="0" w:line="136" w:lineRule="exact"/>
        <w:rPr>
          <w:rFonts w:ascii="Arial" w:cs="Arial" w:eastAsia="Arial" w:hAnsi="Arial"/>
          <w:sz w:val="14"/>
          <w:szCs w:val="14"/>
          <w:color w:val="auto"/>
        </w:rPr>
      </w:pPr>
    </w:p>
    <w:p>
      <w:pPr>
        <w:ind w:left="2040" w:right="360" w:hanging="372"/>
        <w:spacing w:after="0" w:line="290" w:lineRule="auto"/>
        <w:tabs>
          <w:tab w:leader="none" w:pos="2040" w:val="left"/>
        </w:tabs>
        <w:numPr>
          <w:ilvl w:val="2"/>
          <w:numId w:val="26"/>
        </w:numPr>
        <w:rPr>
          <w:rFonts w:ascii="Arial" w:cs="Arial" w:eastAsia="Arial" w:hAnsi="Arial"/>
          <w:sz w:val="13"/>
          <w:szCs w:val="13"/>
          <w:color w:val="auto"/>
        </w:rPr>
      </w:pPr>
      <w:r>
        <w:rPr>
          <w:rFonts w:ascii="Arial" w:cs="Arial" w:eastAsia="Arial" w:hAnsi="Arial"/>
          <w:sz w:val="13"/>
          <w:szCs w:val="13"/>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84" w:lineRule="exact"/>
        <w:rPr>
          <w:rFonts w:ascii="Arial" w:cs="Arial" w:eastAsia="Arial" w:hAnsi="Arial"/>
          <w:sz w:val="13"/>
          <w:szCs w:val="13"/>
          <w:color w:val="auto"/>
        </w:rPr>
      </w:pPr>
    </w:p>
    <w:p>
      <w:pPr>
        <w:ind w:left="920" w:hanging="359"/>
        <w:spacing w:after="0"/>
        <w:tabs>
          <w:tab w:leader="none" w:pos="9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12" w:name="page13"/>
    <w:bookmarkEnd w:id="12"/>
    <w:p>
      <w:pPr>
        <w:ind w:left="920" w:right="160" w:hanging="359"/>
        <w:spacing w:after="0" w:line="238" w:lineRule="auto"/>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15" w:lineRule="exact"/>
        <w:rPr>
          <w:rFonts w:ascii="Arial" w:cs="Arial" w:eastAsia="Arial" w:hAnsi="Arial"/>
          <w:sz w:val="14"/>
          <w:szCs w:val="14"/>
          <w:color w:val="auto"/>
        </w:rPr>
      </w:pPr>
    </w:p>
    <w:p>
      <w:pPr>
        <w:ind w:left="920" w:right="380" w:hanging="359"/>
        <w:spacing w:after="0" w:line="253" w:lineRule="auto"/>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06" w:lineRule="exact"/>
        <w:rPr>
          <w:rFonts w:ascii="Arial" w:cs="Arial" w:eastAsia="Arial" w:hAnsi="Arial"/>
          <w:sz w:val="14"/>
          <w:szCs w:val="14"/>
          <w:color w:val="auto"/>
        </w:rPr>
      </w:pPr>
    </w:p>
    <w:p>
      <w:pPr>
        <w:ind w:left="920" w:right="220" w:hanging="359"/>
        <w:spacing w:after="0" w:line="253" w:lineRule="auto"/>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Securities received in exchange for or distributed on or with respect to securities described in (1) through (4) above, or pursuant to the exercise of warrants or rights relating to such securities.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136"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 to Portfolio Companies</w:t>
      </w:r>
    </w:p>
    <w:p>
      <w:pPr>
        <w:spacing w:after="0" w:line="136"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As a BDC, we are required to make available significant managerial assistance to our portfolio companies that constitute a qualifying asset within the meaning of Section 2(a)(47) of the 1940 Act. However, if a BDC purchases securities in conjunction with one or more other persons acting together, one of the other persons in the group may make available such significant managerial assistance. Making available significant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Temporary Investments</w:t>
      </w:r>
    </w:p>
    <w:p>
      <w:pPr>
        <w:spacing w:after="0" w:line="123"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below under “Regulation—Election to be Treated as a RIC,”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Securities</w:t>
      </w:r>
    </w:p>
    <w:p>
      <w:pPr>
        <w:spacing w:after="0" w:line="136"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We are permitted, under specified conditions, to issue multiple classes of indebtedness and one class of stock senior to our common stock if our asset coverage, as defined in the 1940 Act and referred to as the asset 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 —Risks Relating to our Business and Structure—Regulations governing our operation as a BDC will affect our ability to, and the way in which we, raise additional capital” for more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Joint Code of Ethics and Code of Conduct</w:t>
      </w:r>
    </w:p>
    <w:p>
      <w:pPr>
        <w:spacing w:after="0" w:line="136"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this Report and is available on the EDGAR Database on the SEC’s Internet 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You may also obtain a copy of our joint code of ethics, after paying a duplicating fee, by electronic request at the following email address: </w:t>
      </w:r>
      <w:r>
        <w:rPr>
          <w:rFonts w:ascii="Arial" w:cs="Arial" w:eastAsia="Arial" w:hAnsi="Arial"/>
          <w:sz w:val="14"/>
          <w:szCs w:val="14"/>
          <w:i w:val="1"/>
          <w:iCs w:val="1"/>
          <w:u w:val="single" w:color="auto"/>
          <w:color w:val="auto"/>
        </w:rPr>
        <w:t>publicinfo@sec.gov</w:t>
      </w:r>
      <w:r>
        <w:rPr>
          <w:rFonts w:ascii="Arial" w:cs="Arial" w:eastAsia="Arial" w:hAnsi="Arial"/>
          <w:sz w:val="14"/>
          <w:szCs w:val="14"/>
          <w:color w:val="auto"/>
        </w:rPr>
        <w:t>, or by writing the SEC’s Public Reference Section, 100 F Street, N.E., Washington, D.C. 20549.</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Proxy Voting Policies and Procedures</w:t>
      </w:r>
    </w:p>
    <w:p>
      <w:pPr>
        <w:spacing w:after="0" w:line="123"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Introduction</w:t>
      </w:r>
    </w:p>
    <w:p>
      <w:pPr>
        <w:spacing w:after="0" w:line="136"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These policies and procedures for voting proxies for our investment advisory clients are intended to comply with Section 206 of, and Rule 206(4)-6 under, the Advisers Act.</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Proxy Policies</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02"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13" w:name="page14"/>
    <w:bookmarkEnd w:id="13"/>
    <w:p>
      <w:pPr>
        <w:ind w:right="820"/>
        <w:spacing w:after="0" w:line="253" w:lineRule="auto"/>
        <w:rPr>
          <w:sz w:val="20"/>
          <w:szCs w:val="20"/>
          <w:color w:val="auto"/>
        </w:rPr>
      </w:pPr>
      <w:r>
        <w:rPr>
          <w:rFonts w:ascii="Arial" w:cs="Arial" w:eastAsia="Arial" w:hAnsi="Arial"/>
          <w:sz w:val="14"/>
          <w:szCs w:val="14"/>
          <w:color w:val="auto"/>
        </w:rPr>
        <w:t>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Proxy Voting Records</w:t>
      </w:r>
    </w:p>
    <w:p>
      <w:pPr>
        <w:spacing w:after="0" w:line="136"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You may obtain information about how we voted proxies, free of charge, by calling us collect at (212) 905-1000 or by making a written request for proxy voting information to: Aviv Efrat, Chief Financial Officer and Treasurer, 590 Madison Avenue, 15th Floor, New York, New York 10022.</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Privacy Protection Principles</w:t>
      </w:r>
    </w:p>
    <w:p>
      <w:pPr>
        <w:spacing w:after="0" w:line="123"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0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We restrict access to non-public personal information about our stockholders to employees of our Investment Adviser and its affiliates with a legitimate business need for the information.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We maintain physical, electronic and procedural safeguards designed to protect the non-public personal information of our stockholders.</w:t>
      </w:r>
    </w:p>
    <w:p>
      <w:pPr>
        <w:spacing w:after="0" w:line="111" w:lineRule="exact"/>
        <w:rPr>
          <w:sz w:val="20"/>
          <w:szCs w:val="20"/>
          <w:color w:val="auto"/>
        </w:rPr>
      </w:pPr>
    </w:p>
    <w:p>
      <w:pPr>
        <w:ind w:firstLine="438"/>
        <w:spacing w:after="0" w:line="264" w:lineRule="auto"/>
        <w:rPr>
          <w:sz w:val="20"/>
          <w:szCs w:val="20"/>
          <w:color w:val="auto"/>
        </w:rPr>
      </w:pPr>
      <w:r>
        <w:rPr>
          <w:rFonts w:ascii="Arial" w:cs="Arial" w:eastAsia="Arial" w:hAnsi="Arial"/>
          <w:sz w:val="13"/>
          <w:szCs w:val="13"/>
          <w:color w:val="auto"/>
        </w:rPr>
        <w:t xml:space="preserve">Our privacy protection policies are available, free of charge, on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 addition, the privacy policy is available on the EDGAR Database on the SEC’s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filed as an exhibit to our annual report on Form 10-K (File No. 814-00736, filed on November 16, 2011). You may also obtain copies of our privacy policy, after paying a duplicating fee, by electronic request at the following email address: </w:t>
      </w:r>
      <w:r>
        <w:rPr>
          <w:rFonts w:ascii="Arial" w:cs="Arial" w:eastAsia="Arial" w:hAnsi="Arial"/>
          <w:sz w:val="13"/>
          <w:szCs w:val="13"/>
          <w:i w:val="1"/>
          <w:iCs w:val="1"/>
          <w:u w:val="single" w:color="auto"/>
          <w:color w:val="auto"/>
        </w:rPr>
        <w:t>publicinfo@sec.gov</w:t>
      </w:r>
      <w:r>
        <w:rPr>
          <w:rFonts w:ascii="Arial" w:cs="Arial" w:eastAsia="Arial" w:hAnsi="Arial"/>
          <w:sz w:val="13"/>
          <w:szCs w:val="13"/>
          <w:color w:val="auto"/>
        </w:rPr>
        <w:t>, or by writing the SEC’s Public Reference Section, 100 F Street, N.E., Washington, D.C. 20549.</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w:t>
      </w:r>
    </w:p>
    <w:p>
      <w:pPr>
        <w:spacing w:after="0" w:line="136"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will be periodically examined by the SEC and SBA for compliance with the 1940 Act and 1958 Act, respectively.</w:t>
      </w:r>
    </w:p>
    <w:p>
      <w:pPr>
        <w:spacing w:after="0" w:line="136"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15"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Sarbanes-Oxley Act of 2002</w:t>
      </w:r>
    </w:p>
    <w:p>
      <w:pPr>
        <w:spacing w:after="0" w:line="136" w:lineRule="exact"/>
        <w:rPr>
          <w:sz w:val="20"/>
          <w:szCs w:val="20"/>
          <w:color w:val="auto"/>
        </w:rPr>
      </w:pPr>
    </w:p>
    <w:p>
      <w:pPr>
        <w:ind w:right="580" w:firstLine="438"/>
        <w:spacing w:after="0" w:line="253" w:lineRule="auto"/>
        <w:rPr>
          <w:sz w:val="20"/>
          <w:szCs w:val="20"/>
          <w:color w:val="auto"/>
        </w:rPr>
      </w:pPr>
      <w:r>
        <w:rPr>
          <w:rFonts w:ascii="Arial" w:cs="Arial" w:eastAsia="Arial" w:hAnsi="Arial"/>
          <w:sz w:val="14"/>
          <w:szCs w:val="14"/>
          <w:color w:val="auto"/>
        </w:rPr>
        <w:t>The Sarbanes-Oxley Act of 2002, as amended, or the Sarbanes-Oxley Act, imposes several regulatory requirements on publicly held companies and their insiders. Many of these requirements affect us.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For example:</w:t>
      </w:r>
    </w:p>
    <w:p>
      <w:pPr>
        <w:spacing w:after="0" w:line="123" w:lineRule="exact"/>
        <w:rPr>
          <w:sz w:val="20"/>
          <w:szCs w:val="20"/>
          <w:color w:val="auto"/>
        </w:rPr>
      </w:pPr>
    </w:p>
    <w:p>
      <w:pPr>
        <w:ind w:left="920" w:right="380" w:hanging="359"/>
        <w:spacing w:after="0" w:line="253" w:lineRule="auto"/>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pursuant to Rule 13a-15 of the Exchange Act, our management must prepare an annual report regarding its assessment of our internal controls over financial reporting; and</w:t>
      </w:r>
    </w:p>
    <w:p>
      <w:pPr>
        <w:spacing w:after="0" w:line="147" w:lineRule="exact"/>
        <w:rPr>
          <w:rFonts w:ascii="Arial" w:cs="Arial" w:eastAsia="Arial" w:hAnsi="Arial"/>
          <w:sz w:val="13"/>
          <w:szCs w:val="13"/>
          <w:color w:val="auto"/>
        </w:rPr>
      </w:pPr>
    </w:p>
    <w:p>
      <w:pPr>
        <w:jc w:val="both"/>
        <w:ind w:left="920" w:right="160" w:hanging="359"/>
        <w:spacing w:after="0" w:line="238" w:lineRule="auto"/>
        <w:tabs>
          <w:tab w:leader="none" w:pos="9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15"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Election to be Treated as a RIC</w:t>
      </w:r>
    </w:p>
    <w:p>
      <w:pPr>
        <w:spacing w:after="0" w:line="123"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136" w:lineRule="exact"/>
        <w:rPr>
          <w:sz w:val="20"/>
          <w:szCs w:val="20"/>
          <w:color w:val="auto"/>
        </w:rPr>
      </w:pPr>
    </w:p>
    <w:p>
      <w:pPr>
        <w:ind w:left="920" w:hanging="359"/>
        <w:spacing w:after="0"/>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maintain an election to be treated as a BDC under the 1940 Act at all times during each taxable year;</w:t>
      </w:r>
    </w:p>
    <w:p>
      <w:pPr>
        <w:spacing w:after="0" w:line="136" w:lineRule="exact"/>
        <w:rPr>
          <w:rFonts w:ascii="Arial" w:cs="Arial" w:eastAsia="Arial" w:hAnsi="Arial"/>
          <w:sz w:val="14"/>
          <w:szCs w:val="14"/>
          <w:color w:val="auto"/>
        </w:rPr>
      </w:pPr>
    </w:p>
    <w:p>
      <w:pPr>
        <w:ind w:left="920" w:right="120" w:hanging="359"/>
        <w:spacing w:after="0" w:line="238" w:lineRule="auto"/>
        <w:tabs>
          <w:tab w:leader="none" w:pos="9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4" w:name="page15"/>
    <w:bookmarkEnd w:id="14"/>
    <w:p>
      <w:pPr>
        <w:ind w:left="920" w:hanging="359"/>
        <w:spacing w:after="0"/>
        <w:tabs>
          <w:tab w:leader="none" w:pos="9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diversify our holdings, or the Diversification Tests, so that at the end of each quarter of the taxable year:</w:t>
      </w:r>
    </w:p>
    <w:p>
      <w:pPr>
        <w:spacing w:after="0" w:line="136" w:lineRule="exact"/>
        <w:rPr>
          <w:rFonts w:ascii="Arial" w:cs="Arial" w:eastAsia="Arial" w:hAnsi="Arial"/>
          <w:sz w:val="14"/>
          <w:szCs w:val="14"/>
          <w:color w:val="auto"/>
        </w:rPr>
      </w:pPr>
    </w:p>
    <w:p>
      <w:pPr>
        <w:ind w:left="1480" w:right="40" w:hanging="365"/>
        <w:spacing w:after="0" w:line="290" w:lineRule="auto"/>
        <w:tabs>
          <w:tab w:leader="none" w:pos="1480" w:val="left"/>
        </w:tabs>
        <w:numPr>
          <w:ilvl w:val="1"/>
          <w:numId w:val="30"/>
        </w:numPr>
        <w:rPr>
          <w:rFonts w:ascii="Arial" w:cs="Arial" w:eastAsia="Arial" w:hAnsi="Arial"/>
          <w:sz w:val="13"/>
          <w:szCs w:val="13"/>
          <w:color w:val="auto"/>
        </w:rPr>
      </w:pPr>
      <w:r>
        <w:rPr>
          <w:rFonts w:ascii="Arial" w:cs="Arial" w:eastAsia="Arial" w:hAnsi="Arial"/>
          <w:sz w:val="13"/>
          <w:szCs w:val="13"/>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4" w:lineRule="exact"/>
        <w:rPr>
          <w:rFonts w:ascii="Arial" w:cs="Arial" w:eastAsia="Arial" w:hAnsi="Arial"/>
          <w:sz w:val="13"/>
          <w:szCs w:val="13"/>
          <w:color w:val="auto"/>
        </w:rPr>
      </w:pPr>
    </w:p>
    <w:p>
      <w:pPr>
        <w:ind w:left="1480" w:right="180" w:hanging="365"/>
        <w:spacing w:after="0" w:line="238" w:lineRule="auto"/>
        <w:tabs>
          <w:tab w:leader="none" w:pos="1480" w:val="left"/>
        </w:tabs>
        <w:numPr>
          <w:ilvl w:val="1"/>
          <w:numId w:val="30"/>
        </w:numPr>
        <w:rPr>
          <w:rFonts w:ascii="Arial" w:cs="Arial" w:eastAsia="Arial" w:hAnsi="Arial"/>
          <w:sz w:val="14"/>
          <w:szCs w:val="14"/>
          <w:color w:val="auto"/>
        </w:rPr>
      </w:pPr>
      <w:r>
        <w:rPr>
          <w:rFonts w:ascii="Arial" w:cs="Arial" w:eastAsia="Arial" w:hAnsi="Arial"/>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15"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in respect of each calendar year dividends to our stockholders of an amount at least equal to the sum of (1) 98% of our net ordinary income (subject to certain deferrals and elections) for the calendar year,</w:t>
      </w:r>
    </w:p>
    <w:p>
      <w:pPr>
        <w:ind w:right="60" w:firstLine="8"/>
        <w:spacing w:after="0" w:line="246" w:lineRule="auto"/>
        <w:tabs>
          <w:tab w:leader="none" w:pos="204" w:val="left"/>
        </w:tabs>
        <w:numPr>
          <w:ilvl w:val="0"/>
          <w:numId w:val="31"/>
        </w:numPr>
        <w:rPr>
          <w:rFonts w:ascii="Arial" w:cs="Arial" w:eastAsia="Arial" w:hAnsi="Arial"/>
          <w:sz w:val="13"/>
          <w:szCs w:val="13"/>
          <w:color w:val="auto"/>
        </w:rPr>
      </w:pPr>
      <w:r>
        <w:rPr>
          <w:rFonts w:ascii="Arial" w:cs="Arial" w:eastAsia="Arial" w:hAnsi="Arial"/>
          <w:sz w:val="13"/>
          <w:szCs w:val="13"/>
          <w:color w:val="auto"/>
        </w:rPr>
        <w:t>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Although we may distribute realized net capital gains (i.e., net long-term capital gains in excess of net short-term capital losses), if any, at least annually, out of the assets legally available for such distributions in the manner described above, we may retain and incur tax on such net capital gains or investment company taxable income, subject to maintaining our ability to be treated as a RIC for federal income tax purposes, in order to provide us with additional liquidity.</w:t>
      </w:r>
    </w:p>
    <w:p>
      <w:pPr>
        <w:spacing w:after="0" w:line="99" w:lineRule="exact"/>
        <w:rPr>
          <w:sz w:val="20"/>
          <w:szCs w:val="20"/>
          <w:color w:val="auto"/>
        </w:rPr>
      </w:pPr>
    </w:p>
    <w:p>
      <w:pPr>
        <w:jc w:val="both"/>
        <w:ind w:right="240" w:firstLine="438"/>
        <w:spacing w:after="0" w:line="233" w:lineRule="auto"/>
        <w:rPr>
          <w:sz w:val="20"/>
          <w:szCs w:val="20"/>
          <w:color w:val="auto"/>
        </w:rPr>
      </w:pPr>
      <w:r>
        <w:rPr>
          <w:rFonts w:ascii="Arial" w:cs="Arial" w:eastAsia="Arial" w:hAnsi="Arial"/>
          <w:sz w:val="14"/>
          <w:szCs w:val="14"/>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17"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Subsidiaries, which are classified as corporations for U.S. federal income tax purposes. The Taxable Subsidiaries generally will be subject to corporate income taxes on their earnings, which ultimately will reduce our return on such income and fees.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Taxation as a RIC</w:t>
      </w:r>
    </w:p>
    <w:p>
      <w:pPr>
        <w:spacing w:after="0" w:line="123" w:lineRule="exact"/>
        <w:rPr>
          <w:sz w:val="20"/>
          <w:szCs w:val="20"/>
          <w:color w:val="auto"/>
        </w:rPr>
      </w:pPr>
    </w:p>
    <w:p>
      <w:pPr>
        <w:ind w:right="160" w:firstLine="438"/>
        <w:spacing w:after="0" w:line="231"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16"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1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Gain or loss realized by us from equity securities and warrants acquired by us, as well as any loss attributable to the lapse of such warrants, generally will be treated as capital gain or loss.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Such gain or loss generally will be long-term or short-term, depending on how long we held a particular warrant.</w:t>
      </w:r>
    </w:p>
    <w:p>
      <w:pPr>
        <w:spacing w:after="0" w:line="124"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1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Qualify as a RIC</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17"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5" w:name="page16"/>
    <w:bookmarkEnd w:id="15"/>
    <w:p>
      <w:pPr>
        <w:ind w:right="20"/>
        <w:spacing w:after="0" w:line="233" w:lineRule="auto"/>
        <w:rPr>
          <w:sz w:val="20"/>
          <w:szCs w:val="20"/>
          <w:color w:val="auto"/>
        </w:rPr>
      </w:pPr>
      <w:r>
        <w:rPr>
          <w:rFonts w:ascii="Arial" w:cs="Arial" w:eastAsia="Arial" w:hAnsi="Arial"/>
          <w:sz w:val="14"/>
          <w:szCs w:val="14"/>
          <w:color w:val="auto"/>
        </w:rPr>
        <w:t>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Regulations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SBIC Funds are licensed under the SBA as SBICs under Section 301(c) of the 1958 Act. SBIC I and SBIC II received their licenses in 2010 and 2013, respectively.</w:t>
      </w:r>
    </w:p>
    <w:p>
      <w:pPr>
        <w:spacing w:after="0" w:line="136" w:lineRule="exact"/>
        <w:rPr>
          <w:sz w:val="20"/>
          <w:szCs w:val="20"/>
          <w:color w:val="auto"/>
        </w:rPr>
      </w:pPr>
    </w:p>
    <w:p>
      <w:pPr>
        <w:ind w:right="100" w:firstLine="438"/>
        <w:spacing w:after="0" w:line="245" w:lineRule="auto"/>
        <w:rPr>
          <w:sz w:val="20"/>
          <w:szCs w:val="20"/>
          <w:color w:val="auto"/>
        </w:rPr>
      </w:pPr>
      <w:r>
        <w:rPr>
          <w:rFonts w:ascii="Arial" w:cs="Arial" w:eastAsia="Arial" w:hAnsi="Arial"/>
          <w:sz w:val="13"/>
          <w:szCs w:val="13"/>
          <w:color w:val="auto"/>
        </w:rPr>
        <w:t>SBICs are designed to stimulate the flow of capital to businesses that meet specified eligibility requirements discussed below. Under SBA regulations, our SBIC Funds are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our SBIC Funds are subject to periodic audits and examinations of their financial statements that are prepared on a basis of accounting other than GAAP pursuant to SBA accounting standards and financial reporting requirements for SBICs. For example, our SBIC Fund do not use fair value accounting on its assets or liabilities under SBA valuation guidelines. If either of our SBIC Funds fails to comply with applicable SBA regulations, the SBA could, depending on the severity of the violation, limit or prohibit use of debentures, declare outstanding debentures immediately due and payable, and/or limit our SBIC Funds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Eligible Small and Smaller Businesses</w:t>
      </w:r>
    </w:p>
    <w:p>
      <w:pPr>
        <w:spacing w:after="0" w:line="13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Under present SBA regulations, eligible small business include businesses that (together with their affiliates) have tangible net worth not exceeding $19.5 million and have average annual net income of $6.5 million for the two most recent fiscal years. In addition, each of our SBIC Funds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Financing Limitations, Terms and Changes in Control</w:t>
      </w:r>
    </w:p>
    <w:p>
      <w:pPr>
        <w:spacing w:after="0" w:line="123"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The SBA prohibits an SBIC from financing small businesses in certain industries such as relending, gambling, oil and gas exploration and other passive businesses. Additional SBA prohibitions include investing outside the United States, investing more than 30% of regulatory capital in one company and lending money to any officer, director or employee or to invest in any affiliate thereof. The SBA places certain limits on the financing terms of investments by our SBIC Funds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07"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The SBA also prohibits, without prior written approval, a “change in control” of our SBIC Funds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Idle Funds Limitation</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SBA limits an SBIC to investing idle funds in the following types of securities:</w:t>
      </w:r>
    </w:p>
    <w:p>
      <w:pPr>
        <w:spacing w:after="0" w:line="136" w:lineRule="exact"/>
        <w:rPr>
          <w:sz w:val="20"/>
          <w:szCs w:val="20"/>
          <w:color w:val="auto"/>
        </w:rPr>
      </w:pPr>
    </w:p>
    <w:p>
      <w:pPr>
        <w:ind w:left="920" w:hanging="359"/>
        <w:spacing w:after="0"/>
        <w:tabs>
          <w:tab w:leader="none" w:pos="9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direct obligations of, or obligations guaranteed as to principal and interest by, the United States Government, which mature within 15 months from the date of the investment;</w:t>
      </w:r>
    </w:p>
    <w:p>
      <w:pPr>
        <w:spacing w:after="0" w:line="147" w:lineRule="exact"/>
        <w:rPr>
          <w:rFonts w:ascii="Arial" w:cs="Arial" w:eastAsia="Arial" w:hAnsi="Arial"/>
          <w:sz w:val="13"/>
          <w:szCs w:val="13"/>
          <w:color w:val="auto"/>
        </w:rPr>
      </w:pPr>
    </w:p>
    <w:p>
      <w:pPr>
        <w:ind w:left="920" w:right="80" w:hanging="359"/>
        <w:spacing w:after="0" w:line="253" w:lineRule="auto"/>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certificates of deposit with a maturity of one year or less, issued by a federally insured institution; or</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deposit account in a federally insured institution that is subject to withdrawal restriction of one year or less.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SBA Leverage or Debentures</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$175.0 million, which is up to twice its regulatory capital, and a maximum of $350.0 million as part of a group of SBICs under common control.</w:t>
      </w:r>
    </w:p>
    <w:p>
      <w:pPr>
        <w:spacing w:after="0" w:line="100"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40"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our 2019 Notes, or any securities we may issue, may decline, and you may lose all or part of your investment.</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71"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continuing uncertainty arising from the United Kingdom’s decision to leave the European Union (the so called “Brexit”) could lead to further market disruptions and currency volatility, potentially weakening consumer, corporate and financial confidence and resulting in lower economic growth for companies that rely significantly on Europe for their business activities and revenues.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6" w:name="page17"/>
    <w:bookmarkEnd w:id="16"/>
    <w:p>
      <w:pPr>
        <w:ind w:right="20"/>
        <w:spacing w:after="0" w:line="238" w:lineRule="auto"/>
        <w:rPr>
          <w:sz w:val="20"/>
          <w:szCs w:val="20"/>
          <w:color w:val="auto"/>
        </w:rPr>
      </w:pPr>
      <w:r>
        <w:rPr>
          <w:rFonts w:ascii="Arial" w:cs="Arial" w:eastAsia="Arial" w:hAnsi="Arial"/>
          <w:sz w:val="14"/>
          <w:szCs w:val="14"/>
          <w:color w:val="auto"/>
        </w:rPr>
        <w:t>We may in the future have difficulty accessing debt and equity capital markets, and a severe disruption in the global financial markets, deterioration in credit and financing conditions or uncertainty regarding U.S. government spending and deficit levels, Brexit or other global economic conditions could have a material adverse effect on our business, financial condition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Volatility or a prolonged disruption in the credit markets could materially damage our business.</w:t>
      </w:r>
    </w:p>
    <w:p>
      <w:pPr>
        <w:spacing w:after="0" w:line="136"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exclusive of the SBA debentures pursuant to our SEC exemptive relief.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16"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The significant disruptions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subject to reduced availability and/or mandatory prepayments under our Credit Facility, the 2019 Notes and SBA debentures.</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In addition to the asset coverage ratio requirements, our Credit Facility and the indenture governing our 2019 Notes contain various covenants which, if not complied with, could accelerate repayment under the Credit Facility and our 2019 Notes. This could have a material adverse effect on our business, financial condition and results of operations. Our borrowings under our Credit Facility are collateralized by the assets in our investment portfolio, excluding those portfolio investments held by our SBIC Funds. The agreements governing the Credit Facility require us to comply with certain financial and operational covenants. These covenants include:</w:t>
      </w:r>
    </w:p>
    <w:p>
      <w:pPr>
        <w:spacing w:after="0" w:line="117" w:lineRule="exact"/>
        <w:rPr>
          <w:sz w:val="20"/>
          <w:szCs w:val="20"/>
          <w:color w:val="auto"/>
        </w:rPr>
      </w:pPr>
    </w:p>
    <w:p>
      <w:pPr>
        <w:ind w:left="920" w:hanging="359"/>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 requirement to retain our status as a RIC;</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 requirement to maintain a minimum amount of stockholder’s equity;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 requirement that our outstanding borrowings under the Credit Facility not exceed a certain percentage of the value of our portfolio.</w:t>
      </w:r>
    </w:p>
    <w:p>
      <w:pPr>
        <w:spacing w:after="0" w:line="136" w:lineRule="exact"/>
        <w:rPr>
          <w:sz w:val="20"/>
          <w:szCs w:val="20"/>
          <w:color w:val="auto"/>
        </w:rPr>
      </w:pPr>
    </w:p>
    <w:p>
      <w:pPr>
        <w:ind w:right="120" w:firstLine="438"/>
        <w:spacing w:after="0" w:line="264" w:lineRule="auto"/>
        <w:rPr>
          <w:sz w:val="20"/>
          <w:szCs w:val="20"/>
          <w:color w:val="auto"/>
        </w:rPr>
      </w:pPr>
      <w:r>
        <w:rPr>
          <w:rFonts w:ascii="Arial" w:cs="Arial" w:eastAsia="Arial" w:hAnsi="Arial"/>
          <w:sz w:val="13"/>
          <w:szCs w:val="13"/>
          <w:color w:val="auto"/>
        </w:rPr>
        <w:t>In addition to the Credit Facility, we have issued our 2019 Notes and our SBIC Funds have issued SBA debentures that require us and our SBIC Funds to generate sufficient cash flow to make required interest payments. Further, our SBIC Funds must maintain a minimum capitalization that, if impaired, could materially and adversely affect our liquidity, financial condition and results of operations by accelerating repayment under the SBA debentures. Our borrowings under the SBA debentures are secured by the assets of our SBIC Funds.</w:t>
      </w:r>
    </w:p>
    <w:p>
      <w:pPr>
        <w:spacing w:after="0" w:line="87"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Facility and could trigger mandatory prepayment obligations under the terms of the Credit Facility and our 2019 Notes.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operate in a highly competitive market for investment opportunities.</w:t>
      </w:r>
    </w:p>
    <w:p>
      <w:pPr>
        <w:spacing w:after="0" w:line="136" w:lineRule="exact"/>
        <w:rPr>
          <w:sz w:val="20"/>
          <w:szCs w:val="20"/>
          <w:color w:val="auto"/>
        </w:rPr>
      </w:pPr>
    </w:p>
    <w:p>
      <w:pPr>
        <w:ind w:right="60" w:firstLine="438"/>
        <w:spacing w:after="0" w:line="226" w:lineRule="auto"/>
        <w:rPr>
          <w:sz w:val="20"/>
          <w:szCs w:val="20"/>
          <w:color w:val="auto"/>
        </w:rPr>
      </w:pPr>
      <w:r>
        <w:rPr>
          <w:rFonts w:ascii="Arial" w:cs="Arial" w:eastAsia="Arial" w:hAnsi="Arial"/>
          <w:sz w:val="14"/>
          <w:szCs w:val="14"/>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07"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borrowers may default on their payments, which may have a materially negative effect on our financial performance.</w:t>
      </w:r>
    </w:p>
    <w:p>
      <w:pPr>
        <w:spacing w:after="0" w:line="136" w:lineRule="exact"/>
        <w:rPr>
          <w:sz w:val="20"/>
          <w:szCs w:val="20"/>
          <w:color w:val="auto"/>
        </w:rPr>
      </w:pPr>
    </w:p>
    <w:p>
      <w:pPr>
        <w:ind w:right="260" w:firstLine="438"/>
        <w:spacing w:after="0" w:line="253" w:lineRule="auto"/>
        <w:rPr>
          <w:sz w:val="20"/>
          <w:szCs w:val="20"/>
          <w:color w:val="auto"/>
        </w:rPr>
      </w:pPr>
      <w:r>
        <w:rPr>
          <w:rFonts w:ascii="Arial" w:cs="Arial" w:eastAsia="Arial" w:hAnsi="Arial"/>
          <w:sz w:val="14"/>
          <w:szCs w:val="14"/>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93" w:lineRule="exact"/>
        <w:rPr>
          <w:sz w:val="20"/>
          <w:szCs w:val="20"/>
          <w:color w:val="auto"/>
        </w:rPr>
      </w:pPr>
    </w:p>
    <w:p>
      <w:pPr>
        <w:ind w:right="340" w:firstLine="438"/>
        <w:spacing w:after="0" w:line="264" w:lineRule="auto"/>
        <w:rPr>
          <w:sz w:val="20"/>
          <w:szCs w:val="20"/>
          <w:color w:val="auto"/>
        </w:rPr>
      </w:pPr>
      <w:r>
        <w:rPr>
          <w:rFonts w:ascii="Arial" w:cs="Arial" w:eastAsia="Arial" w:hAnsi="Arial"/>
          <w:sz w:val="13"/>
          <w:szCs w:val="13"/>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01"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We make long-term loans and debt investments, which may involve a high degree of repayment risk. Our investments with a deferred interest feature, such as OID income and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7" w:name="page18"/>
    <w:bookmarkEnd w:id="17"/>
    <w:p>
      <w:pPr>
        <w:ind w:right="120"/>
        <w:spacing w:after="0" w:line="231" w:lineRule="auto"/>
        <w:rPr>
          <w:sz w:val="20"/>
          <w:szCs w:val="20"/>
          <w:color w:val="auto"/>
        </w:rPr>
      </w:pPr>
      <w:r>
        <w:rPr>
          <w:rFonts w:ascii="Arial" w:cs="Arial" w:eastAsia="Arial" w:hAnsi="Arial"/>
          <w:sz w:val="14"/>
          <w:szCs w:val="14"/>
          <w:color w:val="auto"/>
        </w:rPr>
        <w:t>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148" w:lineRule="exact"/>
        <w:rPr>
          <w:sz w:val="20"/>
          <w:szCs w:val="20"/>
          <w:color w:val="auto"/>
        </w:rPr>
      </w:pPr>
    </w:p>
    <w:p>
      <w:pPr>
        <w:jc w:val="both"/>
        <w:ind w:right="80" w:firstLine="438"/>
        <w:spacing w:after="0" w:line="233" w:lineRule="auto"/>
        <w:rPr>
          <w:sz w:val="20"/>
          <w:szCs w:val="20"/>
          <w:color w:val="auto"/>
        </w:rPr>
      </w:pPr>
      <w:r>
        <w:rPr>
          <w:rFonts w:ascii="Arial" w:cs="Arial" w:eastAsia="Arial" w:hAnsi="Arial"/>
          <w:sz w:val="14"/>
          <w:szCs w:val="14"/>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the target of litigation.</w:t>
      </w:r>
    </w:p>
    <w:p>
      <w:pPr>
        <w:spacing w:after="0" w:line="136"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We may be the target of securities litigation in the future, particularly if the trading price of our common stock and our 2019 Notes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115"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93" w:lineRule="exact"/>
        <w:rPr>
          <w:sz w:val="20"/>
          <w:szCs w:val="20"/>
          <w:color w:val="auto"/>
        </w:rPr>
      </w:pPr>
    </w:p>
    <w:p>
      <w:pPr>
        <w:ind w:right="120" w:firstLine="438"/>
        <w:spacing w:after="0" w:line="248" w:lineRule="auto"/>
        <w:rPr>
          <w:sz w:val="20"/>
          <w:szCs w:val="20"/>
          <w:color w:val="auto"/>
        </w:rPr>
      </w:pPr>
      <w:r>
        <w:rPr>
          <w:rFonts w:ascii="Arial" w:cs="Arial" w:eastAsia="Arial" w:hAnsi="Arial"/>
          <w:sz w:val="13"/>
          <w:szCs w:val="13"/>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13"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exposed to risks associated with changes in interest rates that may affect our cost of capital and net investment income.</w:t>
      </w:r>
    </w:p>
    <w:p>
      <w:pPr>
        <w:spacing w:after="0" w:line="123"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 Quantitative and Qualitative Disclosures about Market Risk” for more information.</w:t>
      </w:r>
    </w:p>
    <w:p>
      <w:pPr>
        <w:spacing w:after="0" w:line="117"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15"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03"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16" w:lineRule="exact"/>
        <w:rPr>
          <w:sz w:val="20"/>
          <w:szCs w:val="20"/>
          <w:color w:val="auto"/>
        </w:rPr>
      </w:pPr>
    </w:p>
    <w:p>
      <w:pPr>
        <w:jc w:val="both"/>
        <w:ind w:right="120" w:firstLine="438"/>
        <w:spacing w:after="0" w:line="238" w:lineRule="auto"/>
        <w:rPr>
          <w:sz w:val="20"/>
          <w:szCs w:val="20"/>
          <w:color w:val="auto"/>
        </w:rPr>
      </w:pPr>
      <w:r>
        <w:rPr>
          <w:rFonts w:ascii="Arial" w:cs="Arial" w:eastAsia="Arial" w:hAnsi="Arial"/>
          <w:sz w:val="14"/>
          <w:szCs w:val="14"/>
          <w:color w:val="auto"/>
        </w:rPr>
        <w:t>In July 2017, the head of the United Kingdom Financial Conduct Authority announced the desire to phase out the use of LIBOR by the end of 2021. Because the statements made by the head of the United Kingdom Financial Conduct Authority are recent in nature, there is no definitive information regarding the future utilization of LIBOR or of any particular replacement rate. As such, the potential effect of any such event on our cost of capital and net investment income cannot yet be determined.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financial condition and results of operation depend on our ability to manage future growth effectively.</w:t>
      </w:r>
    </w:p>
    <w:p>
      <w:pPr>
        <w:spacing w:after="0" w:line="123"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18" w:name="page19"/>
    <w:bookmarkEnd w:id="18"/>
    <w:p>
      <w:pPr>
        <w:ind w:right="20"/>
        <w:spacing w:after="0" w:line="238" w:lineRule="auto"/>
        <w:rPr>
          <w:sz w:val="20"/>
          <w:szCs w:val="20"/>
          <w:color w:val="auto"/>
        </w:rPr>
      </w:pPr>
      <w:r>
        <w:rPr>
          <w:rFonts w:ascii="Arial" w:cs="Arial" w:eastAsia="Arial" w:hAnsi="Arial"/>
          <w:sz w:val="14"/>
          <w:szCs w:val="14"/>
          <w:color w:val="auto"/>
        </w:rPr>
        <w:t>provide significant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highly dependent on information systems and systems failures could have a material adverse effect on our business, financial condition and results of operations.</w:t>
      </w:r>
    </w:p>
    <w:p>
      <w:pPr>
        <w:spacing w:after="0" w:line="148" w:lineRule="exact"/>
        <w:rPr>
          <w:sz w:val="20"/>
          <w:szCs w:val="20"/>
          <w:color w:val="auto"/>
        </w:rPr>
      </w:pPr>
    </w:p>
    <w:p>
      <w:pPr>
        <w:ind w:right="400" w:firstLine="438"/>
        <w:spacing w:after="0" w:line="238" w:lineRule="auto"/>
        <w:rPr>
          <w:sz w:val="20"/>
          <w:szCs w:val="20"/>
          <w:color w:val="auto"/>
        </w:rPr>
      </w:pPr>
      <w:r>
        <w:rPr>
          <w:rFonts w:ascii="Arial" w:cs="Arial" w:eastAsia="Arial" w:hAnsi="Arial"/>
          <w:sz w:val="14"/>
          <w:szCs w:val="14"/>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replicate the historical performance of other investment companies and funds with which our senior and other investment professionals have been affiliated.</w:t>
      </w:r>
    </w:p>
    <w:p>
      <w:pPr>
        <w:spacing w:after="0" w:line="134" w:lineRule="exact"/>
        <w:rPr>
          <w:sz w:val="20"/>
          <w:szCs w:val="20"/>
          <w:color w:val="auto"/>
        </w:rPr>
      </w:pPr>
    </w:p>
    <w:p>
      <w:pPr>
        <w:ind w:right="40" w:firstLine="438"/>
        <w:spacing w:after="0" w:line="248" w:lineRule="auto"/>
        <w:rPr>
          <w:sz w:val="20"/>
          <w:szCs w:val="20"/>
          <w:color w:val="auto"/>
        </w:rPr>
      </w:pPr>
      <w:r>
        <w:rPr>
          <w:rFonts w:ascii="Arial" w:cs="Arial" w:eastAsia="Arial" w:hAnsi="Arial"/>
          <w:sz w:val="13"/>
          <w:szCs w:val="13"/>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failure on our part to maintain our status as a BDC would reduce our operating flexibility.</w:t>
      </w:r>
    </w:p>
    <w:p>
      <w:pPr>
        <w:spacing w:after="0" w:line="136"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of RIC tax status would substantially reduce our net assets and income available for debt service and distributions.</w:t>
      </w:r>
    </w:p>
    <w:p>
      <w:pPr>
        <w:spacing w:after="0" w:line="136"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We have operated and continue to operate so as to maintain our election to be treated as a RIC under Subchapter M of the Code. If we meet the 90% Income Test, the Diversification Tests, and the Annual Distribution Requirement,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of an amount at least equal to the Excise Tax Avoidance Requirement.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have difficulty paying our Annual Distribution Requirement if we recognize income before or without receiving cash representing such income.</w:t>
      </w:r>
    </w:p>
    <w:p>
      <w:pPr>
        <w:spacing w:after="0" w:line="123"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18"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15" w:lineRule="exact"/>
        <w:rPr>
          <w:sz w:val="20"/>
          <w:szCs w:val="20"/>
          <w:color w:val="auto"/>
        </w:rPr>
      </w:pPr>
    </w:p>
    <w:p>
      <w:pPr>
        <w:ind w:right="60" w:firstLine="438"/>
        <w:spacing w:after="0" w:line="264" w:lineRule="auto"/>
        <w:rPr>
          <w:sz w:val="20"/>
          <w:szCs w:val="20"/>
          <w:color w:val="auto"/>
        </w:rPr>
      </w:pPr>
      <w:r>
        <w:rPr>
          <w:rFonts w:ascii="Arial" w:cs="Arial" w:eastAsia="Arial" w:hAnsi="Arial"/>
          <w:sz w:val="13"/>
          <w:szCs w:val="13"/>
          <w:color w:val="auto"/>
        </w:rPr>
        <w:t>If we are unable to satisfy the Annual Distribution Requirement,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ability to be subject to tax as a RIC and thus be subject to corporate-level income tax.</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passed legislation will allow us to incur additional leverage.</w:t>
      </w:r>
    </w:p>
    <w:p>
      <w:pPr>
        <w:spacing w:after="0" w:line="136" w:lineRule="exact"/>
        <w:rPr>
          <w:sz w:val="20"/>
          <w:szCs w:val="20"/>
          <w:color w:val="auto"/>
        </w:rPr>
      </w:pPr>
    </w:p>
    <w:p>
      <w:pPr>
        <w:ind w:right="80" w:firstLine="438"/>
        <w:spacing w:after="0" w:line="251"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Small Business Credit Availability Act (the “SBCAA”) was signed into law and amended the 1940 Act to decrease this percentage from 200% to 150% for a BDC that has received either stockholder approval or approval of a “required majority” (as defined in Section 57(o) of the 1940 Act) of its board of directors of the application of such lower asset coverage ratio to the BDC. On November 13, 2018, our board of directors approved such reduction. If we comply with the applicable disclosure requirements, we will be able to incur additional indebtedness on November 13,</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2019 (or earlier if our stockholders approve the proposal to accelerate the application of the reduced asset coverage requirements to us), which may increase the risk of investing in us. In addition,</w:t>
      </w:r>
    </w:p>
    <w:p>
      <w:pPr>
        <w:spacing w:after="0" w:line="33" w:lineRule="exact"/>
        <w:rPr>
          <w:sz w:val="20"/>
          <w:szCs w:val="20"/>
          <w:color w:val="auto"/>
        </w:rPr>
      </w:pPr>
    </w:p>
    <w:p>
      <w:pPr>
        <w:ind w:right="440"/>
        <w:spacing w:after="0" w:line="243" w:lineRule="auto"/>
        <w:rPr>
          <w:sz w:val="20"/>
          <w:szCs w:val="20"/>
          <w:color w:val="auto"/>
        </w:rPr>
      </w:pPr>
      <w:r>
        <w:rPr>
          <w:rFonts w:ascii="Arial" w:cs="Arial" w:eastAsia="Arial" w:hAnsi="Arial"/>
          <w:sz w:val="14"/>
          <w:szCs w:val="14"/>
          <w:color w:val="auto"/>
        </w:rPr>
        <w:t>since our base management fee is determined and payable based upon our average adjusted gross assets, which includes any borrowings for investment purposes, our base management fee expense may increase if we incur additional leverage.</w:t>
      </w:r>
    </w:p>
    <w:p>
      <w:pPr>
        <w:spacing w:after="0" w:line="113"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will need to raise additional capital to finance our growth. If funds are not available to us, we may need to curtail new investments, and our common stock value could decline.</w:t>
      </w:r>
    </w:p>
    <w:p>
      <w:pPr>
        <w:spacing w:after="0" w:line="106"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102"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As a BDC, we are required to meet a 200% asset coverage ratio up to November 13, 2019 and 150% thereafter (or earlier if our stockholders approve the proposal to accelerate the application of the reduced asset coverage requirements to us), subject to certain disclosure requirements, of total assets to total senior securities, which includes all of our borrowings, exclusive of the SBA debentures pursuant to SEC exemptive relief,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9" w:name="page20"/>
    <w:bookmarkEnd w:id="19"/>
    <w:p>
      <w:pPr>
        <w:ind w:right="20" w:firstLine="438"/>
        <w:spacing w:after="0" w:line="233" w:lineRule="auto"/>
        <w:rPr>
          <w:sz w:val="20"/>
          <w:szCs w:val="20"/>
          <w:color w:val="auto"/>
        </w:rPr>
      </w:pPr>
      <w:r>
        <w:rPr>
          <w:rFonts w:ascii="Arial" w:cs="Arial" w:eastAsia="Arial" w:hAnsi="Arial"/>
          <w:sz w:val="14"/>
          <w:szCs w:val="14"/>
          <w:color w:val="auto"/>
        </w:rPr>
        <w:t>We are partially dependent on our SBIC Funds for cash distributions to enable us to meet the RIC distribution requirements. Our SBIC Funds may be limited by the SBA regulations governing SBICs from making certain distributions to us that may be necessary to fulfill our requirements to be treated as a RIC for federal income tax purposes. We may have to request a waiver of the SBA’s restrictions for our SBIC Funds to make certain distributions to enable us to be subject to tax as a RIC. We cannot assure you that the SBA will grant such waiver, and if our SBIC Funds are unable to obtain a waiver, compliance with the SBA regulations may cause us to incur a corporate-level income tax.</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Regulations governing our operation as a BDC will affect our ability to, and the way in which we, raise additional capital.</w:t>
      </w:r>
    </w:p>
    <w:p>
      <w:pPr>
        <w:spacing w:after="0" w:line="136" w:lineRule="exact"/>
        <w:rPr>
          <w:sz w:val="20"/>
          <w:szCs w:val="20"/>
          <w:color w:val="auto"/>
        </w:rPr>
      </w:pPr>
    </w:p>
    <w:p>
      <w:pPr>
        <w:ind w:firstLine="438"/>
        <w:spacing w:after="0" w:line="227" w:lineRule="auto"/>
        <w:rPr>
          <w:sz w:val="20"/>
          <w:szCs w:val="20"/>
          <w:color w:val="auto"/>
        </w:rPr>
      </w:pPr>
      <w:r>
        <w:rPr>
          <w:rFonts w:ascii="Arial" w:cs="Arial" w:eastAsia="Arial" w:hAnsi="Arial"/>
          <w:sz w:val="14"/>
          <w:szCs w:val="14"/>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debt securities or preferred securities, which we refer to collectively as “senior securities,” and we may borrow money from banks, through the SBA debenture program or other financial institutions, up to the maximum amount permitted by the 1940 Act. Under the 1940 Act, the asset coverage ratio requirements permit us to issue senior securities or incur indebtedness subject to certain limitations, exclusive of the SBA debentures pursuant to our SEC exemptive relief.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118" w:lineRule="exact"/>
        <w:rPr>
          <w:sz w:val="20"/>
          <w:szCs w:val="20"/>
          <w:color w:val="auto"/>
        </w:rPr>
      </w:pPr>
    </w:p>
    <w:p>
      <w:pPr>
        <w:ind w:left="920" w:right="20" w:hanging="359"/>
        <w:spacing w:after="0" w:line="251" w:lineRule="auto"/>
        <w:tabs>
          <w:tab w:leader="none" w:pos="920" w:val="left"/>
        </w:tabs>
        <w:numPr>
          <w:ilvl w:val="0"/>
          <w:numId w:val="3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Senior Securities. </w:t>
      </w:r>
      <w:r>
        <w:rPr>
          <w:rFonts w:ascii="Arial" w:cs="Arial" w:eastAsia="Arial" w:hAnsi="Arial"/>
          <w:sz w:val="13"/>
          <w:szCs w:val="13"/>
          <w:color w:val="auto"/>
        </w:rPr>
        <w:t>As a result of issuing senior securities, including our 2019 Notes, we are exposed to typical risks associated with leverage, including an increased risk of loss. If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09" w:lineRule="exact"/>
        <w:rPr>
          <w:rFonts w:ascii="Arial" w:cs="Arial" w:eastAsia="Arial" w:hAnsi="Arial"/>
          <w:sz w:val="13"/>
          <w:szCs w:val="13"/>
          <w:color w:val="auto"/>
        </w:rPr>
      </w:pPr>
    </w:p>
    <w:p>
      <w:pPr>
        <w:ind w:left="920" w:right="20" w:hanging="359"/>
        <w:spacing w:after="0" w:line="241" w:lineRule="auto"/>
        <w:tabs>
          <w:tab w:leader="none" w:pos="920" w:val="left"/>
        </w:tabs>
        <w:numPr>
          <w:ilvl w:val="0"/>
          <w:numId w:val="3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Additional Common Stock. </w:t>
      </w:r>
      <w:r>
        <w:rPr>
          <w:rFonts w:ascii="Arial" w:cs="Arial" w:eastAsia="Arial" w:hAnsi="Arial"/>
          <w:sz w:val="13"/>
          <w:szCs w:val="13"/>
          <w:color w:val="auto"/>
        </w:rPr>
        <w:t>Our board of directors may decide to issue common stock to finance our operations rather than issuing debt or other senior securities. As a BDC,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 an extensive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122" w:lineRule="exact"/>
        <w:rPr>
          <w:rFonts w:ascii="Arial" w:cs="Arial" w:eastAsia="Arial" w:hAnsi="Arial"/>
          <w:sz w:val="13"/>
          <w:szCs w:val="13"/>
          <w:color w:val="auto"/>
        </w:rPr>
      </w:pPr>
    </w:p>
    <w:p>
      <w:pPr>
        <w:ind w:left="920" w:hanging="359"/>
        <w:spacing w:after="0" w:line="242" w:lineRule="auto"/>
        <w:tabs>
          <w:tab w:leader="none" w:pos="920" w:val="left"/>
        </w:tabs>
        <w:numPr>
          <w:ilvl w:val="0"/>
          <w:numId w:val="3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Securitization. </w:t>
      </w:r>
      <w:r>
        <w:rPr>
          <w:rFonts w:ascii="Arial" w:cs="Arial" w:eastAsia="Arial" w:hAnsi="Arial"/>
          <w:sz w:val="13"/>
          <w:szCs w:val="13"/>
          <w:color w:val="auto"/>
        </w:rPr>
        <w:t>In addition to issuing securities to raise capital as described above, we anticipate that in the future, as market conditions and the rules and regulations of the SEC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permit, 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17" w:lineRule="exact"/>
        <w:rPr>
          <w:rFonts w:ascii="Arial" w:cs="Arial" w:eastAsia="Arial" w:hAnsi="Arial"/>
          <w:sz w:val="13"/>
          <w:szCs w:val="13"/>
          <w:color w:val="auto"/>
        </w:rPr>
      </w:pPr>
    </w:p>
    <w:p>
      <w:pPr>
        <w:ind w:left="920" w:right="20" w:hanging="359"/>
        <w:spacing w:after="0" w:line="233" w:lineRule="auto"/>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SBA Debentures. </w:t>
      </w:r>
      <w:r>
        <w:rPr>
          <w:rFonts w:ascii="Arial" w:cs="Arial" w:eastAsia="Arial" w:hAnsi="Arial"/>
          <w:sz w:val="14"/>
          <w:szCs w:val="14"/>
          <w:color w:val="auto"/>
        </w:rPr>
        <w:t>In addition to issuing securities and using securitizations to raise capital as described above, we have issued and may in the future issue, as permitted under SBA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regulations and through our wholly owned subsidiaries, SBIC I, SBIC II and any future SBIC subsidiary, SBA debentures to generate cash for funding new investments. To issue SBA debentures, we may request commitments for debt capital from the SBA. Our SBIC Funds are and any future SBIC subsidiary may be exposed to any losses on its portfolio of loans, however, such debentures are non-recourse to us.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SBIC Funds may be unable to make distributions to us that will enable us to meet or maintain RIC tax status.</w:t>
      </w:r>
    </w:p>
    <w:p>
      <w:pPr>
        <w:spacing w:after="0" w:line="123"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In order for us to continue to qualify for RIC tax treatment and to minimize corporate-level income taxes, we will be required to distribute substantially all of our consolidated investment company taxable income and capital gains net income, including income from our SBIC Funds, each taxable year as dividends to our stockholders. We will be partially dependent on our SBIC Funds for cash distributions to enable us to meet the RIC distribution requirements. Our SBIC Funds may be limited by SBA regulations governing SBICs from making certain distributions to us that may be necessary to maintain our status as a RIC. We may have to request a waiver of the SBA’s restrictions for our SBIC Funds to make certain distributions to maintain our RIC tax status. We cannot assure you that the SBA will grant such waiver and if our SBIC Funds are unable to obtain a waiver, compliance with the SBA regulations may result in corporate level income tax on us.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i w:val="1"/>
          <w:iCs w:val="1"/>
          <w:color w:val="auto"/>
        </w:rPr>
        <w:t>Our SBIC Funds are licensed by the SBA and are subject to SBA regulations.</w:t>
      </w:r>
    </w:p>
    <w:p>
      <w:pPr>
        <w:spacing w:after="0" w:line="123"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Our wholly owned subsidiaries, SBIC I and SBIC II, received licenses to operate as SBICs under the 1958 Act and are regulated by the SBA. The SBA places certain limitations on the financing terms of investments by SBICs in portfolio companies and regulates the types of financings and prohibits investing in certain industries. Compliance with SBIC requirements may cause our SBIC Funds to make investments at lower rates in order to qualify investments under the SBA regulations.</w:t>
      </w:r>
    </w:p>
    <w:p>
      <w:pPr>
        <w:spacing w:after="0" w:line="115"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Further, SBA regulations require that a licensed SBIC be periodically examined and audited by the SBA to determine its compliance with the relevant regulations. If our SBIC Funds fail to comply with applicable regulations, the SBA could, depending on the severity of the violation, limit or prohibit their use of debentures, declare outstanding debentures immediately due and payable, and/or limit them from making new investments. In addition, the SBA could revoke or suspend our SBIC Funds’ licenses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11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Current SBA regulations limit the amount that any single SBIC may borrow to a maximum of $175.0 million, which is up to twice its regulatory capital, and a maximum of $350.0 million as part of a group of SBICs under common control.</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currently use borrowed funds to make investments and are exposed to the typical risks associated with leverage.</w:t>
      </w:r>
    </w:p>
    <w:p>
      <w:pPr>
        <w:spacing w:after="0" w:line="136" w:lineRule="exact"/>
        <w:rPr>
          <w:sz w:val="20"/>
          <w:szCs w:val="20"/>
          <w:color w:val="auto"/>
        </w:rPr>
      </w:pPr>
    </w:p>
    <w:p>
      <w:pPr>
        <w:ind w:right="40" w:firstLine="438"/>
        <w:spacing w:after="0" w:line="264" w:lineRule="auto"/>
        <w:rPr>
          <w:sz w:val="20"/>
          <w:szCs w:val="20"/>
          <w:color w:val="auto"/>
        </w:rPr>
      </w:pPr>
      <w:r>
        <w:rPr>
          <w:rFonts w:ascii="Arial" w:cs="Arial" w:eastAsia="Arial" w:hAnsi="Arial"/>
          <w:sz w:val="13"/>
          <w:szCs w:val="13"/>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exclusive of the SBA debentures pursuant to SEC exemptive relief, and any cash that we use to service our indebtedness is not available for distribution to our common stockholders.</w:t>
      </w:r>
    </w:p>
    <w:p>
      <w:pPr>
        <w:spacing w:after="0" w:line="101"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Our current debt is governed by the terms of our 2019 Notes, the Credit Facility and the SBA debentures and future debt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104"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Additionally, our SBIC Funds have received borrowed funds and may in the future receive funds from the SBA through its debenture program. In connection with the filing of its initial SBA license application, PennantPark Investment received exemptive relief, in 2011, from the SEC to permit us to exclude the debt of our SBIC Funds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136" w:lineRule="exact"/>
        <w:rPr>
          <w:sz w:val="20"/>
          <w:szCs w:val="20"/>
          <w:color w:val="auto"/>
        </w:rPr>
      </w:pPr>
    </w:p>
    <w:p>
      <w:pPr>
        <w:ind w:firstLine="438"/>
        <w:spacing w:after="0" w:line="243" w:lineRule="auto"/>
        <w:rPr>
          <w:sz w:val="20"/>
          <w:szCs w:val="20"/>
          <w:color w:val="auto"/>
        </w:rPr>
      </w:pPr>
      <w:r>
        <w:rPr>
          <w:rFonts w:ascii="Arial" w:cs="Arial" w:eastAsia="Arial" w:hAnsi="Arial"/>
          <w:sz w:val="13"/>
          <w:szCs w:val="13"/>
          <w:color w:val="auto"/>
        </w:rPr>
        <w:t>We have indebtedness outstanding pursuant to our 2019 Notes, Credit Facility and SBA debentures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our SBIC Funds, in connection with our Credit Facility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Facility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Up to November 13, 2019 (unless our stockholders approve the proposal to accelerate the application of the reduced asset coverage requirements to us on an earlier date, in which case,</w:t>
      </w:r>
    </w:p>
    <w:p>
      <w:pPr>
        <w:spacing w:after="0" w:line="33"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through such earlier date), we are not permitted to incur indebtedness unless immediately after such borrowing we have an asset coverage for total borrowings of at least 200% (i.e., the amount of debt may not exceed 50% of the value of our assets). In addition, through such date we may not be permitted to declare any cash distribution on our outstanding common shares, or purchase any such shares, unless, at the time of such declaration or purchase, we have asset coverage of at least 200% after deducting the amount of such distribution or purchase price. If this ratio declines below 200% before November 13, 2019 (or earlier if our stockholders approve the proposal to accelerate the application of the reduced asset coverage requirements to us), we may not be able to incur additional debt and may need to sell a portion of our investments to repay some debt when it is disadvantageous to do so, and we may not be able to make distributions. The SBCAA, which was signed into law in March 2018, modifies this section of the 1940 Act and decreases this percentage from 200% to 150% (subject to either stockholder approval or approval of both a majority of the board of directors and a majority of directors who are not interested persons). On November 13, 2018, our board of directors approved the application of the modified asset coverage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requirements set forth in Section 61(a)(2) of the 1940 Act, as amended by the Consolidated Appropriations Act of 2018 (which includes the SBCAA). Our board of directors also authorized the</w:t>
      </w:r>
    </w:p>
    <w:p>
      <w:pPr>
        <w:spacing w:after="0" w:line="33"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submission of a proposal for stockholders to accelerate the application of the 150% minimum asset coverage ratio to us at the 2019 annual meeting of stockholders. As a result, the asset coverage requirements applicable to us for senior securities will be reduced from 200% to 150%, effective as of November 13, 2019 (or earlier if our stockholders approve the proposal to accelerate the application of the reduced asset coverage requirements to us), subject to compliance with certain disclosure requirements. As of such date, we will be able to incur additional indebtedness as a result of this new law and therefore, your risk of an investment in us may increase.</w:t>
      </w:r>
    </w:p>
    <w:p>
      <w:pPr>
        <w:spacing w:after="0" w:line="11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As of September 30, 2018 and 2017, our asset coverage ratio, as computed in accordance with the 1940 Act, was 291% and 295%, respectively. Since our leverage, including SBA debentures outstanding, was 80% and 81% of our net assets as of September 30, 2018 and 2017, respectively, we would have to receive an annual return of at least 1.75% and 1.66%, respectively, to cover annual interest payments.</w:t>
      </w:r>
    </w:p>
    <w:p>
      <w:pPr>
        <w:spacing w:after="0" w:line="115" w:lineRule="exact"/>
        <w:rPr>
          <w:sz w:val="20"/>
          <w:szCs w:val="20"/>
          <w:color w:val="auto"/>
        </w:rPr>
      </w:pPr>
    </w:p>
    <w:p>
      <w:pPr>
        <w:ind w:right="300" w:firstLine="438"/>
        <w:spacing w:after="0" w:line="248" w:lineRule="auto"/>
        <w:rPr>
          <w:sz w:val="20"/>
          <w:szCs w:val="20"/>
          <w:color w:val="auto"/>
        </w:rPr>
      </w:pPr>
      <w:r>
        <w:rPr>
          <w:rFonts w:ascii="Arial" w:cs="Arial" w:eastAsia="Arial" w:hAnsi="Arial"/>
          <w:sz w:val="13"/>
          <w:szCs w:val="13"/>
          <w:color w:val="auto"/>
        </w:rPr>
        <w:t>As of September 30, 2018, we had outstanding borrowings of $80.5 million (including a $2.0 million temporary draw) under our Credit Facility, $250.0 million outstanding under our 2019 Notes and $180.0 million outstanding under the SBA debentures. Our consolidated debt outstanding was $510.5 million and had a weighted average annual interest rate at the time of</w:t>
      </w:r>
    </w:p>
    <w:p>
      <w:pPr>
        <w:ind w:right="200"/>
        <w:spacing w:after="0" w:line="229" w:lineRule="auto"/>
        <w:rPr>
          <w:sz w:val="20"/>
          <w:szCs w:val="20"/>
          <w:color w:val="auto"/>
        </w:rPr>
      </w:pPr>
      <w:r>
        <w:rPr>
          <w:rFonts w:ascii="Arial" w:cs="Arial" w:eastAsia="Arial" w:hAnsi="Arial"/>
          <w:sz w:val="14"/>
          <w:szCs w:val="14"/>
          <w:color w:val="auto"/>
        </w:rPr>
        <w:t>3.91%, exclusive of the fee on undrawn commitment on our Credit Facility and 3.43% of upfront fees on the SBA debentures. To cover the annual interest on our borrowings of $510.5 million outstanding as of September 30, 2018, at the weighted average annual rate of 3.91%, we would have to receive an annual yield of at least 1.75%.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03"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The following table is designed to illustrate the effect on the return to a holder of our common stock of the leverage created by our use of borrowing as of September 30, 2018 of 43% of total assets (including such borrowed funds), at the current interest rate at the time of 3.91%, and assumes hypothetical annual returns on our portfolio of minus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1" w:name="page22"/>
    <w:bookmarkEnd w:id="21"/>
    <w:p>
      <w:pPr>
        <w:ind w:right="80"/>
        <w:spacing w:after="0" w:line="238" w:lineRule="auto"/>
        <w:rPr>
          <w:sz w:val="20"/>
          <w:szCs w:val="20"/>
          <w:color w:val="auto"/>
        </w:rPr>
      </w:pPr>
      <w:r>
        <w:rPr>
          <w:rFonts w:ascii="Arial" w:cs="Arial" w:eastAsia="Arial" w:hAnsi="Arial"/>
          <w:sz w:val="14"/>
          <w:szCs w:val="14"/>
          <w:color w:val="auto"/>
        </w:rPr>
        <w:t>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Assumed return on portfolio (net of expenses) </w:t>
            </w:r>
            <w:r>
              <w:rPr>
                <w:rFonts w:ascii="Arial" w:cs="Arial" w:eastAsia="Arial" w:hAnsi="Arial"/>
                <w:sz w:val="12"/>
                <w:szCs w:val="12"/>
                <w:color w:val="auto"/>
              </w:rPr>
              <w:t>(1)</w:t>
            </w:r>
          </w:p>
        </w:tc>
        <w:tc>
          <w:tcPr>
            <w:tcW w:w="1840" w:type="dxa"/>
            <w:vAlign w:val="bottom"/>
            <w:shd w:val="clear" w:color="auto" w:fill="CCECFF"/>
          </w:tcPr>
          <w:p>
            <w:pPr>
              <w:jc w:val="right"/>
              <w:ind w:right="488"/>
              <w:spacing w:after="0"/>
              <w:rPr>
                <w:sz w:val="20"/>
                <w:szCs w:val="20"/>
                <w:color w:val="auto"/>
              </w:rPr>
            </w:pPr>
            <w:r>
              <w:rPr>
                <w:rFonts w:ascii="Arial" w:cs="Arial" w:eastAsia="Arial" w:hAnsi="Arial"/>
                <w:sz w:val="14"/>
                <w:szCs w:val="14"/>
                <w:color w:val="auto"/>
              </w:rPr>
              <w:t>(10.0)%</w:t>
            </w:r>
          </w:p>
        </w:tc>
        <w:tc>
          <w:tcPr>
            <w:tcW w:w="1620" w:type="dxa"/>
            <w:vAlign w:val="bottom"/>
            <w:shd w:val="clear" w:color="auto" w:fill="CCECFF"/>
          </w:tcPr>
          <w:p>
            <w:pPr>
              <w:jc w:val="right"/>
              <w:ind w:right="528"/>
              <w:spacing w:after="0"/>
              <w:rPr>
                <w:sz w:val="20"/>
                <w:szCs w:val="20"/>
                <w:color w:val="auto"/>
              </w:rPr>
            </w:pPr>
            <w:r>
              <w:rPr>
                <w:rFonts w:ascii="Arial" w:cs="Arial" w:eastAsia="Arial" w:hAnsi="Arial"/>
                <w:sz w:val="14"/>
                <w:szCs w:val="14"/>
                <w:color w:val="auto"/>
              </w:rPr>
              <w:t>(5.0)%</w:t>
            </w:r>
          </w:p>
        </w:tc>
        <w:tc>
          <w:tcPr>
            <w:tcW w:w="162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CFF"/>
          </w:tcPr>
          <w:p>
            <w:pPr>
              <w:jc w:val="right"/>
              <w:ind w:right="508"/>
              <w:spacing w:after="0"/>
              <w:rPr>
                <w:sz w:val="20"/>
                <w:szCs w:val="20"/>
                <w:color w:val="auto"/>
              </w:rPr>
            </w:pPr>
            <w:r>
              <w:rPr>
                <w:rFonts w:ascii="Arial" w:cs="Arial" w:eastAsia="Arial" w:hAnsi="Arial"/>
                <w:sz w:val="14"/>
                <w:szCs w:val="14"/>
                <w:color w:val="auto"/>
              </w:rPr>
              <w:t>5.0%</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w:t>
            </w:r>
          </w:p>
        </w:tc>
      </w:tr>
      <w:tr>
        <w:trPr>
          <w:trHeight w:val="182"/>
        </w:trPr>
        <w:tc>
          <w:tcPr>
            <w:tcW w:w="3680" w:type="dxa"/>
            <w:vAlign w:val="bottom"/>
          </w:tcPr>
          <w:p>
            <w:pPr>
              <w:spacing w:after="0"/>
              <w:rPr>
                <w:sz w:val="20"/>
                <w:szCs w:val="20"/>
                <w:color w:val="auto"/>
              </w:rPr>
            </w:pPr>
            <w:r>
              <w:rPr>
                <w:rFonts w:ascii="Arial" w:cs="Arial" w:eastAsia="Arial" w:hAnsi="Arial"/>
                <w:sz w:val="14"/>
                <w:szCs w:val="14"/>
                <w:color w:val="auto"/>
              </w:rPr>
              <w:t xml:space="preserve">Corresponding return to common stockholders </w:t>
            </w:r>
            <w:r>
              <w:rPr>
                <w:rFonts w:ascii="Arial" w:cs="Arial" w:eastAsia="Arial" w:hAnsi="Arial"/>
                <w:sz w:val="12"/>
                <w:szCs w:val="12"/>
                <w:color w:val="auto"/>
              </w:rPr>
              <w:t>(2)</w:t>
            </w:r>
          </w:p>
        </w:tc>
        <w:tc>
          <w:tcPr>
            <w:tcW w:w="1840" w:type="dxa"/>
            <w:vAlign w:val="bottom"/>
          </w:tcPr>
          <w:p>
            <w:pPr>
              <w:jc w:val="right"/>
              <w:ind w:right="488"/>
              <w:spacing w:after="0"/>
              <w:rPr>
                <w:sz w:val="20"/>
                <w:szCs w:val="20"/>
                <w:color w:val="auto"/>
              </w:rPr>
            </w:pPr>
            <w:r>
              <w:rPr>
                <w:rFonts w:ascii="Arial" w:cs="Arial" w:eastAsia="Arial" w:hAnsi="Arial"/>
                <w:sz w:val="14"/>
                <w:szCs w:val="14"/>
                <w:color w:val="auto"/>
              </w:rPr>
              <w:t>(21.6)%</w:t>
            </w:r>
          </w:p>
        </w:tc>
        <w:tc>
          <w:tcPr>
            <w:tcW w:w="1620" w:type="dxa"/>
            <w:vAlign w:val="bottom"/>
          </w:tcPr>
          <w:p>
            <w:pPr>
              <w:jc w:val="right"/>
              <w:ind w:right="528"/>
              <w:spacing w:after="0"/>
              <w:rPr>
                <w:sz w:val="20"/>
                <w:szCs w:val="20"/>
                <w:color w:val="auto"/>
              </w:rPr>
            </w:pPr>
            <w:r>
              <w:rPr>
                <w:rFonts w:ascii="Arial" w:cs="Arial" w:eastAsia="Arial" w:hAnsi="Arial"/>
                <w:sz w:val="14"/>
                <w:szCs w:val="14"/>
                <w:color w:val="auto"/>
              </w:rPr>
              <w:t>(12.4)%</w:t>
            </w:r>
          </w:p>
        </w:tc>
        <w:tc>
          <w:tcPr>
            <w:tcW w:w="1620" w:type="dxa"/>
            <w:vAlign w:val="bottom"/>
          </w:tcPr>
          <w:p>
            <w:pPr>
              <w:jc w:val="right"/>
              <w:ind w:right="548"/>
              <w:spacing w:after="0"/>
              <w:rPr>
                <w:sz w:val="20"/>
                <w:szCs w:val="20"/>
                <w:color w:val="auto"/>
              </w:rPr>
            </w:pPr>
            <w:r>
              <w:rPr>
                <w:rFonts w:ascii="Arial" w:cs="Arial" w:eastAsia="Arial" w:hAnsi="Arial"/>
                <w:sz w:val="14"/>
                <w:szCs w:val="14"/>
                <w:color w:val="auto"/>
              </w:rPr>
              <w:t>(3.2)%</w:t>
            </w:r>
          </w:p>
        </w:tc>
        <w:tc>
          <w:tcPr>
            <w:tcW w:w="1500" w:type="dxa"/>
            <w:vAlign w:val="bottom"/>
          </w:tcPr>
          <w:p>
            <w:pPr>
              <w:jc w:val="right"/>
              <w:ind w:right="508"/>
              <w:spacing w:after="0"/>
              <w:rPr>
                <w:sz w:val="20"/>
                <w:szCs w:val="20"/>
                <w:color w:val="auto"/>
              </w:rPr>
            </w:pPr>
            <w:r>
              <w:rPr>
                <w:rFonts w:ascii="Arial" w:cs="Arial" w:eastAsia="Arial" w:hAnsi="Arial"/>
                <w:sz w:val="14"/>
                <w:szCs w:val="14"/>
                <w:color w:val="auto"/>
              </w:rPr>
              <w:t>6.0%</w:t>
            </w:r>
          </w:p>
        </w:tc>
        <w:tc>
          <w:tcPr>
            <w:tcW w:w="980" w:type="dxa"/>
            <w:vAlign w:val="bottom"/>
          </w:tcPr>
          <w:p>
            <w:pPr>
              <w:jc w:val="right"/>
              <w:spacing w:after="0"/>
              <w:rPr>
                <w:sz w:val="20"/>
                <w:szCs w:val="20"/>
                <w:color w:val="auto"/>
              </w:rPr>
            </w:pPr>
            <w:r>
              <w:rPr>
                <w:rFonts w:ascii="Arial" w:cs="Arial" w:eastAsia="Arial" w:hAnsi="Arial"/>
                <w:sz w:val="14"/>
                <w:szCs w:val="14"/>
                <w:color w:val="auto"/>
              </w:rPr>
              <w:t>15.3%</w:t>
            </w:r>
          </w:p>
        </w:tc>
      </w:tr>
    </w:tbl>
    <w:p>
      <w:pPr>
        <w:spacing w:after="0" w:line="123"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12"/>
          <w:szCs w:val="12"/>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380" w:right="220" w:hanging="372"/>
        <w:spacing w:after="0" w:line="255" w:lineRule="auto"/>
        <w:tabs>
          <w:tab w:leader="none" w:pos="380" w:val="left"/>
        </w:tabs>
        <w:numPr>
          <w:ilvl w:val="0"/>
          <w:numId w:val="35"/>
        </w:numPr>
        <w:rPr>
          <w:rFonts w:ascii="Arial" w:cs="Arial" w:eastAsia="Arial" w:hAnsi="Arial"/>
          <w:sz w:val="11"/>
          <w:szCs w:val="11"/>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13455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85" w:lineRule="exact"/>
        <w:rPr>
          <w:sz w:val="20"/>
          <w:szCs w:val="20"/>
          <w:color w:val="auto"/>
        </w:rPr>
      </w:pPr>
    </w:p>
    <w:p>
      <w:pPr>
        <w:ind w:right="520"/>
        <w:spacing w:after="0" w:line="253" w:lineRule="auto"/>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93" w:lineRule="exact"/>
        <w:rPr>
          <w:sz w:val="20"/>
          <w:szCs w:val="20"/>
          <w:color w:val="auto"/>
        </w:rPr>
      </w:pPr>
    </w:p>
    <w:p>
      <w:pPr>
        <w:ind w:right="20" w:firstLine="438"/>
        <w:spacing w:after="0" w:line="248" w:lineRule="auto"/>
        <w:rPr>
          <w:sz w:val="20"/>
          <w:szCs w:val="20"/>
          <w:color w:val="auto"/>
        </w:rPr>
      </w:pPr>
      <w:r>
        <w:rPr>
          <w:rFonts w:ascii="Arial" w:cs="Arial" w:eastAsia="Arial" w:hAnsi="Arial"/>
          <w:sz w:val="13"/>
          <w:szCs w:val="13"/>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determine to fund a portion of our investments with debt securities, which would magnify the potential for loss and the risks of investing in us.</w:t>
      </w:r>
    </w:p>
    <w:p>
      <w:pPr>
        <w:spacing w:after="0" w:line="136"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As a result of the issuance of our 2019 Notes, SBA debentures and borrowings under our Credit Facility, we are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credit ratings may not reflect all risks of an investment in our debt securities.</w:t>
      </w:r>
    </w:p>
    <w:p>
      <w:pPr>
        <w:spacing w:after="0" w:line="136" w:lineRule="exact"/>
        <w:rPr>
          <w:sz w:val="20"/>
          <w:szCs w:val="20"/>
          <w:color w:val="auto"/>
        </w:rPr>
      </w:pPr>
    </w:p>
    <w:p>
      <w:pPr>
        <w:ind w:right="140" w:firstLine="438"/>
        <w:spacing w:after="0" w:line="283" w:lineRule="auto"/>
        <w:rPr>
          <w:sz w:val="20"/>
          <w:szCs w:val="20"/>
          <w:color w:val="auto"/>
        </w:rPr>
      </w:pPr>
      <w:r>
        <w:rPr>
          <w:rFonts w:ascii="Arial" w:cs="Arial" w:eastAsia="Arial" w:hAnsi="Arial"/>
          <w:sz w:val="12"/>
          <w:szCs w:val="12"/>
          <w:color w:val="auto"/>
        </w:rPr>
        <w:t>Our credit ratings, if any, are an assessment of our ability to pay our obligations. Consequently, real or anticipated changes in our credit ratings will generally affect the market value of any publicly issued debt securities. Our credit ratings may not reflect the potential impact of risks related to market conditions or other factors discussed above on the market value of, or trading market for, any publicly issued debt securities. Rating agencies have reviewed, and may continue to review, our credit ratings and those of other business development companies in light of the SBCAA as well as any corresponding changes to asset coverage ratios and, in certain cases, downgrade such ratings. Such a downgrade in our credit ratings may adversely affect our securities.</w:t>
      </w:r>
    </w:p>
    <w:p>
      <w:pPr>
        <w:spacing w:after="0" w:line="92" w:lineRule="exact"/>
        <w:rPr>
          <w:sz w:val="20"/>
          <w:szCs w:val="20"/>
          <w:color w:val="auto"/>
        </w:rPr>
      </w:pPr>
    </w:p>
    <w:p>
      <w:pPr>
        <w:ind w:right="280"/>
        <w:spacing w:after="0" w:line="253" w:lineRule="auto"/>
        <w:rPr>
          <w:sz w:val="20"/>
          <w:szCs w:val="20"/>
          <w:color w:val="auto"/>
        </w:rPr>
      </w:pPr>
      <w:r>
        <w:rPr>
          <w:rFonts w:ascii="Arial" w:cs="Arial" w:eastAsia="Arial" w:hAnsi="Arial"/>
          <w:sz w:val="14"/>
          <w:szCs w:val="14"/>
          <w:b w:val="1"/>
          <w:bCs w:val="1"/>
          <w:i w:val="1"/>
          <w:iCs w:val="1"/>
          <w:color w:val="auto"/>
        </w:rPr>
        <w:t>A downgrade, suspension or withdrawal of the credit rating assigned by a rating agency to us or our 2019 Notes, if any, or change in the debt markets could cause the liquidity or market value of our 2019 Notes to decline significantly.</w:t>
      </w:r>
    </w:p>
    <w:p>
      <w:pPr>
        <w:spacing w:after="0" w:line="93" w:lineRule="exact"/>
        <w:rPr>
          <w:sz w:val="20"/>
          <w:szCs w:val="20"/>
          <w:color w:val="auto"/>
        </w:rPr>
      </w:pPr>
    </w:p>
    <w:p>
      <w:pPr>
        <w:ind w:right="20" w:firstLine="438"/>
        <w:spacing w:after="0" w:line="227" w:lineRule="auto"/>
        <w:rPr>
          <w:sz w:val="20"/>
          <w:szCs w:val="20"/>
          <w:color w:val="auto"/>
        </w:rPr>
      </w:pPr>
      <w:r>
        <w:rPr>
          <w:rFonts w:ascii="Arial" w:cs="Arial" w:eastAsia="Arial" w:hAnsi="Arial"/>
          <w:sz w:val="14"/>
          <w:szCs w:val="14"/>
          <w:color w:val="auto"/>
        </w:rPr>
        <w:t>Our credit ratings are an assessment by rating agencies of our ability to pay our debts when they come due. Consequently, real or anticipated changes in our credit ratings will generally affect the market value of our 2019 Notes. In August 2017, Egan-Jones Ratings Company, or Egan-Jones, assigned PennantPark Investment a senior unsecured credit rating of “BBB”. Our credit ratings may not reflect the potential impact of risks relating to the structure or marketing of our 2019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our 2019 Notes of any changes in our credit ratings. We are rated by Standard &amp; Poor’s Ratings Services, Fitch Ratings and Egan-Jones. There can be no assurance that their respective credit ratings will remain for any given period of time or that such credit ratings will not be lowered or withdrawn entirely by any of the rating agencies if in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148" w:lineRule="exact"/>
        <w:rPr>
          <w:sz w:val="20"/>
          <w:szCs w:val="20"/>
          <w:color w:val="auto"/>
        </w:rPr>
      </w:pPr>
    </w:p>
    <w:p>
      <w:pPr>
        <w:ind w:right="40" w:firstLine="438"/>
        <w:spacing w:after="0" w:line="244" w:lineRule="auto"/>
        <w:rPr>
          <w:sz w:val="20"/>
          <w:szCs w:val="20"/>
          <w:color w:val="auto"/>
        </w:rPr>
      </w:pPr>
      <w:r>
        <w:rPr>
          <w:rFonts w:ascii="Arial" w:cs="Arial" w:eastAsia="Arial" w:hAnsi="Arial"/>
          <w:sz w:val="13"/>
          <w:szCs w:val="13"/>
          <w:color w:val="auto"/>
        </w:rPr>
        <w:t>Our Credit Facility expires and our 2019 Notes mature in May 2022 and October 2019, respectively. Additionally, our SBA debentures mature between September 2020 and September 2027. We utilize proceeds from the Credit Facility, our 2019 Notes and our SBA debentures to make investments in our portfolio companies. The duration of many of our investments exceeds the duration of our indebtedness under our Credit Facility, our 2019 Notes and certain of our SBA debentures. This means that we will have to extend the maturity of our Credit Facility or refinance our indebtedness in order to avoid selling investments at maturity of any of our debt investments, at which time such sales may be at prices that are disadvantageous to us, which could materially damage our business. In addition, future market conditions may affect our ability to renew or refinance our Credit Facility, our 2019 Notes and our SBA debentures on terms as favorable as those in our existing indebtedness. If we fail to extend or refinance the indebtedness by the time it becomes due and payable, holders of the debt and/or the administrative agent may elect to exercise various remedies, including the sale of all or a portion of the collateral securing such indebtedness,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are significant potential conflicts of interest which could impact our investment returns.</w:t>
      </w:r>
    </w:p>
    <w:p>
      <w:pPr>
        <w:spacing w:after="0" w:line="136" w:lineRule="exact"/>
        <w:rPr>
          <w:sz w:val="20"/>
          <w:szCs w:val="20"/>
          <w:color w:val="auto"/>
        </w:rPr>
      </w:pPr>
    </w:p>
    <w:p>
      <w:pPr>
        <w:ind w:right="80" w:firstLine="438"/>
        <w:spacing w:after="0" w:line="226" w:lineRule="auto"/>
        <w:rPr>
          <w:sz w:val="20"/>
          <w:szCs w:val="20"/>
          <w:color w:val="auto"/>
        </w:rPr>
      </w:pPr>
      <w:r>
        <w:rPr>
          <w:rFonts w:ascii="Arial" w:cs="Arial" w:eastAsia="Arial" w:hAnsi="Arial"/>
          <w:sz w:val="14"/>
          <w:szCs w:val="14"/>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2" w:name="page23"/>
    <w:bookmarkEnd w:id="22"/>
    <w:p>
      <w:pPr>
        <w:ind w:right="180"/>
        <w:spacing w:after="0" w:line="290" w:lineRule="auto"/>
        <w:rPr>
          <w:sz w:val="20"/>
          <w:szCs w:val="20"/>
          <w:color w:val="auto"/>
        </w:rPr>
      </w:pPr>
      <w:r>
        <w:rPr>
          <w:rFonts w:ascii="Arial" w:cs="Arial" w:eastAsia="Arial" w:hAnsi="Arial"/>
          <w:sz w:val="13"/>
          <w:szCs w:val="13"/>
          <w:color w:val="auto"/>
        </w:rPr>
        <w:t>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71"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116"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We have entered into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16" w:lineRule="exact"/>
        <w:rPr>
          <w:sz w:val="20"/>
          <w:szCs w:val="20"/>
          <w:color w:val="auto"/>
        </w:rPr>
      </w:pPr>
    </w:p>
    <w:p>
      <w:pPr>
        <w:jc w:val="both"/>
        <w:ind w:right="480" w:firstLine="438"/>
        <w:spacing w:after="0" w:line="238" w:lineRule="auto"/>
        <w:rPr>
          <w:sz w:val="20"/>
          <w:szCs w:val="20"/>
          <w:color w:val="auto"/>
        </w:rPr>
      </w:pPr>
      <w:r>
        <w:rPr>
          <w:rFonts w:ascii="Arial" w:cs="Arial" w:eastAsia="Arial" w:hAnsi="Arial"/>
          <w:sz w:val="14"/>
          <w:szCs w:val="14"/>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associated with cybersecurity and cyber incidents.</w:t>
      </w:r>
    </w:p>
    <w:p>
      <w:pPr>
        <w:spacing w:after="0" w:line="136"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fluctuations in our quarterly results.</w:t>
      </w:r>
    </w:p>
    <w:p>
      <w:pPr>
        <w:spacing w:after="0" w:line="123" w:lineRule="exact"/>
        <w:rPr>
          <w:sz w:val="20"/>
          <w:szCs w:val="20"/>
          <w:color w:val="auto"/>
        </w:rPr>
      </w:pPr>
    </w:p>
    <w:p>
      <w:pPr>
        <w:ind w:right="40" w:firstLine="438"/>
        <w:spacing w:after="0" w:line="248" w:lineRule="auto"/>
        <w:rPr>
          <w:sz w:val="20"/>
          <w:szCs w:val="20"/>
          <w:color w:val="auto"/>
        </w:rPr>
      </w:pPr>
      <w:r>
        <w:rPr>
          <w:rFonts w:ascii="Arial" w:cs="Arial" w:eastAsia="Arial" w:hAnsi="Arial"/>
          <w:sz w:val="13"/>
          <w:szCs w:val="13"/>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and our 2019 Notes,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Facility and our 2019 Notes. This is expected to mitigate volatility in our earnings and NAV. As a result of these factors, results for any period should not be relied upon as being indicative of performance in future periods.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Holders of any preferred stock that we may issue will have the right to elect members of the board of directors and have class voting rights on certain matters.</w:t>
      </w:r>
    </w:p>
    <w:p>
      <w:pPr>
        <w:spacing w:after="0" w:line="13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 the future issue securities for which there is no public market and for which we expect no public market to develop.</w:t>
      </w:r>
    </w:p>
    <w:p>
      <w:pPr>
        <w:spacing w:after="0" w:line="136"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preferred stock, debt securities or convertible debt securities, the NAV and market value of our common stock may become more volatile.</w:t>
      </w:r>
    </w:p>
    <w:p>
      <w:pPr>
        <w:spacing w:after="0" w:line="123"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11" w:lineRule="exact"/>
        <w:rPr>
          <w:sz w:val="20"/>
          <w:szCs w:val="20"/>
          <w:color w:val="auto"/>
        </w:rPr>
      </w:pPr>
    </w:p>
    <w:p>
      <w:pPr>
        <w:ind w:right="80" w:firstLine="438"/>
        <w:spacing w:after="0" w:line="228" w:lineRule="auto"/>
        <w:rPr>
          <w:sz w:val="20"/>
          <w:szCs w:val="20"/>
          <w:color w:val="auto"/>
        </w:rPr>
      </w:pPr>
      <w:r>
        <w:rPr>
          <w:rFonts w:ascii="Arial" w:cs="Arial" w:eastAsia="Arial" w:hAnsi="Arial"/>
          <w:sz w:val="14"/>
          <w:szCs w:val="14"/>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i w:val="1"/>
          <w:iCs w:val="1"/>
          <w:color w:val="auto"/>
        </w:rPr>
        <w:t>The trading market or market value of any publicly issued debt or convertible debt securities may be volatile.</w:t>
      </w:r>
    </w:p>
    <w:p>
      <w:pPr>
        <w:spacing w:after="0" w:line="123"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These factors include the following:</w:t>
      </w:r>
    </w:p>
    <w:p>
      <w:pPr>
        <w:spacing w:after="0" w:line="136" w:lineRule="exact"/>
        <w:rPr>
          <w:sz w:val="20"/>
          <w:szCs w:val="20"/>
          <w:color w:val="auto"/>
        </w:rPr>
      </w:pPr>
    </w:p>
    <w:p>
      <w:pPr>
        <w:ind w:left="920" w:hanging="359"/>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or similar to these debt securities;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redemption, repayment or convertible features, if any, of these debt securities;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136" w:lineRule="exact"/>
        <w:rPr>
          <w:sz w:val="20"/>
          <w:szCs w:val="20"/>
          <w:color w:val="auto"/>
        </w:rPr>
      </w:pPr>
    </w:p>
    <w:p>
      <w:pPr>
        <w:ind w:right="200" w:firstLine="438"/>
        <w:spacing w:after="0" w:line="290" w:lineRule="auto"/>
        <w:rPr>
          <w:sz w:val="20"/>
          <w:szCs w:val="20"/>
          <w:color w:val="auto"/>
        </w:rPr>
      </w:pPr>
      <w:r>
        <w:rPr>
          <w:rFonts w:ascii="Arial" w:cs="Arial" w:eastAsia="Arial" w:hAnsi="Arial"/>
          <w:sz w:val="13"/>
          <w:szCs w:val="13"/>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Terms relating to debt redemption may have a material adverse effect on the return on any debt securities.</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issue subscription rights or warrants for our common stock, your interest in us may be diluted as a result of such rights or warrants offering.</w:t>
      </w:r>
    </w:p>
    <w:p>
      <w:pPr>
        <w:spacing w:after="0" w:line="123"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15"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impact of recent financial reform legislation on us is uncertain.</w:t>
      </w:r>
    </w:p>
    <w:p>
      <w:pPr>
        <w:spacing w:after="0" w:line="123" w:lineRule="exact"/>
        <w:rPr>
          <w:sz w:val="20"/>
          <w:szCs w:val="20"/>
          <w:color w:val="auto"/>
        </w:rPr>
      </w:pPr>
    </w:p>
    <w:p>
      <w:pPr>
        <w:ind w:firstLine="438"/>
        <w:spacing w:after="0" w:line="227" w:lineRule="auto"/>
        <w:rPr>
          <w:sz w:val="20"/>
          <w:szCs w:val="20"/>
          <w:color w:val="auto"/>
        </w:rPr>
      </w:pPr>
      <w:r>
        <w:rPr>
          <w:rFonts w:ascii="Arial" w:cs="Arial" w:eastAsia="Arial" w:hAnsi="Arial"/>
          <w:sz w:val="14"/>
          <w:szCs w:val="14"/>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institutes a wide range of reforms that will have an impact on financial institutions. However, the current presidential administration has announced its intention to repeal, amend or replace certain portions of the Dodd-Frank Act and the regulations implemented thereunder, and has implemented certain appeals. Given the uncertainty associated with the manner in which and whether the provisions of the Dodd-Frank Act might be implemented, repealed, amended or replaced, the full impact such requirements will have on our business, results of operations or financial condition is unclear. While we cannot predict what effect any changes in the laws or regulations or their interpretations would have on us as a result of recent financial reform legislation, these changes could be materially adverse to us and our stockholders. Accordingly, we are continuing to evaluate the effect the Dodd-Frank Act or implementing its regulations or any repeal or revision thereto will have on our business,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laws or regulations governing our operations or those of our portfolio companies may adversely affect our business.</w:t>
      </w:r>
    </w:p>
    <w:p>
      <w:pPr>
        <w:spacing w:after="0" w:line="136" w:lineRule="exact"/>
        <w:rPr>
          <w:sz w:val="20"/>
          <w:szCs w:val="20"/>
          <w:color w:val="auto"/>
        </w:rPr>
      </w:pPr>
    </w:p>
    <w:p>
      <w:pPr>
        <w:ind w:right="140" w:firstLine="438"/>
        <w:spacing w:after="0" w:line="244" w:lineRule="auto"/>
        <w:rPr>
          <w:sz w:val="20"/>
          <w:szCs w:val="20"/>
          <w:color w:val="auto"/>
        </w:rPr>
      </w:pPr>
      <w:r>
        <w:rPr>
          <w:rFonts w:ascii="Arial" w:cs="Arial" w:eastAsia="Arial" w:hAnsi="Arial"/>
          <w:sz w:val="13"/>
          <w:szCs w:val="13"/>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In particular, on December 22, 2017, the Tax Cuts and Jobs Act was signed into law. This tax legislation lowers the general corporate income tax rate from 35 percent to 21 percent, makes changes regarding the use of net operating losses, repeals the corporate alternative minimum tax and makes significant changes with respect to the U.S. international tax rules. In addition, the legislation generally requires a holder that uses the accrual method of accounting for U.S. tax purposes to include certain amounts in income no later than the time such amounts are reflected on certain financial statements, which therefore if applicable would require us to accrue income earlier than under prior law, although the precise application of this rule is un-clear at this time. The legislation also limits the amount or value of interest deductions of borrowers and in that way may potentially affect the loan market and our and our portfolio companies’ use of leverage. For individual taxpayers, the legislation reduces the maximum individual income tax rate and eliminates the deductibility of miscellaneous itemized deductions for taxable years 2018 through 2025. The impact of this new legislation is uncertain. See “Business—Regulation” for more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Uncertainty about presidential administration initiatives could negatively impact our business, financial condition and results of operations.</w:t>
      </w:r>
    </w:p>
    <w:p>
      <w:pPr>
        <w:spacing w:after="0" w:line="136" w:lineRule="exact"/>
        <w:rPr>
          <w:sz w:val="20"/>
          <w:szCs w:val="20"/>
          <w:color w:val="auto"/>
        </w:rPr>
      </w:pPr>
    </w:p>
    <w:p>
      <w:pPr>
        <w:ind w:right="80" w:firstLine="438"/>
        <w:spacing w:after="0" w:line="227" w:lineRule="auto"/>
        <w:rPr>
          <w:sz w:val="20"/>
          <w:szCs w:val="20"/>
          <w:color w:val="auto"/>
        </w:rPr>
      </w:pPr>
      <w:r>
        <w:rPr>
          <w:rFonts w:ascii="Arial" w:cs="Arial" w:eastAsia="Arial" w:hAnsi="Arial"/>
          <w:sz w:val="14"/>
          <w:szCs w:val="14"/>
          <w:color w:val="auto"/>
        </w:rPr>
        <w:t>The current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 Although we cannot predict the impact, if any, of these changes to our business, they could adversely affect our business, financial condition, operating results and cash flows. Until we know what policy changes are made and how those changes impact our business and the business of our competitors over the long term, we will not know if, overall, we will benefit from them or be negatively affected by them.</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i w:val="1"/>
          <w:iCs w:val="1"/>
          <w:color w:val="auto"/>
        </w:rPr>
        <w:t>Our board of directors may change our investment objectives, operating policies and strategies without prior notice or stockholder approval.</w:t>
      </w:r>
    </w:p>
    <w:p>
      <w:pPr>
        <w:spacing w:after="0" w:line="123"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may adversely affect our business and impact our ability to make distributions.</w:t>
      </w:r>
    </w:p>
    <w:p>
      <w:pPr>
        <w:spacing w:after="0" w:line="117" w:lineRule="exact"/>
        <w:rPr>
          <w:sz w:val="20"/>
          <w:szCs w:val="20"/>
          <w:color w:val="auto"/>
        </w:rPr>
      </w:pPr>
    </w:p>
    <w:p>
      <w:pPr>
        <w:ind w:right="480"/>
        <w:spacing w:after="0" w:line="253" w:lineRule="auto"/>
        <w:rPr>
          <w:sz w:val="20"/>
          <w:szCs w:val="20"/>
          <w:color w:val="auto"/>
        </w:rPr>
      </w:pPr>
      <w:r>
        <w:rPr>
          <w:rFonts w:ascii="Arial" w:cs="Arial" w:eastAsia="Arial" w:hAnsi="Arial"/>
          <w:sz w:val="14"/>
          <w:szCs w:val="14"/>
          <w:b w:val="1"/>
          <w:bCs w:val="1"/>
          <w:i w:val="1"/>
          <w:iCs w:val="1"/>
          <w:color w:val="auto"/>
        </w:rPr>
        <w:t>Our business and operations could be negatively affected if we become subject to stockholder activism, which could cause us to incur significant expense, hinder the execution of our investment strategy or impact our stock price.</w:t>
      </w:r>
    </w:p>
    <w:p>
      <w:pPr>
        <w:spacing w:after="0" w:line="106" w:lineRule="exact"/>
        <w:rPr>
          <w:sz w:val="20"/>
          <w:szCs w:val="20"/>
          <w:color w:val="auto"/>
        </w:rPr>
      </w:pPr>
    </w:p>
    <w:p>
      <w:pPr>
        <w:ind w:right="60" w:firstLine="456"/>
        <w:spacing w:after="0" w:line="247" w:lineRule="auto"/>
        <w:rPr>
          <w:sz w:val="20"/>
          <w:szCs w:val="20"/>
          <w:color w:val="auto"/>
        </w:rPr>
      </w:pPr>
      <w:r>
        <w:rPr>
          <w:rFonts w:ascii="Arial" w:cs="Arial" w:eastAsia="Arial" w:hAnsi="Arial"/>
          <w:sz w:val="13"/>
          <w:szCs w:val="13"/>
          <w:color w:val="auto"/>
        </w:rPr>
        <w:t>Stockholder activism, which could take many forms, including making public demands that we consider certain strategic alternatives, engaging in public campaigns to attempt to influence our corporate governance and/or our management, and commencing proxy contests to attempt to elect the activists’ representatives or others to our board of directors, or arise in a variety of situations, has been increasing in the BDC space recently. While we are currently not subject to any stockholder activism, due to the potential volatility of our stock price and for a variety of other reasons, we may in the future become the target of stockholder activism. Stockholder activism could result in substantial costs and divert management’s and our board of directors’ attention and resources from our business. Additionally, such stockholder activism could give rise to perceived uncertainties as to our future and adversely affect our relationships with service providers and our portfolio companies. Also, we may be required to incur significant legal and other expenses related to any activist stockholder matters. Further, our stock price could be subject to significant fluctuation or otherwise be adversely affected by the events, risks and uncertainties of any stockholder activism.</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140"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106" w:lineRule="exact"/>
        <w:rPr>
          <w:sz w:val="20"/>
          <w:szCs w:val="20"/>
          <w:color w:val="auto"/>
        </w:rPr>
      </w:pPr>
    </w:p>
    <w:p>
      <w:pPr>
        <w:ind w:right="100" w:firstLine="438"/>
        <w:spacing w:after="0" w:line="247" w:lineRule="auto"/>
        <w:rPr>
          <w:sz w:val="20"/>
          <w:szCs w:val="20"/>
          <w:color w:val="auto"/>
        </w:rPr>
      </w:pPr>
      <w:r>
        <w:rPr>
          <w:rFonts w:ascii="Arial" w:cs="Arial" w:eastAsia="Arial" w:hAnsi="Arial"/>
          <w:sz w:val="13"/>
          <w:szCs w:val="13"/>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values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98" w:lineRule="exact"/>
        <w:rPr>
          <w:sz w:val="20"/>
          <w:szCs w:val="20"/>
          <w:color w:val="auto"/>
        </w:rPr>
      </w:pPr>
    </w:p>
    <w:p>
      <w:pPr>
        <w:ind w:right="60" w:firstLine="438"/>
        <w:spacing w:after="0" w:line="248" w:lineRule="auto"/>
        <w:rPr>
          <w:sz w:val="20"/>
          <w:szCs w:val="20"/>
          <w:color w:val="auto"/>
        </w:rPr>
      </w:pPr>
      <w:r>
        <w:rPr>
          <w:rFonts w:ascii="Arial" w:cs="Arial" w:eastAsia="Arial" w:hAnsi="Arial"/>
          <w:sz w:val="13"/>
          <w:szCs w:val="13"/>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13" w:lineRule="exact"/>
        <w:rPr>
          <w:sz w:val="20"/>
          <w:szCs w:val="20"/>
          <w:color w:val="auto"/>
        </w:rPr>
      </w:pPr>
    </w:p>
    <w:p>
      <w:pPr>
        <w:ind w:right="60" w:firstLine="438"/>
        <w:spacing w:after="0" w:line="248" w:lineRule="auto"/>
        <w:rPr>
          <w:sz w:val="20"/>
          <w:szCs w:val="20"/>
          <w:color w:val="auto"/>
        </w:rPr>
      </w:pPr>
      <w:r>
        <w:rPr>
          <w:rFonts w:ascii="Arial" w:cs="Arial" w:eastAsia="Arial" w:hAnsi="Arial"/>
          <w:sz w:val="13"/>
          <w:szCs w:val="13"/>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lack of liquidity in our investments may adversely affect our business.</w:t>
      </w:r>
    </w:p>
    <w:p>
      <w:pPr>
        <w:spacing w:after="0" w:line="123"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generally not required to do so.</w:t>
      </w:r>
    </w:p>
    <w:p>
      <w:pPr>
        <w:spacing w:after="0" w:line="115"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17" w:lineRule="exact"/>
        <w:rPr>
          <w:sz w:val="20"/>
          <w:szCs w:val="20"/>
          <w:color w:val="auto"/>
        </w:rPr>
      </w:pPr>
    </w:p>
    <w:p>
      <w:pPr>
        <w:ind w:right="160" w:firstLine="438"/>
        <w:spacing w:after="0" w:line="264" w:lineRule="auto"/>
        <w:rPr>
          <w:sz w:val="20"/>
          <w:szCs w:val="20"/>
          <w:color w:val="auto"/>
        </w:rPr>
      </w:pPr>
      <w:r>
        <w:rPr>
          <w:rFonts w:ascii="Arial" w:cs="Arial" w:eastAsia="Arial" w:hAnsi="Arial"/>
          <w:sz w:val="13"/>
          <w:szCs w:val="13"/>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general disruption in the credit markets could materially damage our business.</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are susceptible to the risk of significant loss if we are forced to discount the value of our investments in order to provide liquidity to meet our debt maturities. Our borrowings under our Credit Facility are collateralized by the assets in our investment portfolio (excluding assets held by our SBIC Funds).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7"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i w:val="1"/>
          <w:iCs w:val="1"/>
          <w:color w:val="auto"/>
        </w:rPr>
        <w:t>We may invest in over-the-counter securities, which have and may continue to face liquidity constraints, to provide us with liquidity.</w:t>
      </w:r>
    </w:p>
    <w:p>
      <w:pPr>
        <w:spacing w:after="0" w:line="123" w:lineRule="exact"/>
        <w:rPr>
          <w:sz w:val="20"/>
          <w:szCs w:val="20"/>
          <w:color w:val="auto"/>
        </w:rPr>
      </w:pPr>
    </w:p>
    <w:p>
      <w:pPr>
        <w:ind w:right="420" w:firstLine="438"/>
        <w:spacing w:after="0" w:line="253" w:lineRule="auto"/>
        <w:rPr>
          <w:sz w:val="20"/>
          <w:szCs w:val="20"/>
          <w:color w:val="auto"/>
        </w:rPr>
      </w:pPr>
      <w:r>
        <w:rPr>
          <w:rFonts w:ascii="Arial" w:cs="Arial" w:eastAsia="Arial" w:hAnsi="Arial"/>
          <w:sz w:val="14"/>
          <w:szCs w:val="14"/>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prospective portfolio companies may be risky, and you could lose all or part of your investment.</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We intend to invest primarily in first lien secured debt, second lien secured debt, subordinated debt and selected equity investments issued by U.S. and foreign middle-market companies.</w:t>
      </w:r>
    </w:p>
    <w:p>
      <w:pPr>
        <w:spacing w:after="0" w:line="148" w:lineRule="exact"/>
        <w:rPr>
          <w:sz w:val="20"/>
          <w:szCs w:val="20"/>
          <w:color w:val="auto"/>
        </w:rPr>
      </w:pPr>
    </w:p>
    <w:p>
      <w:pPr>
        <w:ind w:left="920" w:right="20" w:hanging="359"/>
        <w:spacing w:after="0" w:line="227" w:lineRule="auto"/>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First Lien Secured Debt: </w:t>
      </w:r>
      <w:r>
        <w:rPr>
          <w:rFonts w:ascii="Arial" w:cs="Arial" w:eastAsia="Arial" w:hAnsi="Arial"/>
          <w:sz w:val="14"/>
          <w:szCs w:val="14"/>
          <w:color w:val="auto"/>
        </w:rPr>
        <w:t>When we extend first lien secured debt, we will generally take a security interest in the available assets of these portfolio companies, including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first lien secured debt investment is secured does not guarantee that we will receive principal and interest payments according to the loan’s terms, or at all, or that we will be able to collect on the loan should we be forced to enforce our remedies.</w:t>
      </w:r>
    </w:p>
    <w:p>
      <w:pPr>
        <w:spacing w:after="0" w:line="118" w:lineRule="exact"/>
        <w:rPr>
          <w:rFonts w:ascii="Arial" w:cs="Arial" w:eastAsia="Arial" w:hAnsi="Arial"/>
          <w:sz w:val="14"/>
          <w:szCs w:val="14"/>
          <w:color w:val="auto"/>
        </w:rPr>
      </w:pPr>
    </w:p>
    <w:p>
      <w:pPr>
        <w:ind w:left="960" w:right="20" w:hanging="358"/>
        <w:spacing w:after="0" w:line="229" w:lineRule="auto"/>
        <w:tabs>
          <w:tab w:leader="none" w:pos="960" w:val="left"/>
        </w:tabs>
        <w:numPr>
          <w:ilvl w:val="1"/>
          <w:numId w:val="3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Second Lien Secured Debt: </w:t>
      </w:r>
      <w:r>
        <w:rPr>
          <w:rFonts w:ascii="Arial" w:cs="Arial" w:eastAsia="Arial" w:hAnsi="Arial"/>
          <w:sz w:val="14"/>
          <w:szCs w:val="14"/>
          <w:color w:val="auto"/>
        </w:rPr>
        <w:t>Our second lien secured debt usually ranks junior in priority of payment to first lien secured debt. Second lien secured debt holds a second priority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 regard to right of payment in the event of insolvency. Second lien secured debt ranks senior to subordinated debt and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second lien secured debt investments, such investments may be of greater risk than cash paying loans.</w:t>
      </w:r>
    </w:p>
    <w:p>
      <w:pPr>
        <w:spacing w:after="0" w:line="118" w:lineRule="exact"/>
        <w:rPr>
          <w:sz w:val="20"/>
          <w:szCs w:val="20"/>
          <w:color w:val="auto"/>
        </w:rPr>
      </w:pPr>
    </w:p>
    <w:p>
      <w:pPr>
        <w:ind w:left="920" w:hanging="359"/>
        <w:spacing w:after="0" w:line="229" w:lineRule="auto"/>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Subordinated Debt: </w:t>
      </w:r>
      <w:r>
        <w:rPr>
          <w:rFonts w:ascii="Arial" w:cs="Arial" w:eastAsia="Arial" w:hAnsi="Arial"/>
          <w:sz w:val="14"/>
          <w:szCs w:val="14"/>
          <w:color w:val="auto"/>
        </w:rPr>
        <w:t>Our subordinated debt usually ranks junior in priority of payment to first lien secured debt and second lien secured debt, and are often unsecured. As such,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other creditors may rank senior to us in the event of insolvency. Subordinated debt ranks senior to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subordinated debt investments, such investments may be of greater risk than cash paying loans.</w:t>
      </w:r>
    </w:p>
    <w:p>
      <w:pPr>
        <w:spacing w:after="0" w:line="117" w:lineRule="exact"/>
        <w:rPr>
          <w:rFonts w:ascii="Arial" w:cs="Arial" w:eastAsia="Arial" w:hAnsi="Arial"/>
          <w:sz w:val="14"/>
          <w:szCs w:val="14"/>
          <w:color w:val="auto"/>
        </w:rPr>
      </w:pPr>
    </w:p>
    <w:p>
      <w:pPr>
        <w:ind w:left="920" w:right="60" w:hanging="359"/>
        <w:spacing w:after="0" w:line="247" w:lineRule="auto"/>
        <w:tabs>
          <w:tab w:leader="none" w:pos="920" w:val="left"/>
        </w:tabs>
        <w:numPr>
          <w:ilvl w:val="0"/>
          <w:numId w:val="3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Equity Investments: </w:t>
      </w:r>
      <w:r>
        <w:rPr>
          <w:rFonts w:ascii="Arial" w:cs="Arial" w:eastAsia="Arial" w:hAnsi="Arial"/>
          <w:sz w:val="13"/>
          <w:szCs w:val="13"/>
          <w:color w:val="auto"/>
        </w:rPr>
        <w:t>We have made and expect to continue to make select equity investments, all of which are subordinated to debt investments. In addition, when we invest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first lien secured debt, second lien secured debt or subordinated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of gains or dividends available for distributions to our stockholders.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136" w:lineRule="exact"/>
        <w:rPr>
          <w:sz w:val="20"/>
          <w:szCs w:val="20"/>
          <w:color w:val="auto"/>
        </w:rPr>
      </w:pPr>
    </w:p>
    <w:p>
      <w:pPr>
        <w:ind w:left="920" w:right="520" w:hanging="359"/>
        <w:spacing w:after="0" w:line="238" w:lineRule="auto"/>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15" w:lineRule="exact"/>
        <w:rPr>
          <w:rFonts w:ascii="Arial" w:cs="Arial" w:eastAsia="Arial" w:hAnsi="Arial"/>
          <w:sz w:val="14"/>
          <w:szCs w:val="14"/>
          <w:color w:val="auto"/>
        </w:rPr>
      </w:pPr>
    </w:p>
    <w:p>
      <w:pPr>
        <w:ind w:left="920" w:right="60" w:hanging="359"/>
        <w:spacing w:after="0" w:line="335" w:lineRule="auto"/>
        <w:tabs>
          <w:tab w:leader="none" w:pos="9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60" w:lineRule="exact"/>
        <w:rPr>
          <w:rFonts w:ascii="Arial" w:cs="Arial" w:eastAsia="Arial" w:hAnsi="Arial"/>
          <w:sz w:val="12"/>
          <w:szCs w:val="12"/>
          <w:color w:val="auto"/>
        </w:rPr>
      </w:pPr>
    </w:p>
    <w:p>
      <w:pPr>
        <w:ind w:left="920" w:right="340" w:hanging="359"/>
        <w:spacing w:after="0" w:line="253" w:lineRule="auto"/>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06" w:lineRule="exact"/>
        <w:rPr>
          <w:rFonts w:ascii="Arial" w:cs="Arial" w:eastAsia="Arial" w:hAnsi="Arial"/>
          <w:sz w:val="14"/>
          <w:szCs w:val="14"/>
          <w:color w:val="auto"/>
        </w:rPr>
      </w:pPr>
    </w:p>
    <w:p>
      <w:pPr>
        <w:ind w:left="920" w:right="200" w:hanging="359"/>
        <w:spacing w:after="0" w:line="264" w:lineRule="auto"/>
        <w:tabs>
          <w:tab w:leader="none" w:pos="9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be named as defendants in litigation arising from our investments in the portfolio companies; and</w:t>
      </w:r>
    </w:p>
    <w:p>
      <w:pPr>
        <w:spacing w:after="0" w:line="100" w:lineRule="exact"/>
        <w:rPr>
          <w:rFonts w:ascii="Arial" w:cs="Arial" w:eastAsia="Arial" w:hAnsi="Arial"/>
          <w:sz w:val="13"/>
          <w:szCs w:val="13"/>
          <w:color w:val="auto"/>
        </w:rPr>
      </w:pPr>
    </w:p>
    <w:p>
      <w:pPr>
        <w:ind w:left="920" w:right="380" w:hanging="359"/>
        <w:spacing w:after="0" w:line="253" w:lineRule="auto"/>
        <w:tabs>
          <w:tab w:leader="none" w:pos="9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they may have difficulty accessing the capital markets to meet future capital needs, which may limit their ability to grow or to refinance their outstanding indebtedness upon maturity.</w:t>
      </w:r>
    </w:p>
    <w:p>
      <w:pPr>
        <w:spacing w:after="0" w:line="106"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93"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have not invested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6" w:name="page27"/>
    <w:bookmarkEnd w:id="26"/>
    <w:p>
      <w:pPr>
        <w:ind w:right="240"/>
        <w:spacing w:after="0" w:line="253" w:lineRule="auto"/>
        <w:rPr>
          <w:sz w:val="20"/>
          <w:szCs w:val="20"/>
          <w:color w:val="auto"/>
        </w:rPr>
      </w:pPr>
      <w:r>
        <w:rPr>
          <w:rFonts w:ascii="Arial" w:cs="Arial" w:eastAsia="Arial" w:hAnsi="Arial"/>
          <w:sz w:val="14"/>
          <w:szCs w:val="14"/>
          <w:color w:val="auto"/>
        </w:rPr>
        <w:t>to dispose of such investments on favorable terms. For example, we may have difficulty in finding a buyer and, even if we do find a buyer, we may have to sell the investments at a substantial loss.</w:t>
      </w:r>
    </w:p>
    <w:p>
      <w:pPr>
        <w:spacing w:after="0" w:line="93"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10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and compliance with the RIC tax regulations.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the Diversification Requirements, we do not have fixed guidelines for portfolio diversification, and our investments could be concentrated in relatively few portfolio companies or industries. Although we are classified as a non-diversified investment company within the meaning of the 1940 Act, we maintain the flexibility to operate as a diversified investment company and have done so for an extended period of time. To the extent that we operate as a non-diversified investment company in the future, we may be subject to greater risk.</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Economic recessions or downturns could impair our portfolio companies and harm our operating results.</w:t>
      </w:r>
    </w:p>
    <w:p>
      <w:pPr>
        <w:spacing w:after="0" w:line="123" w:lineRule="exact"/>
        <w:rPr>
          <w:sz w:val="20"/>
          <w:szCs w:val="20"/>
          <w:color w:val="auto"/>
        </w:rPr>
      </w:pPr>
    </w:p>
    <w:p>
      <w:pPr>
        <w:ind w:right="200" w:firstLine="438"/>
        <w:spacing w:after="0" w:line="231" w:lineRule="auto"/>
        <w:rPr>
          <w:sz w:val="20"/>
          <w:szCs w:val="20"/>
          <w:color w:val="auto"/>
        </w:rPr>
      </w:pPr>
      <w:r>
        <w:rPr>
          <w:rFonts w:ascii="Arial" w:cs="Arial" w:eastAsia="Arial" w:hAnsi="Arial"/>
          <w:sz w:val="14"/>
          <w:szCs w:val="14"/>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16" w:lineRule="exact"/>
        <w:rPr>
          <w:sz w:val="20"/>
          <w:szCs w:val="20"/>
          <w:color w:val="auto"/>
        </w:rPr>
      </w:pPr>
    </w:p>
    <w:p>
      <w:pPr>
        <w:ind w:right="120" w:firstLine="438"/>
        <w:spacing w:after="0" w:line="248"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make follow-on investments in our portfolio companies, this could materially impair the value of our portfolio.</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136" w:lineRule="exact"/>
        <w:rPr>
          <w:sz w:val="20"/>
          <w:szCs w:val="20"/>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136" w:lineRule="exact"/>
        <w:rPr>
          <w:sz w:val="20"/>
          <w:szCs w:val="20"/>
          <w:color w:val="auto"/>
        </w:rPr>
      </w:pPr>
    </w:p>
    <w:p>
      <w:pPr>
        <w:ind w:right="120" w:firstLine="438"/>
        <w:spacing w:after="0" w:line="231" w:lineRule="auto"/>
        <w:rPr>
          <w:sz w:val="20"/>
          <w:szCs w:val="20"/>
          <w:color w:val="auto"/>
        </w:rPr>
      </w:pPr>
      <w:r>
        <w:rPr>
          <w:rFonts w:ascii="Arial" w:cs="Arial" w:eastAsia="Arial" w:hAnsi="Arial"/>
          <w:sz w:val="14"/>
          <w:szCs w:val="14"/>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116"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93"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117" w:lineRule="exact"/>
        <w:rPr>
          <w:sz w:val="20"/>
          <w:szCs w:val="20"/>
          <w:color w:val="auto"/>
        </w:rPr>
      </w:pPr>
    </w:p>
    <w:p>
      <w:pPr>
        <w:ind w:right="400"/>
        <w:spacing w:after="0" w:line="335"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60"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portfolio companies may incur debt that ranks equally with, or senior to, our investments in such companies and our portfolio companies may be highly leveraged.</w:t>
      </w:r>
    </w:p>
    <w:p>
      <w:pPr>
        <w:spacing w:after="0" w:line="136"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We invest primarily in first lien secured debt, second lien secured debt and subordinated debt and equity investments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i w:val="1"/>
          <w:iCs w:val="1"/>
          <w:color w:val="auto"/>
        </w:rPr>
        <w:t>Our incentive fee may induce the Investment Adviser to make speculative investments.</w:t>
      </w:r>
    </w:p>
    <w:p>
      <w:pPr>
        <w:spacing w:after="0" w:line="123"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11"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investments in distressed debt may not produce income and may require us to bear large expenses in order to protect and recover our investment.</w:t>
      </w:r>
    </w:p>
    <w:p>
      <w:pPr>
        <w:spacing w:after="0" w:line="123" w:lineRule="exact"/>
        <w:rPr>
          <w:sz w:val="20"/>
          <w:szCs w:val="20"/>
          <w:color w:val="auto"/>
        </w:rPr>
      </w:pPr>
    </w:p>
    <w:p>
      <w:pPr>
        <w:ind w:right="20" w:firstLine="438"/>
        <w:spacing w:after="0" w:line="227" w:lineRule="auto"/>
        <w:rPr>
          <w:sz w:val="20"/>
          <w:szCs w:val="20"/>
          <w:color w:val="auto"/>
        </w:rPr>
      </w:pPr>
      <w:r>
        <w:rPr>
          <w:rFonts w:ascii="Arial" w:cs="Arial" w:eastAsia="Arial" w:hAnsi="Arial"/>
          <w:sz w:val="14"/>
          <w:szCs w:val="14"/>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investments in foreign securities may involve significant risks in addition to the risks inherent in U.S. investments.</w:t>
      </w:r>
    </w:p>
    <w:p>
      <w:pPr>
        <w:spacing w:after="0" w:line="136"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Our investment strategy contemplates potential investments in securities of companies located outside of the United States. Investments in securities of companies located outside of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96"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make investments that cause our stockholders to bear investment advisory fees and other expenses on such investments in addition to our management fees and expenses.</w:t>
      </w:r>
    </w:p>
    <w:p>
      <w:pPr>
        <w:spacing w:after="0" w:line="148"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obligated to pay our Investment Adviser incentive compensation even if we incur a loss.</w:t>
      </w:r>
    </w:p>
    <w:p>
      <w:pPr>
        <w:spacing w:after="0" w:line="13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 In addition, increases in interest rates may increase the amount of incentive fees we pay to the Investment Adviser even though our performance relative to the market has not increased.</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expose ourselves to risks if we engage in hedging transactions.</w:t>
      </w:r>
    </w:p>
    <w:p>
      <w:pPr>
        <w:spacing w:after="0" w:line="123" w:lineRule="exact"/>
        <w:rPr>
          <w:sz w:val="20"/>
          <w:szCs w:val="20"/>
          <w:color w:val="auto"/>
        </w:rPr>
      </w:pPr>
    </w:p>
    <w:p>
      <w:pPr>
        <w:ind w:right="20" w:firstLine="438"/>
        <w:spacing w:after="0" w:line="228" w:lineRule="auto"/>
        <w:rPr>
          <w:sz w:val="20"/>
          <w:szCs w:val="20"/>
          <w:color w:val="auto"/>
        </w:rPr>
      </w:pPr>
      <w:r>
        <w:rPr>
          <w:rFonts w:ascii="Arial" w:cs="Arial" w:eastAsia="Arial" w:hAnsi="Arial"/>
          <w:sz w:val="14"/>
          <w:szCs w:val="14"/>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17" w:lineRule="exact"/>
        <w:rPr>
          <w:sz w:val="20"/>
          <w:szCs w:val="20"/>
          <w:color w:val="auto"/>
        </w:rPr>
      </w:pPr>
    </w:p>
    <w:p>
      <w:pPr>
        <w:ind w:right="80" w:firstLine="438"/>
        <w:spacing w:after="0" w:line="228" w:lineRule="auto"/>
        <w:rPr>
          <w:sz w:val="20"/>
          <w:szCs w:val="20"/>
          <w:color w:val="auto"/>
        </w:rPr>
      </w:pPr>
      <w:r>
        <w:rPr>
          <w:rFonts w:ascii="Arial" w:cs="Arial" w:eastAsia="Arial" w:hAnsi="Arial"/>
          <w:sz w:val="14"/>
          <w:szCs w:val="14"/>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i w:val="1"/>
          <w:iCs w:val="1"/>
          <w:color w:val="auto"/>
        </w:rPr>
        <w:t>The effect of global climate change may impact the operations of our portfolio companies.</w:t>
      </w:r>
    </w:p>
    <w:p>
      <w:pPr>
        <w:spacing w:after="0" w:line="123" w:lineRule="exact"/>
        <w:rPr>
          <w:sz w:val="20"/>
          <w:szCs w:val="20"/>
          <w:color w:val="auto"/>
        </w:rPr>
      </w:pPr>
    </w:p>
    <w:p>
      <w:pPr>
        <w:ind w:right="20" w:firstLine="438"/>
        <w:spacing w:after="0" w:line="277"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140"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102"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15"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18"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stockholders may not receive distributions or that our distributions may not grow over time.</w:t>
      </w:r>
    </w:p>
    <w:p>
      <w:pPr>
        <w:spacing w:after="0" w:line="136" w:lineRule="exact"/>
        <w:rPr>
          <w:sz w:val="20"/>
          <w:szCs w:val="20"/>
          <w:color w:val="auto"/>
        </w:rPr>
      </w:pPr>
    </w:p>
    <w:p>
      <w:pPr>
        <w:ind w:right="100" w:firstLine="438"/>
        <w:spacing w:after="0" w:line="229" w:lineRule="auto"/>
        <w:rPr>
          <w:sz w:val="20"/>
          <w:szCs w:val="20"/>
          <w:color w:val="auto"/>
        </w:rPr>
      </w:pPr>
      <w:r>
        <w:rPr>
          <w:rFonts w:ascii="Arial" w:cs="Arial" w:eastAsia="Arial" w:hAnsi="Arial"/>
          <w:sz w:val="14"/>
          <w:szCs w:val="14"/>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Investing in our shares may involve an above average degree of risk.</w:t>
      </w:r>
    </w:p>
    <w:p>
      <w:pPr>
        <w:spacing w:after="0" w:line="123" w:lineRule="exact"/>
        <w:rPr>
          <w:sz w:val="20"/>
          <w:szCs w:val="20"/>
          <w:color w:val="auto"/>
        </w:rPr>
      </w:pPr>
    </w:p>
    <w:p>
      <w:pPr>
        <w:ind w:right="220" w:firstLine="438"/>
        <w:spacing w:after="0" w:line="290" w:lineRule="auto"/>
        <w:rPr>
          <w:sz w:val="20"/>
          <w:szCs w:val="20"/>
          <w:color w:val="auto"/>
        </w:rPr>
      </w:pPr>
      <w:r>
        <w:rPr>
          <w:rFonts w:ascii="Arial" w:cs="Arial" w:eastAsia="Arial" w:hAnsi="Arial"/>
          <w:sz w:val="13"/>
          <w:szCs w:val="13"/>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substantial amounts of our securities may have an adverse effect on the market price of our securities.</w:t>
      </w:r>
    </w:p>
    <w:p>
      <w:pPr>
        <w:spacing w:after="0" w:line="136" w:lineRule="exact"/>
        <w:rPr>
          <w:sz w:val="20"/>
          <w:szCs w:val="20"/>
          <w:color w:val="auto"/>
        </w:rPr>
      </w:pPr>
    </w:p>
    <w:p>
      <w:pPr>
        <w:ind w:right="540" w:firstLine="438"/>
        <w:spacing w:after="0" w:line="253"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allocate the net proceeds from any offering of our securities in ways with which you may not agree.</w:t>
      </w:r>
    </w:p>
    <w:p>
      <w:pPr>
        <w:spacing w:after="0" w:line="136"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shares may trade at discounts from NAV or at premiums that are unsustainable over the long term.</w:t>
      </w:r>
    </w:p>
    <w:p>
      <w:pPr>
        <w:spacing w:after="0" w:line="123"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Shares of BDCs may trade at a market price that is less than the NAV that is attributable to those shares. Our shares have traded above and below our NAV. Our shares closed on the NASDAQ Global Select Market at $7.46 and $7.51 on September 30, 2018 and 2017, respectively. Our NAV per share was $9.11 and $9.10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common stock may fluctuate significantly.</w:t>
      </w:r>
    </w:p>
    <w:p>
      <w:pPr>
        <w:spacing w:after="0" w:line="123"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06" w:lineRule="exact"/>
        <w:rPr>
          <w:sz w:val="20"/>
          <w:szCs w:val="20"/>
          <w:color w:val="auto"/>
        </w:rPr>
      </w:pPr>
    </w:p>
    <w:p>
      <w:pPr>
        <w:ind w:left="920" w:right="60" w:hanging="359"/>
        <w:spacing w:after="0" w:line="253" w:lineRule="auto"/>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significant volatility in the market price and trading volume of securities of BDCs or other companies in our sector, which are not necessarily related to the operating performance of these companies;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BDCs or SBICs;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any loss of our BDC or RIC status or any loss of our subsidiaries’ SBIC licenses;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in prevailing interest rates;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9" w:name="page30"/>
    <w:bookmarkEnd w:id="29"/>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inability of our Investment Adviser to employ additional experienced investment professionals or the departure of any of the Investment Adviser’s key personnel;</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general national and international economic trends and other external factors;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general price and volume fluctuations in the stock markets, including as a result of short sales;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conversion features of subscription rights, warrants or convertible debt;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136"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unable to invest the net proceeds raised from offerings on acceptable terms, which would harm our financial condition and operating results.</w:t>
      </w:r>
    </w:p>
    <w:p>
      <w:pPr>
        <w:spacing w:after="0" w:line="13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SBA also limits an SBIC’s choices to invest idle funds to the following types of securities:</w:t>
      </w:r>
    </w:p>
    <w:p>
      <w:pPr>
        <w:spacing w:after="0" w:line="123" w:lineRule="exact"/>
        <w:rPr>
          <w:sz w:val="20"/>
          <w:szCs w:val="20"/>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direct obligations of, or obligations guaranteed as to principal and interest by, the U.S. government, which mature within 15 months from the date of the investment;</w:t>
      </w:r>
    </w:p>
    <w:p>
      <w:pPr>
        <w:spacing w:after="0" w:line="136" w:lineRule="exact"/>
        <w:rPr>
          <w:rFonts w:ascii="Arial" w:cs="Arial" w:eastAsia="Arial" w:hAnsi="Arial"/>
          <w:sz w:val="14"/>
          <w:szCs w:val="14"/>
          <w:color w:val="auto"/>
        </w:rPr>
      </w:pPr>
    </w:p>
    <w:p>
      <w:pPr>
        <w:ind w:left="920" w:right="80" w:hanging="359"/>
        <w:spacing w:after="0" w:line="253" w:lineRule="auto"/>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certificates of deposit with a maturity of one year or less, issued by a federally insured institution; or</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 deposit account in a federally insured institution that is subject to a withdrawal restriction of one year or less.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You may have current tax liabilities on distributions you reinvest in our common stock.</w:t>
      </w:r>
    </w:p>
    <w:p>
      <w:pPr>
        <w:spacing w:after="0" w:line="13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is a risk that our common stockholders may receive our stock as distributions in which case they may be required to pay taxes in excess of the cash they receive.</w:t>
      </w:r>
    </w:p>
    <w:p>
      <w:pPr>
        <w:spacing w:after="0" w:line="123"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incur significant costs as a result of being a publicly traded company.</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 and the listing standards of the NASDAQ Stock Market LLC.</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148" w:lineRule="exact"/>
        <w:rPr>
          <w:sz w:val="20"/>
          <w:szCs w:val="20"/>
          <w:color w:val="auto"/>
        </w:rPr>
      </w:pPr>
    </w:p>
    <w:p>
      <w:pPr>
        <w:ind w:right="80" w:firstLine="438"/>
        <w:spacing w:after="0" w:line="251" w:lineRule="auto"/>
        <w:rPr>
          <w:sz w:val="20"/>
          <w:szCs w:val="20"/>
          <w:color w:val="auto"/>
        </w:rPr>
      </w:pPr>
      <w:r>
        <w:rPr>
          <w:rFonts w:ascii="Arial" w:cs="Arial" w:eastAsia="Arial" w:hAnsi="Arial"/>
          <w:sz w:val="13"/>
          <w:szCs w:val="13"/>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09"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03" w:lineRule="exact"/>
        <w:rPr>
          <w:sz w:val="20"/>
          <w:szCs w:val="20"/>
          <w:color w:val="auto"/>
        </w:rPr>
      </w:pPr>
    </w:p>
    <w:p>
      <w:pPr>
        <w:ind w:right="460" w:firstLine="438"/>
        <w:spacing w:after="0" w:line="253"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color w:val="auto"/>
        </w:rPr>
        <w:t>RISKS RELATING TO AN INVESTMENT IN OUR DEBT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2019 Notes are unsecured and therefore are effectively subordinated to any secured indebtedness we have currently incurred or may incur in the future.</w:t>
      </w:r>
    </w:p>
    <w:p>
      <w:pPr>
        <w:spacing w:after="0" w:line="136"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The 2019 Notes are not secured by any of our assets or any of the assets of our subsidiaries. As a result, the 2019 Notes are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2019 Notes. As of September 30, 2018 and 2017, we had $80.5 million (including a $2.0 million temporary draw) and $79.4 million, respectively, outstanding under the Credit Facility. The Credit Facility is secured by substantially all of the assets in our portfolio (other than assets held by our SBIC Funds), and the indebtedness under the Credit Facility is therefore effectively senior in right of payment to our 2019 Notes to the extent of the value of such assets.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2019 Notes are structurally subordinated to the indebtedness and other liabilities of our subsidiaries.</w:t>
      </w:r>
    </w:p>
    <w:p>
      <w:pPr>
        <w:spacing w:after="0" w:line="123" w:lineRule="exact"/>
        <w:rPr>
          <w:sz w:val="20"/>
          <w:szCs w:val="20"/>
          <w:color w:val="auto"/>
        </w:rPr>
      </w:pPr>
    </w:p>
    <w:p>
      <w:pPr>
        <w:jc w:val="both"/>
        <w:ind w:right="80" w:firstLine="438"/>
        <w:spacing w:after="0" w:line="264" w:lineRule="auto"/>
        <w:rPr>
          <w:sz w:val="20"/>
          <w:szCs w:val="20"/>
          <w:color w:val="auto"/>
        </w:rPr>
      </w:pPr>
      <w:r>
        <w:rPr>
          <w:rFonts w:ascii="Arial" w:cs="Arial" w:eastAsia="Arial" w:hAnsi="Arial"/>
          <w:sz w:val="13"/>
          <w:szCs w:val="13"/>
          <w:color w:val="auto"/>
        </w:rPr>
        <w:t>The 2019 Notes are obligations exclusively of PennantPark Investment Corporation and not of any of our subsidiaries. None of our subsidiaries is or acts as a guarantor of the 2019 Notes and the 2019 Notes are not required to be guaranteed by any subsidiaries we may acquire or create in the future. Our secured indebtedness with respect to the SBA debentures is held through our SBIC Funds. The assets of any such subsidiaries are not directly available to satisfy the claims of our creditors, including holders of our 2019 Notes.</w:t>
      </w:r>
    </w:p>
    <w:p>
      <w:pPr>
        <w:spacing w:after="0" w:line="101" w:lineRule="exact"/>
        <w:rPr>
          <w:sz w:val="20"/>
          <w:szCs w:val="20"/>
          <w:color w:val="auto"/>
        </w:rPr>
      </w:pPr>
    </w:p>
    <w:p>
      <w:pPr>
        <w:ind w:right="20" w:firstLine="438"/>
        <w:spacing w:after="0" w:line="247" w:lineRule="auto"/>
        <w:rPr>
          <w:sz w:val="20"/>
          <w:szCs w:val="20"/>
          <w:color w:val="auto"/>
        </w:rPr>
      </w:pPr>
      <w:r>
        <w:rPr>
          <w:rFonts w:ascii="Arial" w:cs="Arial" w:eastAsia="Arial" w:hAnsi="Arial"/>
          <w:sz w:val="13"/>
          <w:szCs w:val="13"/>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2019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2019 Notes are structurally subordinated to all indebtedness and other liabilities (including trade payables) of our subsidiaries and any subsidiaries that we may in the future acquire or establish as financing vehicles or otherwise. As of September 30, 2018 and 2017, our SBIC Funds had $300.0 million in debt commitments, respectively, of which $180.0 million and $199.0 million was drawn. All of such indebtedness is structurally senior to the 2019 Notes. In addition, our subsidiaries may incur substantial additional indebtedness in the future, all of which would be structurally senior to the 2019 Notes.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indenture under which the 2019 Notes were issued contains limited protection for their respective holders.</w:t>
      </w:r>
    </w:p>
    <w:p>
      <w:pPr>
        <w:spacing w:after="0" w:line="123" w:lineRule="exact"/>
        <w:rPr>
          <w:sz w:val="20"/>
          <w:szCs w:val="20"/>
          <w:color w:val="auto"/>
        </w:rPr>
      </w:pPr>
    </w:p>
    <w:p>
      <w:pPr>
        <w:jc w:val="both"/>
        <w:ind w:right="220" w:firstLine="438"/>
        <w:spacing w:after="0" w:line="238" w:lineRule="auto"/>
        <w:rPr>
          <w:sz w:val="20"/>
          <w:szCs w:val="20"/>
          <w:color w:val="auto"/>
        </w:rPr>
      </w:pPr>
      <w:r>
        <w:rPr>
          <w:rFonts w:ascii="Arial" w:cs="Arial" w:eastAsia="Arial" w:hAnsi="Arial"/>
          <w:sz w:val="14"/>
          <w:szCs w:val="14"/>
          <w:color w:val="auto"/>
        </w:rPr>
        <w:t>The indenture under which the 2019 Notes were issued offers limited protection to holders. The terms of the indenture and the 2019 Notes do not restrict our or any of our subsidiaries’ ability to engage in, or otherwise be a party to, a variety of corporate transactions, circumstances or events that could have an adverse impact on each holder’s investment in the 2019 Notes. In particular, the terms of the indentures and the 2019 Notes will not place any restrictions on our or our subsidiaries’ ability to:</w:t>
      </w:r>
    </w:p>
    <w:p>
      <w:pPr>
        <w:spacing w:after="0" w:line="115" w:lineRule="exact"/>
        <w:rPr>
          <w:sz w:val="20"/>
          <w:szCs w:val="20"/>
          <w:color w:val="auto"/>
        </w:rPr>
      </w:pPr>
    </w:p>
    <w:p>
      <w:pPr>
        <w:ind w:left="920" w:right="60" w:hanging="359"/>
        <w:spacing w:after="0" w:line="248" w:lineRule="auto"/>
        <w:tabs>
          <w:tab w:leader="none" w:pos="9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issue securities or otherwise incur additional indebtedness or other obligations, including (1) any indebtedness or other obligations that would be equal in right of payment to the 2019 Notes, (2) any indebtedness or other obligations that would be secured and therefore rank effectively senior in right of payment to the 2019 Notes to the extent of the values of the assets securing such debt, (3) indebtedness of ours that is guaranteed by one or more of our subsidiaries and which therefore would rank structurally senior to the 2019 Notes and (4) securities, indebtedness or other obligations issued or incurred by our subsidiaries that would be senior in right of payment to our equity interests in our subsidiaries and therefore would rank structurally senior in right of payment to the 2019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112" w:lineRule="exact"/>
        <w:rPr>
          <w:rFonts w:ascii="Arial" w:cs="Arial" w:eastAsia="Arial" w:hAnsi="Arial"/>
          <w:sz w:val="13"/>
          <w:szCs w:val="13"/>
          <w:color w:val="auto"/>
        </w:rPr>
      </w:pPr>
    </w:p>
    <w:p>
      <w:pPr>
        <w:ind w:left="920" w:hanging="359"/>
        <w:spacing w:after="0"/>
        <w:tabs>
          <w:tab w:leader="none" w:pos="9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pay dividends on, or purchase or redeem or make any payments in respect of, capital stock or other securities ranking junior in right of payment to the 2019 Notes;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sell assets;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enter into transactions with affiliates;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enter into sale and leaseback transactions;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make investments; or</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create restrictions on the payment of dividends or other amounts to us from our subsidiaries.</w:t>
      </w:r>
    </w:p>
    <w:p>
      <w:pPr>
        <w:spacing w:after="0" w:line="136"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Furthermore, the terms of the indenture and the 2019 Notes do not protect their respective holders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15"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Our ability to recapitalize, incur additional debt and take a number of other actions that are not limited by the terms of the 2019 Notes may have important consequences for their holders, including making it more difficult for us to satisfy our obligations with respect to the 2019 Notes or negatively affecting their trading value.</w:t>
      </w:r>
    </w:p>
    <w:p>
      <w:pPr>
        <w:spacing w:after="0" w:line="93"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Certain of our current debt instruments include more protections for their respective holders than the indenture and the 2019 Notes. In addition, other debt we issue or incur in the future could contain more protections for its holders than the indenture and the 2019 Notes, including additional covenants and events of default. The issuance or incurrence of any such debt with incremental protections could affect the market for and trading levels and prices of the 2019 Notes.</w:t>
      </w:r>
    </w:p>
    <w:p>
      <w:pPr>
        <w:spacing w:after="0" w:line="115" w:lineRule="exact"/>
        <w:rPr>
          <w:sz w:val="20"/>
          <w:szCs w:val="20"/>
          <w:color w:val="auto"/>
        </w:rPr>
      </w:pPr>
    </w:p>
    <w:p>
      <w:pPr>
        <w:ind w:right="220"/>
        <w:spacing w:after="0" w:line="253" w:lineRule="auto"/>
        <w:rPr>
          <w:sz w:val="20"/>
          <w:szCs w:val="20"/>
          <w:color w:val="auto"/>
        </w:rPr>
      </w:pPr>
      <w:r>
        <w:rPr>
          <w:rFonts w:ascii="Arial" w:cs="Arial" w:eastAsia="Arial" w:hAnsi="Arial"/>
          <w:sz w:val="14"/>
          <w:szCs w:val="14"/>
          <w:b w:val="1"/>
          <w:bCs w:val="1"/>
          <w:i w:val="1"/>
          <w:iCs w:val="1"/>
          <w:color w:val="auto"/>
        </w:rPr>
        <w:t>An active trading market for the 2019 Notes may not develop, which could limit their market price or the ability of their respective holders to sell them. If a rating agency assigns the 2019 Notes a non-investment grade rating, they may be subject to greater price volatility than similar securities without such a rating.</w:t>
      </w:r>
    </w:p>
    <w:p>
      <w:pPr>
        <w:spacing w:after="0" w:line="106"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We have not and do not intend to list the 2019 Notes on any securities exchange or for quotation on any automated dealer quotation system. We cannot provide any assurances that an active trading market will develop for the 2019 Notes or that their holders will be able to sell them. The 2019 Notes may trade at a discount from their initial offering price depending on prevailing interest rates, the market for similar securities, our credit ratings, general economic conditions, our financial condition, performance and prospects and other factors. If a rating agency assigns the 2019 Notes a non-investment grade rating, they may be subject to greater price volatility than securities of similar maturity without such a non-investment grade rating. We cannot assure holders of the 2019 Notes that a liquid trading market will develop for them, that holders will be able to sell their 2019 Notes at a particular time or that the price holders receive upon such sale will be favorable. To the extent an active trading market does not develop, the liquidity and trading price for our 2019 Notes may be harmed. Accordingly, holders of the 2019 Notes may be required to bear the financial risk for an indefinite period of time.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i w:val="1"/>
          <w:iCs w:val="1"/>
          <w:color w:val="auto"/>
        </w:rPr>
        <w:t>If we default on our obligations to pay our other indebtedness, we may not be able to make payments on the 2019 Notes.</w:t>
      </w:r>
    </w:p>
    <w:p>
      <w:pPr>
        <w:spacing w:after="0" w:line="123" w:lineRule="exact"/>
        <w:rPr>
          <w:sz w:val="20"/>
          <w:szCs w:val="20"/>
          <w:color w:val="auto"/>
        </w:rPr>
      </w:pPr>
    </w:p>
    <w:p>
      <w:pPr>
        <w:ind w:right="60" w:firstLine="438"/>
        <w:spacing w:after="0" w:line="225" w:lineRule="auto"/>
        <w:rPr>
          <w:sz w:val="20"/>
          <w:szCs w:val="20"/>
          <w:color w:val="auto"/>
        </w:rPr>
      </w:pPr>
      <w:r>
        <w:rPr>
          <w:rFonts w:ascii="Arial" w:cs="Arial" w:eastAsia="Arial" w:hAnsi="Arial"/>
          <w:sz w:val="14"/>
          <w:szCs w:val="14"/>
          <w:color w:val="auto"/>
        </w:rPr>
        <w:t>Any default under the agreements governing our indebtedness, including a default under our Credit Facility or under other indebtedness to which we may be a party that is not waived by the required lenders or holders, and the remedies sought by the holders of such indebtedness could make us unable to pay principal, premium, if any, and interest on the 2019 Notes and substantially decrease the market value of the 2019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Credit Facility or other debt that we may incur in the future to avoid being in default. If we breach our covenants under our Credit Facility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Credit Facility, could proceed against the collateral securing the debt. Because our Credit Facility has, and any future debt will likely have, customary cross-default provisions, if the indebtedness thereunder or under any future credit facility is accelerated, we may be unable to repay or finance the amounts due.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FATCA withholding may apply to payments to certain foreign entities.</w:t>
      </w:r>
    </w:p>
    <w:p>
      <w:pPr>
        <w:spacing w:after="0" w:line="136"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Payments made under the 2019 Notes to a foreign financial institution or non-financial foreign entity (including such an institution or entity acting as an intermediary) may be subject to a U.S. withholding tax of 30% under the Foreign Account Tax Compliance Act (commonly known as “FATCA”) provisions of the Code. This U.S. withholding tax may apply to certain payments of interest on the 2019 Notes as well as, after December 31, 2018, scheduled payments of principal, early redemption, or sale of the 2019 Notes, unless the foreign financial institution or non-financial foreign entity complies with certain information reporting, withholding, identification, certification and related requirements imposed by FATCA. Depending upon the status of a holder and the status of an intermediary through which any notes are held, the holder could be subject to this 30% U.S. withholding tax in respect of any interest paid on the notes as well as any proceeds from the sale or other disposition of the notes. Holders of the 2019 Notes should consult their own tax advisors regarding FATCA and how it may affect their investment in the notes.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2" w:name="page33"/>
    <w:bookmarkEnd w:id="32"/>
    <w:p>
      <w:pPr>
        <w:spacing w:after="0"/>
        <w:tabs>
          <w:tab w:leader="none" w:pos="98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40"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As of September 30, 2018,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140"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95" w:right="419" w:bottom="1440" w:gutter="0" w:footer="0" w:header="0"/>
        </w:sectPr>
      </w:pPr>
    </w:p>
    <w:bookmarkStart w:id="33" w:name="page34"/>
    <w:bookmarkEnd w:id="33"/>
    <w:p>
      <w:pPr>
        <w:jc w:val="center"/>
        <w:spacing w:after="0"/>
        <w:rPr>
          <w:sz w:val="20"/>
          <w:szCs w:val="20"/>
          <w:color w:val="auto"/>
        </w:rPr>
      </w:pPr>
      <w:r>
        <w:rPr>
          <w:rFonts w:ascii="Arial" w:cs="Arial" w:eastAsia="Arial" w:hAnsi="Arial"/>
          <w:sz w:val="14"/>
          <w:szCs w:val="14"/>
          <w:b w:val="1"/>
          <w:bCs w:val="1"/>
          <w:color w:val="auto"/>
        </w:rPr>
        <w:t>PART II</w:t>
      </w:r>
    </w:p>
    <w:p>
      <w:pPr>
        <w:spacing w:after="0" w:line="2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Stockholder Matters and Issuer Purchases of Equity Securities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PRICE RANGE OF COMMON STOCK</w:t>
      </w:r>
    </w:p>
    <w:p>
      <w:pPr>
        <w:spacing w:after="0" w:line="275" w:lineRule="exact"/>
        <w:rPr>
          <w:sz w:val="20"/>
          <w:szCs w:val="20"/>
          <w:color w:val="auto"/>
        </w:rPr>
      </w:pPr>
    </w:p>
    <w:p>
      <w:pPr>
        <w:ind w:right="180" w:firstLine="438"/>
        <w:spacing w:after="0" w:line="253" w:lineRule="auto"/>
        <w:rPr>
          <w:sz w:val="20"/>
          <w:szCs w:val="20"/>
          <w:color w:val="auto"/>
        </w:rPr>
      </w:pPr>
      <w:r>
        <w:rPr>
          <w:rFonts w:ascii="Arial" w:cs="Arial" w:eastAsia="Arial" w:hAnsi="Arial"/>
          <w:sz w:val="14"/>
          <w:szCs w:val="14"/>
          <w:color w:val="auto"/>
        </w:rPr>
        <w:t>Our common stock is traded on the NASDAQ Global Select Market under the symbol “PNNT.” The following table lists the high and low closing sale prices for our common stock, the closing sale prices as a premium or (discount) to our NAV per share and distributions declared per share since October 1, 2016.</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Premium /</w:t>
            </w:r>
          </w:p>
        </w:tc>
        <w:tc>
          <w:tcPr>
            <w:tcW w:w="15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Premium /</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4"/>
            <w:vMerge w:val="restart"/>
          </w:tcPr>
          <w:p>
            <w:pPr>
              <w:jc w:val="right"/>
              <w:ind w:right="568"/>
              <w:spacing w:after="0"/>
              <w:rPr>
                <w:sz w:val="20"/>
                <w:szCs w:val="20"/>
                <w:color w:val="auto"/>
              </w:rPr>
            </w:pPr>
            <w:r>
              <w:rPr>
                <w:rFonts w:ascii="Arial" w:cs="Arial" w:eastAsia="Arial" w:hAnsi="Arial"/>
                <w:sz w:val="14"/>
                <w:szCs w:val="14"/>
                <w:b w:val="1"/>
                <w:bCs w:val="1"/>
                <w:color w:val="auto"/>
              </w:rPr>
              <w:t>Closing Sale Prices</w:t>
            </w:r>
          </w:p>
        </w:tc>
        <w:tc>
          <w:tcPr>
            <w:tcW w:w="240" w:type="dxa"/>
            <w:vAlign w:val="bottom"/>
            <w:vMerge w:val="restart"/>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(Discount)</w:t>
            </w:r>
          </w:p>
        </w:tc>
        <w:tc>
          <w:tcPr>
            <w:tcW w:w="15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(Discount)</w:t>
            </w: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Distributions</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of High Sale</w:t>
            </w:r>
          </w:p>
        </w:tc>
        <w:tc>
          <w:tcPr>
            <w:tcW w:w="15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of Low Sale</w:t>
            </w: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rPr>
              <w:t xml:space="preserve">NAV </w:t>
            </w:r>
            <w:r>
              <w:rPr>
                <w:rFonts w:ascii="Arial" w:cs="Arial" w:eastAsia="Arial" w:hAnsi="Arial"/>
                <w:sz w:val="12"/>
                <w:szCs w:val="12"/>
                <w:b w:val="1"/>
                <w:bCs w:val="1"/>
                <w:color w:val="auto"/>
              </w:rPr>
              <w:t>(1)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Low</w:t>
            </w: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5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Declared</w:t>
            </w:r>
          </w:p>
        </w:tc>
        <w:tc>
          <w:tcPr>
            <w:tcW w:w="0" w:type="dxa"/>
            <w:vAlign w:val="bottom"/>
          </w:tcPr>
          <w:p>
            <w:pPr>
              <w:spacing w:after="0"/>
              <w:rPr>
                <w:sz w:val="1"/>
                <w:szCs w:val="1"/>
                <w:color w:val="auto"/>
              </w:rPr>
            </w:pPr>
          </w:p>
        </w:tc>
      </w:tr>
      <w:tr>
        <w:trPr>
          <w:trHeight w:val="155"/>
        </w:trPr>
        <w:tc>
          <w:tcPr>
            <w:tcW w:w="31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Year Ended September 30, 2018</w:t>
            </w:r>
          </w:p>
        </w:tc>
        <w:tc>
          <w:tcPr>
            <w:tcW w:w="1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86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860" w:type="dxa"/>
            <w:vAlign w:val="bottom"/>
            <w:tcBorders>
              <w:top w:val="single" w:sz="8" w:color="auto"/>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spacing w:after="0"/>
              <w:rPr>
                <w:sz w:val="13"/>
                <w:szCs w:val="13"/>
                <w:color w:val="auto"/>
              </w:rPr>
            </w:pPr>
          </w:p>
        </w:tc>
        <w:tc>
          <w:tcPr>
            <w:tcW w:w="320" w:type="dxa"/>
            <w:vAlign w:val="bottom"/>
            <w:tcBorders>
              <w:top w:val="single" w:sz="8" w:color="CCECFF"/>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spacing w:after="0"/>
              <w:rPr>
                <w:sz w:val="13"/>
                <w:szCs w:val="13"/>
                <w:color w:val="auto"/>
              </w:rPr>
            </w:pPr>
          </w:p>
        </w:tc>
        <w:tc>
          <w:tcPr>
            <w:tcW w:w="3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Fourth quarter</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9.11</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7.84</w:t>
            </w: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7.04</w:t>
            </w:r>
          </w:p>
        </w:tc>
        <w:tc>
          <w:tcPr>
            <w:tcW w:w="24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(14)%</w:t>
            </w:r>
          </w:p>
        </w:tc>
        <w:tc>
          <w:tcPr>
            <w:tcW w:w="1500" w:type="dxa"/>
            <w:vAlign w:val="bottom"/>
            <w:gridSpan w:val="3"/>
          </w:tcPr>
          <w:p>
            <w:pPr>
              <w:ind w:left="880"/>
              <w:spacing w:after="0"/>
              <w:rPr>
                <w:sz w:val="20"/>
                <w:szCs w:val="20"/>
                <w:color w:val="auto"/>
              </w:rPr>
            </w:pPr>
            <w:r>
              <w:rPr>
                <w:rFonts w:ascii="Arial" w:cs="Arial" w:eastAsia="Arial" w:hAnsi="Arial"/>
                <w:sz w:val="14"/>
                <w:szCs w:val="14"/>
                <w:color w:val="auto"/>
              </w:rPr>
              <w:t>(23)%  $</w:t>
            </w:r>
          </w:p>
        </w:tc>
        <w:tc>
          <w:tcPr>
            <w:tcW w:w="1000" w:type="dxa"/>
            <w:vAlign w:val="bottom"/>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CECFF"/>
          </w:tcPr>
          <w:p>
            <w:pPr>
              <w:spacing w:after="0"/>
              <w:rPr>
                <w:sz w:val="20"/>
                <w:szCs w:val="20"/>
                <w:color w:val="auto"/>
              </w:rPr>
            </w:pPr>
            <w:r>
              <w:rPr>
                <w:rFonts w:ascii="Arial" w:cs="Arial" w:eastAsia="Arial" w:hAnsi="Arial"/>
                <w:sz w:val="14"/>
                <w:szCs w:val="14"/>
                <w:color w:val="auto"/>
              </w:rPr>
              <w:t>Third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9.09</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7.45</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6.64</w:t>
            </w:r>
          </w:p>
        </w:tc>
        <w:tc>
          <w:tcPr>
            <w:tcW w:w="2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(18)</w:t>
            </w:r>
          </w:p>
        </w:tc>
        <w:tc>
          <w:tcPr>
            <w:tcW w:w="1400" w:type="dxa"/>
            <w:vAlign w:val="bottom"/>
            <w:gridSpan w:val="2"/>
            <w:shd w:val="clear" w:color="auto" w:fill="CCECFF"/>
          </w:tcPr>
          <w:p>
            <w:pPr>
              <w:ind w:left="880"/>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Second quarter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6.41</w:t>
            </w:r>
          </w:p>
        </w:tc>
        <w:tc>
          <w:tcPr>
            <w:tcW w:w="240" w:type="dxa"/>
            <w:vAlign w:val="bottom"/>
          </w:tcPr>
          <w:p>
            <w:pPr>
              <w:spacing w:after="0"/>
              <w:rPr>
                <w:sz w:val="14"/>
                <w:szCs w:val="14"/>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(20)</w:t>
            </w:r>
          </w:p>
        </w:tc>
        <w:tc>
          <w:tcPr>
            <w:tcW w:w="1400" w:type="dxa"/>
            <w:vAlign w:val="bottom"/>
            <w:gridSpan w:val="2"/>
          </w:tcPr>
          <w:p>
            <w:pPr>
              <w:ind w:left="88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CECFF"/>
          </w:tcPr>
          <w:p>
            <w:pPr>
              <w:spacing w:after="0"/>
              <w:rPr>
                <w:sz w:val="20"/>
                <w:szCs w:val="20"/>
                <w:color w:val="auto"/>
              </w:rPr>
            </w:pPr>
            <w:r>
              <w:rPr>
                <w:rFonts w:ascii="Arial" w:cs="Arial" w:eastAsia="Arial" w:hAnsi="Arial"/>
                <w:sz w:val="14"/>
                <w:szCs w:val="14"/>
                <w:color w:val="auto"/>
              </w:rPr>
              <w:t>First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9.10</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7.79</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6.91</w:t>
            </w:r>
          </w:p>
        </w:tc>
        <w:tc>
          <w:tcPr>
            <w:tcW w:w="2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(14)</w:t>
            </w:r>
          </w:p>
        </w:tc>
        <w:tc>
          <w:tcPr>
            <w:tcW w:w="1400" w:type="dxa"/>
            <w:vAlign w:val="bottom"/>
            <w:gridSpan w:val="2"/>
            <w:shd w:val="clear" w:color="auto" w:fill="CCECFF"/>
          </w:tcPr>
          <w:p>
            <w:pPr>
              <w:ind w:left="88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b w:val="1"/>
                <w:bCs w:val="1"/>
                <w:color w:val="auto"/>
              </w:rPr>
              <w:t>Year Ended September 30, 2017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CECFF"/>
          </w:tcPr>
          <w:p>
            <w:pPr>
              <w:spacing w:after="0"/>
              <w:rPr>
                <w:sz w:val="20"/>
                <w:szCs w:val="20"/>
                <w:color w:val="auto"/>
              </w:rPr>
            </w:pPr>
            <w:r>
              <w:rPr>
                <w:rFonts w:ascii="Arial" w:cs="Arial" w:eastAsia="Arial" w:hAnsi="Arial"/>
                <w:sz w:val="14"/>
                <w:szCs w:val="14"/>
                <w:color w:val="auto"/>
              </w:rPr>
              <w:t>Fourth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9.10</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7.76</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7.35</w:t>
            </w:r>
          </w:p>
        </w:tc>
        <w:tc>
          <w:tcPr>
            <w:tcW w:w="2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(15)</w:t>
            </w:r>
          </w:p>
        </w:tc>
        <w:tc>
          <w:tcPr>
            <w:tcW w:w="1400" w:type="dxa"/>
            <w:vAlign w:val="bottom"/>
            <w:gridSpan w:val="2"/>
            <w:shd w:val="clear" w:color="auto" w:fill="CCECFF"/>
          </w:tcPr>
          <w:p>
            <w:pPr>
              <w:ind w:left="880"/>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Third quarter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7.33</w:t>
            </w:r>
          </w:p>
        </w:tc>
        <w:tc>
          <w:tcPr>
            <w:tcW w:w="240" w:type="dxa"/>
            <w:vAlign w:val="bottom"/>
          </w:tcPr>
          <w:p>
            <w:pPr>
              <w:spacing w:after="0"/>
              <w:rPr>
                <w:sz w:val="14"/>
                <w:szCs w:val="14"/>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(11)</w:t>
            </w:r>
          </w:p>
        </w:tc>
        <w:tc>
          <w:tcPr>
            <w:tcW w:w="1400" w:type="dxa"/>
            <w:vAlign w:val="bottom"/>
            <w:gridSpan w:val="2"/>
          </w:tcPr>
          <w:p>
            <w:pPr>
              <w:ind w:left="880"/>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CECFF"/>
          </w:tcPr>
          <w:p>
            <w:pPr>
              <w:spacing w:after="0"/>
              <w:rPr>
                <w:sz w:val="20"/>
                <w:szCs w:val="20"/>
                <w:color w:val="auto"/>
              </w:rPr>
            </w:pPr>
            <w:r>
              <w:rPr>
                <w:rFonts w:ascii="Arial" w:cs="Arial" w:eastAsia="Arial" w:hAnsi="Arial"/>
                <w:sz w:val="14"/>
                <w:szCs w:val="14"/>
                <w:color w:val="auto"/>
              </w:rPr>
              <w:t>Second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9.09</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8.58</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7.71</w:t>
            </w:r>
          </w:p>
        </w:tc>
        <w:tc>
          <w:tcPr>
            <w:tcW w:w="2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(6)</w:t>
            </w:r>
          </w:p>
        </w:tc>
        <w:tc>
          <w:tcPr>
            <w:tcW w:w="1400" w:type="dxa"/>
            <w:vAlign w:val="bottom"/>
            <w:gridSpan w:val="2"/>
            <w:shd w:val="clear" w:color="auto" w:fill="CCECFF"/>
          </w:tcPr>
          <w:p>
            <w:pPr>
              <w:ind w:left="880"/>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40" w:type="dxa"/>
            <w:vAlign w:val="bottom"/>
          </w:tcPr>
          <w:p>
            <w:pPr>
              <w:spacing w:after="0"/>
              <w:rPr>
                <w:sz w:val="20"/>
                <w:szCs w:val="20"/>
                <w:color w:val="auto"/>
              </w:rPr>
            </w:pPr>
            <w:r>
              <w:rPr>
                <w:rFonts w:ascii="Arial" w:cs="Arial" w:eastAsia="Arial" w:hAnsi="Arial"/>
                <w:sz w:val="14"/>
                <w:szCs w:val="14"/>
                <w:color w:val="auto"/>
              </w:rPr>
              <w:t>First quarter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7.08</w:t>
            </w:r>
          </w:p>
        </w:tc>
        <w:tc>
          <w:tcPr>
            <w:tcW w:w="24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(12)</w:t>
            </w:r>
          </w:p>
        </w:tc>
        <w:tc>
          <w:tcPr>
            <w:tcW w:w="1400" w:type="dxa"/>
            <w:vAlign w:val="bottom"/>
            <w:gridSpan w:val="2"/>
          </w:tcPr>
          <w:p>
            <w:pPr>
              <w:ind w:left="88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13455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44" w:lineRule="exact"/>
        <w:rPr>
          <w:sz w:val="20"/>
          <w:szCs w:val="20"/>
          <w:color w:val="auto"/>
        </w:rPr>
      </w:pPr>
    </w:p>
    <w:p>
      <w:pPr>
        <w:ind w:left="380" w:right="260" w:hanging="372"/>
        <w:spacing w:after="0" w:line="230" w:lineRule="auto"/>
        <w:tabs>
          <w:tab w:leader="none" w:pos="380" w:val="left"/>
        </w:tabs>
        <w:numPr>
          <w:ilvl w:val="0"/>
          <w:numId w:val="45"/>
        </w:numPr>
        <w:rPr>
          <w:rFonts w:ascii="Arial" w:cs="Arial" w:eastAsia="Arial" w:hAnsi="Arial"/>
          <w:sz w:val="12"/>
          <w:szCs w:val="12"/>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380" w:hanging="372"/>
        <w:spacing w:after="0"/>
        <w:tabs>
          <w:tab w:leader="none" w:pos="380" w:val="left"/>
        </w:tabs>
        <w:numPr>
          <w:ilvl w:val="0"/>
          <w:numId w:val="45"/>
        </w:numPr>
        <w:rPr>
          <w:rFonts w:ascii="Arial" w:cs="Arial" w:eastAsia="Arial" w:hAnsi="Arial"/>
          <w:sz w:val="12"/>
          <w:szCs w:val="12"/>
          <w:color w:val="auto"/>
        </w:rPr>
      </w:pPr>
      <w:r>
        <w:rPr>
          <w:rFonts w:ascii="Arial" w:cs="Arial" w:eastAsia="Arial" w:hAnsi="Arial"/>
          <w:sz w:val="14"/>
          <w:szCs w:val="14"/>
          <w:color w:val="auto"/>
        </w:rPr>
        <w:t>Calculated as of the respective high or low closing sale prices less NAV per share, divided by the quarter-end NAV per share.</w:t>
      </w:r>
    </w:p>
    <w:p>
      <w:pPr>
        <w:spacing w:after="0" w:line="124"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Shares of BDCs may trade at a market price both above and below the NAV that is attributable to those shares. Our shares have traded above and below our NAV. Our shares closed on the NASDAQ Global Select Market at $7.46 and $7.51 as of September 30, 2018 and 2017, respectively. Our NAV per share was $9.11 and $9.10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November 15, 2018, we had 11 stockholders of record.</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of Unregistered Securities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did not engage in any sales of unregistered securities during the year ended September 30, 2018.</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Repurchases of our common stock under our share repurchase program during the year ended September 30, 2018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per</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82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Period</w:t>
            </w:r>
          </w:p>
        </w:tc>
        <w:tc>
          <w:tcPr>
            <w:tcW w:w="1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71"/>
        </w:trPr>
        <w:tc>
          <w:tcPr>
            <w:tcW w:w="3820" w:type="dxa"/>
            <w:vAlign w:val="bottom"/>
            <w:gridSpan w:val="2"/>
            <w:vMerge w:val="continue"/>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1"/>
              </w:rPr>
              <w:t>Shares Purchased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5"/>
              </w:rPr>
              <w:t xml:space="preserve">Programs </w:t>
            </w:r>
            <w:r>
              <w:rPr>
                <w:rFonts w:ascii="Arial" w:cs="Arial" w:eastAsia="Arial" w:hAnsi="Arial"/>
                <w:sz w:val="12"/>
                <w:szCs w:val="12"/>
                <w:b w:val="1"/>
                <w:bCs w:val="1"/>
                <w:color w:val="auto"/>
                <w:w w:val="95"/>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Programs (in millions)</w:t>
            </w:r>
          </w:p>
        </w:tc>
        <w:tc>
          <w:tcPr>
            <w:tcW w:w="0" w:type="dxa"/>
            <w:vAlign w:val="bottom"/>
          </w:tcPr>
          <w:p>
            <w:pPr>
              <w:spacing w:after="0"/>
              <w:rPr>
                <w:sz w:val="1"/>
                <w:szCs w:val="1"/>
                <w:color w:val="auto"/>
              </w:rPr>
            </w:pPr>
          </w:p>
        </w:tc>
      </w:tr>
      <w:tr>
        <w:trPr>
          <w:trHeight w:val="155"/>
        </w:trPr>
        <w:tc>
          <w:tcPr>
            <w:tcW w:w="3680" w:type="dxa"/>
            <w:vAlign w:val="bottom"/>
            <w:tcBorders>
              <w:top w:val="single" w:sz="8" w:color="auto"/>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April 1, 2018 through April 30, 2018</w:t>
            </w:r>
          </w:p>
        </w:tc>
        <w:tc>
          <w:tcPr>
            <w:tcW w:w="140" w:type="dxa"/>
            <w:vAlign w:val="bottom"/>
            <w:tcBorders>
              <w:top w:val="single" w:sz="8" w:color="CCECFF"/>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CFF"/>
          </w:tcPr>
          <w:p>
            <w:pPr>
              <w:ind w:left="1040"/>
              <w:spacing w:after="0" w:line="155" w:lineRule="exact"/>
              <w:rPr>
                <w:sz w:val="20"/>
                <w:szCs w:val="20"/>
                <w:color w:val="auto"/>
              </w:rPr>
            </w:pPr>
            <w:r>
              <w:rPr>
                <w:rFonts w:ascii="Arial" w:cs="Arial" w:eastAsia="Arial" w:hAnsi="Arial"/>
                <w:sz w:val="14"/>
                <w:szCs w:val="14"/>
                <w:color w:val="auto"/>
              </w:rPr>
              <w:t>N/A</w:t>
            </w:r>
          </w:p>
        </w:tc>
        <w:tc>
          <w:tcPr>
            <w:tcW w:w="260" w:type="dxa"/>
            <w:vAlign w:val="bottom"/>
            <w:tcBorders>
              <w:top w:val="single" w:sz="8" w:color="CCECFF"/>
            </w:tcBorders>
            <w:shd w:val="clear" w:color="auto" w:fill="CCECFF"/>
          </w:tcPr>
          <w:p>
            <w:pPr>
              <w:spacing w:after="0"/>
              <w:rPr>
                <w:sz w:val="13"/>
                <w:szCs w:val="13"/>
                <w:color w:val="auto"/>
              </w:rPr>
            </w:pPr>
          </w:p>
        </w:tc>
        <w:tc>
          <w:tcPr>
            <w:tcW w:w="1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ind w:left="260"/>
              <w:spacing w:after="0"/>
              <w:rPr>
                <w:sz w:val="20"/>
                <w:szCs w:val="20"/>
                <w:color w:val="auto"/>
              </w:rPr>
            </w:pPr>
            <w:r>
              <w:rPr>
                <w:rFonts w:ascii="Arial" w:cs="Arial" w:eastAsia="Arial" w:hAnsi="Arial"/>
                <w:sz w:val="14"/>
                <w:szCs w:val="14"/>
                <w:color w:val="auto"/>
              </w:rPr>
              <w:t>May 1, 2018 through May 31, 2018</w:t>
            </w:r>
          </w:p>
        </w:tc>
        <w:tc>
          <w:tcPr>
            <w:tcW w:w="1200" w:type="dxa"/>
            <w:vAlign w:val="bottom"/>
          </w:tcPr>
          <w:p>
            <w:pPr>
              <w:jc w:val="right"/>
              <w:spacing w:after="0"/>
              <w:rPr>
                <w:sz w:val="20"/>
                <w:szCs w:val="20"/>
                <w:color w:val="auto"/>
              </w:rPr>
            </w:pPr>
            <w:r>
              <w:rPr>
                <w:rFonts w:ascii="Arial" w:cs="Arial" w:eastAsia="Arial" w:hAnsi="Arial"/>
                <w:sz w:val="14"/>
                <w:szCs w:val="14"/>
                <w:color w:val="auto"/>
              </w:rPr>
              <w:t>742,925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ind w:left="1040"/>
              <w:spacing w:after="0"/>
              <w:rPr>
                <w:sz w:val="20"/>
                <w:szCs w:val="20"/>
                <w:color w:val="auto"/>
              </w:rPr>
            </w:pPr>
            <w:r>
              <w:rPr>
                <w:rFonts w:ascii="Arial" w:cs="Arial" w:eastAsia="Arial" w:hAnsi="Arial"/>
                <w:sz w:val="14"/>
                <w:szCs w:val="14"/>
                <w:color w:val="auto"/>
                <w:w w:val="87"/>
              </w:rPr>
              <w:t>7.21</w:t>
            </w:r>
          </w:p>
        </w:tc>
        <w:tc>
          <w:tcPr>
            <w:tcW w:w="2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742,925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June 1, 2018 through June 30, 2018</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329,834</w:t>
            </w:r>
          </w:p>
        </w:tc>
        <w:tc>
          <w:tcPr>
            <w:tcW w:w="2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300" w:type="dxa"/>
            <w:vAlign w:val="bottom"/>
            <w:shd w:val="clear" w:color="auto" w:fill="CCECFF"/>
          </w:tcPr>
          <w:p>
            <w:pPr>
              <w:ind w:left="1040"/>
              <w:spacing w:after="0"/>
              <w:rPr>
                <w:sz w:val="20"/>
                <w:szCs w:val="20"/>
                <w:color w:val="auto"/>
              </w:rPr>
            </w:pPr>
            <w:r>
              <w:rPr>
                <w:rFonts w:ascii="Arial" w:cs="Arial" w:eastAsia="Arial" w:hAnsi="Arial"/>
                <w:sz w:val="14"/>
                <w:szCs w:val="14"/>
                <w:color w:val="auto"/>
                <w:w w:val="87"/>
              </w:rPr>
              <w:t>7.34</w:t>
            </w:r>
          </w:p>
        </w:tc>
        <w:tc>
          <w:tcPr>
            <w:tcW w:w="260" w:type="dxa"/>
            <w:vAlign w:val="bottom"/>
            <w:shd w:val="clear" w:color="auto" w:fill="CCECFF"/>
          </w:tcPr>
          <w:p>
            <w:pPr>
              <w:spacing w:after="0"/>
              <w:rPr>
                <w:sz w:val="14"/>
                <w:szCs w:val="14"/>
                <w:color w:val="auto"/>
              </w:rPr>
            </w:pPr>
          </w:p>
        </w:tc>
        <w:tc>
          <w:tcPr>
            <w:tcW w:w="1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329,834</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ind w:left="260"/>
              <w:spacing w:after="0"/>
              <w:rPr>
                <w:sz w:val="20"/>
                <w:szCs w:val="20"/>
                <w:color w:val="auto"/>
              </w:rPr>
            </w:pPr>
            <w:r>
              <w:rPr>
                <w:rFonts w:ascii="Arial" w:cs="Arial" w:eastAsia="Arial" w:hAnsi="Arial"/>
                <w:sz w:val="14"/>
                <w:szCs w:val="14"/>
                <w:color w:val="auto"/>
              </w:rPr>
              <w:t>July 1, 2018 through July 31, 2018</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ind w:left="1040"/>
              <w:spacing w:after="0"/>
              <w:rPr>
                <w:sz w:val="20"/>
                <w:szCs w:val="20"/>
                <w:color w:val="auto"/>
              </w:rPr>
            </w:pPr>
            <w:r>
              <w:rPr>
                <w:rFonts w:ascii="Arial" w:cs="Arial" w:eastAsia="Arial" w:hAnsi="Arial"/>
                <w:sz w:val="14"/>
                <w:szCs w:val="14"/>
                <w:color w:val="auto"/>
              </w:rPr>
              <w:t>N/A</w:t>
            </w:r>
          </w:p>
        </w:tc>
        <w:tc>
          <w:tcPr>
            <w:tcW w:w="1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August 1, 2018 through August 31, 2018</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849,119</w:t>
            </w:r>
          </w:p>
        </w:tc>
        <w:tc>
          <w:tcPr>
            <w:tcW w:w="2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300" w:type="dxa"/>
            <w:vAlign w:val="bottom"/>
            <w:shd w:val="clear" w:color="auto" w:fill="CCECFF"/>
          </w:tcPr>
          <w:p>
            <w:pPr>
              <w:ind w:left="1040"/>
              <w:spacing w:after="0"/>
              <w:rPr>
                <w:sz w:val="20"/>
                <w:szCs w:val="20"/>
                <w:color w:val="auto"/>
              </w:rPr>
            </w:pPr>
            <w:r>
              <w:rPr>
                <w:rFonts w:ascii="Arial" w:cs="Arial" w:eastAsia="Arial" w:hAnsi="Arial"/>
                <w:sz w:val="14"/>
                <w:szCs w:val="14"/>
                <w:color w:val="auto"/>
                <w:w w:val="87"/>
              </w:rPr>
              <w:t>7.74</w:t>
            </w:r>
          </w:p>
        </w:tc>
        <w:tc>
          <w:tcPr>
            <w:tcW w:w="260" w:type="dxa"/>
            <w:vAlign w:val="bottom"/>
            <w:shd w:val="clear" w:color="auto" w:fill="CCECFF"/>
          </w:tcPr>
          <w:p>
            <w:pPr>
              <w:spacing w:after="0"/>
              <w:rPr>
                <w:sz w:val="14"/>
                <w:szCs w:val="14"/>
                <w:color w:val="auto"/>
              </w:rPr>
            </w:pPr>
          </w:p>
        </w:tc>
        <w:tc>
          <w:tcPr>
            <w:tcW w:w="1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849,119</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Borders>
              <w:bottom w:val="single" w:sz="8" w:color="CCECFF"/>
            </w:tcBorders>
            <w:gridSpan w:val="2"/>
          </w:tcPr>
          <w:p>
            <w:pPr>
              <w:ind w:left="260"/>
              <w:spacing w:after="0"/>
              <w:rPr>
                <w:sz w:val="20"/>
                <w:szCs w:val="20"/>
                <w:color w:val="auto"/>
              </w:rPr>
            </w:pPr>
            <w:r>
              <w:rPr>
                <w:rFonts w:ascii="Arial" w:cs="Arial" w:eastAsia="Arial" w:hAnsi="Arial"/>
                <w:sz w:val="14"/>
                <w:szCs w:val="14"/>
                <w:color w:val="auto"/>
              </w:rPr>
              <w:t>September 1, 2018 through September 30, 2018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85,000</w:t>
            </w:r>
          </w:p>
        </w:tc>
        <w:tc>
          <w:tcPr>
            <w:tcW w:w="2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300" w:type="dxa"/>
            <w:vAlign w:val="bottom"/>
            <w:tcBorders>
              <w:bottom w:val="single" w:sz="8" w:color="CCECFF"/>
            </w:tcBorders>
          </w:tcPr>
          <w:p>
            <w:pPr>
              <w:ind w:left="1040"/>
              <w:spacing w:after="0"/>
              <w:rPr>
                <w:sz w:val="20"/>
                <w:szCs w:val="20"/>
                <w:color w:val="auto"/>
              </w:rPr>
            </w:pPr>
            <w:r>
              <w:rPr>
                <w:rFonts w:ascii="Arial" w:cs="Arial" w:eastAsia="Arial" w:hAnsi="Arial"/>
                <w:sz w:val="14"/>
                <w:szCs w:val="14"/>
                <w:color w:val="auto"/>
                <w:w w:val="87"/>
              </w:rPr>
              <w:t>7.80</w:t>
            </w:r>
          </w:p>
        </w:tc>
        <w:tc>
          <w:tcPr>
            <w:tcW w:w="260" w:type="dxa"/>
            <w:vAlign w:val="bottom"/>
            <w:tcBorders>
              <w:bottom w:val="single" w:sz="8" w:color="CCECFF"/>
            </w:tcBorders>
          </w:tcPr>
          <w:p>
            <w:pPr>
              <w:spacing w:after="0"/>
              <w:rPr>
                <w:sz w:val="14"/>
                <w:szCs w:val="14"/>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85,000</w:t>
            </w:r>
          </w:p>
        </w:tc>
        <w:tc>
          <w:tcPr>
            <w:tcW w:w="240" w:type="dxa"/>
            <w:vAlign w:val="bottom"/>
            <w:tcBorders>
              <w:bottom w:val="single" w:sz="8" w:color="CCECFF"/>
            </w:tcBorders>
          </w:tcPr>
          <w:p>
            <w:pPr>
              <w:spacing w:after="0"/>
              <w:rPr>
                <w:sz w:val="14"/>
                <w:szCs w:val="14"/>
                <w:color w:val="auto"/>
              </w:rPr>
            </w:pPr>
          </w:p>
        </w:tc>
        <w:tc>
          <w:tcPr>
            <w:tcW w:w="80" w:type="dxa"/>
            <w:vAlign w:val="bottom"/>
            <w:tcBorders>
              <w:bottom w:val="single" w:sz="8" w:color="CCECFF"/>
            </w:tcBorders>
          </w:tcPr>
          <w:p>
            <w:pPr>
              <w:spacing w:after="0"/>
              <w:rPr>
                <w:sz w:val="14"/>
                <w:szCs w:val="14"/>
                <w:color w:val="auto"/>
              </w:rPr>
            </w:pPr>
          </w:p>
        </w:tc>
        <w:tc>
          <w:tcPr>
            <w:tcW w:w="194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tcBorders>
              <w:bottom w:val="single" w:sz="8" w:color="CCECFF"/>
            </w:tcBorders>
            <w:gridSpan w:val="2"/>
            <w:shd w:val="clear" w:color="auto" w:fill="CCECFF"/>
          </w:tcPr>
          <w:p>
            <w:pPr>
              <w:ind w:left="260"/>
              <w:spacing w:after="0" w:line="155" w:lineRule="exact"/>
              <w:rPr>
                <w:sz w:val="20"/>
                <w:szCs w:val="20"/>
                <w:color w:val="auto"/>
              </w:rPr>
            </w:pPr>
            <w:r>
              <w:rPr>
                <w:rFonts w:ascii="Arial" w:cs="Arial" w:eastAsia="Arial" w:hAnsi="Arial"/>
                <w:sz w:val="14"/>
                <w:szCs w:val="14"/>
                <w:color w:val="auto"/>
              </w:rPr>
              <w:t>Total</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2,006,878</w:t>
            </w:r>
          </w:p>
        </w:tc>
        <w:tc>
          <w:tcPr>
            <w:tcW w:w="26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130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CCECFF"/>
            </w:tcBorders>
            <w:shd w:val="clear" w:color="auto" w:fill="CCECFF"/>
          </w:tcPr>
          <w:p>
            <w:pPr>
              <w:spacing w:after="0"/>
              <w:rPr>
                <w:sz w:val="13"/>
                <w:szCs w:val="13"/>
                <w:color w:val="auto"/>
              </w:rPr>
            </w:pPr>
          </w:p>
        </w:tc>
        <w:tc>
          <w:tcPr>
            <w:tcW w:w="1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2,006,878</w:t>
            </w:r>
          </w:p>
        </w:tc>
        <w:tc>
          <w:tcPr>
            <w:tcW w:w="24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194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455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64" w:lineRule="exact"/>
        <w:rPr>
          <w:sz w:val="20"/>
          <w:szCs w:val="20"/>
          <w:color w:val="auto"/>
        </w:rPr>
      </w:pPr>
    </w:p>
    <w:p>
      <w:pPr>
        <w:ind w:left="380" w:hanging="372"/>
        <w:spacing w:after="0" w:line="253" w:lineRule="auto"/>
        <w:tabs>
          <w:tab w:leader="none" w:pos="380" w:val="left"/>
        </w:tabs>
        <w:numPr>
          <w:ilvl w:val="0"/>
          <w:numId w:val="46"/>
        </w:numPr>
        <w:rPr>
          <w:rFonts w:ascii="Arial" w:cs="Arial" w:eastAsia="Arial" w:hAnsi="Arial"/>
          <w:sz w:val="12"/>
          <w:szCs w:val="12"/>
          <w:color w:val="auto"/>
        </w:rPr>
      </w:pPr>
      <w:r>
        <w:rPr>
          <w:rFonts w:ascii="Arial" w:cs="Arial" w:eastAsia="Arial" w:hAnsi="Arial"/>
          <w:sz w:val="14"/>
          <w:szCs w:val="14"/>
          <w:color w:val="auto"/>
        </w:rPr>
        <w:t>On May 9, 2018, we announced a share repurchase program which allows us to repurchase up to $30.0 million of our outstanding common stock. Unless extended by our board of directors, the program will expire on the earlier of May 9, 2019 and the repurchase of $30.0 million of common stock.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4"/>
          <w:szCs w:val="14"/>
          <w:b w:val="1"/>
          <w:bCs w:val="1"/>
          <w:color w:val="auto"/>
        </w:rPr>
        <w:t>DISTRIBUTIONS</w:t>
      </w:r>
    </w:p>
    <w:p>
      <w:pPr>
        <w:spacing w:after="0" w:line="275"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that we have declared on our common stock in the last two fiscal years.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Distributions</w:t>
            </w:r>
          </w:p>
        </w:tc>
      </w:tr>
      <w:tr>
        <w:trPr>
          <w:trHeight w:val="171"/>
        </w:trPr>
        <w:tc>
          <w:tcPr>
            <w:tcW w:w="7720" w:type="dxa"/>
            <w:vAlign w:val="bottom"/>
            <w:gridSpan w:val="2"/>
          </w:tcPr>
          <w:p>
            <w:pPr>
              <w:spacing w:after="0"/>
              <w:rPr>
                <w:sz w:val="20"/>
                <w:szCs w:val="20"/>
                <w:color w:val="auto"/>
              </w:rPr>
            </w:pPr>
            <w:r>
              <w:rPr>
                <w:rFonts w:ascii="Arial" w:cs="Arial" w:eastAsia="Arial" w:hAnsi="Arial"/>
                <w:sz w:val="14"/>
                <w:szCs w:val="14"/>
                <w:b w:val="1"/>
                <w:bCs w:val="1"/>
                <w:color w:val="auto"/>
              </w:rPr>
              <w:t>Record Dates</w:t>
            </w:r>
          </w:p>
        </w:tc>
        <w:tc>
          <w:tcPr>
            <w:tcW w:w="1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Payment Dates</w:t>
            </w:r>
          </w:p>
        </w:tc>
        <w:tc>
          <w:tcPr>
            <w:tcW w:w="22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Declared</w:t>
            </w:r>
          </w:p>
        </w:tc>
      </w:tr>
      <w:tr>
        <w:trPr>
          <w:trHeight w:val="155"/>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Year Ended September 30, 2018</w:t>
            </w:r>
          </w:p>
        </w:tc>
        <w:tc>
          <w:tcPr>
            <w:tcW w:w="160" w:type="dxa"/>
            <w:vAlign w:val="bottom"/>
            <w:tcBorders>
              <w:top w:val="single" w:sz="8" w:color="CCECFF"/>
            </w:tcBorders>
            <w:shd w:val="clear" w:color="auto" w:fill="CCECFF"/>
          </w:tcPr>
          <w:p>
            <w:pPr>
              <w:spacing w:after="0"/>
              <w:rPr>
                <w:sz w:val="13"/>
                <w:szCs w:val="13"/>
                <w:color w:val="auto"/>
              </w:rPr>
            </w:pPr>
          </w:p>
        </w:tc>
        <w:tc>
          <w:tcPr>
            <w:tcW w:w="16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3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September 17, 2018</w:t>
            </w:r>
          </w:p>
        </w:tc>
        <w:tc>
          <w:tcPr>
            <w:tcW w:w="18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October 1, 2018</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June 18, 2018</w:t>
            </w:r>
          </w:p>
        </w:tc>
        <w:tc>
          <w:tcPr>
            <w:tcW w:w="18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July 2, 2018</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0.18</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March 19, 2018</w:t>
            </w:r>
          </w:p>
        </w:tc>
        <w:tc>
          <w:tcPr>
            <w:tcW w:w="184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April 2, 2018</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December 26, 2017</w:t>
            </w:r>
          </w:p>
        </w:tc>
        <w:tc>
          <w:tcPr>
            <w:tcW w:w="18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1"/>
              </w:rPr>
              <w:t>January 2, 2018</w:t>
            </w:r>
          </w:p>
        </w:tc>
        <w:tc>
          <w:tcPr>
            <w:tcW w:w="220" w:type="dxa"/>
            <w:vAlign w:val="bottom"/>
            <w:tcBorders>
              <w:bottom w:val="single" w:sz="8" w:color="auto"/>
            </w:tcBorders>
            <w:shd w:val="clear" w:color="auto" w:fill="CCECFF"/>
          </w:tcPr>
          <w:p>
            <w:pPr>
              <w:spacing w:after="0"/>
              <w:rPr>
                <w:sz w:val="14"/>
                <w:szCs w:val="14"/>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0.18</w:t>
            </w:r>
          </w:p>
        </w:tc>
        <w:tc>
          <w:tcPr>
            <w:tcW w:w="120" w:type="dxa"/>
            <w:vAlign w:val="bottom"/>
            <w:shd w:val="clear" w:color="auto" w:fill="CCECFF"/>
          </w:tcPr>
          <w:p>
            <w:pPr>
              <w:spacing w:after="0"/>
              <w:rPr>
                <w:sz w:val="14"/>
                <w:szCs w:val="14"/>
                <w:color w:val="auto"/>
              </w:rPr>
            </w:pPr>
          </w:p>
        </w:tc>
      </w:tr>
      <w:tr>
        <w:trPr>
          <w:trHeight w:val="196"/>
        </w:trPr>
        <w:tc>
          <w:tcPr>
            <w:tcW w:w="7720" w:type="dxa"/>
            <w:vAlign w:val="bottom"/>
            <w:tcBorders>
              <w:bottom w:val="single" w:sz="8" w:color="CCECFF"/>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Total</w:t>
            </w:r>
          </w:p>
        </w:tc>
        <w:tc>
          <w:tcPr>
            <w:tcW w:w="168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0.72</w:t>
            </w:r>
          </w:p>
        </w:tc>
        <w:tc>
          <w:tcPr>
            <w:tcW w:w="120" w:type="dxa"/>
            <w:vAlign w:val="bottom"/>
            <w:tcBorders>
              <w:bottom w:val="single" w:sz="8" w:color="CCECFF"/>
            </w:tcBorders>
          </w:tcPr>
          <w:p>
            <w:pPr>
              <w:spacing w:after="0"/>
              <w:rPr>
                <w:sz w:val="17"/>
                <w:szCs w:val="17"/>
                <w:color w:val="auto"/>
              </w:rPr>
            </w:pPr>
          </w:p>
        </w:tc>
      </w:tr>
      <w:tr>
        <w:trPr>
          <w:trHeight w:val="142"/>
        </w:trPr>
        <w:tc>
          <w:tcPr>
            <w:tcW w:w="772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Year Ended September 30, 2017</w:t>
            </w:r>
          </w:p>
        </w:tc>
        <w:tc>
          <w:tcPr>
            <w:tcW w:w="16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3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September 20, 2017</w:t>
            </w:r>
          </w:p>
        </w:tc>
        <w:tc>
          <w:tcPr>
            <w:tcW w:w="18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October 2, 2017</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June 21, 2017</w:t>
            </w:r>
          </w:p>
        </w:tc>
        <w:tc>
          <w:tcPr>
            <w:tcW w:w="184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2"/>
              </w:rPr>
              <w:t>July 3, 2017</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0.18</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March 22, 2017</w:t>
            </w:r>
          </w:p>
        </w:tc>
        <w:tc>
          <w:tcPr>
            <w:tcW w:w="184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April 3, 2017</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December 22, 2016</w:t>
            </w:r>
          </w:p>
        </w:tc>
        <w:tc>
          <w:tcPr>
            <w:tcW w:w="184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1"/>
              </w:rPr>
              <w:t>January 3, 2017</w:t>
            </w:r>
          </w:p>
        </w:tc>
        <w:tc>
          <w:tcPr>
            <w:tcW w:w="220" w:type="dxa"/>
            <w:vAlign w:val="bottom"/>
            <w:tcBorders>
              <w:bottom w:val="single" w:sz="8" w:color="auto"/>
            </w:tcBorders>
            <w:shd w:val="clear" w:color="auto" w:fill="CCECFF"/>
          </w:tcPr>
          <w:p>
            <w:pPr>
              <w:spacing w:after="0"/>
              <w:rPr>
                <w:sz w:val="14"/>
                <w:szCs w:val="14"/>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0.28</w:t>
            </w:r>
          </w:p>
        </w:tc>
        <w:tc>
          <w:tcPr>
            <w:tcW w:w="120" w:type="dxa"/>
            <w:vAlign w:val="bottom"/>
            <w:shd w:val="clear" w:color="auto" w:fill="CCECFF"/>
          </w:tcPr>
          <w:p>
            <w:pPr>
              <w:spacing w:after="0"/>
              <w:rPr>
                <w:sz w:val="14"/>
                <w:szCs w:val="14"/>
                <w:color w:val="auto"/>
              </w:rPr>
            </w:pPr>
          </w:p>
        </w:tc>
      </w:tr>
      <w:tr>
        <w:trPr>
          <w:trHeight w:val="156"/>
        </w:trPr>
        <w:tc>
          <w:tcPr>
            <w:tcW w:w="772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Total</w:t>
            </w: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0.82</w:t>
            </w:r>
          </w:p>
        </w:tc>
        <w:tc>
          <w:tcPr>
            <w:tcW w:w="120" w:type="dxa"/>
            <w:vAlign w:val="bottom"/>
          </w:tcPr>
          <w:p>
            <w:pPr>
              <w:spacing w:after="0"/>
              <w:rPr>
                <w:sz w:val="13"/>
                <w:szCs w:val="13"/>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In January 2019, a Form 1099-DIV will be sent to stockholders subject to information reporting that will state the amount and composition of distributions and provide information with respect to appropriate tax treatment of our distributions.</w:t>
      </w:r>
    </w:p>
    <w:p>
      <w:pPr>
        <w:spacing w:after="0" w:line="106" w:lineRule="exact"/>
        <w:rPr>
          <w:sz w:val="20"/>
          <w:szCs w:val="20"/>
          <w:color w:val="auto"/>
        </w:rPr>
      </w:pPr>
    </w:p>
    <w:p>
      <w:pPr>
        <w:ind w:right="100" w:firstLine="438"/>
        <w:spacing w:after="0" w:line="290" w:lineRule="auto"/>
        <w:rPr>
          <w:sz w:val="20"/>
          <w:szCs w:val="20"/>
          <w:color w:val="auto"/>
        </w:rPr>
      </w:pPr>
      <w:r>
        <w:rPr>
          <w:rFonts w:ascii="Arial" w:cs="Arial" w:eastAsia="Arial" w:hAnsi="Arial"/>
          <w:sz w:val="13"/>
          <w:szCs w:val="13"/>
          <w:color w:val="auto"/>
        </w:rPr>
        <w:t>The tax characteristics of distributions declared, in accordance with Section 19(a) of the 1940 Act, during the years ended September 30, 2018 and 2017 from ordinary income (including short-term gains), if any, totaled $50.6 million and $58.3 million, or $0.72 and $0.82 per share, respectively, based on the weighted average shares outstanding for the respective periods.</w:t>
      </w:r>
    </w:p>
    <w:p>
      <w:pPr>
        <w:spacing w:after="0" w:line="71" w:lineRule="exact"/>
        <w:rPr>
          <w:sz w:val="20"/>
          <w:szCs w:val="20"/>
          <w:color w:val="auto"/>
        </w:rPr>
      </w:pPr>
    </w:p>
    <w:p>
      <w:pPr>
        <w:ind w:right="60" w:firstLine="438"/>
        <w:spacing w:after="0" w:line="290"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84"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Performance Graph</w:t>
      </w:r>
    </w:p>
    <w:p>
      <w:pPr>
        <w:spacing w:after="0" w:line="123"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This graph compares the return on our common stock with that of the Standard &amp; Poor’s 500 Stock Index and the Russell 2000 Financial Services Index, for the last five fiscal years. The graph assumes that, on September 30, 2013, a person invested $100 in each of our common stock, the S&amp;P 500 Index, and the Russell 2000 Financial Services Index. The graph measures total stockholder return, which takes into account both changes in stock price and distributions. It assumes that distributions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75565</wp:posOffset>
            </wp:positionV>
            <wp:extent cx="4817745" cy="24771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1774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60" w:firstLine="438"/>
        <w:spacing w:after="0" w:line="290" w:lineRule="auto"/>
        <w:rPr>
          <w:sz w:val="20"/>
          <w:szCs w:val="20"/>
          <w:color w:val="auto"/>
        </w:rPr>
      </w:pPr>
      <w:r>
        <w:rPr>
          <w:rFonts w:ascii="Arial" w:cs="Arial" w:eastAsia="Arial" w:hAnsi="Arial"/>
          <w:sz w:val="13"/>
          <w:szCs w:val="13"/>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35" w:name="page36"/>
    <w:bookmarkEnd w:id="35"/>
    <w:p>
      <w:pPr>
        <w:spacing w:after="0"/>
        <w:tabs>
          <w:tab w:leader="none" w:pos="9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140"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We have derived the data below from our audited and unaudited financial data. The Consolidated Statements of Operations data, per share data and Consolidated Statements of Assets and Liabilities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rPr>
              <w:t>For the years ended September 30,</w:t>
            </w: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4080" w:type="dxa"/>
            <w:vAlign w:val="bottom"/>
            <w:tcBorders>
              <w:bottom w:val="single" w:sz="8" w:color="CCECFF"/>
            </w:tcBorders>
          </w:tcPr>
          <w:p>
            <w:pPr>
              <w:spacing w:after="0"/>
              <w:rPr>
                <w:sz w:val="13"/>
                <w:szCs w:val="13"/>
                <w:color w:val="auto"/>
              </w:rPr>
            </w:pPr>
          </w:p>
        </w:tc>
        <w:tc>
          <w:tcPr>
            <w:tcW w:w="3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CFF"/>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CFF"/>
            </w:tcBorders>
          </w:tcPr>
          <w:p>
            <w:pPr>
              <w:spacing w:after="0"/>
              <w:rPr>
                <w:sz w:val="13"/>
                <w:szCs w:val="13"/>
                <w:color w:val="auto"/>
              </w:rPr>
            </w:pPr>
          </w:p>
        </w:tc>
      </w:tr>
      <w:tr>
        <w:trPr>
          <w:trHeight w:val="155"/>
        </w:trPr>
        <w:tc>
          <w:tcPr>
            <w:tcW w:w="40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(Dollar amounts in thousands, except per share data)</w:t>
            </w:r>
          </w:p>
        </w:tc>
        <w:tc>
          <w:tcPr>
            <w:tcW w:w="3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b w:val="1"/>
                <w:bCs w:val="1"/>
                <w:color w:val="auto"/>
              </w:rPr>
              <w:t>Consolidated Statements of Operations data:</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080" w:type="dxa"/>
            <w:vAlign w:val="bottom"/>
            <w:shd w:val="clear" w:color="auto" w:fill="CCECFF"/>
          </w:tcPr>
          <w:p>
            <w:pPr>
              <w:spacing w:after="0"/>
              <w:rPr>
                <w:sz w:val="20"/>
                <w:szCs w:val="20"/>
                <w:color w:val="auto"/>
              </w:rPr>
            </w:pPr>
            <w:r>
              <w:rPr>
                <w:rFonts w:ascii="Arial" w:cs="Arial" w:eastAsia="Arial" w:hAnsi="Arial"/>
                <w:sz w:val="14"/>
                <w:szCs w:val="14"/>
                <w:color w:val="auto"/>
              </w:rPr>
              <w:t>Total investment income</w:t>
            </w:r>
          </w:p>
        </w:tc>
        <w:tc>
          <w:tcPr>
            <w:tcW w:w="58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108,278</w:t>
            </w:r>
          </w:p>
        </w:tc>
        <w:tc>
          <w:tcPr>
            <w:tcW w:w="120" w:type="dxa"/>
            <w:vAlign w:val="bottom"/>
            <w:shd w:val="clear" w:color="auto" w:fill="CCECFF"/>
          </w:tcPr>
          <w:p>
            <w:pPr>
              <w:spacing w:after="0"/>
              <w:rPr>
                <w:sz w:val="14"/>
                <w:szCs w:val="14"/>
                <w:color w:val="auto"/>
              </w:rPr>
            </w:pPr>
          </w:p>
        </w:tc>
        <w:tc>
          <w:tcPr>
            <w:tcW w:w="42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124,534</w:t>
            </w:r>
          </w:p>
        </w:tc>
        <w:tc>
          <w:tcPr>
            <w:tcW w:w="120" w:type="dxa"/>
            <w:vAlign w:val="bottom"/>
            <w:shd w:val="clear" w:color="auto" w:fill="CCECFF"/>
          </w:tcPr>
          <w:p>
            <w:pPr>
              <w:spacing w:after="0"/>
              <w:rPr>
                <w:sz w:val="14"/>
                <w:szCs w:val="14"/>
                <w:color w:val="auto"/>
              </w:rPr>
            </w:pPr>
          </w:p>
        </w:tc>
        <w:tc>
          <w:tcPr>
            <w:tcW w:w="4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142,071</w:t>
            </w:r>
          </w:p>
        </w:tc>
        <w:tc>
          <w:tcPr>
            <w:tcW w:w="120" w:type="dxa"/>
            <w:vAlign w:val="bottom"/>
            <w:shd w:val="clear" w:color="auto" w:fill="CCECFF"/>
          </w:tcPr>
          <w:p>
            <w:pPr>
              <w:spacing w:after="0"/>
              <w:rPr>
                <w:sz w:val="14"/>
                <w:szCs w:val="14"/>
                <w:color w:val="auto"/>
              </w:rPr>
            </w:pPr>
          </w:p>
        </w:tc>
        <w:tc>
          <w:tcPr>
            <w:tcW w:w="4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161,629</w:t>
            </w:r>
          </w:p>
        </w:tc>
        <w:tc>
          <w:tcPr>
            <w:tcW w:w="24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147,936</w:t>
            </w:r>
          </w:p>
        </w:tc>
        <w:tc>
          <w:tcPr>
            <w:tcW w:w="140" w:type="dxa"/>
            <w:vAlign w:val="bottom"/>
            <w:shd w:val="clear" w:color="auto" w:fill="CCECFF"/>
          </w:tcPr>
          <w:p>
            <w:pPr>
              <w:spacing w:after="0"/>
              <w:rPr>
                <w:sz w:val="14"/>
                <w:szCs w:val="14"/>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rPr>
              <w:t>Total expenses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54,944</w:t>
            </w:r>
          </w:p>
        </w:tc>
        <w:tc>
          <w:tcPr>
            <w:tcW w:w="1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w w:val="95"/>
              </w:rPr>
              <w:t>(1)</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68,096</w:t>
            </w:r>
          </w:p>
        </w:tc>
        <w:tc>
          <w:tcPr>
            <w:tcW w:w="1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w w:val="95"/>
              </w:rPr>
              <w:t>(1)</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71,456</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w w:val="81"/>
              </w:rPr>
              <w:t>(1)</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79,371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76,608</w:t>
            </w:r>
          </w:p>
        </w:tc>
        <w:tc>
          <w:tcPr>
            <w:tcW w:w="140" w:type="dxa"/>
            <w:vAlign w:val="bottom"/>
          </w:tcPr>
          <w:p>
            <w:pPr>
              <w:spacing w:after="0"/>
              <w:rPr>
                <w:sz w:val="14"/>
                <w:szCs w:val="14"/>
                <w:color w:val="auto"/>
              </w:rPr>
            </w:pPr>
          </w:p>
        </w:tc>
      </w:tr>
      <w:tr>
        <w:trPr>
          <w:trHeight w:val="162"/>
        </w:trPr>
        <w:tc>
          <w:tcPr>
            <w:tcW w:w="4080" w:type="dxa"/>
            <w:vAlign w:val="bottom"/>
            <w:shd w:val="clear" w:color="auto" w:fill="CCECFF"/>
          </w:tcPr>
          <w:p>
            <w:pPr>
              <w:spacing w:after="0"/>
              <w:rPr>
                <w:sz w:val="20"/>
                <w:szCs w:val="20"/>
                <w:color w:val="auto"/>
              </w:rPr>
            </w:pPr>
            <w:r>
              <w:rPr>
                <w:rFonts w:ascii="Arial" w:cs="Arial" w:eastAsia="Arial" w:hAnsi="Arial"/>
                <w:sz w:val="14"/>
                <w:szCs w:val="14"/>
                <w:color w:val="auto"/>
              </w:rPr>
              <w:t>Net investment income</w:t>
            </w:r>
          </w:p>
        </w:tc>
        <w:tc>
          <w:tcPr>
            <w:tcW w:w="3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53,334</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56,438</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70,615</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82,258</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71,329</w:t>
            </w:r>
          </w:p>
        </w:tc>
        <w:tc>
          <w:tcPr>
            <w:tcW w:w="140" w:type="dxa"/>
            <w:vAlign w:val="bottom"/>
            <w:shd w:val="clear" w:color="auto" w:fill="CCECFF"/>
          </w:tcPr>
          <w:p>
            <w:pPr>
              <w:spacing w:after="0"/>
              <w:rPr>
                <w:sz w:val="14"/>
                <w:szCs w:val="14"/>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rPr>
              <w:t>Net realized and unrealized (loss) gain</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(5,621)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5,273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(51,878)</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(92,504)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39,655</w:t>
            </w:r>
          </w:p>
        </w:tc>
        <w:tc>
          <w:tcPr>
            <w:tcW w:w="140" w:type="dxa"/>
            <w:vAlign w:val="bottom"/>
          </w:tcPr>
          <w:p>
            <w:pPr>
              <w:spacing w:after="0"/>
              <w:rPr>
                <w:sz w:val="14"/>
                <w:szCs w:val="14"/>
                <w:color w:val="auto"/>
              </w:rPr>
            </w:pPr>
          </w:p>
        </w:tc>
      </w:tr>
      <w:tr>
        <w:trPr>
          <w:trHeight w:val="162"/>
        </w:trPr>
        <w:tc>
          <w:tcPr>
            <w:tcW w:w="4080" w:type="dxa"/>
            <w:vAlign w:val="bottom"/>
            <w:shd w:val="clear" w:color="auto" w:fill="CCECFF"/>
          </w:tcPr>
          <w:p>
            <w:pPr>
              <w:spacing w:after="0"/>
              <w:rPr>
                <w:sz w:val="20"/>
                <w:szCs w:val="20"/>
                <w:color w:val="auto"/>
              </w:rPr>
            </w:pPr>
            <w:r>
              <w:rPr>
                <w:rFonts w:ascii="Arial" w:cs="Arial" w:eastAsia="Arial" w:hAnsi="Arial"/>
                <w:sz w:val="14"/>
                <w:szCs w:val="14"/>
                <w:color w:val="auto"/>
              </w:rPr>
              <w:t>Net increase (decrease) in net assets resulting from operations</w:t>
            </w:r>
          </w:p>
        </w:tc>
        <w:tc>
          <w:tcPr>
            <w:tcW w:w="3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47,713</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61,712</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18,737</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(10,246)</w:t>
            </w: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110,983</w:t>
            </w:r>
          </w:p>
        </w:tc>
        <w:tc>
          <w:tcPr>
            <w:tcW w:w="140" w:type="dxa"/>
            <w:vAlign w:val="bottom"/>
            <w:shd w:val="clear" w:color="auto" w:fill="CCECFF"/>
          </w:tcPr>
          <w:p>
            <w:pPr>
              <w:spacing w:after="0"/>
              <w:rPr>
                <w:sz w:val="14"/>
                <w:szCs w:val="14"/>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b w:val="1"/>
                <w:bCs w:val="1"/>
                <w:color w:val="auto"/>
              </w:rPr>
              <w:t>Per share data:</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080" w:type="dxa"/>
            <w:vAlign w:val="bottom"/>
            <w:shd w:val="clear" w:color="auto" w:fill="CCECFF"/>
          </w:tcPr>
          <w:p>
            <w:pPr>
              <w:spacing w:after="0"/>
              <w:rPr>
                <w:sz w:val="20"/>
                <w:szCs w:val="20"/>
                <w:color w:val="auto"/>
              </w:rPr>
            </w:pPr>
            <w:r>
              <w:rPr>
                <w:rFonts w:ascii="Arial" w:cs="Arial" w:eastAsia="Arial" w:hAnsi="Arial"/>
                <w:sz w:val="14"/>
                <w:szCs w:val="14"/>
                <w:color w:val="auto"/>
              </w:rPr>
              <w:t>Net asset value</w:t>
            </w:r>
          </w:p>
        </w:tc>
        <w:tc>
          <w:tcPr>
            <w:tcW w:w="3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9.11</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9.10</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9.05</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9.82</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11.03</w:t>
            </w:r>
          </w:p>
        </w:tc>
        <w:tc>
          <w:tcPr>
            <w:tcW w:w="140" w:type="dxa"/>
            <w:vAlign w:val="bottom"/>
            <w:shd w:val="clear" w:color="auto" w:fill="CCECFF"/>
          </w:tcPr>
          <w:p>
            <w:pPr>
              <w:spacing w:after="0"/>
              <w:rPr>
                <w:sz w:val="14"/>
                <w:szCs w:val="14"/>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(2)</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0.75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0.79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0.99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w:t>
            </w:r>
          </w:p>
        </w:tc>
        <w:tc>
          <w:tcPr>
            <w:tcW w:w="140" w:type="dxa"/>
            <w:vAlign w:val="bottom"/>
          </w:tcPr>
          <w:p>
            <w:pPr>
              <w:spacing w:after="0"/>
              <w:rPr>
                <w:sz w:val="14"/>
                <w:szCs w:val="14"/>
                <w:color w:val="auto"/>
              </w:rPr>
            </w:pPr>
          </w:p>
        </w:tc>
      </w:tr>
      <w:tr>
        <w:trPr>
          <w:trHeight w:val="162"/>
        </w:trPr>
        <w:tc>
          <w:tcPr>
            <w:tcW w:w="40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realized and unrealized (loss) gain </w:t>
            </w:r>
            <w:r>
              <w:rPr>
                <w:rFonts w:ascii="Arial" w:cs="Arial" w:eastAsia="Arial" w:hAnsi="Arial"/>
                <w:sz w:val="12"/>
                <w:szCs w:val="12"/>
                <w:color w:val="auto"/>
              </w:rPr>
              <w:t>(2)</w:t>
            </w:r>
          </w:p>
        </w:tc>
        <w:tc>
          <w:tcPr>
            <w:tcW w:w="3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(0.07)</w:t>
            </w: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0.08</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8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(0.73)</w:t>
            </w:r>
          </w:p>
        </w:tc>
        <w:tc>
          <w:tcPr>
            <w:tcW w:w="1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(1.24)</w:t>
            </w: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0.60</w:t>
            </w:r>
          </w:p>
        </w:tc>
        <w:tc>
          <w:tcPr>
            <w:tcW w:w="140" w:type="dxa"/>
            <w:vAlign w:val="bottom"/>
            <w:shd w:val="clear" w:color="auto" w:fill="CCECFF"/>
          </w:tcPr>
          <w:p>
            <w:pPr>
              <w:spacing w:after="0"/>
              <w:rPr>
                <w:sz w:val="14"/>
                <w:szCs w:val="14"/>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w w:val="99"/>
              </w:rPr>
              <w:t xml:space="preserve">Net increase (decrease) in net assets resulting from operations </w:t>
            </w:r>
            <w:r>
              <w:rPr>
                <w:rFonts w:ascii="Arial" w:cs="Arial" w:eastAsia="Arial" w:hAnsi="Arial"/>
                <w:sz w:val="12"/>
                <w:szCs w:val="12"/>
                <w:color w:val="auto"/>
                <w:w w:val="99"/>
              </w:rPr>
              <w:t>(2)</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0.68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0.87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(0.14)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1.66</w:t>
            </w:r>
          </w:p>
        </w:tc>
        <w:tc>
          <w:tcPr>
            <w:tcW w:w="140" w:type="dxa"/>
            <w:vAlign w:val="bottom"/>
          </w:tcPr>
          <w:p>
            <w:pPr>
              <w:spacing w:after="0"/>
              <w:rPr>
                <w:sz w:val="14"/>
                <w:szCs w:val="14"/>
                <w:color w:val="auto"/>
              </w:rPr>
            </w:pPr>
          </w:p>
        </w:tc>
      </w:tr>
      <w:tr>
        <w:trPr>
          <w:trHeight w:val="162"/>
        </w:trPr>
        <w:tc>
          <w:tcPr>
            <w:tcW w:w="40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Distributions declared </w:t>
            </w:r>
            <w:r>
              <w:rPr>
                <w:rFonts w:ascii="Arial" w:cs="Arial" w:eastAsia="Arial" w:hAnsi="Arial"/>
                <w:sz w:val="12"/>
                <w:szCs w:val="12"/>
                <w:color w:val="auto"/>
              </w:rPr>
              <w:t>(2), (3)</w:t>
            </w:r>
          </w:p>
        </w:tc>
        <w:tc>
          <w:tcPr>
            <w:tcW w:w="3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0.72</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0.82</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1.11</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1.15</w:t>
            </w:r>
          </w:p>
        </w:tc>
        <w:tc>
          <w:tcPr>
            <w:tcW w:w="140" w:type="dxa"/>
            <w:vAlign w:val="bottom"/>
            <w:shd w:val="clear" w:color="auto" w:fill="CCECFF"/>
          </w:tcPr>
          <w:p>
            <w:pPr>
              <w:spacing w:after="0"/>
              <w:rPr>
                <w:sz w:val="14"/>
                <w:szCs w:val="14"/>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b w:val="1"/>
                <w:bCs w:val="1"/>
                <w:color w:val="auto"/>
              </w:rPr>
              <w:t>Consolidated Statements of Assets and Liabilities data:</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080" w:type="dxa"/>
            <w:vAlign w:val="bottom"/>
            <w:shd w:val="clear" w:color="auto" w:fill="CCECFF"/>
          </w:tcPr>
          <w:p>
            <w:pPr>
              <w:spacing w:after="0"/>
              <w:rPr>
                <w:sz w:val="20"/>
                <w:szCs w:val="20"/>
                <w:color w:val="auto"/>
              </w:rPr>
            </w:pPr>
            <w:r>
              <w:rPr>
                <w:rFonts w:ascii="Arial" w:cs="Arial" w:eastAsia="Arial" w:hAnsi="Arial"/>
                <w:sz w:val="14"/>
                <w:szCs w:val="14"/>
                <w:color w:val="auto"/>
              </w:rPr>
              <w:t>Total assets</w:t>
            </w:r>
          </w:p>
        </w:tc>
        <w:tc>
          <w:tcPr>
            <w:tcW w:w="3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1,160,119</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1,202,196</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1,238,936</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1,368,778</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1,411,827</w:t>
            </w:r>
          </w:p>
        </w:tc>
        <w:tc>
          <w:tcPr>
            <w:tcW w:w="140" w:type="dxa"/>
            <w:vAlign w:val="bottom"/>
            <w:shd w:val="clear" w:color="auto" w:fill="CCECFF"/>
          </w:tcPr>
          <w:p>
            <w:pPr>
              <w:spacing w:after="0"/>
              <w:rPr>
                <w:sz w:val="14"/>
                <w:szCs w:val="14"/>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rPr>
              <w:t>Total investment portfolio</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1,132,085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1,153,578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1,153,680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1,299,048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1,318,055</w:t>
            </w:r>
          </w:p>
        </w:tc>
        <w:tc>
          <w:tcPr>
            <w:tcW w:w="140" w:type="dxa"/>
            <w:vAlign w:val="bottom"/>
          </w:tcPr>
          <w:p>
            <w:pPr>
              <w:spacing w:after="0"/>
              <w:rPr>
                <w:sz w:val="14"/>
                <w:szCs w:val="14"/>
                <w:color w:val="auto"/>
              </w:rPr>
            </w:pPr>
          </w:p>
        </w:tc>
      </w:tr>
      <w:tr>
        <w:trPr>
          <w:trHeight w:val="162"/>
        </w:trPr>
        <w:tc>
          <w:tcPr>
            <w:tcW w:w="40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Borrowings outstanding </w:t>
            </w:r>
            <w:r>
              <w:rPr>
                <w:rFonts w:ascii="Arial" w:cs="Arial" w:eastAsia="Arial" w:hAnsi="Arial"/>
                <w:sz w:val="12"/>
                <w:szCs w:val="12"/>
                <w:color w:val="auto"/>
              </w:rPr>
              <w:t>(4)</w:t>
            </w:r>
          </w:p>
        </w:tc>
        <w:tc>
          <w:tcPr>
            <w:tcW w:w="3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504,342</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526,067</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559,589</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602,865</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526,668</w:t>
            </w:r>
          </w:p>
        </w:tc>
        <w:tc>
          <w:tcPr>
            <w:tcW w:w="140" w:type="dxa"/>
            <w:vAlign w:val="bottom"/>
            <w:shd w:val="clear" w:color="auto" w:fill="CCECFF"/>
          </w:tcPr>
          <w:p>
            <w:pPr>
              <w:spacing w:after="0"/>
              <w:rPr>
                <w:sz w:val="14"/>
                <w:szCs w:val="14"/>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rPr>
              <w:t>Total net asset value</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628,902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646,808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643,367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716,591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828,010</w:t>
            </w:r>
          </w:p>
        </w:tc>
        <w:tc>
          <w:tcPr>
            <w:tcW w:w="140" w:type="dxa"/>
            <w:vAlign w:val="bottom"/>
          </w:tcPr>
          <w:p>
            <w:pPr>
              <w:spacing w:after="0"/>
              <w:rPr>
                <w:sz w:val="14"/>
                <w:szCs w:val="14"/>
                <w:color w:val="auto"/>
              </w:rPr>
            </w:pPr>
          </w:p>
        </w:tc>
      </w:tr>
      <w:tr>
        <w:trPr>
          <w:trHeight w:val="162"/>
        </w:trPr>
        <w:tc>
          <w:tcPr>
            <w:tcW w:w="408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Other data:</w:t>
            </w:r>
          </w:p>
        </w:tc>
        <w:tc>
          <w:tcPr>
            <w:tcW w:w="3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(5)</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9.70%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10.80%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36.64%</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(32.51)%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6.76%</w:t>
            </w:r>
          </w:p>
        </w:tc>
      </w:tr>
      <w:tr>
        <w:trPr>
          <w:trHeight w:val="162"/>
        </w:trPr>
        <w:tc>
          <w:tcPr>
            <w:tcW w:w="40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Number of portfolio companies </w:t>
            </w:r>
            <w:r>
              <w:rPr>
                <w:rFonts w:ascii="Arial" w:cs="Arial" w:eastAsia="Arial" w:hAnsi="Arial"/>
                <w:sz w:val="12"/>
                <w:szCs w:val="12"/>
                <w:color w:val="auto"/>
              </w:rPr>
              <w:t>(6)</w:t>
            </w:r>
          </w:p>
        </w:tc>
        <w:tc>
          <w:tcPr>
            <w:tcW w:w="3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w:t>
            </w:r>
          </w:p>
        </w:tc>
        <w:tc>
          <w:tcPr>
            <w:tcW w:w="140" w:type="dxa"/>
            <w:vAlign w:val="bottom"/>
            <w:shd w:val="clear" w:color="auto" w:fill="CCECFF"/>
          </w:tcPr>
          <w:p>
            <w:pPr>
              <w:spacing w:after="0"/>
              <w:rPr>
                <w:sz w:val="14"/>
                <w:szCs w:val="14"/>
                <w:color w:val="auto"/>
              </w:rPr>
            </w:pPr>
          </w:p>
        </w:tc>
      </w:tr>
      <w:tr>
        <w:trPr>
          <w:trHeight w:val="182"/>
        </w:trPr>
        <w:tc>
          <w:tcPr>
            <w:tcW w:w="4080" w:type="dxa"/>
            <w:vAlign w:val="bottom"/>
          </w:tcPr>
          <w:p>
            <w:pPr>
              <w:spacing w:after="0"/>
              <w:rPr>
                <w:sz w:val="20"/>
                <w:szCs w:val="20"/>
                <w:color w:val="auto"/>
              </w:rPr>
            </w:pPr>
            <w:r>
              <w:rPr>
                <w:rFonts w:ascii="Arial" w:cs="Arial" w:eastAsia="Arial" w:hAnsi="Arial"/>
                <w:sz w:val="14"/>
                <w:szCs w:val="14"/>
                <w:color w:val="auto"/>
              </w:rPr>
              <w:t xml:space="preserve">Yield on debt portfolio </w:t>
            </w:r>
            <w:r>
              <w:rPr>
                <w:rFonts w:ascii="Arial" w:cs="Arial" w:eastAsia="Arial" w:hAnsi="Arial"/>
                <w:sz w:val="12"/>
                <w:szCs w:val="12"/>
                <w:color w:val="auto"/>
              </w:rPr>
              <w:t>(6)</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11.9%</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13455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43"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2"/>
          <w:szCs w:val="12"/>
          <w:color w:val="auto"/>
        </w:rPr>
      </w:pPr>
      <w:r>
        <w:rPr>
          <w:rFonts w:ascii="Arial" w:cs="Arial" w:eastAsia="Arial" w:hAnsi="Arial"/>
          <w:sz w:val="14"/>
          <w:szCs w:val="14"/>
          <w:color w:val="auto"/>
        </w:rPr>
        <w:t>Expenses before base management fee and incentive fee waivers were $56,371, $73,743 and $77,996 for the years ended September 30, 2018, 2017 and 2016, respectively.</w:t>
      </w:r>
    </w:p>
    <w:p>
      <w:pPr>
        <w:ind w:left="380" w:hanging="372"/>
        <w:spacing w:after="0" w:line="221" w:lineRule="auto"/>
        <w:tabs>
          <w:tab w:leader="none" w:pos="380" w:val="left"/>
        </w:tabs>
        <w:numPr>
          <w:ilvl w:val="0"/>
          <w:numId w:val="47"/>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years.</w:t>
      </w:r>
    </w:p>
    <w:p>
      <w:pPr>
        <w:ind w:left="380" w:right="300" w:hanging="372"/>
        <w:spacing w:after="0" w:line="221" w:lineRule="auto"/>
        <w:tabs>
          <w:tab w:leader="none" w:pos="380" w:val="left"/>
        </w:tabs>
        <w:numPr>
          <w:ilvl w:val="0"/>
          <w:numId w:val="47"/>
        </w:numPr>
        <w:rPr>
          <w:rFonts w:ascii="Arial" w:cs="Arial" w:eastAsia="Arial" w:hAnsi="Arial"/>
          <w:sz w:val="12"/>
          <w:szCs w:val="12"/>
          <w:color w:val="auto"/>
        </w:rPr>
      </w:pPr>
      <w:r>
        <w:rPr>
          <w:rFonts w:ascii="Arial" w:cs="Arial" w:eastAsia="Arial" w:hAnsi="Arial"/>
          <w:sz w:val="14"/>
          <w:szCs w:val="14"/>
          <w:color w:val="auto"/>
        </w:rPr>
        <w:t>The tax status of our distributions is calculated in accordance with income tax regulations, which may differ from amounts determined under GAAP and is reported on Form 1099-DIV each calendar year to stockholders subject to such information reporting.</w:t>
      </w:r>
    </w:p>
    <w:p>
      <w:pPr>
        <w:ind w:left="380" w:hanging="372"/>
        <w:spacing w:after="0" w:line="221" w:lineRule="auto"/>
        <w:tabs>
          <w:tab w:leader="none" w:pos="380" w:val="left"/>
        </w:tabs>
        <w:numPr>
          <w:ilvl w:val="0"/>
          <w:numId w:val="47"/>
        </w:numPr>
        <w:rPr>
          <w:rFonts w:ascii="Arial" w:cs="Arial" w:eastAsia="Arial" w:hAnsi="Arial"/>
          <w:sz w:val="12"/>
          <w:szCs w:val="12"/>
          <w:color w:val="auto"/>
        </w:rPr>
      </w:pPr>
      <w:r>
        <w:rPr>
          <w:rFonts w:ascii="Arial" w:cs="Arial" w:eastAsia="Arial" w:hAnsi="Arial"/>
          <w:sz w:val="14"/>
          <w:szCs w:val="14"/>
          <w:color w:val="auto"/>
        </w:rPr>
        <w:t>At fair value, excluding our SBA debentures.</w:t>
      </w:r>
    </w:p>
    <w:p>
      <w:pPr>
        <w:ind w:left="380" w:hanging="372"/>
        <w:spacing w:after="0" w:line="221" w:lineRule="auto"/>
        <w:tabs>
          <w:tab w:leader="none" w:pos="380" w:val="left"/>
        </w:tabs>
        <w:numPr>
          <w:ilvl w:val="0"/>
          <w:numId w:val="47"/>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380" w:hanging="372"/>
        <w:spacing w:after="0"/>
        <w:tabs>
          <w:tab w:leader="none" w:pos="380" w:val="left"/>
        </w:tabs>
        <w:numPr>
          <w:ilvl w:val="0"/>
          <w:numId w:val="47"/>
        </w:numPr>
        <w:rPr>
          <w:rFonts w:ascii="Arial" w:cs="Arial" w:eastAsia="Arial" w:hAnsi="Arial"/>
          <w:sz w:val="12"/>
          <w:szCs w:val="12"/>
          <w:color w:val="auto"/>
        </w:rPr>
      </w:pPr>
      <w:r>
        <w:rPr>
          <w:rFonts w:ascii="Arial" w:cs="Arial" w:eastAsia="Arial" w:hAnsi="Arial"/>
          <w:sz w:val="14"/>
          <w:szCs w:val="14"/>
          <w:color w:val="auto"/>
        </w:rPr>
        <w:t>Unaudited, at year end.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6" w:name="page37"/>
    <w:bookmarkEnd w:id="36"/>
    <w:p>
      <w:pPr>
        <w:spacing w:after="0"/>
        <w:tabs>
          <w:tab w:leader="none" w:pos="98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27"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impact of Brexit and other world economic and political issues.</w:t>
      </w:r>
    </w:p>
    <w:p>
      <w:pPr>
        <w:spacing w:after="0" w:line="136"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15"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 looking statement in this Report should not be regarded as a representation by us that our plans and objectives will be achieved.</w:t>
      </w:r>
    </w:p>
    <w:p>
      <w:pPr>
        <w:spacing w:after="0" w:line="104"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54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06" w:lineRule="exact"/>
        <w:rPr>
          <w:sz w:val="20"/>
          <w:szCs w:val="20"/>
          <w:color w:val="auto"/>
        </w:rPr>
      </w:pPr>
    </w:p>
    <w:p>
      <w:pPr>
        <w:ind w:right="58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260" w:firstLine="438"/>
        <w:spacing w:after="0" w:line="290" w:lineRule="auto"/>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and subordinated debt and equity investments.</w:t>
      </w:r>
    </w:p>
    <w:p>
      <w:pPr>
        <w:spacing w:after="0" w:line="84"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a limited amount of capital available for such companies and the potential for rising interest rates.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7" w:name="page38"/>
    <w:bookmarkEnd w:id="37"/>
    <w:p>
      <w:pPr>
        <w:ind w:right="20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136" w:lineRule="exact"/>
        <w:rPr>
          <w:sz w:val="20"/>
          <w:szCs w:val="20"/>
          <w:color w:val="auto"/>
        </w:rPr>
      </w:pPr>
    </w:p>
    <w:p>
      <w:pPr>
        <w:ind w:right="120" w:firstLine="438"/>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84"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02" w:lineRule="exact"/>
        <w:rPr>
          <w:sz w:val="20"/>
          <w:szCs w:val="20"/>
          <w:color w:val="auto"/>
        </w:rPr>
      </w:pPr>
    </w:p>
    <w:p>
      <w:pPr>
        <w:ind w:right="20" w:firstLine="438"/>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140" w:firstLine="438"/>
        <w:spacing w:after="0" w:line="226"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 on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920" w:hanging="359"/>
        <w:spacing w:after="0"/>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100" w:hanging="359"/>
        <w:spacing w:after="0" w:line="253" w:lineRule="auto"/>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jc w:val="both"/>
        <w:ind w:left="920" w:right="60" w:hanging="359"/>
        <w:spacing w:after="0" w:line="264" w:lineRule="auto"/>
        <w:tabs>
          <w:tab w:leader="none" w:pos="9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8" w:name="page39"/>
    <w:bookmarkEnd w:id="38"/>
    <w:p>
      <w:pPr>
        <w:ind w:right="4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As of September 30, 2018, our portfolio totaled $1,132.1 million and consisted of $531.4 million of first lien secured debt, $391.1 million of second lien secured debt, $48.1 million of subordinated debt and $161.5 million of preferred and common equity. Our debt portfolio consisted of 90% variable-rate investments and 10% fixed-rate investments. As of September 30, 2018, we had no portfolio companies on non-accrual. Overall, the portfolio had net unrealized depreciation of $111.8 million as of September 30, 2018. Our overall portfolio consisted of 53 companies with an average investment size of $21.4 million, had a weighted average yield on interest bearing debt investments of 11.2% and was invested 47% in first lien secured debt, 35% in second lien secured debt, 4% in subordinated debt and 14% in preferred and common equity.</w:t>
      </w:r>
    </w:p>
    <w:p>
      <w:pPr>
        <w:spacing w:after="0" w:line="116"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As of September 30, 2017, our portfolio totaled $1,153.6 million and consisted of $466.1 million of first lien secured debt, $399.5 million of second lien secured debt, $120.7 million of subordinated debt and $167.3 million of preferred and common equity. Our debt portfolio consisted of 82% variable-rate investments (including 13% where LIBOR was below the floor) and 18% fixed-rate investments. As of September 30, 2017, we had no portfolio companies on non-accrual. Overall, the portfolio had net unrealized depreciation of $56.4 million as of September 30, 2017. Our overall portfolio consisted of 55 companies with an average investment size of $21.0 million, had a weighted average yield on interest bearing debt investments of 11.5% and was invested 40% in first lien secured debt, 35% in second lien secured debt, 10% in subordinated debt and 15% in preferred and common equity.</w:t>
      </w:r>
    </w:p>
    <w:p>
      <w:pPr>
        <w:spacing w:after="0" w:line="96"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For the year ended September 30, 2018, we invested $604.7 million of investments in 17 new and 33 existing portfolio companies with a weighted average yield on debt investments of 10.2%. Sales and repayments of investments for the year ended September 30, 2018 totaled $630.5 million.</w:t>
      </w:r>
    </w:p>
    <w:p>
      <w:pPr>
        <w:spacing w:after="0" w:line="106" w:lineRule="exact"/>
        <w:rPr>
          <w:sz w:val="20"/>
          <w:szCs w:val="20"/>
          <w:color w:val="auto"/>
        </w:rPr>
      </w:pPr>
    </w:p>
    <w:p>
      <w:pPr>
        <w:ind w:right="200" w:firstLine="438"/>
        <w:spacing w:after="0" w:line="253" w:lineRule="auto"/>
        <w:rPr>
          <w:sz w:val="20"/>
          <w:szCs w:val="20"/>
          <w:color w:val="auto"/>
        </w:rPr>
      </w:pPr>
      <w:r>
        <w:rPr>
          <w:rFonts w:ascii="Arial" w:cs="Arial" w:eastAsia="Arial" w:hAnsi="Arial"/>
          <w:sz w:val="14"/>
          <w:szCs w:val="14"/>
          <w:color w:val="auto"/>
        </w:rPr>
        <w:t>For the year ended September 30, 2017, we invested $508.3 million of investments in 18 new and 24 existing portfolio companies with a weighted average yield on debt investments of 10.5%. Sales and repayments of investments for the year ended September 30, 2018 totaled $544.0 million.</w:t>
      </w:r>
    </w:p>
    <w:p>
      <w:pPr>
        <w:spacing w:after="0" w:line="106"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For the year ended September 30, 2016, we invested $330.6 million of investments in four new and 25 existing portfolio companies with a weighted average yield on debt investments of 11.9%. Sales and repayments of investments for the year ended September 30, 2017 totaled $439.7 million.</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23"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20" w:right="20" w:hanging="372"/>
        <w:spacing w:after="0" w:line="253" w:lineRule="auto"/>
        <w:tabs>
          <w:tab w:leader="none" w:pos="9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920" w:right="80" w:hanging="372"/>
        <w:spacing w:after="0" w:line="264" w:lineRule="auto"/>
        <w:tabs>
          <w:tab w:leader="none" w:pos="9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20" w:right="320" w:hanging="372"/>
        <w:spacing w:after="0" w:line="238" w:lineRule="auto"/>
        <w:tabs>
          <w:tab w:leader="none" w:pos="9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20" w:right="80" w:hanging="372"/>
        <w:spacing w:after="0" w:line="253" w:lineRule="auto"/>
        <w:tabs>
          <w:tab w:leader="none" w:pos="9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94" w:lineRule="exact"/>
        <w:rPr>
          <w:sz w:val="20"/>
          <w:szCs w:val="20"/>
          <w:color w:val="auto"/>
        </w:rPr>
      </w:pPr>
    </w:p>
    <w:p>
      <w:pPr>
        <w:ind w:right="300" w:firstLine="438"/>
        <w:spacing w:after="0" w:line="238" w:lineRule="auto"/>
        <w:rPr>
          <w:sz w:val="20"/>
          <w:szCs w:val="20"/>
          <w:color w:val="auto"/>
        </w:rPr>
      </w:pPr>
      <w:r>
        <w:rPr>
          <w:rFonts w:ascii="Arial" w:cs="Arial" w:eastAsia="Arial" w:hAnsi="Arial"/>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9" w:name="page40"/>
    <w:bookmarkEnd w:id="39"/>
    <w:p>
      <w:pPr>
        <w:spacing w:after="0" w:line="238" w:lineRule="auto"/>
        <w:rPr>
          <w:sz w:val="20"/>
          <w:szCs w:val="20"/>
          <w:color w:val="auto"/>
        </w:rPr>
      </w:pPr>
      <w:r>
        <w:rPr>
          <w:rFonts w:ascii="Arial" w:cs="Arial" w:eastAsia="Arial" w:hAnsi="Arial"/>
          <w:sz w:val="14"/>
          <w:szCs w:val="14"/>
          <w:color w:val="auto"/>
        </w:rPr>
        <w:t>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380" w:right="280" w:hanging="809"/>
        <w:spacing w:after="0" w:line="290"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300" w:firstLine="438"/>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02" w:lineRule="exact"/>
        <w:rPr>
          <w:sz w:val="20"/>
          <w:szCs w:val="20"/>
          <w:color w:val="auto"/>
        </w:rPr>
      </w:pPr>
    </w:p>
    <w:p>
      <w:pPr>
        <w:ind w:right="20" w:firstLine="438"/>
        <w:spacing w:after="0" w:line="242"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Facility, the 2019 Notes and, prior to their redemption, the 2025 Notes. We elected to use the fair value option for the Credit Facility, the 2019 Notes and, prior to their redemption, the 2025 Notes to align the measurement attributes of both our assets and liabilities while mitigating volatility in earnings from using different measurement attributes. Due to that election and in accordance with GAAP, we incurred expenses of zero, $3.9 million and zero relating to amendment costs on the Credit Facility during the years ended September 30, 2018, 2017 and 2016,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the 2019 Notes and, prior to their redemption, the 2025 Notes are reported in our Consolidated Statements of Operations. We elected not to apply ASC 825-10 to any other financial assets or liabilities, including the SBA debentures. For the year ended September 30, 2018, the Credit Facility and the 2019 Notes had a net change in unrealized depreciation of $3.9 million. For the years ended September 30, 2017 and 2016, our Credit Facility, the 2019 Notes and the 2025 Notes had a net change in unrealized (appreciation) depreciation of $(7.6) million and $3.7 million, respectively. As of September 30, 2018 and 2017, net unrealized depreciation (appreciation) on our Credit Facility and the 2019 Notes totaled $1.6 million and $(2.3) million, respectively. We use a nationally recognized independent valuation service to measure the fair value of our Credit Facility and the 2019 Notes in a manner consistent with the valuation process that the board of directors uses to value our investments.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our Credit Facility, the 2019 Notes and, prior to their redemption, the 2025 Notes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920" w:hanging="359"/>
        <w:spacing w:after="0"/>
        <w:tabs>
          <w:tab w:leader="none" w:pos="9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8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or, PIK Interest</w:t>
      </w:r>
    </w:p>
    <w:p>
      <w:pPr>
        <w:spacing w:after="0" w:line="123"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23"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16" w:lineRule="exact"/>
        <w:rPr>
          <w:sz w:val="20"/>
          <w:szCs w:val="20"/>
          <w:color w:val="auto"/>
        </w:rPr>
      </w:pPr>
    </w:p>
    <w:p>
      <w:pPr>
        <w:ind w:right="120" w:firstLine="438"/>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70" w:lineRule="exact"/>
        <w:rPr>
          <w:sz w:val="20"/>
          <w:szCs w:val="20"/>
          <w:color w:val="auto"/>
        </w:rPr>
      </w:pPr>
    </w:p>
    <w:p>
      <w:pPr>
        <w:ind w:right="26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Subsidiaries,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the results of operations for the years ended September 30, 2018, 2017 and 2016.</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jc w:val="both"/>
        <w:ind w:right="180" w:firstLine="438"/>
        <w:spacing w:after="0" w:line="290" w:lineRule="auto"/>
        <w:rPr>
          <w:sz w:val="20"/>
          <w:szCs w:val="20"/>
          <w:color w:val="auto"/>
        </w:rPr>
      </w:pPr>
      <w:r>
        <w:rPr>
          <w:rFonts w:ascii="Arial" w:cs="Arial" w:eastAsia="Arial" w:hAnsi="Arial"/>
          <w:sz w:val="13"/>
          <w:szCs w:val="13"/>
          <w:color w:val="auto"/>
        </w:rPr>
        <w:t>Investment income for the year ended September 30, 2018 was $108.3 million and was attributable to $49.5 million from first lien secured debt, $49.8 million from second lien secured debt and $9.0 million from subordinated debt and preferred and common equity. The decrease in investment income over the prior year was primarily due to a reduction of our portfolio at cost.</w:t>
      </w:r>
    </w:p>
    <w:p>
      <w:pPr>
        <w:spacing w:after="0" w:line="84" w:lineRule="exact"/>
        <w:rPr>
          <w:sz w:val="20"/>
          <w:szCs w:val="20"/>
          <w:color w:val="auto"/>
        </w:rPr>
      </w:pPr>
    </w:p>
    <w:p>
      <w:pPr>
        <w:ind w:right="220" w:firstLine="438"/>
        <w:spacing w:after="0" w:line="290" w:lineRule="auto"/>
        <w:rPr>
          <w:sz w:val="20"/>
          <w:szCs w:val="20"/>
          <w:color w:val="auto"/>
        </w:rPr>
      </w:pPr>
      <w:r>
        <w:rPr>
          <w:rFonts w:ascii="Arial" w:cs="Arial" w:eastAsia="Arial" w:hAnsi="Arial"/>
          <w:sz w:val="13"/>
          <w:szCs w:val="13"/>
          <w:color w:val="auto"/>
        </w:rPr>
        <w:t>Investment income for the year ended September 30, 2017 was $124.5 million and was attributable to $54.4 million from first lien secured debt, $50.4 million from second lien secured debt, $19.7 million from subordinated debt and preferred and common equity. The decrease in investment income over the prior year was primarily due to a reduction of our portfolio at cost.</w:t>
      </w:r>
    </w:p>
    <w:p>
      <w:pPr>
        <w:spacing w:after="0" w:line="71"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Investment income for the year ended September 30, 2016 was $142.1 million and was attributable to $59.9 million from first lien secured debt, $60.5 million from second lien secured debt, $21.7 million from subordinated debt and preferred and common equity.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Net expenses for the year ended September 30, 2018 totaled $54.9 million. Base management fee for the same period totaled $16.5 million (after a base management fee waiver of $0.9 million), incentive fee totaled $11.0 million (after an incentive fee waiver of $0.5 million), debt related interest and expenses totaled $22.8 million and general and administrative expenses totaled $4.6 million. The decrease in expenses over the prior year was primarily due to a decrease in debt related expenses and base management fees.</w:t>
      </w:r>
    </w:p>
    <w:p>
      <w:pPr>
        <w:spacing w:after="0" w:line="102"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Net expenses for the year ended September 30, 2017 totaled $68.1 million. Base management fee for the same period totaled $20.3 million (after a base management fee waiver of $3.9 million), incentive fee totaled $9.3 million (after an incentive fee waiver of $1.8 million), debt related interest and expenses totaled $30.5 million (including $3.9 million in amendment costs on the Credit Facility), general and administrative expenses totaled $6.3 million and provision for taxes totaled $1.7 million. The decrease in expenses over the prior year was primarily due to lower incentive fees and general and administrative expenses.</w:t>
      </w:r>
    </w:p>
    <w:p>
      <w:pPr>
        <w:spacing w:after="0" w:line="117" w:lineRule="exact"/>
        <w:rPr>
          <w:sz w:val="20"/>
          <w:szCs w:val="20"/>
          <w:color w:val="auto"/>
        </w:rPr>
      </w:pPr>
    </w:p>
    <w:p>
      <w:pPr>
        <w:jc w:val="both"/>
        <w:ind w:right="200" w:firstLine="438"/>
        <w:spacing w:after="0" w:line="238" w:lineRule="auto"/>
        <w:rPr>
          <w:sz w:val="20"/>
          <w:szCs w:val="20"/>
          <w:color w:val="auto"/>
        </w:rPr>
      </w:pPr>
      <w:r>
        <w:rPr>
          <w:rFonts w:ascii="Arial" w:cs="Arial" w:eastAsia="Arial" w:hAnsi="Arial"/>
          <w:sz w:val="14"/>
          <w:szCs w:val="14"/>
          <w:color w:val="auto"/>
        </w:rPr>
        <w:t>Net expenses for the year ended September 30, 2016 totaled $71.5 million. Base management fee for the same period totaled $20.9 million (after a base management fee waiver of $4.0 million), incentive fee totaled $13.5 million (after an incentive fee waiver of $2.5 million), debt related interest and expenses totaled $27.6 million, general and administrative expenses totaled $7.1 million and provision for taxes totaled $2.4 million.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23"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Net investment income totaled $53.3 million or $0.75 per share, $56.4 million or $0.79 per share and $70.6 million or $0.99 per share for the years ended September 30, 2018, 2017 and 2016, respectively. The decrease in net investment income per share compared to the prior year was primarily due to a lower yielding portfolio partially offset by a decrease in debt related expenses and base management fees.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23"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Sales and repayments of investments for the years ended September 30, 2018, 2017 and 2016 totaled $630.5 million, $544.0 million and $439.7 million, respectively, and net realized gains (losses) totaled $45.9 million, $(31.0) million and $(80.5) million, respectively. The change in realized gains/losses was primarily due to changes in the market conditions of our investments and the values at which they were realized.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Credit Facility, the 2019 Notes and the 2025 Notes</w:t>
      </w:r>
    </w:p>
    <w:p>
      <w:pPr>
        <w:spacing w:after="0" w:line="136" w:lineRule="exact"/>
        <w:rPr>
          <w:sz w:val="20"/>
          <w:szCs w:val="20"/>
          <w:color w:val="auto"/>
        </w:rPr>
      </w:pPr>
    </w:p>
    <w:p>
      <w:pPr>
        <w:ind w:right="300" w:firstLine="438"/>
        <w:spacing w:after="0" w:line="255" w:lineRule="auto"/>
        <w:rPr>
          <w:sz w:val="20"/>
          <w:szCs w:val="20"/>
          <w:color w:val="auto"/>
        </w:rPr>
      </w:pPr>
      <w:r>
        <w:rPr>
          <w:rFonts w:ascii="Arial" w:cs="Arial" w:eastAsia="Arial" w:hAnsi="Arial"/>
          <w:sz w:val="13"/>
          <w:szCs w:val="13"/>
          <w:color w:val="auto"/>
        </w:rPr>
        <w:t>For the years ended September 30, 2018, 2017 and 2016, we reported net change in unrealized (depreciation) appreciation on investments of $(55.3) million, $43.9 million and $24.9 million, respectively. As of September 30, 2018 and 2017, our net unrealized depreciation on investments totaled $111.8 million and $56.4 million, respectively. The net change in unrealized appreciation/depreciation on our investments for the year ended September 30, 2018 compared to the prior year was primarily due to changes in the capital market conditions, the financial performance of certain portfolio companies and the reversal of unrealized appreciation/depreciation on investments that were realized.</w:t>
      </w:r>
    </w:p>
    <w:p>
      <w:pPr>
        <w:spacing w:after="0" w:line="94"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For the year ended September 30, 2018, our Credit Facility and the 2019 Notes had a net change in unrealized depreciation of $3.9 million. For the years ended September 30, 2017 and 2016, our Credit Facility, 2019 Notes and 2025 Notes had a net change in unrealized (appreciation) depreciation of $(7.6) million and $3.7 million. As of September 30, 2018 and 2017, our net unrealized depreciation (appreciation) on our Credit Facility and the 2019 Notes totaled $1.6 million and $(2.3) million, respectively. The net change in unrealized depreciation for the year ended September 30, 2018 compared to the prior year was primarily due to changes in the capital markets.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23"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Net change in net assets resulting from operations totaled $47.7 million or $0.68 per share, $61.7 million or $0.87 per share and $18.7 million or $0.26 per share for the years ended September 30, 2018, 2017 and 2016, respectively. The decrease in the net change in net assets from operations for year ended September 30, 2018 compared to the prior year was primarily due to a lower yielding portfolio and depreciation of our investments.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September 30, 2018, in accordance with the 1940 Act, with certain limited exceptions, we are only allowed to borrow amounts such that we are in compliance with a 200% asset coverage ratio requirement after such borrowing, excluding SBA debentures pursuant to exemptive relief from the SEC received in June 2011.</w:t>
      </w:r>
    </w:p>
    <w:p>
      <w:pPr>
        <w:spacing w:after="0" w:line="103" w:lineRule="exact"/>
        <w:rPr>
          <w:sz w:val="20"/>
          <w:szCs w:val="20"/>
          <w:color w:val="auto"/>
        </w:rPr>
      </w:pPr>
    </w:p>
    <w:p>
      <w:pPr>
        <w:ind w:right="100" w:firstLine="438"/>
        <w:spacing w:after="0" w:line="277" w:lineRule="auto"/>
        <w:rPr>
          <w:sz w:val="20"/>
          <w:szCs w:val="20"/>
          <w:color w:val="auto"/>
        </w:rPr>
      </w:pPr>
      <w:r>
        <w:rPr>
          <w:rFonts w:ascii="Arial" w:cs="Arial" w:eastAsia="Arial" w:hAnsi="Arial"/>
          <w:sz w:val="12"/>
          <w:szCs w:val="12"/>
          <w:color w:val="auto"/>
        </w:rPr>
        <w:t>On November 13, 2018, our board of directors approved the application of the modified asset coverage requirements set forth in Section 61(a)(2) of the 1940 Act, as amended by the Consolidated Appropriations Act of 2018 (which includes the SBCAA). Our board of directors also authorized the submission of a proposal for stockholders to accelerate the application of the 150% minimum asset coverage ratio to us at the 2019 annual meeting of stockholders. As a result, the asset coverage requirements applicable to us for senior securities will be reduced from 200% to 150%, effective as of November 13, 2019 (or earlier if our stockholders approve the proposal to accelerate the application of the reduced asset coverage requirements to us), subject to compliance with certain disclosure requirements. As of September 30, 2018 and 2017, our asset coverage ratio, as computed in accordance with the 1940 Act, was 291% and 295%, respectively.</w:t>
      </w:r>
    </w:p>
    <w:p>
      <w:pPr>
        <w:spacing w:after="0" w:line="95" w:lineRule="exact"/>
        <w:rPr>
          <w:sz w:val="20"/>
          <w:szCs w:val="20"/>
          <w:color w:val="auto"/>
        </w:rPr>
      </w:pPr>
    </w:p>
    <w:p>
      <w:pPr>
        <w:ind w:right="380" w:firstLine="438"/>
        <w:spacing w:after="0" w:line="253" w:lineRule="auto"/>
        <w:rPr>
          <w:sz w:val="20"/>
          <w:szCs w:val="20"/>
          <w:color w:val="auto"/>
        </w:rPr>
      </w:pPr>
      <w:r>
        <w:rPr>
          <w:rFonts w:ascii="Arial" w:cs="Arial" w:eastAsia="Arial" w:hAnsi="Arial"/>
          <w:sz w:val="14"/>
          <w:szCs w:val="14"/>
          <w:color w:val="auto"/>
        </w:rPr>
        <w:t>The annualized weighted average cost of debt for the years ended September 30, 2018, 2017 and 2016, inclusive of the fee on the undrawn commitment and amendment costs on the Credit Facility, amortized upfront fees on SBA debentures and debt issuance costs, was 4.52%, 5.04% and 4.35%, respectively.</w:t>
      </w:r>
    </w:p>
    <w:p>
      <w:pPr>
        <w:spacing w:after="0" w:line="106" w:lineRule="exact"/>
        <w:rPr>
          <w:sz w:val="20"/>
          <w:szCs w:val="20"/>
          <w:color w:val="auto"/>
        </w:rPr>
      </w:pPr>
    </w:p>
    <w:p>
      <w:pPr>
        <w:ind w:right="40" w:firstLine="438"/>
        <w:spacing w:after="0" w:line="248" w:lineRule="auto"/>
        <w:rPr>
          <w:sz w:val="20"/>
          <w:szCs w:val="20"/>
          <w:color w:val="auto"/>
        </w:rPr>
      </w:pPr>
      <w:r>
        <w:rPr>
          <w:rFonts w:ascii="Arial" w:cs="Arial" w:eastAsia="Arial" w:hAnsi="Arial"/>
          <w:sz w:val="13"/>
          <w:szCs w:val="13"/>
          <w:color w:val="auto"/>
        </w:rPr>
        <w:t>As of September 30, 2018, we had a $445 million multi-currency Credit Facility with certain lenders and SunTrust Bank, acting as administrative agent, and JPMorgan Chase Bank, N.A., acting as syndication agent for the lenders. As of September 30, 2018 and 2017, we had $80.5 million (including a $2.0 million temporary draw) and $79.4 million, respectively, in outstanding borrowings under the Credit Facility. The Credit Facility had a weighted average interest rate of 3.79% and 2.42%, respectively, exclusive of the fee on undrawn commitments of 0.375%, as of September 30, 2018 and 2017. The Credit Facility is a five-year revolving facility with a stated maturity date of May 25, 2022, a one-year term-out period following its fourth year and pricing set at 225 basis points over LIBOR. As of September 30, 2018 and 2017, we had $364.5 million and $365.6 million of unused borrowing capacity under our Credit Facility, respectively, subject to the regulatory restrictions. The Credit Facility is secured by substantially all of our assets excluding assets held by our SBIC Funds.</w:t>
      </w:r>
    </w:p>
    <w:p>
      <w:pPr>
        <w:spacing w:after="0" w:line="99"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For a complete list of covenants contained in the Credit Facility, please refer to the Credit Facility agreement filed as Exhibit 10.1 on our Form 10-Q filed August 7, 2017 and incorporated by reference therein. As of September 30, 2018, we were in compliance with the terms of our Credit Facility.</w:t>
      </w:r>
    </w:p>
    <w:p>
      <w:pPr>
        <w:spacing w:after="0" w:line="106" w:lineRule="exact"/>
        <w:rPr>
          <w:sz w:val="20"/>
          <w:szCs w:val="20"/>
          <w:color w:val="auto"/>
        </w:rPr>
      </w:pPr>
    </w:p>
    <w:p>
      <w:pPr>
        <w:ind w:right="120" w:firstLine="438"/>
        <w:spacing w:after="0" w:line="229" w:lineRule="auto"/>
        <w:rPr>
          <w:sz w:val="20"/>
          <w:szCs w:val="20"/>
          <w:color w:val="auto"/>
        </w:rPr>
      </w:pPr>
      <w:r>
        <w:rPr>
          <w:rFonts w:ascii="Arial" w:cs="Arial" w:eastAsia="Arial" w:hAnsi="Arial"/>
          <w:sz w:val="14"/>
          <w:szCs w:val="14"/>
          <w:color w:val="auto"/>
        </w:rPr>
        <w:t>In September 2014, we issued $250.0 million in aggregate principal amount of 2019 Notes, for net proceeds of $245.5 million after underwriting discounts and offering costs.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 Please refer to our indenture agreement filed as Exhibit (d)(8) to our post-effective amendment filed on January 22, 2013 and the supplemental indenture agreement filed as Exhibit (d)(11) to our post-effective amendment filed on September 23, 2014 for more information.</w:t>
      </w:r>
    </w:p>
    <w:p>
      <w:pPr>
        <w:spacing w:after="0" w:line="118" w:lineRule="exact"/>
        <w:rPr>
          <w:sz w:val="20"/>
          <w:szCs w:val="20"/>
          <w:color w:val="auto"/>
        </w:rPr>
      </w:pPr>
    </w:p>
    <w:p>
      <w:pPr>
        <w:ind w:right="80" w:firstLine="438"/>
        <w:spacing w:after="0" w:line="231" w:lineRule="auto"/>
        <w:rPr>
          <w:sz w:val="20"/>
          <w:szCs w:val="20"/>
          <w:color w:val="auto"/>
        </w:rPr>
      </w:pPr>
      <w:r>
        <w:rPr>
          <w:rFonts w:ascii="Arial" w:cs="Arial" w:eastAsia="Arial" w:hAnsi="Arial"/>
          <w:sz w:val="14"/>
          <w:szCs w:val="14"/>
          <w:color w:val="auto"/>
        </w:rPr>
        <w:t>In January 2013, we issued $71.3 million in aggregate principal amount of 2025 Notes. Interest on the 2025 Notes was paid quarterly on February 1, May 1, August 1 and November 1, at a rate of 6.25% per year. On June 29, 2017, the 2025 Notes were redeemed in full and no amounts were outstanding as of September 30, 2018. The 2025 Notes had been scheduled to mature on February 1, 2025. The 2025 Notes were general, unsecured obligations and ranked equal in right of payment with all of our senior unsecured indebtedness. The 2025 Notes were structurally subordinated to our SBA debentures and the assets pledged or secured under our Credit Facility. Please see our Base Indenture and the supplemental indenture filed as Exhibit (d)(9) in our post-effective amendment filed on January 22, 2013 for more information.</w:t>
      </w:r>
    </w:p>
    <w:p>
      <w:pPr>
        <w:spacing w:after="0" w:line="103"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2019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16"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On May 9, 2018, we announced a share repurchase program which allows us to repurchase up to $30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For the years ended September 30, 2018, 2017 and 2016, we repurchased 2.0 million, zero and 1.9 million shares of common stock in open market transactions for an aggregate cost (including transaction costs) of $15.0 million, zero and $12.2 million, respectively.</w:t>
      </w:r>
    </w:p>
    <w:p>
      <w:pPr>
        <w:spacing w:after="0" w:line="109" w:lineRule="exact"/>
        <w:rPr>
          <w:sz w:val="20"/>
          <w:szCs w:val="20"/>
          <w:color w:val="auto"/>
        </w:rPr>
      </w:pPr>
    </w:p>
    <w:p>
      <w:pPr>
        <w:ind w:right="100" w:firstLine="438"/>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$30.0 million as of September 30, 2018. We have funded SBIC II with $75.0 million of equity capital and it had SBA debentures outstanding of $150.0 million as of September 30, 2018.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$350.0 million in the aggregate.</w:t>
      </w:r>
    </w:p>
    <w:p>
      <w:pPr>
        <w:spacing w:after="0" w:line="118"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As of September 30, 2018 and 2017, our SBIC Funds had $300.0 million in debt commitments, respectively, of which $180.0 million and $199.0 million was drawn, respectively. As of both September 30, 2018 and 2017, the unamortized fees on the SBA debentures was $4.6 million. The SBA debentures’ upfront fees of 3.43% consist of a commitment fee of 1.00% and an issuance discount of 2.43%, which are being amortized.</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2"/>
        </w:trPr>
        <w:tc>
          <w:tcPr>
            <w:tcW w:w="3720" w:type="dxa"/>
            <w:vAlign w:val="bottom"/>
          </w:tcPr>
          <w:p>
            <w:pPr>
              <w:ind w:left="440"/>
              <w:spacing w:after="0"/>
              <w:rPr>
                <w:sz w:val="20"/>
                <w:szCs w:val="20"/>
                <w:color w:val="auto"/>
              </w:rPr>
            </w:pPr>
            <w:r>
              <w:rPr>
                <w:rFonts w:ascii="Arial" w:cs="Arial" w:eastAsia="Arial" w:hAnsi="Arial"/>
                <w:sz w:val="14"/>
                <w:szCs w:val="14"/>
                <w:color w:val="auto"/>
              </w:rPr>
              <w:t>Our fixed-rate SBA debentures were as follows:</w:t>
            </w:r>
          </w:p>
        </w:tc>
        <w:tc>
          <w:tcPr>
            <w:tcW w:w="2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72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tcPr>
          <w:p>
            <w:pPr>
              <w:spacing w:after="0"/>
              <w:rPr>
                <w:sz w:val="23"/>
                <w:szCs w:val="23"/>
                <w:color w:val="auto"/>
              </w:rPr>
            </w:pPr>
          </w:p>
        </w:tc>
        <w:tc>
          <w:tcPr>
            <w:tcW w:w="226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40" w:type="dxa"/>
            <w:vAlign w:val="bottom"/>
            <w:vMerge w:val="restart"/>
          </w:tcPr>
          <w:p>
            <w:pPr>
              <w:spacing w:after="0"/>
              <w:rPr>
                <w:sz w:val="23"/>
                <w:szCs w:val="23"/>
                <w:color w:val="auto"/>
              </w:rPr>
            </w:pPr>
          </w:p>
        </w:tc>
        <w:tc>
          <w:tcPr>
            <w:tcW w:w="21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380" w:type="dxa"/>
            <w:vAlign w:val="bottom"/>
            <w:vMerge w:val="restart"/>
          </w:tcPr>
          <w:p>
            <w:pPr>
              <w:spacing w:after="0"/>
              <w:rPr>
                <w:sz w:val="23"/>
                <w:szCs w:val="23"/>
                <w:color w:val="auto"/>
              </w:rPr>
            </w:pPr>
          </w:p>
        </w:tc>
        <w:tc>
          <w:tcPr>
            <w:tcW w:w="180" w:type="dxa"/>
            <w:vAlign w:val="bottom"/>
          </w:tcPr>
          <w:p>
            <w:pPr>
              <w:spacing w:after="0"/>
              <w:rPr>
                <w:sz w:val="23"/>
                <w:szCs w:val="23"/>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 September 30, 2018</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C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Principal Balance</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21, 2011</w:t>
            </w:r>
          </w:p>
        </w:tc>
        <w:tc>
          <w:tcPr>
            <w:tcW w:w="240" w:type="dxa"/>
            <w:vAlign w:val="bottom"/>
            <w:shd w:val="clear" w:color="auto" w:fill="CCECFF"/>
          </w:tcPr>
          <w:p>
            <w:pPr>
              <w:spacing w:after="0"/>
              <w:rPr>
                <w:sz w:val="13"/>
                <w:szCs w:val="13"/>
                <w:color w:val="auto"/>
              </w:rPr>
            </w:pPr>
          </w:p>
        </w:tc>
        <w:tc>
          <w:tcPr>
            <w:tcW w:w="2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1, 2021</w:t>
            </w:r>
          </w:p>
        </w:tc>
        <w:tc>
          <w:tcPr>
            <w:tcW w:w="240" w:type="dxa"/>
            <w:vAlign w:val="bottom"/>
            <w:shd w:val="clear" w:color="auto" w:fill="CCECFF"/>
          </w:tcPr>
          <w:p>
            <w:pPr>
              <w:spacing w:after="0"/>
              <w:rPr>
                <w:sz w:val="13"/>
                <w:szCs w:val="13"/>
                <w:color w:val="auto"/>
              </w:rPr>
            </w:pPr>
          </w:p>
        </w:tc>
        <w:tc>
          <w:tcPr>
            <w:tcW w:w="252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3.35%</w:t>
            </w:r>
          </w:p>
        </w:tc>
        <w:tc>
          <w:tcPr>
            <w:tcW w:w="180" w:type="dxa"/>
            <w:vAlign w:val="bottom"/>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30,000,000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March 23, 2016</w:t>
            </w:r>
          </w:p>
        </w:tc>
        <w:tc>
          <w:tcPr>
            <w:tcW w:w="2740" w:type="dxa"/>
            <w:vAlign w:val="bottom"/>
            <w:gridSpan w:val="3"/>
          </w:tcPr>
          <w:p>
            <w:pPr>
              <w:ind w:left="240"/>
              <w:spacing w:after="0"/>
              <w:rPr>
                <w:sz w:val="20"/>
                <w:szCs w:val="20"/>
                <w:color w:val="auto"/>
              </w:rPr>
            </w:pPr>
            <w:r>
              <w:rPr>
                <w:rFonts w:ascii="Arial" w:cs="Arial" w:eastAsia="Arial" w:hAnsi="Arial"/>
                <w:sz w:val="14"/>
                <w:szCs w:val="14"/>
                <w:color w:val="auto"/>
              </w:rPr>
              <w:t>March 1, 2026</w:t>
            </w:r>
          </w:p>
        </w:tc>
        <w:tc>
          <w:tcPr>
            <w:tcW w:w="2140" w:type="dxa"/>
            <w:vAlign w:val="bottom"/>
          </w:tcPr>
          <w:p>
            <w:pPr>
              <w:ind w:left="1860"/>
              <w:spacing w:after="0"/>
              <w:rPr>
                <w:sz w:val="20"/>
                <w:szCs w:val="20"/>
                <w:color w:val="auto"/>
              </w:rPr>
            </w:pPr>
            <w:r>
              <w:rPr>
                <w:rFonts w:ascii="Arial" w:cs="Arial" w:eastAsia="Arial" w:hAnsi="Arial"/>
                <w:sz w:val="14"/>
                <w:szCs w:val="14"/>
                <w:color w:val="auto"/>
                <w:w w:val="95"/>
              </w:rPr>
              <w:t>2.86</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22,500,000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740" w:type="dxa"/>
            <w:vAlign w:val="bottom"/>
            <w:gridSpan w:val="3"/>
            <w:shd w:val="clear" w:color="auto" w:fill="CCECFF"/>
          </w:tcPr>
          <w:p>
            <w:pPr>
              <w:ind w:left="240"/>
              <w:spacing w:after="0"/>
              <w:rPr>
                <w:sz w:val="20"/>
                <w:szCs w:val="20"/>
                <w:color w:val="auto"/>
              </w:rPr>
            </w:pPr>
            <w:r>
              <w:rPr>
                <w:rFonts w:ascii="Arial" w:cs="Arial" w:eastAsia="Arial" w:hAnsi="Arial"/>
                <w:sz w:val="14"/>
                <w:szCs w:val="14"/>
                <w:color w:val="auto"/>
              </w:rPr>
              <w:t>September 1, 2026</w:t>
            </w:r>
          </w:p>
        </w:tc>
        <w:tc>
          <w:tcPr>
            <w:tcW w:w="214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5"/>
              </w:rPr>
              <w:t>2.41</w:t>
            </w:r>
          </w:p>
        </w:tc>
        <w:tc>
          <w:tcPr>
            <w:tcW w:w="3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September 20, 2017</w:t>
            </w:r>
          </w:p>
        </w:tc>
        <w:tc>
          <w:tcPr>
            <w:tcW w:w="2740" w:type="dxa"/>
            <w:vAlign w:val="bottom"/>
            <w:gridSpan w:val="3"/>
          </w:tcPr>
          <w:p>
            <w:pPr>
              <w:ind w:left="240"/>
              <w:spacing w:after="0"/>
              <w:rPr>
                <w:sz w:val="20"/>
                <w:szCs w:val="20"/>
                <w:color w:val="auto"/>
              </w:rPr>
            </w:pPr>
            <w:r>
              <w:rPr>
                <w:rFonts w:ascii="Arial" w:cs="Arial" w:eastAsia="Arial" w:hAnsi="Arial"/>
                <w:sz w:val="14"/>
                <w:szCs w:val="14"/>
                <w:color w:val="auto"/>
              </w:rPr>
              <w:t>September 1, 2027</w:t>
            </w:r>
          </w:p>
        </w:tc>
        <w:tc>
          <w:tcPr>
            <w:tcW w:w="2140" w:type="dxa"/>
            <w:vAlign w:val="bottom"/>
          </w:tcPr>
          <w:p>
            <w:pPr>
              <w:ind w:left="1860"/>
              <w:spacing w:after="0"/>
              <w:rPr>
                <w:sz w:val="20"/>
                <w:szCs w:val="20"/>
                <w:color w:val="auto"/>
              </w:rPr>
            </w:pPr>
            <w:r>
              <w:rPr>
                <w:rFonts w:ascii="Arial" w:cs="Arial" w:eastAsia="Arial" w:hAnsi="Arial"/>
                <w:sz w:val="14"/>
                <w:szCs w:val="14"/>
                <w:color w:val="auto"/>
                <w:w w:val="95"/>
              </w:rPr>
              <w:t>2.87</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31,500,000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CFF"/>
          </w:tcPr>
          <w:p>
            <w:pPr>
              <w:spacing w:after="0"/>
              <w:rPr>
                <w:sz w:val="20"/>
                <w:szCs w:val="20"/>
                <w:color w:val="auto"/>
              </w:rPr>
            </w:pPr>
            <w:r>
              <w:rPr>
                <w:rFonts w:ascii="Arial" w:cs="Arial" w:eastAsia="Arial" w:hAnsi="Arial"/>
                <w:sz w:val="14"/>
                <w:szCs w:val="14"/>
                <w:color w:val="auto"/>
              </w:rPr>
              <w:t>March 21, 2018</w:t>
            </w:r>
          </w:p>
        </w:tc>
        <w:tc>
          <w:tcPr>
            <w:tcW w:w="2740" w:type="dxa"/>
            <w:vAlign w:val="bottom"/>
            <w:gridSpan w:val="3"/>
            <w:shd w:val="clear" w:color="auto" w:fill="CCECFF"/>
          </w:tcPr>
          <w:p>
            <w:pPr>
              <w:ind w:left="240"/>
              <w:spacing w:after="0"/>
              <w:rPr>
                <w:sz w:val="20"/>
                <w:szCs w:val="20"/>
                <w:color w:val="auto"/>
              </w:rPr>
            </w:pPr>
            <w:r>
              <w:rPr>
                <w:rFonts w:ascii="Arial" w:cs="Arial" w:eastAsia="Arial" w:hAnsi="Arial"/>
                <w:sz w:val="14"/>
                <w:szCs w:val="14"/>
                <w:color w:val="auto"/>
              </w:rPr>
              <w:t>March 1, 2028</w:t>
            </w:r>
          </w:p>
        </w:tc>
        <w:tc>
          <w:tcPr>
            <w:tcW w:w="2140" w:type="dxa"/>
            <w:vAlign w:val="bottom"/>
            <w:tcBorders>
              <w:bottom w:val="single" w:sz="8" w:color="auto"/>
            </w:tcBorders>
            <w:shd w:val="clear" w:color="auto" w:fill="CCECFF"/>
          </w:tcPr>
          <w:p>
            <w:pPr>
              <w:ind w:left="1860"/>
              <w:spacing w:after="0"/>
              <w:rPr>
                <w:sz w:val="20"/>
                <w:szCs w:val="20"/>
                <w:color w:val="auto"/>
              </w:rPr>
            </w:pPr>
            <w:r>
              <w:rPr>
                <w:rFonts w:ascii="Arial" w:cs="Arial" w:eastAsia="Arial" w:hAnsi="Arial"/>
                <w:sz w:val="14"/>
                <w:szCs w:val="14"/>
                <w:color w:val="auto"/>
                <w:w w:val="95"/>
              </w:rPr>
              <w:t>3.53</w:t>
            </w:r>
          </w:p>
        </w:tc>
        <w:tc>
          <w:tcPr>
            <w:tcW w:w="38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1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20" w:type="dxa"/>
            <w:vAlign w:val="bottom"/>
            <w:gridSpan w:val="2"/>
          </w:tcPr>
          <w:p>
            <w:pPr>
              <w:ind w:left="1860"/>
              <w:spacing w:after="0" w:line="155" w:lineRule="exact"/>
              <w:rPr>
                <w:sz w:val="20"/>
                <w:szCs w:val="20"/>
                <w:color w:val="auto"/>
              </w:rPr>
            </w:pPr>
            <w:r>
              <w:rPr>
                <w:rFonts w:ascii="Arial" w:cs="Arial" w:eastAsia="Arial" w:hAnsi="Arial"/>
                <w:sz w:val="14"/>
                <w:szCs w:val="14"/>
                <w:color w:val="auto"/>
              </w:rPr>
              <w:t>3.15%</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960" w:type="dxa"/>
            <w:vAlign w:val="bottom"/>
          </w:tcPr>
          <w:p>
            <w:pPr>
              <w:jc w:val="right"/>
              <w:spacing w:after="0" w:line="155" w:lineRule="exact"/>
              <w:rPr>
                <w:sz w:val="20"/>
                <w:szCs w:val="20"/>
                <w:color w:val="auto"/>
              </w:rPr>
            </w:pPr>
            <w:r>
              <w:rPr>
                <w:rFonts w:ascii="Arial" w:cs="Arial" w:eastAsia="Arial" w:hAnsi="Arial"/>
                <w:sz w:val="14"/>
                <w:szCs w:val="14"/>
                <w:color w:val="auto"/>
              </w:rPr>
              <w:t>180,000,000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72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tcPr>
          <w:p>
            <w:pPr>
              <w:spacing w:after="0"/>
              <w:rPr>
                <w:sz w:val="24"/>
                <w:szCs w:val="24"/>
                <w:color w:val="auto"/>
              </w:rPr>
            </w:pPr>
          </w:p>
        </w:tc>
        <w:tc>
          <w:tcPr>
            <w:tcW w:w="226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40" w:type="dxa"/>
            <w:vAlign w:val="bottom"/>
            <w:vMerge w:val="restart"/>
          </w:tcPr>
          <w:p>
            <w:pPr>
              <w:spacing w:after="0"/>
              <w:rPr>
                <w:sz w:val="24"/>
                <w:szCs w:val="24"/>
                <w:color w:val="auto"/>
              </w:rPr>
            </w:pPr>
          </w:p>
        </w:tc>
        <w:tc>
          <w:tcPr>
            <w:tcW w:w="21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38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 September 30, 2017</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C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Principal Balance</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29, 2011</w:t>
            </w:r>
          </w:p>
        </w:tc>
        <w:tc>
          <w:tcPr>
            <w:tcW w:w="240" w:type="dxa"/>
            <w:vAlign w:val="bottom"/>
            <w:shd w:val="clear" w:color="auto" w:fill="CCECFF"/>
          </w:tcPr>
          <w:p>
            <w:pPr>
              <w:spacing w:after="0"/>
              <w:rPr>
                <w:sz w:val="13"/>
                <w:szCs w:val="13"/>
                <w:color w:val="auto"/>
              </w:rPr>
            </w:pPr>
          </w:p>
        </w:tc>
        <w:tc>
          <w:tcPr>
            <w:tcW w:w="2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2021</w:t>
            </w:r>
          </w:p>
        </w:tc>
        <w:tc>
          <w:tcPr>
            <w:tcW w:w="240" w:type="dxa"/>
            <w:vAlign w:val="bottom"/>
            <w:shd w:val="clear" w:color="auto" w:fill="CCECFF"/>
          </w:tcPr>
          <w:p>
            <w:pPr>
              <w:spacing w:after="0"/>
              <w:rPr>
                <w:sz w:val="13"/>
                <w:szCs w:val="13"/>
                <w:color w:val="auto"/>
              </w:rPr>
            </w:pPr>
          </w:p>
        </w:tc>
        <w:tc>
          <w:tcPr>
            <w:tcW w:w="252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4.37%</w:t>
            </w:r>
          </w:p>
        </w:tc>
        <w:tc>
          <w:tcPr>
            <w:tcW w:w="180" w:type="dxa"/>
            <w:vAlign w:val="bottom"/>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15,000,000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September 21, 2011</w:t>
            </w:r>
          </w:p>
        </w:tc>
        <w:tc>
          <w:tcPr>
            <w:tcW w:w="2740" w:type="dxa"/>
            <w:vAlign w:val="bottom"/>
            <w:gridSpan w:val="3"/>
          </w:tcPr>
          <w:p>
            <w:pPr>
              <w:ind w:left="240"/>
              <w:spacing w:after="0"/>
              <w:rPr>
                <w:sz w:val="20"/>
                <w:szCs w:val="20"/>
                <w:color w:val="auto"/>
              </w:rPr>
            </w:pPr>
            <w:r>
              <w:rPr>
                <w:rFonts w:ascii="Arial" w:cs="Arial" w:eastAsia="Arial" w:hAnsi="Arial"/>
                <w:sz w:val="14"/>
                <w:szCs w:val="14"/>
                <w:color w:val="auto"/>
              </w:rPr>
              <w:t>September 1, 2021</w:t>
            </w:r>
          </w:p>
        </w:tc>
        <w:tc>
          <w:tcPr>
            <w:tcW w:w="2140" w:type="dxa"/>
            <w:vAlign w:val="bottom"/>
          </w:tcPr>
          <w:p>
            <w:pPr>
              <w:ind w:left="1860"/>
              <w:spacing w:after="0"/>
              <w:rPr>
                <w:sz w:val="20"/>
                <w:szCs w:val="20"/>
                <w:color w:val="auto"/>
              </w:rPr>
            </w:pPr>
            <w:r>
              <w:rPr>
                <w:rFonts w:ascii="Arial" w:cs="Arial" w:eastAsia="Arial" w:hAnsi="Arial"/>
                <w:sz w:val="14"/>
                <w:szCs w:val="14"/>
                <w:color w:val="auto"/>
                <w:w w:val="95"/>
              </w:rPr>
              <w:t>3.38</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105,000,000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CFF"/>
          </w:tcPr>
          <w:p>
            <w:pPr>
              <w:spacing w:after="0"/>
              <w:rPr>
                <w:sz w:val="20"/>
                <w:szCs w:val="20"/>
                <w:color w:val="auto"/>
              </w:rPr>
            </w:pPr>
            <w:r>
              <w:rPr>
                <w:rFonts w:ascii="Arial" w:cs="Arial" w:eastAsia="Arial" w:hAnsi="Arial"/>
                <w:sz w:val="14"/>
                <w:szCs w:val="14"/>
                <w:color w:val="auto"/>
              </w:rPr>
              <w:t>March 23, 2016</w:t>
            </w:r>
          </w:p>
        </w:tc>
        <w:tc>
          <w:tcPr>
            <w:tcW w:w="2740" w:type="dxa"/>
            <w:vAlign w:val="bottom"/>
            <w:gridSpan w:val="3"/>
            <w:shd w:val="clear" w:color="auto" w:fill="CCECFF"/>
          </w:tcPr>
          <w:p>
            <w:pPr>
              <w:ind w:left="240"/>
              <w:spacing w:after="0"/>
              <w:rPr>
                <w:sz w:val="20"/>
                <w:szCs w:val="20"/>
                <w:color w:val="auto"/>
              </w:rPr>
            </w:pPr>
            <w:r>
              <w:rPr>
                <w:rFonts w:ascii="Arial" w:cs="Arial" w:eastAsia="Arial" w:hAnsi="Arial"/>
                <w:sz w:val="14"/>
                <w:szCs w:val="14"/>
                <w:color w:val="auto"/>
              </w:rPr>
              <w:t>March 1, 2026</w:t>
            </w:r>
          </w:p>
        </w:tc>
        <w:tc>
          <w:tcPr>
            <w:tcW w:w="214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5"/>
              </w:rPr>
              <w:t>2.86</w:t>
            </w:r>
          </w:p>
        </w:tc>
        <w:tc>
          <w:tcPr>
            <w:tcW w:w="3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22,500,000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September 21, 2016</w:t>
            </w:r>
          </w:p>
        </w:tc>
        <w:tc>
          <w:tcPr>
            <w:tcW w:w="2740" w:type="dxa"/>
            <w:vAlign w:val="bottom"/>
            <w:gridSpan w:val="3"/>
          </w:tcPr>
          <w:p>
            <w:pPr>
              <w:ind w:left="240"/>
              <w:spacing w:after="0"/>
              <w:rPr>
                <w:sz w:val="20"/>
                <w:szCs w:val="20"/>
                <w:color w:val="auto"/>
              </w:rPr>
            </w:pPr>
            <w:r>
              <w:rPr>
                <w:rFonts w:ascii="Arial" w:cs="Arial" w:eastAsia="Arial" w:hAnsi="Arial"/>
                <w:sz w:val="14"/>
                <w:szCs w:val="14"/>
                <w:color w:val="auto"/>
              </w:rPr>
              <w:t>September 1, 2026</w:t>
            </w:r>
          </w:p>
        </w:tc>
        <w:tc>
          <w:tcPr>
            <w:tcW w:w="2140" w:type="dxa"/>
            <w:vAlign w:val="bottom"/>
          </w:tcPr>
          <w:p>
            <w:pPr>
              <w:ind w:left="1860"/>
              <w:spacing w:after="0"/>
              <w:rPr>
                <w:sz w:val="20"/>
                <w:szCs w:val="20"/>
                <w:color w:val="auto"/>
              </w:rPr>
            </w:pPr>
            <w:r>
              <w:rPr>
                <w:rFonts w:ascii="Arial" w:cs="Arial" w:eastAsia="Arial" w:hAnsi="Arial"/>
                <w:sz w:val="14"/>
                <w:szCs w:val="14"/>
                <w:color w:val="auto"/>
                <w:w w:val="95"/>
              </w:rPr>
              <w:t>2.41</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740" w:type="dxa"/>
            <w:vAlign w:val="bottom"/>
            <w:gridSpan w:val="3"/>
            <w:shd w:val="clear" w:color="auto" w:fill="CCECFF"/>
          </w:tcPr>
          <w:p>
            <w:pPr>
              <w:ind w:left="240"/>
              <w:spacing w:after="0"/>
              <w:rPr>
                <w:sz w:val="20"/>
                <w:szCs w:val="20"/>
                <w:color w:val="auto"/>
              </w:rPr>
            </w:pPr>
            <w:r>
              <w:rPr>
                <w:rFonts w:ascii="Arial" w:cs="Arial" w:eastAsia="Arial" w:hAnsi="Arial"/>
                <w:sz w:val="14"/>
                <w:szCs w:val="14"/>
                <w:color w:val="auto"/>
              </w:rPr>
              <w:t>September 1, 2027</w:t>
            </w:r>
          </w:p>
        </w:tc>
        <w:tc>
          <w:tcPr>
            <w:tcW w:w="2140" w:type="dxa"/>
            <w:vAlign w:val="bottom"/>
            <w:tcBorders>
              <w:bottom w:val="single" w:sz="8" w:color="auto"/>
            </w:tcBorders>
            <w:shd w:val="clear" w:color="auto" w:fill="CCECFF"/>
          </w:tcPr>
          <w:p>
            <w:pPr>
              <w:ind w:left="1860"/>
              <w:spacing w:after="0"/>
              <w:rPr>
                <w:sz w:val="20"/>
                <w:szCs w:val="20"/>
                <w:color w:val="auto"/>
              </w:rPr>
            </w:pPr>
            <w:r>
              <w:rPr>
                <w:rFonts w:ascii="Arial" w:cs="Arial" w:eastAsia="Arial" w:hAnsi="Arial"/>
                <w:sz w:val="14"/>
                <w:szCs w:val="14"/>
                <w:color w:val="auto"/>
                <w:w w:val="95"/>
              </w:rPr>
              <w:t>2.87</w:t>
            </w:r>
          </w:p>
        </w:tc>
        <w:tc>
          <w:tcPr>
            <w:tcW w:w="38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1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20" w:type="dxa"/>
            <w:vAlign w:val="bottom"/>
            <w:gridSpan w:val="2"/>
          </w:tcPr>
          <w:p>
            <w:pPr>
              <w:ind w:left="1860"/>
              <w:spacing w:after="0" w:line="155" w:lineRule="exact"/>
              <w:rPr>
                <w:sz w:val="20"/>
                <w:szCs w:val="20"/>
                <w:color w:val="auto"/>
              </w:rPr>
            </w:pPr>
            <w:r>
              <w:rPr>
                <w:rFonts w:ascii="Arial" w:cs="Arial" w:eastAsia="Arial" w:hAnsi="Arial"/>
                <w:sz w:val="14"/>
                <w:szCs w:val="14"/>
                <w:color w:val="auto"/>
              </w:rPr>
              <w:t>3.19%</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960" w:type="dxa"/>
            <w:vAlign w:val="bottom"/>
          </w:tcPr>
          <w:p>
            <w:pPr>
              <w:jc w:val="right"/>
              <w:spacing w:after="0" w:line="155" w:lineRule="exact"/>
              <w:rPr>
                <w:sz w:val="20"/>
                <w:szCs w:val="20"/>
                <w:color w:val="auto"/>
              </w:rPr>
            </w:pPr>
            <w:r>
              <w:rPr>
                <w:rFonts w:ascii="Arial" w:cs="Arial" w:eastAsia="Arial" w:hAnsi="Arial"/>
                <w:sz w:val="14"/>
                <w:szCs w:val="14"/>
                <w:color w:val="auto"/>
              </w:rPr>
              <w:t>199,000,000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Excluding 3.43%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1144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1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2018, our SBIC Funds were in compliance with their regulatory requirements.</w:t>
      </w:r>
    </w:p>
    <w:p>
      <w:pPr>
        <w:spacing w:after="0" w:line="103"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In accordance with the 1940 Act, with certain limited exceptions, PennantPark Investment is only allowed to borrow amounts such that our required 200% (up to November 13, 2019 and 150% thereafter (or earlier if our stockholders approve the proposal to accelerate the application of the reduced asset coverage requirements to us), subject to certain disclosure requirements) asset coverage ratio is met after such borrowing. As of September 30, 2018 and 2017,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18" w:lineRule="exact"/>
        <w:rPr>
          <w:sz w:val="20"/>
          <w:szCs w:val="20"/>
          <w:color w:val="auto"/>
        </w:rPr>
      </w:pPr>
    </w:p>
    <w:p>
      <w:pPr>
        <w:ind w:right="40" w:firstLine="438"/>
        <w:spacing w:after="0" w:line="253" w:lineRule="auto"/>
        <w:rPr>
          <w:sz w:val="20"/>
          <w:szCs w:val="20"/>
          <w:color w:val="auto"/>
        </w:rPr>
      </w:pPr>
      <w:r>
        <w:rPr>
          <w:rFonts w:ascii="Arial" w:cs="Arial" w:eastAsia="Arial" w:hAnsi="Arial"/>
          <w:sz w:val="14"/>
          <w:szCs w:val="14"/>
          <w:color w:val="auto"/>
        </w:rPr>
        <w:t>As of September 30, 2018 and 2017, we had cash and cash equivalents of $19.5 million and $38.2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color w:val="auto"/>
        </w:rPr>
        <w:t>Our operating activities provided cash of $66.9 million for the year ended September 30, 2018, and our financing activities used cash of $85.6 million for the same period. Our operating activities provided cash from sales and repayments on our investments and our financing activities used cash primarily for net repayments of the SBA debentures and our stock repurchase program.</w:t>
      </w:r>
    </w:p>
    <w:p>
      <w:pPr>
        <w:spacing w:after="0" w:line="102"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Our operating activities provided cash of $69.2 million for the year ended September 30, 2017, and our financing activities used cash proceeds of $107.6 million for the same period. Our operating activities provided cash primarily from sales and repayments on our investments and our financing activities used cash primarily to redeem our 2025 Notes.</w:t>
      </w:r>
    </w:p>
    <w:p>
      <w:pPr>
        <w:spacing w:after="0" w:line="106"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4"/>
          <w:szCs w:val="14"/>
          <w:color w:val="auto"/>
        </w:rPr>
        <w:t>Our operating activities provided cash of $157.7 million for the year ended September 30, 2016, and our financing activities used cash proceeds of $132.7 million for the same period. Our operating activities provided cash primarily from sales and repayments on our investments and our financing activities used cash primarily for net repayments on our Credit Facility and our stock repurchase program.</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23" w:lineRule="exact"/>
        <w:rPr>
          <w:sz w:val="20"/>
          <w:szCs w:val="20"/>
          <w:color w:val="auto"/>
        </w:rPr>
      </w:pPr>
    </w:p>
    <w:p>
      <w:pPr>
        <w:jc w:val="both"/>
        <w:ind w:right="40" w:firstLine="438"/>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September 30, 2018, including borrowings under our various debt facilities and other contractual obligations,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6"/>
          </w:tcPr>
          <w:p>
            <w:pPr>
              <w:ind w:left="960"/>
              <w:spacing w:after="0"/>
              <w:rPr>
                <w:sz w:val="20"/>
                <w:szCs w:val="20"/>
                <w:color w:val="auto"/>
              </w:rPr>
            </w:pPr>
            <w:r>
              <w:rPr>
                <w:rFonts w:ascii="Arial" w:cs="Arial" w:eastAsia="Arial" w:hAnsi="Arial"/>
                <w:sz w:val="14"/>
                <w:szCs w:val="14"/>
                <w:b w:val="1"/>
                <w:bCs w:val="1"/>
                <w:color w:val="auto"/>
                <w:w w:val="94"/>
              </w:rPr>
              <w:t>Payments due by period (in millions)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ind w:left="40"/>
              <w:spacing w:after="0"/>
              <w:rPr>
                <w:sz w:val="20"/>
                <w:szCs w:val="20"/>
                <w:color w:val="auto"/>
              </w:rPr>
            </w:pPr>
            <w:r>
              <w:rPr>
                <w:rFonts w:ascii="Arial" w:cs="Arial" w:eastAsia="Arial" w:hAnsi="Arial"/>
                <w:sz w:val="14"/>
                <w:szCs w:val="14"/>
                <w:b w:val="1"/>
                <w:bCs w:val="1"/>
                <w:color w:val="auto"/>
              </w:rPr>
              <w:t>Less than 1 year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88"/>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More than 5 years</w:t>
            </w:r>
          </w:p>
        </w:tc>
      </w:tr>
      <w:tr>
        <w:trPr>
          <w:trHeight w:val="155"/>
        </w:trPr>
        <w:tc>
          <w:tcPr>
            <w:tcW w:w="36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80.5</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ind w:left="104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80.5</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SBA debentures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180.0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ind w:left="1040"/>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150.0</w:t>
            </w:r>
          </w:p>
        </w:tc>
        <w:tc>
          <w:tcPr>
            <w:tcW w:w="120" w:type="dxa"/>
            <w:vAlign w:val="bottom"/>
          </w:tcPr>
          <w:p>
            <w:pPr>
              <w:spacing w:after="0"/>
              <w:rPr>
                <w:sz w:val="14"/>
                <w:szCs w:val="14"/>
                <w:color w:val="auto"/>
              </w:rPr>
            </w:pPr>
          </w:p>
        </w:tc>
      </w:tr>
      <w:tr>
        <w:trPr>
          <w:trHeight w:val="162"/>
        </w:trPr>
        <w:tc>
          <w:tcPr>
            <w:tcW w:w="3680" w:type="dxa"/>
            <w:vAlign w:val="bottom"/>
            <w:shd w:val="clear" w:color="auto" w:fill="CCECFF"/>
          </w:tcPr>
          <w:p>
            <w:pPr>
              <w:spacing w:after="0"/>
              <w:rPr>
                <w:sz w:val="20"/>
                <w:szCs w:val="20"/>
                <w:color w:val="auto"/>
              </w:rPr>
            </w:pPr>
            <w:r>
              <w:rPr>
                <w:rFonts w:ascii="Arial" w:cs="Arial" w:eastAsia="Arial" w:hAnsi="Arial"/>
                <w:sz w:val="14"/>
                <w:szCs w:val="14"/>
                <w:color w:val="auto"/>
              </w:rPr>
              <w:t>2019 Notes</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80" w:type="dxa"/>
            <w:vAlign w:val="bottom"/>
            <w:shd w:val="clear" w:color="auto" w:fill="CCECFF"/>
          </w:tcPr>
          <w:p>
            <w:pPr>
              <w:ind w:left="104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56"/>
        </w:trPr>
        <w:tc>
          <w:tcPr>
            <w:tcW w:w="3680" w:type="dxa"/>
            <w:vAlign w:val="bottom"/>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510.5</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ind w:left="104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280.0</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80.5</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150.0</w:t>
            </w:r>
          </w:p>
        </w:tc>
        <w:tc>
          <w:tcPr>
            <w:tcW w:w="120" w:type="dxa"/>
            <w:vAlign w:val="bottom"/>
          </w:tcPr>
          <w:p>
            <w:pPr>
              <w:spacing w:after="0"/>
              <w:rPr>
                <w:sz w:val="13"/>
                <w:szCs w:val="13"/>
                <w:color w:val="auto"/>
              </w:rPr>
            </w:pPr>
          </w:p>
        </w:tc>
      </w:tr>
      <w:tr>
        <w:trPr>
          <w:trHeight w:val="162"/>
        </w:trPr>
        <w:tc>
          <w:tcPr>
            <w:tcW w:w="368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Borders>
              <w:bottom w:val="single" w:sz="8" w:color="auto"/>
            </w:tcBorders>
            <w:shd w:val="clear" w:color="auto" w:fill="CCECFF"/>
          </w:tcPr>
          <w:p>
            <w:pPr>
              <w:spacing w:after="0"/>
              <w:rPr>
                <w:sz w:val="14"/>
                <w:szCs w:val="14"/>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60.6</w:t>
            </w:r>
          </w:p>
        </w:tc>
        <w:tc>
          <w:tcPr>
            <w:tcW w:w="26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ind w:left="104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45.4</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6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CFF"/>
          </w:tcPr>
          <w:p>
            <w:pPr>
              <w:spacing w:after="0"/>
              <w:rPr>
                <w:sz w:val="14"/>
                <w:szCs w:val="14"/>
                <w:color w:val="auto"/>
              </w:rPr>
            </w:pPr>
          </w:p>
        </w:tc>
      </w:tr>
      <w:tr>
        <w:trPr>
          <w:trHeight w:val="156"/>
        </w:trPr>
        <w:tc>
          <w:tcPr>
            <w:tcW w:w="3680" w:type="dxa"/>
            <w:vAlign w:val="bottom"/>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571.1</w:t>
            </w: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ind w:left="104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280.0</w:t>
            </w:r>
          </w:p>
        </w:tc>
        <w:tc>
          <w:tcPr>
            <w:tcW w:w="26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125.9</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165.2</w:t>
            </w:r>
          </w:p>
        </w:tc>
        <w:tc>
          <w:tcPr>
            <w:tcW w:w="120" w:type="dxa"/>
            <w:vAlign w:val="bottom"/>
          </w:tcPr>
          <w:p>
            <w:pPr>
              <w:spacing w:after="0"/>
              <w:rPr>
                <w:sz w:val="13"/>
                <w:szCs w:val="13"/>
                <w:color w:val="auto"/>
              </w:rPr>
            </w:pPr>
          </w:p>
        </w:tc>
      </w:tr>
      <w:tr>
        <w:trPr>
          <w:trHeight w:val="20"/>
        </w:trPr>
        <w:tc>
          <w:tcPr>
            <w:tcW w:w="3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ind w:left="380" w:right="140" w:hanging="372"/>
        <w:spacing w:after="0" w:line="230" w:lineRule="auto"/>
        <w:tabs>
          <w:tab w:leader="none" w:pos="380" w:val="left"/>
        </w:tabs>
        <w:numPr>
          <w:ilvl w:val="0"/>
          <w:numId w:val="52"/>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September 30, 2018, excluding debt issuance costs, was 4.52% exclusive of the fee on the undrawn commitment on the Credit Facility and 3.43% of upfront fees on SBA debentures.</w:t>
      </w:r>
    </w:p>
    <w:p>
      <w:pPr>
        <w:ind w:left="380" w:hanging="372"/>
        <w:spacing w:after="0"/>
        <w:tabs>
          <w:tab w:leader="none" w:pos="380" w:val="left"/>
        </w:tabs>
        <w:numPr>
          <w:ilvl w:val="0"/>
          <w:numId w:val="52"/>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12 of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11144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91" w:lineRule="exact"/>
        <w:rPr>
          <w:sz w:val="20"/>
          <w:szCs w:val="20"/>
          <w:color w:val="auto"/>
        </w:rPr>
      </w:pPr>
    </w:p>
    <w:p>
      <w:pPr>
        <w:ind w:right="180" w:firstLine="438"/>
        <w:spacing w:after="0" w:line="229"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2018, PennantPark Investment Advisers serves as our investment adviser.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3" w:name="page44"/>
    <w:bookmarkEnd w:id="43"/>
    <w:p>
      <w:pPr>
        <w:ind w:firstLine="438"/>
        <w:spacing w:after="0" w:line="229"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2018, the Administrator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04"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136"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On November 13, 2018, our board of directors authorized the Company to redeem $250.0 million outstanding aggregate principal amount of its 2019 Notes with a rate of 4.50% per year due October 1, 2019. The 2019 Notes will be prepaid at 100% of the principal amount, plus accrued and unpaid interest through the prepayment date, as well as a make-whole premium. We currently expect the redemption to occur in early 2019.</w:t>
      </w:r>
    </w:p>
    <w:p>
      <w:pPr>
        <w:spacing w:after="0" w:line="115" w:lineRule="exact"/>
        <w:rPr>
          <w:sz w:val="20"/>
          <w:szCs w:val="20"/>
          <w:color w:val="auto"/>
        </w:rPr>
      </w:pPr>
    </w:p>
    <w:p>
      <w:pPr>
        <w:ind w:right="100" w:firstLine="438"/>
        <w:spacing w:after="0" w:line="277" w:lineRule="auto"/>
        <w:rPr>
          <w:sz w:val="20"/>
          <w:szCs w:val="20"/>
          <w:color w:val="auto"/>
        </w:rPr>
      </w:pPr>
      <w:r>
        <w:rPr>
          <w:rFonts w:ascii="Arial" w:cs="Arial" w:eastAsia="Arial" w:hAnsi="Arial"/>
          <w:sz w:val="12"/>
          <w:szCs w:val="12"/>
          <w:color w:val="auto"/>
        </w:rPr>
        <w:t>On November 13, 2018, our board of directors approved the application of the modified asset coverage requirements set forth in Section 61(a)(2) of the 1940 Act, as amended by the Consolidated Appropriations Act of 2018 (which includes the SBCAA). Our board of directors also authorized the submission of a proposal for stockholders to accelerate the application of the 150% minimum asset coverage ratio to us at the 2019 annual meeting of stockholders. As a result, the asset coverage requirements applicable to us for senior securities will be reduced from 200% to 150%, effective as of November 13, 2019 (or earlier if our stockholders approve the proposal to accelerate the application of the reduced asset coverage requirements to us), subject to compliance with certain disclosure requirements. As of September 30, 2018 and 2017, our asset coverage ratio, as computed in accordance with the 1940 Act, was 291% and 295%, respectively.</w:t>
      </w:r>
    </w:p>
    <w:p>
      <w:pPr>
        <w:spacing w:after="0" w:line="95"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On November 13, 2018, our board of directors approved the reduction of the asset coverage requirement following the Company’s analysis of how the increased leverage flexibility could affect the Company’s strategic priorities and positive long-term value creation for shareholders, as well as an assessment of the associated risks and how they can be managed or mitigated. Our board of directors also approved an amendment to the Investment Advisory Agreement reducing the Investment Advisor’s annual base management fee from 1.50% to 1.00% on gross assets that exceed 200% of the Company’s total net assets as of the immediately preceding quarter-end.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15" w:lineRule="exact"/>
        <w:rPr>
          <w:sz w:val="20"/>
          <w:szCs w:val="20"/>
          <w:color w:val="auto"/>
        </w:rPr>
      </w:pPr>
    </w:p>
    <w:p>
      <w:pPr>
        <w:ind w:right="120" w:firstLine="438"/>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03"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During the years ended September 30, 2018, 2017 and 2016, we declared distributions of $0.72 per share, $0.82 per share and $1.12 per share, respectively, for total distributions of $50.6 million, $58.3 million and $79.8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136" w:lineRule="exact"/>
        <w:rPr>
          <w:sz w:val="20"/>
          <w:szCs w:val="20"/>
          <w:color w:val="auto"/>
        </w:rPr>
      </w:pPr>
    </w:p>
    <w:p>
      <w:pPr>
        <w:ind w:right="260" w:firstLine="438"/>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93"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36" w:lineRule="exact"/>
        <w:rPr>
          <w:sz w:val="20"/>
          <w:szCs w:val="20"/>
          <w:color w:val="auto"/>
        </w:rPr>
      </w:pPr>
    </w:p>
    <w:p>
      <w:pPr>
        <w:ind w:right="200" w:firstLine="438"/>
        <w:spacing w:after="0" w:line="255" w:lineRule="auto"/>
        <w:rPr>
          <w:sz w:val="20"/>
          <w:szCs w:val="20"/>
          <w:color w:val="auto"/>
        </w:rPr>
      </w:pPr>
      <w:r>
        <w:rPr>
          <w:rFonts w:ascii="Arial" w:cs="Arial" w:eastAsia="Arial" w:hAnsi="Arial"/>
          <w:sz w:val="13"/>
          <w:szCs w:val="13"/>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this guidance early, but not before the original effective date (i.e., interim periods within annual periods beginning after December 15, 2016). The Company has evaluated this guidance and determined it will not have a material impact on its financial statements.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4" w:name="page45"/>
    <w:bookmarkEnd w:id="44"/>
    <w:p>
      <w:pPr>
        <w:spacing w:after="0"/>
        <w:tabs>
          <w:tab w:leader="none" w:pos="98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September 30, 2018, our debt portfolio consisted of 90% variable-rate investments and 10%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03"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Change In Interest Income,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Net Of Interest Expense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5"/>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(8,038)</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(0.12)</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8,038</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16,075</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24,113</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32,159</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0.47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20"/>
                <w:szCs w:val="20"/>
                <w:color w:val="auto"/>
              </w:rPr>
            </w:pPr>
            <w:r>
              <w:rPr>
                <w:rFonts w:ascii="Arial" w:cs="Arial" w:eastAsia="Arial" w:hAnsi="Arial"/>
                <w:sz w:val="14"/>
                <w:szCs w:val="14"/>
                <w:b w:val="1"/>
                <w:bCs w:val="1"/>
                <w:color w:val="auto"/>
              </w:rPr>
              <w:t>Item 8.</w:t>
            </w:r>
          </w:p>
        </w:tc>
        <w:tc>
          <w:tcPr>
            <w:tcW w:w="7740" w:type="dxa"/>
            <w:vAlign w:val="bottom"/>
          </w:tcPr>
          <w:p>
            <w:pPr>
              <w:jc w:val="right"/>
              <w:ind w:right="3628"/>
              <w:spacing w:after="0"/>
              <w:rPr>
                <w:sz w:val="20"/>
                <w:szCs w:val="20"/>
                <w:color w:val="auto"/>
              </w:rPr>
            </w:pPr>
            <w:r>
              <w:rPr>
                <w:rFonts w:ascii="Arial" w:cs="Arial" w:eastAsia="Arial" w:hAnsi="Arial"/>
                <w:sz w:val="14"/>
                <w:szCs w:val="14"/>
                <w:b w:val="1"/>
                <w:bCs w:val="1"/>
                <w:color w:val="auto"/>
              </w:rPr>
              <w:t>Consolidated Financial Statements and Supplementary Data</w:t>
            </w:r>
          </w:p>
        </w:tc>
        <w:tc>
          <w:tcPr>
            <w:tcW w:w="2760" w:type="dxa"/>
            <w:vAlign w:val="bottom"/>
          </w:tcPr>
          <w:p>
            <w:pPr>
              <w:spacing w:after="0"/>
              <w:rPr>
                <w:sz w:val="16"/>
                <w:szCs w:val="16"/>
                <w:color w:val="auto"/>
              </w:rPr>
            </w:pPr>
          </w:p>
        </w:tc>
      </w:tr>
      <w:tr>
        <w:trPr>
          <w:trHeight w:val="317"/>
        </w:trPr>
        <w:tc>
          <w:tcPr>
            <w:tcW w:w="7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760" w:type="dxa"/>
            <w:vAlign w:val="bottom"/>
          </w:tcPr>
          <w:p>
            <w:pPr>
              <w:jc w:val="right"/>
              <w:ind w:right="68"/>
              <w:spacing w:after="0"/>
              <w:rPr>
                <w:sz w:val="20"/>
                <w:szCs w:val="20"/>
                <w:color w:val="auto"/>
              </w:rPr>
            </w:pPr>
            <w:r>
              <w:rPr>
                <w:rFonts w:ascii="Arial" w:cs="Arial" w:eastAsia="Arial" w:hAnsi="Arial"/>
                <w:sz w:val="14"/>
                <w:szCs w:val="14"/>
                <w:b w:val="1"/>
                <w:bCs w:val="1"/>
                <w:color w:val="auto"/>
              </w:rPr>
              <w:t>Page</w:t>
            </w:r>
          </w:p>
        </w:tc>
      </w:tr>
      <w:tr>
        <w:trPr>
          <w:trHeight w:val="182"/>
        </w:trPr>
        <w:tc>
          <w:tcPr>
            <w:tcW w:w="8500" w:type="dxa"/>
            <w:vAlign w:val="bottom"/>
            <w:gridSpan w:val="2"/>
          </w:tcPr>
          <w:p>
            <w:pPr>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Management’s Report on Internal Control over Financial Reporting</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Report of Independent Registered Public Accounting Firm</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Report of Independent Registered Public Accounting Firm On Internal Control Over Financial Reporting</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Consolidated Statements of Assets and Liabilities as of September 30, 2018 and 2017</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51">
              <w:r>
                <w:rPr>
                  <w:rFonts w:ascii="Arial" w:cs="Arial" w:eastAsia="Arial" w:hAnsi="Arial"/>
                  <w:sz w:val="14"/>
                  <w:szCs w:val="14"/>
                  <w:u w:val="single" w:color="auto"/>
                  <w:color w:val="0000EE"/>
                </w:rPr>
                <w:t>Consolidated Statements of Operations for the years ended September 30, 2018, 2017 and 2016</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52">
              <w:r>
                <w:rPr>
                  <w:rFonts w:ascii="Arial" w:cs="Arial" w:eastAsia="Arial" w:hAnsi="Arial"/>
                  <w:sz w:val="14"/>
                  <w:szCs w:val="14"/>
                  <w:u w:val="single" w:color="auto"/>
                  <w:color w:val="0000EE"/>
                </w:rPr>
                <w:t>Consolidated Statements of Changes in Net Assets for the years ended September 30, 2018, 2017 and 2016</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53">
              <w:r>
                <w:rPr>
                  <w:rFonts w:ascii="Arial" w:cs="Arial" w:eastAsia="Arial" w:hAnsi="Arial"/>
                  <w:sz w:val="14"/>
                  <w:szCs w:val="14"/>
                  <w:u w:val="single" w:color="auto"/>
                  <w:color w:val="0000EE"/>
                </w:rPr>
                <w:t>Consolidated Statements of Cash Flows for the years ended September 30, 2018, 2017 and 2016</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54">
              <w:r>
                <w:rPr>
                  <w:rFonts w:ascii="Arial" w:cs="Arial" w:eastAsia="Arial" w:hAnsi="Arial"/>
                  <w:sz w:val="14"/>
                  <w:szCs w:val="14"/>
                  <w:u w:val="single" w:color="auto"/>
                  <w:color w:val="0000EE"/>
                </w:rPr>
                <w:t>Consolidated Schedules of Investments as of September 30, 2018 and 2017</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351"/>
        </w:trPr>
        <w:tc>
          <w:tcPr>
            <w:tcW w:w="8500" w:type="dxa"/>
            <w:vAlign w:val="bottom"/>
            <w:gridSpan w:val="2"/>
          </w:tcPr>
          <w:p>
            <w:pPr>
              <w:spacing w:after="0"/>
              <w:rPr>
                <w:rFonts w:ascii="Arial" w:cs="Arial" w:eastAsia="Arial" w:hAnsi="Arial"/>
                <w:sz w:val="14"/>
                <w:szCs w:val="14"/>
                <w:u w:val="single" w:color="auto"/>
                <w:color w:val="0000EE"/>
              </w:rPr>
            </w:pPr>
            <w:hyperlink w:anchor="page60">
              <w:r>
                <w:rPr>
                  <w:rFonts w:ascii="Arial" w:cs="Arial" w:eastAsia="Arial" w:hAnsi="Arial"/>
                  <w:sz w:val="14"/>
                  <w:szCs w:val="14"/>
                  <w:u w:val="single" w:color="auto"/>
                  <w:color w:val="0000EE"/>
                </w:rPr>
                <w:t>Notes to the Consolidated Financial Statements</w:t>
              </w:r>
            </w:hyperlink>
          </w:p>
        </w:tc>
        <w:tc>
          <w:tcPr>
            <w:tcW w:w="27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662"/>
        </w:trPr>
        <w:tc>
          <w:tcPr>
            <w:tcW w:w="760" w:type="dxa"/>
            <w:vAlign w:val="bottom"/>
          </w:tcPr>
          <w:p>
            <w:pPr>
              <w:spacing w:after="0"/>
              <w:rPr>
                <w:sz w:val="24"/>
                <w:szCs w:val="24"/>
                <w:color w:val="auto"/>
              </w:rPr>
            </w:pPr>
          </w:p>
        </w:tc>
        <w:tc>
          <w:tcPr>
            <w:tcW w:w="7740" w:type="dxa"/>
            <w:vAlign w:val="bottom"/>
          </w:tcPr>
          <w:p>
            <w:pPr>
              <w:jc w:val="right"/>
              <w:ind w:right="2728"/>
              <w:spacing w:after="0"/>
              <w:rPr>
                <w:sz w:val="20"/>
                <w:szCs w:val="20"/>
                <w:color w:val="auto"/>
              </w:rPr>
            </w:pPr>
            <w:r>
              <w:rPr>
                <w:rFonts w:ascii="Arial" w:cs="Arial" w:eastAsia="Arial" w:hAnsi="Arial"/>
                <w:sz w:val="14"/>
                <w:szCs w:val="14"/>
                <w:color w:val="auto"/>
              </w:rPr>
              <w:t>44</w:t>
            </w:r>
          </w:p>
        </w:tc>
        <w:tc>
          <w:tcPr>
            <w:tcW w:w="2760" w:type="dxa"/>
            <w:vAlign w:val="bottom"/>
          </w:tcPr>
          <w:p>
            <w:pPr>
              <w:spacing w:after="0"/>
              <w:rPr>
                <w:sz w:val="24"/>
                <w:szCs w:val="24"/>
                <w:color w:val="auto"/>
              </w:rPr>
            </w:pPr>
          </w:p>
        </w:tc>
      </w:tr>
      <w:tr>
        <w:trPr>
          <w:trHeight w:val="100"/>
        </w:trPr>
        <w:tc>
          <w:tcPr>
            <w:tcW w:w="760" w:type="dxa"/>
            <w:vAlign w:val="bottom"/>
            <w:tcBorders>
              <w:bottom w:val="single" w:sz="8" w:color="9A9A9A"/>
            </w:tcBorders>
          </w:tcPr>
          <w:p>
            <w:pPr>
              <w:spacing w:after="0"/>
              <w:rPr>
                <w:sz w:val="8"/>
                <w:szCs w:val="8"/>
                <w:color w:val="auto"/>
              </w:rPr>
            </w:pPr>
          </w:p>
        </w:tc>
        <w:tc>
          <w:tcPr>
            <w:tcW w:w="774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75"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as such term is defined in Exchange Act Rule 13a-15(f), and for performing an assessment of the effectiveness of internal control over financial reporting as of September 30, 2018. Our internal control system is a process designed to provide reasonable assurance to our management and board of directors regarding the preparation and fair presentation of published financial statements.</w:t>
      </w:r>
    </w:p>
    <w:p>
      <w:pPr>
        <w:spacing w:after="0" w:line="107"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07"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2"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 xml:space="preserve">Management assessed the effectiveness of PennantPark Investment’s internal control over financial reporting as of September 30, 2018. In making this assessment, we used the criteria set forth by the Committee of Sponsoring Organizations of the Treadway Commission in 2013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2018, our internal control over financial reporting is effective based on those criteria.</w:t>
      </w:r>
    </w:p>
    <w:p>
      <w:pPr>
        <w:spacing w:after="0" w:line="115"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PennantPark Investment’s independent registered public accounting firm has issued an audit report on the effectiveness of our internal control over financial reporting as of September 30, 2018. This report appears on page 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6" w:right="399" w:bottom="1440" w:gutter="0" w:footer="0" w:header="0"/>
        </w:sectPr>
      </w:pPr>
    </w:p>
    <w:bookmarkStart w:id="47" w:name="page48"/>
    <w:bookmarkEnd w:id="47"/>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4"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We have audited the accompanying consolidated statements of assets and liabilities, including the consolidated schedules of investments, of PennantPark Investment Corporation and its Subsidiaries (collectively referred to as the “Company”) as of September 30, 2018 and 2017, and the related consolidated statements of operations, changes in net assets and cash flows for each of the three years in the period ended September 30, 2018, and the related notes to the consolidated financial statements of the Company (collectively, the financial statements). In our opinion, the financial statements present fairly, in all material respects, the financial position of the Company as of September 30, 2018 and 2017, and the results of its operations and its cash flows for each of the three years in the period ended September 30, 2018, in conformity with accounting principles generally accepted in the United States of America, and in our opinion, the related financial statements schedules, when considered in relation to the basic consolidated financial statements taken as a whole, presents fairly in all material respects the information set forth therein.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PennantPark Investment Corporation and its</w:t>
      </w:r>
    </w:p>
    <w:p>
      <w:pPr>
        <w:spacing w:after="0" w:line="232" w:lineRule="auto"/>
        <w:rPr>
          <w:sz w:val="20"/>
          <w:szCs w:val="20"/>
          <w:color w:val="auto"/>
        </w:rPr>
      </w:pPr>
      <w:r>
        <w:rPr>
          <w:rFonts w:ascii="Arial" w:cs="Arial" w:eastAsia="Arial" w:hAnsi="Arial"/>
          <w:sz w:val="14"/>
          <w:szCs w:val="14"/>
          <w:color w:val="auto"/>
        </w:rPr>
        <w:t xml:space="preserve">Subsidiaries’ internal control over financial reporting as of September 30, 2018,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in 2013, and our report dated November 15, 2018, expressed an unqualified opinion on the effectiveness of the Company’s internal control over financial reporting.</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4" w:lineRule="exact"/>
        <w:rPr>
          <w:sz w:val="20"/>
          <w:szCs w:val="20"/>
          <w:color w:val="auto"/>
        </w:rPr>
      </w:pPr>
    </w:p>
    <w:p>
      <w:pPr>
        <w:ind w:right="140"/>
        <w:spacing w:after="0" w:line="232"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5" w:lineRule="exact"/>
        <w:rPr>
          <w:sz w:val="20"/>
          <w:szCs w:val="20"/>
          <w:color w:val="auto"/>
        </w:rPr>
      </w:pPr>
    </w:p>
    <w:p>
      <w:pPr>
        <w:ind w:right="100"/>
        <w:spacing w:after="0" w:line="248"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September 30, 2018, by correspondence with the custodians and brokers or by other appropriate auditing procedures where replies from brokers were not received. We believe that our audits provide a reasonable basis for our opinion.</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2013.</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Internal Control Over Financial Reporting</w:t>
      </w:r>
    </w:p>
    <w:p>
      <w:pPr>
        <w:spacing w:after="0" w:line="4"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 xml:space="preserve">We have audited PennantPark Investment Corporation and its Subsidiaries' (collectively referred to as the “Company”) internal control over financial reporting as of September 30, 2018,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in 2013. In our opinion, the Company maintained, in all material respects, effective internal control over financial reporting as of September 30, 2018,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in 2013.</w:t>
      </w:r>
    </w:p>
    <w:p>
      <w:pPr>
        <w:spacing w:after="0" w:line="116" w:lineRule="exact"/>
        <w:rPr>
          <w:sz w:val="20"/>
          <w:szCs w:val="20"/>
          <w:color w:val="auto"/>
        </w:rPr>
      </w:pPr>
    </w:p>
    <w:p>
      <w:pPr>
        <w:ind w:right="260"/>
        <w:spacing w:after="0" w:line="233"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consolidated statements of assets and liabilities, including the consolidated schedules of investments as of September 30, 2018 and 2017, the related consolidated statements of operations, changes in net assets and cash flows for each of the three years in the period ended September 30, 2018, and the related notes to the consolidated financial statements (collectively, the financial statements) of the Company and our report dated November 15, 2018 expressed an unqualified opinion.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4" w:lineRule="exact"/>
        <w:rPr>
          <w:sz w:val="20"/>
          <w:szCs w:val="20"/>
          <w:color w:val="auto"/>
        </w:rPr>
      </w:pPr>
    </w:p>
    <w:p>
      <w:pPr>
        <w:ind w:right="40"/>
        <w:spacing w:after="0" w:line="229"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6" w:lineRule="exact"/>
        <w:rPr>
          <w:sz w:val="20"/>
          <w:szCs w:val="20"/>
          <w:color w:val="auto"/>
        </w:rPr>
      </w:pPr>
    </w:p>
    <w:p>
      <w:pPr>
        <w:ind w:right="40"/>
        <w:spacing w:after="0" w:line="233"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4" w:lineRule="exact"/>
        <w:rPr>
          <w:sz w:val="20"/>
          <w:szCs w:val="20"/>
          <w:color w:val="auto"/>
        </w:rPr>
      </w:pPr>
    </w:p>
    <w:p>
      <w:pPr>
        <w:ind w:right="40"/>
        <w:spacing w:after="0" w:line="245"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2" w:lineRule="exact"/>
        <w:rPr>
          <w:sz w:val="20"/>
          <w:szCs w:val="20"/>
          <w:color w:val="auto"/>
        </w:rPr>
      </w:pPr>
    </w:p>
    <w:p>
      <w:pPr>
        <w:ind w:right="340"/>
        <w:spacing w:after="0" w:line="290"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15, 2018</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September 30, 2018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September 30, 2017</w:t>
            </w:r>
          </w:p>
        </w:tc>
        <w:tc>
          <w:tcPr>
            <w:tcW w:w="0" w:type="dxa"/>
            <w:vAlign w:val="bottom"/>
          </w:tcPr>
          <w:p>
            <w:pPr>
              <w:spacing w:after="0"/>
              <w:rPr>
                <w:sz w:val="1"/>
                <w:szCs w:val="1"/>
                <w:color w:val="auto"/>
              </w:rPr>
            </w:pPr>
          </w:p>
        </w:tc>
      </w:tr>
      <w:tr>
        <w:trPr>
          <w:trHeight w:val="156"/>
        </w:trPr>
        <w:tc>
          <w:tcPr>
            <w:tcW w:w="78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CCECFF"/>
          </w:tcPr>
          <w:p>
            <w:pPr>
              <w:spacing w:after="0"/>
              <w:rPr>
                <w:sz w:val="13"/>
                <w:szCs w:val="13"/>
                <w:color w:val="auto"/>
              </w:rPr>
            </w:pPr>
          </w:p>
        </w:tc>
        <w:tc>
          <w:tcPr>
            <w:tcW w:w="140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4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(cost—$896,720,950 and $824,106,322, respectively)</w:t>
            </w:r>
          </w:p>
        </w:tc>
        <w:tc>
          <w:tcPr>
            <w:tcW w:w="10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905,271,258</w:t>
            </w:r>
          </w:p>
        </w:tc>
        <w:tc>
          <w:tcPr>
            <w:tcW w:w="280" w:type="dxa"/>
            <w:vAlign w:val="bottom"/>
            <w:shd w:val="clear" w:color="auto" w:fill="CCECFF"/>
          </w:tcPr>
          <w:p>
            <w:pPr>
              <w:spacing w:after="0"/>
              <w:rPr>
                <w:sz w:val="14"/>
                <w:szCs w:val="14"/>
                <w:color w:val="auto"/>
              </w:rPr>
            </w:pPr>
          </w:p>
        </w:tc>
        <w:tc>
          <w:tcPr>
            <w:tcW w:w="1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849,351,548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260"/>
              <w:spacing w:after="0"/>
              <w:rPr>
                <w:sz w:val="20"/>
                <w:szCs w:val="20"/>
                <w:color w:val="auto"/>
              </w:rPr>
            </w:pPr>
            <w:r>
              <w:rPr>
                <w:rFonts w:ascii="Arial" w:cs="Arial" w:eastAsia="Arial" w:hAnsi="Arial"/>
                <w:sz w:val="14"/>
                <w:szCs w:val="14"/>
                <w:color w:val="auto"/>
              </w:rPr>
              <w:t>Non-controlled, affiliated investments (cost—$91,520,908 and $185,799,943, respectively)</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78,078,331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189,674,977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(cost—$255,574,317 and $200,120,407, respectively)</w:t>
            </w: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148,735,885</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114,550,983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20" w:type="dxa"/>
            <w:vAlign w:val="bottom"/>
          </w:tcPr>
          <w:p>
            <w:pPr>
              <w:ind w:left="260"/>
              <w:spacing w:after="0" w:line="155" w:lineRule="exact"/>
              <w:rPr>
                <w:sz w:val="20"/>
                <w:szCs w:val="20"/>
                <w:color w:val="auto"/>
              </w:rPr>
            </w:pPr>
            <w:r>
              <w:rPr>
                <w:rFonts w:ascii="Arial" w:cs="Arial" w:eastAsia="Arial" w:hAnsi="Arial"/>
                <w:sz w:val="14"/>
                <w:szCs w:val="14"/>
                <w:color w:val="auto"/>
              </w:rPr>
              <w:t>Total of investments (cost—$1,243,816,175 and $1,210,026,672, respectively)</w:t>
            </w:r>
          </w:p>
        </w:tc>
        <w:tc>
          <w:tcPr>
            <w:tcW w:w="10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1,132,085,474</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1,153,577,508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Cash and cash equivalents (cost—$19,543,625 and $38,182,373, respectively)</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19,506,154</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38,202,068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Interest receivable</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7,606,964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5,906,976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920,235</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4,509,289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2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1,160,118,827</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1,202,195,841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Distributions payable</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12,429,712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12,790,950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100" w:type="dxa"/>
            <w:vAlign w:val="bottom"/>
            <w:shd w:val="clear" w:color="auto" w:fill="CCECFF"/>
          </w:tcPr>
          <w:p>
            <w:pPr>
              <w:spacing w:after="0"/>
              <w:rPr>
                <w:sz w:val="14"/>
                <w:szCs w:val="14"/>
                <w:color w:val="auto"/>
              </w:rPr>
            </w:pPr>
          </w:p>
        </w:tc>
        <w:tc>
          <w:tcPr>
            <w:tcW w:w="16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1,014,000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Credit Facility payable (cost—$80,520,000 and $79,392,900, respectively) (See Notes 5 and 11)</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77,645,830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76,037,341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2019 Notes payable (par—$250,000,000) (See Notes 5 and 11)</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251,322,500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255,665,000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SBA debentures payable, net (par—$180,000,000 and $199,000,000, respectively) (See Notes 5 and 11)</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175,373,229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194,364,653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Base management fee payable, net (See Note 3)</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4,086,831</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4,845,237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Performance-based incentive fee payable, net (See Note 3)</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2,964,265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2,270,008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Interest payable on debt</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6,576,393</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6,876,756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Accrued other expenses</w:t>
            </w: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818,172</w:t>
            </w:r>
          </w:p>
        </w:tc>
        <w:tc>
          <w:tcPr>
            <w:tcW w:w="28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1,523,425</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20" w:type="dxa"/>
            <w:vAlign w:val="bottom"/>
            <w:shd w:val="clear" w:color="auto" w:fill="CCECFF"/>
          </w:tcPr>
          <w:p>
            <w:pPr>
              <w:ind w:left="1000"/>
              <w:spacing w:after="0" w:line="155" w:lineRule="exact"/>
              <w:rPr>
                <w:sz w:val="20"/>
                <w:szCs w:val="20"/>
                <w:color w:val="auto"/>
              </w:rPr>
            </w:pPr>
            <w:r>
              <w:rPr>
                <w:rFonts w:ascii="Arial" w:cs="Arial" w:eastAsia="Arial" w:hAnsi="Arial"/>
                <w:sz w:val="14"/>
                <w:szCs w:val="14"/>
                <w:b w:val="1"/>
                <w:bCs w:val="1"/>
                <w:color w:val="auto"/>
              </w:rPr>
              <w:t>Total liabilities</w:t>
            </w:r>
          </w:p>
        </w:tc>
        <w:tc>
          <w:tcPr>
            <w:tcW w:w="100" w:type="dxa"/>
            <w:vAlign w:val="bottom"/>
            <w:tcBorders>
              <w:bottom w:val="single" w:sz="8" w:color="auto"/>
            </w:tcBorders>
            <w:shd w:val="clear" w:color="auto" w:fill="CCECFF"/>
          </w:tcPr>
          <w:p>
            <w:pPr>
              <w:spacing w:after="0"/>
              <w:rPr>
                <w:sz w:val="13"/>
                <w:szCs w:val="13"/>
                <w:color w:val="auto"/>
              </w:rPr>
            </w:pP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531,216,932</w:t>
            </w: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555,387,370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tcPr>
          <w:p>
            <w:pPr>
              <w:spacing w:after="0" w:line="155" w:lineRule="exact"/>
              <w:rPr>
                <w:sz w:val="20"/>
                <w:szCs w:val="20"/>
                <w:color w:val="auto"/>
              </w:rPr>
            </w:pPr>
            <w:r>
              <w:rPr>
                <w:rFonts w:ascii="Arial" w:cs="Arial" w:eastAsia="Arial" w:hAnsi="Arial"/>
                <w:sz w:val="14"/>
                <w:szCs w:val="14"/>
                <w:color w:val="auto"/>
              </w:rPr>
              <w:t>Commitments and contingencies (See Note 12)</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Net assets</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820" w:type="dxa"/>
            <w:vAlign w:val="bottom"/>
          </w:tcPr>
          <w:p>
            <w:pPr>
              <w:spacing w:after="0" w:line="143" w:lineRule="exact"/>
              <w:rPr>
                <w:sz w:val="20"/>
                <w:szCs w:val="20"/>
                <w:color w:val="auto"/>
              </w:rPr>
            </w:pPr>
            <w:r>
              <w:rPr>
                <w:rFonts w:ascii="Arial" w:cs="Arial" w:eastAsia="Arial" w:hAnsi="Arial"/>
                <w:sz w:val="14"/>
                <w:szCs w:val="14"/>
                <w:color w:val="auto"/>
              </w:rPr>
              <w:t>Common stock, 69,053,958 and 71,060,836 shares issued and outstanding, respectively.</w:t>
            </w: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20" w:type="dxa"/>
            <w:vAlign w:val="bottom"/>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69,054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71,061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Paid-in capital in excess of par value</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803,729,220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818,737,784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Undistributed net investment income</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6,003,360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3,333,195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Accumulated net realized loss on investments</w:t>
            </w:r>
          </w:p>
        </w:tc>
        <w:tc>
          <w:tcPr>
            <w:tcW w:w="100" w:type="dxa"/>
            <w:vAlign w:val="bottom"/>
            <w:shd w:val="clear" w:color="auto" w:fill="CCECFF"/>
          </w:tcPr>
          <w:p>
            <w:pPr>
              <w:spacing w:after="0"/>
              <w:rPr>
                <w:sz w:val="14"/>
                <w:szCs w:val="14"/>
                <w:color w:val="auto"/>
              </w:rPr>
            </w:pPr>
          </w:p>
        </w:tc>
        <w:tc>
          <w:tcPr>
            <w:tcW w:w="16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(70,687,629)</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(116,598,355)</w:t>
            </w: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Arial" w:cs="Arial" w:eastAsia="Arial" w:hAnsi="Arial"/>
                <w:sz w:val="14"/>
                <w:szCs w:val="14"/>
                <w:color w:val="auto"/>
              </w:rPr>
              <w:t>Net unrealized depreciation on investments</w:t>
            </w:r>
          </w:p>
        </w:tc>
        <w:tc>
          <w:tcPr>
            <w:tcW w:w="100" w:type="dxa"/>
            <w:vAlign w:val="bottom"/>
          </w:tcPr>
          <w:p>
            <w:pPr>
              <w:spacing w:after="0"/>
              <w:rPr>
                <w:sz w:val="14"/>
                <w:szCs w:val="14"/>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4"/>
                <w:szCs w:val="14"/>
                <w:color w:val="auto"/>
              </w:rPr>
              <w:t>(111,763,780)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(56,425,773)</w:t>
            </w: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Arial" w:cs="Arial" w:eastAsia="Arial" w:hAnsi="Arial"/>
                <w:sz w:val="14"/>
                <w:szCs w:val="14"/>
                <w:color w:val="auto"/>
              </w:rPr>
              <w:t>Net unrealized depreciation (appreciation) on debt</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1,551,670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(2,309,441)</w:t>
            </w:r>
          </w:p>
        </w:tc>
        <w:tc>
          <w:tcPr>
            <w:tcW w:w="0" w:type="dxa"/>
            <w:vAlign w:val="bottom"/>
          </w:tcPr>
          <w:p>
            <w:pPr>
              <w:spacing w:after="0"/>
              <w:rPr>
                <w:sz w:val="1"/>
                <w:szCs w:val="1"/>
                <w:color w:val="auto"/>
              </w:rPr>
            </w:pPr>
          </w:p>
        </w:tc>
      </w:tr>
      <w:tr>
        <w:trPr>
          <w:trHeight w:val="155"/>
        </w:trPr>
        <w:tc>
          <w:tcPr>
            <w:tcW w:w="7820" w:type="dxa"/>
            <w:vAlign w:val="bottom"/>
            <w:tcBorders>
              <w:bottom w:val="single" w:sz="8" w:color="CCECFF"/>
            </w:tcBorders>
          </w:tcPr>
          <w:p>
            <w:pPr>
              <w:ind w:left="1000"/>
              <w:spacing w:after="0" w:line="155" w:lineRule="exact"/>
              <w:rPr>
                <w:sz w:val="20"/>
                <w:szCs w:val="20"/>
                <w:color w:val="auto"/>
              </w:rPr>
            </w:pPr>
            <w:r>
              <w:rPr>
                <w:rFonts w:ascii="Arial" w:cs="Arial" w:eastAsia="Arial" w:hAnsi="Arial"/>
                <w:sz w:val="14"/>
                <w:szCs w:val="14"/>
                <w:b w:val="1"/>
                <w:bCs w:val="1"/>
                <w:color w:val="auto"/>
              </w:rPr>
              <w:t>Total net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628,901,895</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646,808,471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tcBorders>
              <w:bottom w:val="single" w:sz="8" w:color="CCECFF"/>
            </w:tcBorders>
            <w:shd w:val="clear" w:color="auto" w:fill="CCECFF"/>
          </w:tcPr>
          <w:p>
            <w:pPr>
              <w:ind w:left="100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1,160,118,827</w:t>
            </w:r>
          </w:p>
        </w:tc>
        <w:tc>
          <w:tcPr>
            <w:tcW w:w="28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1,202,195,841</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2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9.11</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Years Ended September 30,</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tcBorders>
              <w:bottom w:val="single" w:sz="8" w:color="CCECFF"/>
            </w:tcBorders>
          </w:tcPr>
          <w:p>
            <w:pPr>
              <w:spacing w:after="0"/>
              <w:rPr>
                <w:sz w:val="13"/>
                <w:szCs w:val="13"/>
                <w:color w:val="auto"/>
              </w:rPr>
            </w:pPr>
          </w:p>
        </w:tc>
        <w:tc>
          <w:tcPr>
            <w:tcW w:w="2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50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83,255,593</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84,685,961</w:t>
            </w:r>
          </w:p>
        </w:tc>
        <w:tc>
          <w:tcPr>
            <w:tcW w:w="240" w:type="dxa"/>
            <w:vAlign w:val="bottom"/>
            <w:shd w:val="clear" w:color="auto" w:fill="CCECFF"/>
          </w:tcPr>
          <w:p>
            <w:pPr>
              <w:spacing w:after="0"/>
              <w:rPr>
                <w:sz w:val="14"/>
                <w:szCs w:val="14"/>
                <w:color w:val="auto"/>
              </w:rPr>
            </w:pPr>
          </w:p>
        </w:tc>
        <w:tc>
          <w:tcPr>
            <w:tcW w:w="280" w:type="dxa"/>
            <w:vAlign w:val="bottom"/>
            <w:gridSpan w:val="2"/>
            <w:shd w:val="clear" w:color="auto" w:fill="CCEC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103,659,182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60"/>
              <w:spacing w:after="0"/>
              <w:rPr>
                <w:sz w:val="20"/>
                <w:szCs w:val="20"/>
                <w:color w:val="auto"/>
              </w:rPr>
            </w:pPr>
            <w:r>
              <w:rPr>
                <w:rFonts w:ascii="Arial" w:cs="Arial" w:eastAsia="Arial" w:hAnsi="Arial"/>
                <w:sz w:val="14"/>
                <w:szCs w:val="14"/>
                <w:color w:val="auto"/>
              </w:rPr>
              <w:t>Payment in kind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5,645,535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3,819,996</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848,834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6,981,507</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7,079,034</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10,945,240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rPr>
                <w:sz w:val="20"/>
                <w:szCs w:val="20"/>
                <w:color w:val="auto"/>
              </w:rPr>
            </w:pPr>
            <w:r>
              <w:rPr>
                <w:rFonts w:ascii="Arial" w:cs="Arial" w:eastAsia="Arial" w:hAnsi="Arial"/>
                <w:sz w:val="14"/>
                <w:szCs w:val="14"/>
                <w:color w:val="auto"/>
              </w:rPr>
              <w:t>From non-controlled, affiliated investments: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3,013,976</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10,339,444</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12,374,621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60"/>
              <w:spacing w:after="0"/>
              <w:rPr>
                <w:sz w:val="20"/>
                <w:szCs w:val="20"/>
                <w:color w:val="auto"/>
              </w:rPr>
            </w:pPr>
            <w:r>
              <w:rPr>
                <w:rFonts w:ascii="Arial" w:cs="Arial" w:eastAsia="Arial" w:hAnsi="Arial"/>
                <w:sz w:val="14"/>
                <w:szCs w:val="14"/>
                <w:color w:val="auto"/>
              </w:rPr>
              <w:t>Payment in kind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2,031,589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5,475,491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680,746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1,609,935</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80,521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rPr>
                <w:sz w:val="20"/>
                <w:szCs w:val="20"/>
                <w:color w:val="auto"/>
              </w:rPr>
            </w:pPr>
            <w:r>
              <w:rPr>
                <w:rFonts w:ascii="Arial" w:cs="Arial" w:eastAsia="Arial" w:hAnsi="Arial"/>
                <w:sz w:val="14"/>
                <w:szCs w:val="14"/>
                <w:color w:val="auto"/>
              </w:rPr>
              <w:t>From controlled, affiliated investments: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4,499,350</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734,163</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731,381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60"/>
              <w:spacing w:after="0"/>
              <w:rPr>
                <w:sz w:val="20"/>
                <w:szCs w:val="20"/>
                <w:color w:val="auto"/>
              </w:rPr>
            </w:pPr>
            <w:r>
              <w:rPr>
                <w:rFonts w:ascii="Arial" w:cs="Arial" w:eastAsia="Arial" w:hAnsi="Arial"/>
                <w:sz w:val="14"/>
                <w:szCs w:val="14"/>
                <w:color w:val="auto"/>
              </w:rPr>
              <w:t>Payment in kind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2,850,498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10,790,300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12,750,302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5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2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108,278,048</w:t>
            </w:r>
          </w:p>
        </w:tc>
        <w:tc>
          <w:tcPr>
            <w:tcW w:w="26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124,534,324</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142,070,827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17,468,376</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24,218,029</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24,852,898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11,492,928</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11,077,956</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16,018,790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60"/>
              <w:spacing w:after="0"/>
              <w:rPr>
                <w:sz w:val="20"/>
                <w:szCs w:val="20"/>
                <w:color w:val="auto"/>
              </w:rPr>
            </w:pPr>
            <w:r>
              <w:rPr>
                <w:rFonts w:ascii="Arial" w:cs="Arial" w:eastAsia="Arial" w:hAnsi="Arial"/>
                <w:sz w:val="14"/>
                <w:szCs w:val="14"/>
                <w:color w:val="auto"/>
              </w:rPr>
              <w:t>Interest and expenses on debt (See Note 11)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22,818,492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26,642,113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27,601,242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2,086,500</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3,576,000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3,566,667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22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2,504,853</w:t>
            </w:r>
          </w:p>
        </w:tc>
        <w:tc>
          <w:tcPr>
            <w:tcW w:w="26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2,662,640</w:t>
            </w:r>
          </w:p>
        </w:tc>
        <w:tc>
          <w:tcPr>
            <w:tcW w:w="24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3,605,923</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8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w w:val="94"/>
              </w:rPr>
              <w:t>Expenses before Management Fees waiver, provision for taxes and Credit Facility amendment costs</w:t>
            </w:r>
          </w:p>
        </w:tc>
        <w:tc>
          <w:tcPr>
            <w:tcW w:w="22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56,371,149</w:t>
            </w:r>
          </w:p>
        </w:tc>
        <w:tc>
          <w:tcPr>
            <w:tcW w:w="26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68,176,738</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75,645,520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80" w:type="dxa"/>
            <w:vAlign w:val="bottom"/>
          </w:tcPr>
          <w:p>
            <w:pPr>
              <w:ind w:left="260"/>
              <w:spacing w:after="0" w:line="155" w:lineRule="exact"/>
              <w:rPr>
                <w:sz w:val="20"/>
                <w:szCs w:val="20"/>
                <w:color w:val="auto"/>
              </w:rPr>
            </w:pPr>
            <w:r>
              <w:rPr>
                <w:rFonts w:ascii="Arial" w:cs="Arial" w:eastAsia="Arial" w:hAnsi="Arial"/>
                <w:sz w:val="14"/>
                <w:szCs w:val="14"/>
                <w:color w:val="auto"/>
              </w:rPr>
              <w:t>Management Fees waiver (See Note 3)</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(1,427,253)</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(5,647,358)</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(6,539,475)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Provision for taxes</w:t>
            </w: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1,700,000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2,350,000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60"/>
              <w:spacing w:after="0"/>
              <w:rPr>
                <w:sz w:val="20"/>
                <w:szCs w:val="20"/>
                <w:color w:val="auto"/>
              </w:rPr>
            </w:pPr>
            <w:r>
              <w:rPr>
                <w:rFonts w:ascii="Arial" w:cs="Arial" w:eastAsia="Arial" w:hAnsi="Arial"/>
                <w:sz w:val="14"/>
                <w:szCs w:val="14"/>
                <w:color w:val="auto"/>
              </w:rPr>
              <w:t>Credit Facility amendment costs (See Notes 5 and 11)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3,866,633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58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expenses</w:t>
            </w:r>
          </w:p>
        </w:tc>
        <w:tc>
          <w:tcPr>
            <w:tcW w:w="2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54,943,896</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68,096,013</w:t>
            </w:r>
          </w:p>
        </w:tc>
        <w:tc>
          <w:tcPr>
            <w:tcW w:w="24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71,456,045</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53,334,152</w:t>
            </w:r>
          </w:p>
        </w:tc>
        <w:tc>
          <w:tcPr>
            <w:tcW w:w="26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56,438,311</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70,614,782</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(loss) gain on investments and debt:</w:t>
            </w:r>
          </w:p>
        </w:tc>
        <w:tc>
          <w:tcPr>
            <w:tcW w:w="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rPr>
                <w:sz w:val="20"/>
                <w:szCs w:val="20"/>
                <w:color w:val="auto"/>
              </w:rPr>
            </w:pPr>
            <w:r>
              <w:rPr>
                <w:rFonts w:ascii="Arial" w:cs="Arial" w:eastAsia="Arial" w:hAnsi="Arial"/>
                <w:sz w:val="14"/>
                <w:szCs w:val="14"/>
                <w:color w:val="auto"/>
              </w:rPr>
              <w:t>Net realized gain (loss) on investments on:</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34,813,876</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2,567,041</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(76,780,707)</w:t>
            </w:r>
          </w:p>
        </w:tc>
        <w:tc>
          <w:tcPr>
            <w:tcW w:w="0" w:type="dxa"/>
            <w:vAlign w:val="bottom"/>
          </w:tcPr>
          <w:p>
            <w:pPr>
              <w:spacing w:after="0"/>
              <w:rPr>
                <w:sz w:val="1"/>
                <w:szCs w:val="1"/>
                <w:color w:val="auto"/>
              </w:rPr>
            </w:pPr>
          </w:p>
        </w:tc>
      </w:tr>
      <w:tr>
        <w:trPr>
          <w:trHeight w:val="162"/>
        </w:trPr>
        <w:tc>
          <w:tcPr>
            <w:tcW w:w="6580" w:type="dxa"/>
            <w:vAlign w:val="bottom"/>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11,042,330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(33,594,078)</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(3,750,000)</w:t>
            </w:r>
          </w:p>
        </w:tc>
        <w:tc>
          <w:tcPr>
            <w:tcW w:w="0" w:type="dxa"/>
            <w:vAlign w:val="bottom"/>
          </w:tcPr>
          <w:p>
            <w:pPr>
              <w:spacing w:after="0"/>
              <w:rPr>
                <w:sz w:val="1"/>
                <w:szCs w:val="1"/>
                <w:color w:val="auto"/>
              </w:rPr>
            </w:pPr>
          </w:p>
        </w:tc>
      </w:tr>
      <w:tr>
        <w:trPr>
          <w:trHeight w:val="155"/>
        </w:trPr>
        <w:tc>
          <w:tcPr>
            <w:tcW w:w="658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realized gain (loss) on investments</w:t>
            </w:r>
          </w:p>
        </w:tc>
        <w:tc>
          <w:tcPr>
            <w:tcW w:w="2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45,856,206</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(31,027,037)</w:t>
            </w:r>
          </w:p>
        </w:tc>
        <w:tc>
          <w:tcPr>
            <w:tcW w:w="24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(80,530,707)</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rPr>
                <w:sz w:val="20"/>
                <w:szCs w:val="20"/>
                <w:color w:val="auto"/>
              </w:rPr>
            </w:pPr>
            <w:r>
              <w:rPr>
                <w:rFonts w:ascii="Arial" w:cs="Arial" w:eastAsia="Arial" w:hAnsi="Arial"/>
                <w:sz w:val="14"/>
                <w:szCs w:val="14"/>
                <w:color w:val="auto"/>
              </w:rPr>
              <w:t>Net change in unrealized (depreciation) appreciation on:</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(16,751,386)</w:t>
            </w: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16,950,900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48,052,466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color w:val="auto"/>
              </w:rPr>
              <w:t>(38,586,621)</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26,904,281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(23,126,408)</w:t>
            </w:r>
          </w:p>
        </w:tc>
        <w:tc>
          <w:tcPr>
            <w:tcW w:w="0" w:type="dxa"/>
            <w:vAlign w:val="bottom"/>
          </w:tcPr>
          <w:p>
            <w:pPr>
              <w:spacing w:after="0"/>
              <w:rPr>
                <w:sz w:val="1"/>
                <w:szCs w:val="1"/>
                <w:color w:val="auto"/>
              </w:rPr>
            </w:pPr>
          </w:p>
        </w:tc>
      </w:tr>
      <w:tr>
        <w:trPr>
          <w:trHeight w:val="162"/>
        </w:trPr>
        <w:tc>
          <w:tcPr>
            <w:tcW w:w="65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Debt depreciation (appreciation) (See Notes 5 and 11)</w:t>
            </w: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3,861,111</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(7,554,954)</w:t>
            </w: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3,726,573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(depreciation) appreciation on investments and debt</w:t>
            </w:r>
          </w:p>
        </w:tc>
        <w:tc>
          <w:tcPr>
            <w:tcW w:w="22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(51,476,896)</w:t>
            </w:r>
          </w:p>
        </w:tc>
        <w:tc>
          <w:tcPr>
            <w:tcW w:w="26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36,300,227</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28,652,631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(loss) gain from investments and debt</w:t>
            </w:r>
          </w:p>
        </w:tc>
        <w:tc>
          <w:tcPr>
            <w:tcW w:w="22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(5,620,690)</w:t>
            </w:r>
          </w:p>
        </w:tc>
        <w:tc>
          <w:tcPr>
            <w:tcW w:w="26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5,273,190</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(51,878,076)</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8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47,713,462</w:t>
            </w:r>
          </w:p>
        </w:tc>
        <w:tc>
          <w:tcPr>
            <w:tcW w:w="26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61,711,501</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18,736,706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8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Net increase in net assets resulting from operations per common share (See Note 7)</w:t>
            </w:r>
          </w:p>
        </w:tc>
        <w:tc>
          <w:tcPr>
            <w:tcW w:w="2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0.68</w:t>
            </w:r>
          </w:p>
        </w:tc>
        <w:tc>
          <w:tcPr>
            <w:tcW w:w="26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0.87</w:t>
            </w:r>
          </w:p>
        </w:tc>
        <w:tc>
          <w:tcPr>
            <w:tcW w:w="24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0.26</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5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0.75</w:t>
            </w:r>
          </w:p>
        </w:tc>
        <w:tc>
          <w:tcPr>
            <w:tcW w:w="2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0.79</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4"/>
              </w:rPr>
              <w:t>Years Ended September 30,</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tcBorders>
              <w:bottom w:val="single" w:sz="8" w:color="CCECFF"/>
            </w:tcBorders>
          </w:tcPr>
          <w:p>
            <w:pPr>
              <w:spacing w:after="0"/>
              <w:rPr>
                <w:sz w:val="13"/>
                <w:szCs w:val="13"/>
                <w:color w:val="auto"/>
              </w:rPr>
            </w:pPr>
          </w:p>
        </w:tc>
        <w:tc>
          <w:tcPr>
            <w:tcW w:w="9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CFF"/>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96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4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130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53,334,152</w:t>
            </w:r>
          </w:p>
        </w:tc>
        <w:tc>
          <w:tcPr>
            <w:tcW w:w="100" w:type="dxa"/>
            <w:vAlign w:val="bottom"/>
          </w:tcPr>
          <w:p>
            <w:pPr>
              <w:spacing w:after="0"/>
              <w:rPr>
                <w:sz w:val="14"/>
                <w:szCs w:val="14"/>
                <w:color w:val="auto"/>
              </w:rPr>
            </w:pPr>
          </w:p>
        </w:tc>
        <w:tc>
          <w:tcPr>
            <w:tcW w:w="5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56,438,311</w:t>
            </w:r>
          </w:p>
        </w:tc>
        <w:tc>
          <w:tcPr>
            <w:tcW w:w="180" w:type="dxa"/>
            <w:vAlign w:val="bottom"/>
          </w:tcPr>
          <w:p>
            <w:pPr>
              <w:spacing w:after="0"/>
              <w:rPr>
                <w:sz w:val="14"/>
                <w:szCs w:val="14"/>
                <w:color w:val="auto"/>
              </w:rPr>
            </w:pPr>
          </w:p>
        </w:tc>
        <w:tc>
          <w:tcPr>
            <w:tcW w:w="42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70,614,782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gain (loss) on investments</w:t>
            </w:r>
          </w:p>
        </w:tc>
        <w:tc>
          <w:tcPr>
            <w:tcW w:w="9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45,856,206</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(31,027,037)</w:t>
            </w:r>
          </w:p>
        </w:tc>
        <w:tc>
          <w:tcPr>
            <w:tcW w:w="1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(80,530,707)</w:t>
            </w:r>
          </w:p>
        </w:tc>
        <w:tc>
          <w:tcPr>
            <w:tcW w:w="0" w:type="dxa"/>
            <w:vAlign w:val="bottom"/>
          </w:tcPr>
          <w:p>
            <w:pPr>
              <w:spacing w:after="0"/>
              <w:rPr>
                <w:sz w:val="1"/>
                <w:szCs w:val="1"/>
                <w:color w:val="auto"/>
              </w:rPr>
            </w:pPr>
          </w:p>
        </w:tc>
      </w:tr>
      <w:tr>
        <w:trPr>
          <w:trHeight w:val="162"/>
        </w:trPr>
        <w:tc>
          <w:tcPr>
            <w:tcW w:w="5140" w:type="dxa"/>
            <w:vAlign w:val="bottom"/>
          </w:tcPr>
          <w:p>
            <w:pPr>
              <w:ind w:left="260"/>
              <w:spacing w:after="0"/>
              <w:rPr>
                <w:sz w:val="20"/>
                <w:szCs w:val="20"/>
                <w:color w:val="auto"/>
              </w:rPr>
            </w:pPr>
            <w:r>
              <w:rPr>
                <w:rFonts w:ascii="Arial" w:cs="Arial" w:eastAsia="Arial" w:hAnsi="Arial"/>
                <w:sz w:val="14"/>
                <w:szCs w:val="14"/>
                <w:color w:val="auto"/>
              </w:rPr>
              <w:t>Net change in unrealized (depreciation) appreciation on investments</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(55,338,007)</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43,855,181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24,926,058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depreciation (appreciation) on debt</w:t>
            </w:r>
          </w:p>
        </w:tc>
        <w:tc>
          <w:tcPr>
            <w:tcW w:w="9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3,861,111</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(7,554,954)</w:t>
            </w:r>
          </w:p>
        </w:tc>
        <w:tc>
          <w:tcPr>
            <w:tcW w:w="1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3,726,573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96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47,713,462</w:t>
            </w:r>
          </w:p>
        </w:tc>
        <w:tc>
          <w:tcPr>
            <w:tcW w:w="100" w:type="dxa"/>
            <w:vAlign w:val="bottom"/>
            <w:tcBorders>
              <w:bottom w:val="single" w:sz="8" w:color="CCECFF"/>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61,711,501</w:t>
            </w:r>
          </w:p>
        </w:tc>
        <w:tc>
          <w:tcPr>
            <w:tcW w:w="18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18,736,706</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96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40" w:type="dxa"/>
            <w:vAlign w:val="bottom"/>
          </w:tcPr>
          <w:p>
            <w:pPr>
              <w:ind w:left="260"/>
              <w:spacing w:after="0"/>
              <w:rPr>
                <w:sz w:val="20"/>
                <w:szCs w:val="20"/>
                <w:color w:val="auto"/>
              </w:rPr>
            </w:pPr>
            <w:r>
              <w:rPr>
                <w:rFonts w:ascii="Arial" w:cs="Arial" w:eastAsia="Arial" w:hAnsi="Arial"/>
                <w:sz w:val="14"/>
                <w:szCs w:val="14"/>
                <w:color w:val="auto"/>
              </w:rPr>
              <w:t>Distribution of net investment income</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(50,609,467)</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(58,269,886)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(58,068,894)</w:t>
            </w:r>
          </w:p>
        </w:tc>
        <w:tc>
          <w:tcPr>
            <w:tcW w:w="0" w:type="dxa"/>
            <w:vAlign w:val="bottom"/>
          </w:tcPr>
          <w:p>
            <w:pPr>
              <w:spacing w:after="0"/>
              <w:rPr>
                <w:sz w:val="1"/>
                <w:szCs w:val="1"/>
                <w:color w:val="auto"/>
              </w:rPr>
            </w:pPr>
          </w:p>
        </w:tc>
      </w:tr>
      <w:tr>
        <w:trPr>
          <w:trHeight w:val="162"/>
        </w:trPr>
        <w:tc>
          <w:tcPr>
            <w:tcW w:w="51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Distribution of realized gains</w:t>
            </w:r>
          </w:p>
        </w:tc>
        <w:tc>
          <w:tcPr>
            <w:tcW w:w="9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(21,711,007)</w:t>
            </w:r>
          </w:p>
        </w:tc>
        <w:tc>
          <w:tcPr>
            <w:tcW w:w="0" w:type="dxa"/>
            <w:vAlign w:val="bottom"/>
          </w:tcPr>
          <w:p>
            <w:pPr>
              <w:spacing w:after="0"/>
              <w:rPr>
                <w:sz w:val="1"/>
                <w:szCs w:val="1"/>
                <w:color w:val="auto"/>
              </w:rPr>
            </w:pPr>
          </w:p>
        </w:tc>
      </w:tr>
      <w:tr>
        <w:trPr>
          <w:trHeight w:val="155"/>
        </w:trPr>
        <w:tc>
          <w:tcPr>
            <w:tcW w:w="51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distributions to stockholders</w:t>
            </w:r>
          </w:p>
        </w:tc>
        <w:tc>
          <w:tcPr>
            <w:tcW w:w="96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(50,609,467)</w:t>
            </w:r>
          </w:p>
        </w:tc>
        <w:tc>
          <w:tcPr>
            <w:tcW w:w="100" w:type="dxa"/>
            <w:vAlign w:val="bottom"/>
            <w:tcBorders>
              <w:bottom w:val="single" w:sz="8" w:color="CCECFF"/>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(58,269,886)</w:t>
            </w:r>
          </w:p>
        </w:tc>
        <w:tc>
          <w:tcPr>
            <w:tcW w:w="18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(79,779,901)</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96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40" w:type="dxa"/>
            <w:vAlign w:val="bottom"/>
          </w:tcPr>
          <w:p>
            <w:pPr>
              <w:ind w:left="260"/>
              <w:spacing w:after="0"/>
              <w:rPr>
                <w:sz w:val="20"/>
                <w:szCs w:val="20"/>
                <w:color w:val="auto"/>
              </w:rPr>
            </w:pPr>
            <w:r>
              <w:rPr>
                <w:rFonts w:ascii="Arial" w:cs="Arial" w:eastAsia="Arial" w:hAnsi="Arial"/>
                <w:sz w:val="14"/>
                <w:szCs w:val="14"/>
                <w:color w:val="auto"/>
              </w:rPr>
              <w:t>Repurchase of common stock</w:t>
            </w: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(15,010,571)</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(12,180,491)</w:t>
            </w:r>
          </w:p>
        </w:tc>
        <w:tc>
          <w:tcPr>
            <w:tcW w:w="0" w:type="dxa"/>
            <w:vAlign w:val="bottom"/>
          </w:tcPr>
          <w:p>
            <w:pPr>
              <w:spacing w:after="0"/>
              <w:rPr>
                <w:sz w:val="1"/>
                <w:szCs w:val="1"/>
                <w:color w:val="auto"/>
              </w:rPr>
            </w:pPr>
          </w:p>
        </w:tc>
      </w:tr>
      <w:tr>
        <w:trPr>
          <w:trHeight w:val="156"/>
        </w:trPr>
        <w:tc>
          <w:tcPr>
            <w:tcW w:w="51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(decrease) increase in net assets</w:t>
            </w:r>
          </w:p>
        </w:tc>
        <w:tc>
          <w:tcPr>
            <w:tcW w:w="9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spacing w:after="0"/>
              <w:rPr>
                <w:sz w:val="13"/>
                <w:szCs w:val="13"/>
                <w:color w:val="auto"/>
              </w:rPr>
            </w:pPr>
          </w:p>
        </w:tc>
        <w:tc>
          <w:tcPr>
            <w:tcW w:w="11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(17,906,576)</w:t>
            </w:r>
          </w:p>
        </w:tc>
        <w:tc>
          <w:tcPr>
            <w:tcW w:w="10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spacing w:after="0"/>
              <w:rPr>
                <w:sz w:val="13"/>
                <w:szCs w:val="13"/>
                <w:color w:val="auto"/>
              </w:rPr>
            </w:pPr>
          </w:p>
        </w:tc>
        <w:tc>
          <w:tcPr>
            <w:tcW w:w="11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3,441,615</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spacing w:after="0"/>
              <w:rPr>
                <w:sz w:val="13"/>
                <w:szCs w:val="13"/>
                <w:color w:val="auto"/>
              </w:rPr>
            </w:pP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(73,223,686)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40" w:type="dxa"/>
            <w:vAlign w:val="bottom"/>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Beginning of year</w:t>
            </w:r>
          </w:p>
        </w:tc>
        <w:tc>
          <w:tcPr>
            <w:tcW w:w="960" w:type="dxa"/>
            <w:vAlign w:val="bottom"/>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646,808,471</w:t>
            </w: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643,366,856</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716,590,542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1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color w:val="auto"/>
              </w:rPr>
              <w:t>End of year</w:t>
            </w:r>
          </w:p>
        </w:tc>
        <w:tc>
          <w:tcPr>
            <w:tcW w:w="960" w:type="dxa"/>
            <w:vAlign w:val="bottom"/>
            <w:tcBorders>
              <w:bottom w:val="single" w:sz="8" w:color="CCECFF"/>
            </w:tcBorders>
          </w:tcPr>
          <w:p>
            <w:pPr>
              <w:spacing w:after="0"/>
              <w:rPr>
                <w:sz w:val="17"/>
                <w:szCs w:val="17"/>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628,901,895</w:t>
            </w:r>
          </w:p>
        </w:tc>
        <w:tc>
          <w:tcPr>
            <w:tcW w:w="1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646,808,471</w:t>
            </w:r>
          </w:p>
        </w:tc>
        <w:tc>
          <w:tcPr>
            <w:tcW w:w="18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643,366,856</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14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Undistributed net investment income, at end of year</w:t>
            </w:r>
          </w:p>
        </w:tc>
        <w:tc>
          <w:tcPr>
            <w:tcW w:w="96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6,003,360</w:t>
            </w:r>
          </w:p>
        </w:tc>
        <w:tc>
          <w:tcPr>
            <w:tcW w:w="10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3,333,195</w:t>
            </w:r>
          </w:p>
        </w:tc>
        <w:tc>
          <w:tcPr>
            <w:tcW w:w="18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320" w:type="dxa"/>
            <w:vAlign w:val="bottom"/>
            <w:tcBorders>
              <w:bottom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3,119,380</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Capital share activity:</w:t>
            </w:r>
          </w:p>
        </w:tc>
        <w:tc>
          <w:tcPr>
            <w:tcW w:w="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Shares of common stock repurchased</w:t>
            </w:r>
          </w:p>
        </w:tc>
        <w:tc>
          <w:tcPr>
            <w:tcW w:w="9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(2,006,878)</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(1,905,207)</w:t>
            </w:r>
          </w:p>
        </w:tc>
        <w:tc>
          <w:tcPr>
            <w:tcW w:w="0" w:type="dxa"/>
            <w:vAlign w:val="bottom"/>
          </w:tcPr>
          <w:p>
            <w:pPr>
              <w:spacing w:after="0"/>
              <w:rPr>
                <w:sz w:val="1"/>
                <w:szCs w:val="1"/>
                <w:color w:val="auto"/>
              </w:rPr>
            </w:pPr>
          </w:p>
        </w:tc>
      </w:tr>
      <w:tr>
        <w:trPr>
          <w:trHeight w:val="20"/>
        </w:trPr>
        <w:tc>
          <w:tcPr>
            <w:tcW w:w="5140" w:type="dxa"/>
            <w:vAlign w:val="bottom"/>
            <w:tcBorders>
              <w:top w:val="single" w:sz="8" w:color="CCECFF"/>
            </w:tcBorders>
          </w:tcPr>
          <w:p>
            <w:pPr>
              <w:spacing w:after="0" w:line="20" w:lineRule="exact"/>
              <w:rPr>
                <w:sz w:val="1"/>
                <w:szCs w:val="1"/>
                <w:color w:val="auto"/>
              </w:rPr>
            </w:pPr>
          </w:p>
        </w:tc>
        <w:tc>
          <w:tcPr>
            <w:tcW w:w="960" w:type="dxa"/>
            <w:vAlign w:val="bottom"/>
            <w:tcBorders>
              <w:top w:val="single" w:sz="8" w:color="CCEC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Years Ended September 30,</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20" w:type="dxa"/>
            <w:vAlign w:val="bottom"/>
            <w:tcBorders>
              <w:bottom w:val="single" w:sz="8" w:color="CCECFF"/>
            </w:tcBorders>
          </w:tcPr>
          <w:p>
            <w:pPr>
              <w:spacing w:after="0"/>
              <w:rPr>
                <w:sz w:val="13"/>
                <w:szCs w:val="13"/>
                <w:color w:val="auto"/>
              </w:rPr>
            </w:pPr>
          </w:p>
        </w:tc>
        <w:tc>
          <w:tcPr>
            <w:tcW w:w="6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60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1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1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20" w:type="dxa"/>
            <w:vAlign w:val="bottom"/>
          </w:tcPr>
          <w:p>
            <w:pPr>
              <w:ind w:left="500"/>
              <w:spacing w:after="0"/>
              <w:rPr>
                <w:sz w:val="20"/>
                <w:szCs w:val="20"/>
                <w:color w:val="auto"/>
              </w:rPr>
            </w:pPr>
            <w:r>
              <w:rPr>
                <w:rFonts w:ascii="Arial" w:cs="Arial" w:eastAsia="Arial" w:hAnsi="Arial"/>
                <w:sz w:val="14"/>
                <w:szCs w:val="14"/>
                <w:color w:val="auto"/>
              </w:rPr>
              <w:t>Net increase in net assets resulting from operations</w:t>
            </w:r>
          </w:p>
        </w:tc>
        <w:tc>
          <w:tcPr>
            <w:tcW w:w="90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47,713,462</w:t>
            </w:r>
          </w:p>
        </w:tc>
        <w:tc>
          <w:tcPr>
            <w:tcW w:w="100" w:type="dxa"/>
            <w:vAlign w:val="bottom"/>
          </w:tcPr>
          <w:p>
            <w:pPr>
              <w:spacing w:after="0"/>
              <w:rPr>
                <w:sz w:val="14"/>
                <w:szCs w:val="14"/>
                <w:color w:val="auto"/>
              </w:rPr>
            </w:pPr>
          </w:p>
        </w:tc>
        <w:tc>
          <w:tcPr>
            <w:tcW w:w="5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61,711,501</w:t>
            </w:r>
          </w:p>
        </w:tc>
        <w:tc>
          <w:tcPr>
            <w:tcW w:w="26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18,736,706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720" w:type="dxa"/>
            <w:vAlign w:val="bottom"/>
            <w:shd w:val="clear" w:color="auto" w:fill="CCECFF"/>
          </w:tcPr>
          <w:p>
            <w:pPr>
              <w:ind w:left="500"/>
              <w:spacing w:after="0" w:line="143" w:lineRule="exact"/>
              <w:rPr>
                <w:sz w:val="20"/>
                <w:szCs w:val="20"/>
                <w:color w:val="auto"/>
              </w:rPr>
            </w:pPr>
            <w:r>
              <w:rPr>
                <w:rFonts w:ascii="Arial" w:cs="Arial" w:eastAsia="Arial" w:hAnsi="Arial"/>
                <w:sz w:val="14"/>
                <w:szCs w:val="14"/>
                <w:color w:val="auto"/>
              </w:rPr>
              <w:t>Adjustments to reconcile net increase in net assets resulting from</w:t>
            </w:r>
          </w:p>
        </w:tc>
        <w:tc>
          <w:tcPr>
            <w:tcW w:w="60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720" w:type="dxa"/>
            <w:vAlign w:val="bottom"/>
            <w:shd w:val="clear" w:color="auto" w:fill="CCECFF"/>
          </w:tcPr>
          <w:p>
            <w:pPr>
              <w:ind w:left="600"/>
              <w:spacing w:after="0"/>
              <w:rPr>
                <w:sz w:val="20"/>
                <w:szCs w:val="20"/>
                <w:color w:val="auto"/>
              </w:rPr>
            </w:pPr>
            <w:r>
              <w:rPr>
                <w:rFonts w:ascii="Arial" w:cs="Arial" w:eastAsia="Arial" w:hAnsi="Arial"/>
                <w:sz w:val="14"/>
                <w:szCs w:val="14"/>
                <w:color w:val="auto"/>
              </w:rPr>
              <w:t>operations to net cash provided by operating activities:</w:t>
            </w:r>
          </w:p>
        </w:tc>
        <w:tc>
          <w:tcPr>
            <w:tcW w:w="6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tcPr>
          <w:p>
            <w:pPr>
              <w:ind w:left="1000"/>
              <w:spacing w:after="0"/>
              <w:rPr>
                <w:sz w:val="20"/>
                <w:szCs w:val="20"/>
                <w:color w:val="auto"/>
              </w:rPr>
            </w:pPr>
            <w:r>
              <w:rPr>
                <w:rFonts w:ascii="Arial" w:cs="Arial" w:eastAsia="Arial" w:hAnsi="Arial"/>
                <w:sz w:val="14"/>
                <w:szCs w:val="14"/>
                <w:color w:val="auto"/>
              </w:rPr>
              <w:t>Net change in net unrealized depreciation (appreciation) on investments</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55,338,007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(43,855,181)</w:t>
            </w:r>
          </w:p>
        </w:tc>
        <w:tc>
          <w:tcPr>
            <w:tcW w:w="3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(24,926,058)</w:t>
            </w:r>
          </w:p>
        </w:tc>
        <w:tc>
          <w:tcPr>
            <w:tcW w:w="0" w:type="dxa"/>
            <w:vAlign w:val="bottom"/>
          </w:tcPr>
          <w:p>
            <w:pPr>
              <w:spacing w:after="0"/>
              <w:rPr>
                <w:sz w:val="1"/>
                <w:szCs w:val="1"/>
                <w:color w:val="auto"/>
              </w:rPr>
            </w:pPr>
          </w:p>
        </w:tc>
      </w:tr>
      <w:tr>
        <w:trPr>
          <w:trHeight w:val="162"/>
        </w:trPr>
        <w:tc>
          <w:tcPr>
            <w:tcW w:w="5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change in unrealized (depreciation) appreciation on debt</w:t>
            </w:r>
          </w:p>
        </w:tc>
        <w:tc>
          <w:tcPr>
            <w:tcW w:w="6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(3,861,111)</w:t>
            </w: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7,554,954</w:t>
            </w: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(3,726,573)</w:t>
            </w:r>
          </w:p>
        </w:tc>
        <w:tc>
          <w:tcPr>
            <w:tcW w:w="0" w:type="dxa"/>
            <w:vAlign w:val="bottom"/>
          </w:tcPr>
          <w:p>
            <w:pPr>
              <w:spacing w:after="0"/>
              <w:rPr>
                <w:sz w:val="1"/>
                <w:szCs w:val="1"/>
                <w:color w:val="auto"/>
              </w:rPr>
            </w:pPr>
          </w:p>
        </w:tc>
      </w:tr>
      <w:tr>
        <w:trPr>
          <w:trHeight w:val="162"/>
        </w:trPr>
        <w:tc>
          <w:tcPr>
            <w:tcW w:w="5720" w:type="dxa"/>
            <w:vAlign w:val="bottom"/>
          </w:tcPr>
          <w:p>
            <w:pPr>
              <w:ind w:left="1000"/>
              <w:spacing w:after="0"/>
              <w:rPr>
                <w:sz w:val="20"/>
                <w:szCs w:val="20"/>
                <w:color w:val="auto"/>
              </w:rPr>
            </w:pPr>
            <w:r>
              <w:rPr>
                <w:rFonts w:ascii="Arial" w:cs="Arial" w:eastAsia="Arial" w:hAnsi="Arial"/>
                <w:sz w:val="14"/>
                <w:szCs w:val="14"/>
                <w:color w:val="auto"/>
              </w:rPr>
              <w:t>Net realized (gain) loss on investments</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(45,856,206)</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31,027,037</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80,530,707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accretion of discount and amortization of premium</w:t>
            </w:r>
          </w:p>
        </w:tc>
        <w:tc>
          <w:tcPr>
            <w:tcW w:w="6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(2,285,720)</w:t>
            </w: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(2,514,784)</w:t>
            </w:r>
          </w:p>
        </w:tc>
        <w:tc>
          <w:tcPr>
            <w:tcW w:w="32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(5,251,804)</w:t>
            </w:r>
          </w:p>
        </w:tc>
        <w:tc>
          <w:tcPr>
            <w:tcW w:w="0" w:type="dxa"/>
            <w:vAlign w:val="bottom"/>
          </w:tcPr>
          <w:p>
            <w:pPr>
              <w:spacing w:after="0"/>
              <w:rPr>
                <w:sz w:val="1"/>
                <w:szCs w:val="1"/>
                <w:color w:val="auto"/>
              </w:rPr>
            </w:pPr>
          </w:p>
        </w:tc>
      </w:tr>
      <w:tr>
        <w:trPr>
          <w:trHeight w:val="162"/>
        </w:trPr>
        <w:tc>
          <w:tcPr>
            <w:tcW w:w="5720" w:type="dxa"/>
            <w:vAlign w:val="bottom"/>
          </w:tcPr>
          <w:p>
            <w:pPr>
              <w:ind w:left="1000"/>
              <w:spacing w:after="0"/>
              <w:rPr>
                <w:sz w:val="20"/>
                <w:szCs w:val="20"/>
                <w:color w:val="auto"/>
              </w:rPr>
            </w:pPr>
            <w:r>
              <w:rPr>
                <w:rFonts w:ascii="Arial" w:cs="Arial" w:eastAsia="Arial" w:hAnsi="Arial"/>
                <w:sz w:val="14"/>
                <w:szCs w:val="14"/>
                <w:color w:val="auto"/>
              </w:rPr>
              <w:t>Purchases of investments</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(604,740,676)</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(508,261,736)</w:t>
            </w:r>
          </w:p>
        </w:tc>
        <w:tc>
          <w:tcPr>
            <w:tcW w:w="3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(330,552,035)</w:t>
            </w:r>
          </w:p>
        </w:tc>
        <w:tc>
          <w:tcPr>
            <w:tcW w:w="0" w:type="dxa"/>
            <w:vAlign w:val="bottom"/>
          </w:tcPr>
          <w:p>
            <w:pPr>
              <w:spacing w:after="0"/>
              <w:rPr>
                <w:sz w:val="1"/>
                <w:szCs w:val="1"/>
                <w:color w:val="auto"/>
              </w:rPr>
            </w:pPr>
          </w:p>
        </w:tc>
      </w:tr>
      <w:tr>
        <w:trPr>
          <w:trHeight w:val="162"/>
        </w:trPr>
        <w:tc>
          <w:tcPr>
            <w:tcW w:w="5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Payment-in-kind income</w:t>
            </w:r>
          </w:p>
        </w:tc>
        <w:tc>
          <w:tcPr>
            <w:tcW w:w="6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(11,404,966)</w:t>
            </w: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(21,200,913)</w:t>
            </w:r>
          </w:p>
        </w:tc>
        <w:tc>
          <w:tcPr>
            <w:tcW w:w="32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(15,123,817)</w:t>
            </w:r>
          </w:p>
        </w:tc>
        <w:tc>
          <w:tcPr>
            <w:tcW w:w="0" w:type="dxa"/>
            <w:vAlign w:val="bottom"/>
          </w:tcPr>
          <w:p>
            <w:pPr>
              <w:spacing w:after="0"/>
              <w:rPr>
                <w:sz w:val="1"/>
                <w:szCs w:val="1"/>
                <w:color w:val="auto"/>
              </w:rPr>
            </w:pPr>
          </w:p>
        </w:tc>
      </w:tr>
      <w:tr>
        <w:trPr>
          <w:trHeight w:val="162"/>
        </w:trPr>
        <w:tc>
          <w:tcPr>
            <w:tcW w:w="5720" w:type="dxa"/>
            <w:vAlign w:val="bottom"/>
          </w:tcPr>
          <w:p>
            <w:pPr>
              <w:ind w:left="1000"/>
              <w:spacing w:after="0"/>
              <w:rPr>
                <w:sz w:val="20"/>
                <w:szCs w:val="20"/>
                <w:color w:val="auto"/>
              </w:rPr>
            </w:pPr>
            <w:r>
              <w:rPr>
                <w:rFonts w:ascii="Arial" w:cs="Arial" w:eastAsia="Arial" w:hAnsi="Arial"/>
                <w:sz w:val="14"/>
                <w:szCs w:val="14"/>
                <w:color w:val="auto"/>
              </w:rPr>
              <w:t>Proceeds from dispositions of investments</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630,502,386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543,975,791</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439,738,846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Amortization of deferred financing costs</w:t>
            </w:r>
          </w:p>
        </w:tc>
        <w:tc>
          <w:tcPr>
            <w:tcW w:w="6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1,730,326</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1,133,994</w:t>
            </w: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626,452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tcPr>
          <w:p>
            <w:pPr>
              <w:ind w:left="1000"/>
              <w:spacing w:after="0"/>
              <w:rPr>
                <w:sz w:val="20"/>
                <w:szCs w:val="20"/>
                <w:color w:val="auto"/>
              </w:rPr>
            </w:pPr>
            <w:r>
              <w:rPr>
                <w:rFonts w:ascii="Arial" w:cs="Arial" w:eastAsia="Arial" w:hAnsi="Arial"/>
                <w:sz w:val="14"/>
                <w:szCs w:val="14"/>
                <w:color w:val="auto"/>
              </w:rPr>
              <w:t>(Increase) decrease in interest receivable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(1,699,988)</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1,125,882</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557,339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(increase) in prepaid expenses and other assets</w:t>
            </w:r>
          </w:p>
        </w:tc>
        <w:tc>
          <w:tcPr>
            <w:tcW w:w="6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3,589,054</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(1,894,057)</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6,175,712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tcPr>
          <w:p>
            <w:pPr>
              <w:ind w:left="1000"/>
              <w:spacing w:after="0"/>
              <w:rPr>
                <w:sz w:val="20"/>
                <w:szCs w:val="20"/>
                <w:color w:val="auto"/>
              </w:rPr>
            </w:pPr>
            <w:r>
              <w:rPr>
                <w:rFonts w:ascii="Arial" w:cs="Arial" w:eastAsia="Arial" w:hAnsi="Arial"/>
                <w:sz w:val="14"/>
                <w:szCs w:val="14"/>
                <w:color w:val="auto"/>
              </w:rPr>
              <w:t>(Decrease) increase in payable for investments purchased</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(1,014,000)</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1,014,000</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(3,591,177)</w:t>
            </w:r>
          </w:p>
        </w:tc>
        <w:tc>
          <w:tcPr>
            <w:tcW w:w="0" w:type="dxa"/>
            <w:vAlign w:val="bottom"/>
          </w:tcPr>
          <w:p>
            <w:pPr>
              <w:spacing w:after="0"/>
              <w:rPr>
                <w:sz w:val="1"/>
                <w:szCs w:val="1"/>
                <w:color w:val="auto"/>
              </w:rPr>
            </w:pPr>
          </w:p>
        </w:tc>
      </w:tr>
      <w:tr>
        <w:trPr>
          <w:trHeight w:val="162"/>
        </w:trPr>
        <w:tc>
          <w:tcPr>
            <w:tcW w:w="5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 interest payable on debt</w:t>
            </w:r>
          </w:p>
        </w:tc>
        <w:tc>
          <w:tcPr>
            <w:tcW w:w="6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(300,363)</w:t>
            </w: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(643,357)</w:t>
            </w:r>
          </w:p>
        </w:tc>
        <w:tc>
          <w:tcPr>
            <w:tcW w:w="32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(118,401)</w:t>
            </w:r>
          </w:p>
        </w:tc>
        <w:tc>
          <w:tcPr>
            <w:tcW w:w="0" w:type="dxa"/>
            <w:vAlign w:val="bottom"/>
          </w:tcPr>
          <w:p>
            <w:pPr>
              <w:spacing w:after="0"/>
              <w:rPr>
                <w:sz w:val="1"/>
                <w:szCs w:val="1"/>
                <w:color w:val="auto"/>
              </w:rPr>
            </w:pPr>
          </w:p>
        </w:tc>
      </w:tr>
      <w:tr>
        <w:trPr>
          <w:trHeight w:val="162"/>
        </w:trPr>
        <w:tc>
          <w:tcPr>
            <w:tcW w:w="5720" w:type="dxa"/>
            <w:vAlign w:val="bottom"/>
          </w:tcPr>
          <w:p>
            <w:pPr>
              <w:ind w:left="1000"/>
              <w:spacing w:after="0"/>
              <w:rPr>
                <w:sz w:val="20"/>
                <w:szCs w:val="20"/>
                <w:color w:val="auto"/>
              </w:rPr>
            </w:pPr>
            <w:r>
              <w:rPr>
                <w:rFonts w:ascii="Arial" w:cs="Arial" w:eastAsia="Arial" w:hAnsi="Arial"/>
                <w:sz w:val="14"/>
                <w:szCs w:val="14"/>
                <w:color w:val="auto"/>
              </w:rPr>
              <w:t>Decrease in base management fee payable, net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(758,406)</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(229,593)</w:t>
            </w:r>
          </w:p>
        </w:tc>
        <w:tc>
          <w:tcPr>
            <w:tcW w:w="3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(1,527,199)</w:t>
            </w:r>
          </w:p>
        </w:tc>
        <w:tc>
          <w:tcPr>
            <w:tcW w:w="0" w:type="dxa"/>
            <w:vAlign w:val="bottom"/>
          </w:tcPr>
          <w:p>
            <w:pPr>
              <w:spacing w:after="0"/>
              <w:rPr>
                <w:sz w:val="1"/>
                <w:szCs w:val="1"/>
                <w:color w:val="auto"/>
              </w:rPr>
            </w:pPr>
          </w:p>
        </w:tc>
      </w:tr>
      <w:tr>
        <w:trPr>
          <w:trHeight w:val="162"/>
        </w:trPr>
        <w:tc>
          <w:tcPr>
            <w:tcW w:w="5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(decrease) in performance-based incentive fee payable, net</w:t>
            </w:r>
          </w:p>
        </w:tc>
        <w:tc>
          <w:tcPr>
            <w:tcW w:w="6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694,257</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(595,436)</w:t>
            </w:r>
          </w:p>
        </w:tc>
        <w:tc>
          <w:tcPr>
            <w:tcW w:w="32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(2,142,348)</w:t>
            </w:r>
          </w:p>
        </w:tc>
        <w:tc>
          <w:tcPr>
            <w:tcW w:w="0" w:type="dxa"/>
            <w:vAlign w:val="bottom"/>
          </w:tcPr>
          <w:p>
            <w:pPr>
              <w:spacing w:after="0"/>
              <w:rPr>
                <w:sz w:val="1"/>
                <w:szCs w:val="1"/>
                <w:color w:val="auto"/>
              </w:rPr>
            </w:pPr>
          </w:p>
        </w:tc>
      </w:tr>
      <w:tr>
        <w:trPr>
          <w:trHeight w:val="162"/>
        </w:trPr>
        <w:tc>
          <w:tcPr>
            <w:tcW w:w="5720" w:type="dxa"/>
            <w:vAlign w:val="bottom"/>
          </w:tcPr>
          <w:p>
            <w:pPr>
              <w:ind w:left="1000"/>
              <w:spacing w:after="0"/>
              <w:rPr>
                <w:sz w:val="20"/>
                <w:szCs w:val="20"/>
                <w:color w:val="auto"/>
              </w:rPr>
            </w:pPr>
            <w:r>
              <w:rPr>
                <w:rFonts w:ascii="Arial" w:cs="Arial" w:eastAsia="Arial" w:hAnsi="Arial"/>
                <w:sz w:val="14"/>
                <w:szCs w:val="14"/>
                <w:color w:val="auto"/>
              </w:rPr>
              <w:t>(Decrease) increase in accrued other expenses</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(705,253)</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900,545</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(1,699,487)</w:t>
            </w:r>
          </w:p>
        </w:tc>
        <w:tc>
          <w:tcPr>
            <w:tcW w:w="0" w:type="dxa"/>
            <w:vAlign w:val="bottom"/>
          </w:tcPr>
          <w:p>
            <w:pPr>
              <w:spacing w:after="0"/>
              <w:rPr>
                <w:sz w:val="1"/>
                <w:szCs w:val="1"/>
                <w:color w:val="auto"/>
              </w:rPr>
            </w:pPr>
          </w:p>
        </w:tc>
      </w:tr>
      <w:tr>
        <w:trPr>
          <w:trHeight w:val="156"/>
        </w:trPr>
        <w:tc>
          <w:tcPr>
            <w:tcW w:w="5720" w:type="dxa"/>
            <w:vAlign w:val="bottom"/>
            <w:tcBorders>
              <w:top w:val="single" w:sz="8" w:color="CCECFF"/>
            </w:tcBorders>
            <w:shd w:val="clear" w:color="auto" w:fill="CCECFF"/>
          </w:tcPr>
          <w:p>
            <w:pPr>
              <w:ind w:left="148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60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66,940,803</w:t>
            </w:r>
          </w:p>
        </w:tc>
        <w:tc>
          <w:tcPr>
            <w:tcW w:w="10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69,248,647</w:t>
            </w:r>
          </w:p>
        </w:tc>
        <w:tc>
          <w:tcPr>
            <w:tcW w:w="2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157,706,863</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Repurchase of common stock</w:t>
            </w:r>
          </w:p>
        </w:tc>
        <w:tc>
          <w:tcPr>
            <w:tcW w:w="6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(15,010,571)</w:t>
            </w: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(12,180,491)</w:t>
            </w:r>
          </w:p>
        </w:tc>
        <w:tc>
          <w:tcPr>
            <w:tcW w:w="0" w:type="dxa"/>
            <w:vAlign w:val="bottom"/>
          </w:tcPr>
          <w:p>
            <w:pPr>
              <w:spacing w:after="0"/>
              <w:rPr>
                <w:sz w:val="1"/>
                <w:szCs w:val="1"/>
                <w:color w:val="auto"/>
              </w:rPr>
            </w:pPr>
          </w:p>
        </w:tc>
      </w:tr>
      <w:tr>
        <w:trPr>
          <w:trHeight w:val="162"/>
        </w:trPr>
        <w:tc>
          <w:tcPr>
            <w:tcW w:w="5720" w:type="dxa"/>
            <w:vAlign w:val="bottom"/>
          </w:tcPr>
          <w:p>
            <w:pPr>
              <w:ind w:left="1000"/>
              <w:spacing w:after="0"/>
              <w:rPr>
                <w:sz w:val="20"/>
                <w:szCs w:val="20"/>
                <w:color w:val="auto"/>
              </w:rPr>
            </w:pPr>
            <w:r>
              <w:rPr>
                <w:rFonts w:ascii="Arial" w:cs="Arial" w:eastAsia="Arial" w:hAnsi="Arial"/>
                <w:sz w:val="14"/>
                <w:szCs w:val="14"/>
                <w:color w:val="auto"/>
              </w:rPr>
              <w:t>Distributions paid to stockholders</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(50,970,704)</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(65,375,968)</w:t>
            </w:r>
          </w:p>
        </w:tc>
        <w:tc>
          <w:tcPr>
            <w:tcW w:w="3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(80,313,359)</w:t>
            </w:r>
          </w:p>
        </w:tc>
        <w:tc>
          <w:tcPr>
            <w:tcW w:w="0" w:type="dxa"/>
            <w:vAlign w:val="bottom"/>
          </w:tcPr>
          <w:p>
            <w:pPr>
              <w:spacing w:after="0"/>
              <w:rPr>
                <w:sz w:val="1"/>
                <w:szCs w:val="1"/>
                <w:color w:val="auto"/>
              </w:rPr>
            </w:pPr>
          </w:p>
        </w:tc>
      </w:tr>
      <w:tr>
        <w:trPr>
          <w:trHeight w:val="162"/>
        </w:trPr>
        <w:tc>
          <w:tcPr>
            <w:tcW w:w="5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Borrowings under SBA debentures</w:t>
            </w:r>
          </w:p>
        </w:tc>
        <w:tc>
          <w:tcPr>
            <w:tcW w:w="6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71,000,000</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tcPr>
          <w:p>
            <w:pPr>
              <w:ind w:left="1000"/>
              <w:spacing w:after="0"/>
              <w:rPr>
                <w:sz w:val="20"/>
                <w:szCs w:val="20"/>
                <w:color w:val="auto"/>
              </w:rPr>
            </w:pPr>
            <w:r>
              <w:rPr>
                <w:rFonts w:ascii="Arial" w:cs="Arial" w:eastAsia="Arial" w:hAnsi="Arial"/>
                <w:sz w:val="14"/>
                <w:szCs w:val="14"/>
                <w:color w:val="auto"/>
              </w:rPr>
              <w:t>Repayments under SBA debentures</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(90,000,000)</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(30,000,000)</w:t>
            </w:r>
          </w:p>
        </w:tc>
        <w:tc>
          <w:tcPr>
            <w:tcW w:w="32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Repayments under 2025 Notes</w:t>
            </w:r>
          </w:p>
        </w:tc>
        <w:tc>
          <w:tcPr>
            <w:tcW w:w="6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(71,250,000)</w:t>
            </w:r>
          </w:p>
        </w:tc>
        <w:tc>
          <w:tcPr>
            <w:tcW w:w="32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20" w:type="dxa"/>
            <w:vAlign w:val="bottom"/>
          </w:tcPr>
          <w:p>
            <w:pPr>
              <w:ind w:left="1000"/>
              <w:spacing w:after="0"/>
              <w:rPr>
                <w:sz w:val="20"/>
                <w:szCs w:val="20"/>
                <w:color w:val="auto"/>
              </w:rPr>
            </w:pPr>
            <w:r>
              <w:rPr>
                <w:rFonts w:ascii="Arial" w:cs="Arial" w:eastAsia="Arial" w:hAnsi="Arial"/>
                <w:sz w:val="14"/>
                <w:szCs w:val="14"/>
                <w:color w:val="auto"/>
              </w:rPr>
              <w:t>Capitalized borrowing costs</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(1,721,750)</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(1,513,875)</w:t>
            </w:r>
          </w:p>
        </w:tc>
        <w:tc>
          <w:tcPr>
            <w:tcW w:w="3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(1,151,875)</w:t>
            </w:r>
          </w:p>
        </w:tc>
        <w:tc>
          <w:tcPr>
            <w:tcW w:w="0" w:type="dxa"/>
            <w:vAlign w:val="bottom"/>
          </w:tcPr>
          <w:p>
            <w:pPr>
              <w:spacing w:after="0"/>
              <w:rPr>
                <w:sz w:val="1"/>
                <w:szCs w:val="1"/>
                <w:color w:val="auto"/>
              </w:rPr>
            </w:pPr>
          </w:p>
        </w:tc>
      </w:tr>
      <w:tr>
        <w:trPr>
          <w:trHeight w:val="162"/>
        </w:trPr>
        <w:tc>
          <w:tcPr>
            <w:tcW w:w="5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Borrowings under Credit Facility</w:t>
            </w:r>
          </w:p>
        </w:tc>
        <w:tc>
          <w:tcPr>
            <w:tcW w:w="6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235,520,000</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363,760,000</w:t>
            </w: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413,664,923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tcPr>
          <w:p>
            <w:pPr>
              <w:ind w:left="1000"/>
              <w:spacing w:after="0"/>
              <w:rPr>
                <w:sz w:val="20"/>
                <w:szCs w:val="20"/>
                <w:color w:val="auto"/>
              </w:rPr>
            </w:pPr>
            <w:r>
              <w:rPr>
                <w:rFonts w:ascii="Arial" w:cs="Arial" w:eastAsia="Arial" w:hAnsi="Arial"/>
                <w:sz w:val="14"/>
                <w:szCs w:val="14"/>
                <w:color w:val="auto"/>
              </w:rPr>
              <w:t>Repayments under Credit Facility</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(234,392,900)</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(334,706,800)</w:t>
            </w:r>
          </w:p>
        </w:tc>
        <w:tc>
          <w:tcPr>
            <w:tcW w:w="3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(500,189,523)</w:t>
            </w:r>
          </w:p>
        </w:tc>
        <w:tc>
          <w:tcPr>
            <w:tcW w:w="0" w:type="dxa"/>
            <w:vAlign w:val="bottom"/>
          </w:tcPr>
          <w:p>
            <w:pPr>
              <w:spacing w:after="0"/>
              <w:rPr>
                <w:sz w:val="1"/>
                <w:szCs w:val="1"/>
                <w:color w:val="auto"/>
              </w:rPr>
            </w:pPr>
          </w:p>
        </w:tc>
      </w:tr>
      <w:tr>
        <w:trPr>
          <w:trHeight w:val="156"/>
        </w:trPr>
        <w:tc>
          <w:tcPr>
            <w:tcW w:w="5720" w:type="dxa"/>
            <w:vAlign w:val="bottom"/>
            <w:tcBorders>
              <w:top w:val="single" w:sz="8" w:color="CCECFF"/>
            </w:tcBorders>
            <w:shd w:val="clear" w:color="auto" w:fill="CCECFF"/>
          </w:tcPr>
          <w:p>
            <w:pPr>
              <w:ind w:left="1480"/>
              <w:spacing w:after="0" w:line="155" w:lineRule="exact"/>
              <w:rPr>
                <w:sz w:val="20"/>
                <w:szCs w:val="20"/>
                <w:color w:val="auto"/>
              </w:rPr>
            </w:pPr>
            <w:r>
              <w:rPr>
                <w:rFonts w:ascii="Arial" w:cs="Arial" w:eastAsia="Arial" w:hAnsi="Arial"/>
                <w:sz w:val="14"/>
                <w:szCs w:val="14"/>
                <w:color w:val="auto"/>
              </w:rPr>
              <w:t>Net cash used in financing activities</w:t>
            </w:r>
          </w:p>
        </w:tc>
        <w:tc>
          <w:tcPr>
            <w:tcW w:w="60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spacing w:after="0"/>
              <w:rPr>
                <w:sz w:val="13"/>
                <w:szCs w:val="13"/>
                <w:color w:val="auto"/>
              </w:rPr>
            </w:pP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(85,575,925)</w:t>
            </w:r>
          </w:p>
        </w:tc>
        <w:tc>
          <w:tcPr>
            <w:tcW w:w="10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(107,586,643)</w:t>
            </w:r>
          </w:p>
        </w:tc>
        <w:tc>
          <w:tcPr>
            <w:tcW w:w="2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(132,670,325)</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20" w:type="dxa"/>
            <w:vAlign w:val="bottom"/>
          </w:tcPr>
          <w:p>
            <w:pPr>
              <w:spacing w:after="0" w:line="155" w:lineRule="exact"/>
              <w:rPr>
                <w:sz w:val="20"/>
                <w:szCs w:val="20"/>
                <w:color w:val="auto"/>
              </w:rPr>
            </w:pPr>
            <w:r>
              <w:rPr>
                <w:rFonts w:ascii="Arial" w:cs="Arial" w:eastAsia="Arial" w:hAnsi="Arial"/>
                <w:sz w:val="14"/>
                <w:szCs w:val="14"/>
                <w:b w:val="1"/>
                <w:bCs w:val="1"/>
                <w:color w:val="auto"/>
              </w:rPr>
              <w:t>Net (decrease) increase in cash and cash equivalents</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(18,635,122)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(38,337,996)</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25,036,538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CECFF"/>
          </w:tcPr>
          <w:p>
            <w:pPr>
              <w:spacing w:after="0"/>
              <w:rPr>
                <w:sz w:val="20"/>
                <w:szCs w:val="20"/>
                <w:color w:val="auto"/>
              </w:rPr>
            </w:pPr>
            <w:r>
              <w:rPr>
                <w:rFonts w:ascii="Arial" w:cs="Arial" w:eastAsia="Arial" w:hAnsi="Arial"/>
                <w:sz w:val="14"/>
                <w:szCs w:val="14"/>
                <w:color w:val="auto"/>
              </w:rPr>
              <w:t>Effect of exchange rate changes on cash</w:t>
            </w:r>
          </w:p>
        </w:tc>
        <w:tc>
          <w:tcPr>
            <w:tcW w:w="6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(60,792)</w:t>
            </w:r>
          </w:p>
        </w:tc>
        <w:tc>
          <w:tcPr>
            <w:tcW w:w="1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931,951</w:t>
            </w: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952,319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tcBorders>
              <w:bottom w:val="single" w:sz="8" w:color="CCECFF"/>
            </w:tcBorders>
          </w:tcPr>
          <w:p>
            <w:pPr>
              <w:spacing w:after="0"/>
              <w:rPr>
                <w:sz w:val="20"/>
                <w:szCs w:val="20"/>
                <w:color w:val="auto"/>
              </w:rPr>
            </w:pPr>
            <w:r>
              <w:rPr>
                <w:rFonts w:ascii="Arial" w:cs="Arial" w:eastAsia="Arial" w:hAnsi="Arial"/>
                <w:sz w:val="14"/>
                <w:szCs w:val="14"/>
                <w:b w:val="1"/>
                <w:bCs w:val="1"/>
                <w:color w:val="auto"/>
              </w:rPr>
              <w:t>Cash and cash equivalents, beginning of year</w:t>
            </w:r>
          </w:p>
        </w:tc>
        <w:tc>
          <w:tcPr>
            <w:tcW w:w="60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38,202,068</w:t>
            </w:r>
          </w:p>
        </w:tc>
        <w:tc>
          <w:tcPr>
            <w:tcW w:w="100" w:type="dxa"/>
            <w:vAlign w:val="bottom"/>
            <w:tcBorders>
              <w:bottom w:val="single" w:sz="8" w:color="CCECFF"/>
            </w:tcBorders>
          </w:tcPr>
          <w:p>
            <w:pPr>
              <w:spacing w:after="0"/>
              <w:rPr>
                <w:sz w:val="14"/>
                <w:szCs w:val="14"/>
                <w:color w:val="auto"/>
              </w:rPr>
            </w:pPr>
          </w:p>
        </w:tc>
        <w:tc>
          <w:tcPr>
            <w:tcW w:w="180" w:type="dxa"/>
            <w:vAlign w:val="bottom"/>
            <w:tcBorders>
              <w:bottom w:val="single" w:sz="8" w:color="CCEC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75,608,113</w:t>
            </w:r>
          </w:p>
        </w:tc>
        <w:tc>
          <w:tcPr>
            <w:tcW w:w="260" w:type="dxa"/>
            <w:vAlign w:val="bottom"/>
            <w:tcBorders>
              <w:bottom w:val="single" w:sz="8" w:color="CCEC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49,619,256</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and cash equivalents, end of year</w:t>
            </w:r>
          </w:p>
        </w:tc>
        <w:tc>
          <w:tcPr>
            <w:tcW w:w="60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8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19,506,154</w:t>
            </w:r>
          </w:p>
        </w:tc>
        <w:tc>
          <w:tcPr>
            <w:tcW w:w="10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38,202,068</w:t>
            </w:r>
          </w:p>
        </w:tc>
        <w:tc>
          <w:tcPr>
            <w:tcW w:w="260" w:type="dxa"/>
            <w:vAlign w:val="bottom"/>
            <w:tcBorders>
              <w:bottom w:val="single" w:sz="8" w:color="CCECFF"/>
            </w:tcBorders>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75,608,113</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paid</w:t>
            </w:r>
          </w:p>
        </w:tc>
        <w:tc>
          <w:tcPr>
            <w:tcW w:w="900" w:type="dxa"/>
            <w:vAlign w:val="bottom"/>
            <w:gridSpan w:val="2"/>
            <w:shd w:val="clear" w:color="auto" w:fill="CCECFF"/>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21,388,530</w:t>
            </w:r>
          </w:p>
        </w:tc>
        <w:tc>
          <w:tcPr>
            <w:tcW w:w="100" w:type="dxa"/>
            <w:vAlign w:val="bottom"/>
            <w:shd w:val="clear" w:color="auto" w:fill="CCECFF"/>
          </w:tcPr>
          <w:p>
            <w:pPr>
              <w:spacing w:after="0"/>
              <w:rPr>
                <w:sz w:val="14"/>
                <w:szCs w:val="14"/>
                <w:color w:val="auto"/>
              </w:rPr>
            </w:pPr>
          </w:p>
        </w:tc>
        <w:tc>
          <w:tcPr>
            <w:tcW w:w="500" w:type="dxa"/>
            <w:vAlign w:val="bottom"/>
            <w:gridSpan w:val="2"/>
            <w:shd w:val="clear" w:color="auto" w:fill="CCEC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26,151,475</w:t>
            </w: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27,093,191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CFF"/>
              <w:bottom w:val="single" w:sz="8" w:color="CCECFF"/>
            </w:tcBorders>
            <w:vMerge w:val="restart"/>
          </w:tcPr>
          <w:p>
            <w:pPr>
              <w:ind w:left="260"/>
              <w:spacing w:after="0"/>
              <w:rPr>
                <w:sz w:val="20"/>
                <w:szCs w:val="20"/>
                <w:color w:val="auto"/>
              </w:rPr>
            </w:pPr>
            <w:r>
              <w:rPr>
                <w:rFonts w:ascii="Arial" w:cs="Arial" w:eastAsia="Arial" w:hAnsi="Arial"/>
                <w:sz w:val="14"/>
                <w:szCs w:val="14"/>
                <w:color w:val="auto"/>
              </w:rPr>
              <w:t>Taxes paid</w:t>
            </w:r>
          </w:p>
        </w:tc>
        <w:tc>
          <w:tcPr>
            <w:tcW w:w="60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CCEC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20" w:type="dxa"/>
            <w:vAlign w:val="bottom"/>
            <w:tcBorders>
              <w:bottom w:val="single" w:sz="8" w:color="CCECFF"/>
            </w:tcBorders>
            <w:vMerge w:val="continue"/>
          </w:tcPr>
          <w:p>
            <w:pPr>
              <w:spacing w:after="0"/>
              <w:rPr>
                <w:sz w:val="15"/>
                <w:szCs w:val="15"/>
                <w:color w:val="auto"/>
              </w:rPr>
            </w:pPr>
          </w:p>
        </w:tc>
        <w:tc>
          <w:tcPr>
            <w:tcW w:w="600" w:type="dxa"/>
            <w:vAlign w:val="bottom"/>
            <w:tcBorders>
              <w:bottom w:val="single" w:sz="8" w:color="CCECFF"/>
            </w:tcBorders>
          </w:tcPr>
          <w:p>
            <w:pPr>
              <w:spacing w:after="0"/>
              <w:rPr>
                <w:sz w:val="15"/>
                <w:szCs w:val="15"/>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327,253</w:t>
            </w:r>
          </w:p>
        </w:tc>
        <w:tc>
          <w:tcPr>
            <w:tcW w:w="100" w:type="dxa"/>
            <w:vAlign w:val="bottom"/>
            <w:tcBorders>
              <w:bottom w:val="single" w:sz="8" w:color="CCECFF"/>
            </w:tcBorders>
          </w:tcPr>
          <w:p>
            <w:pPr>
              <w:spacing w:after="0"/>
              <w:rPr>
                <w:sz w:val="15"/>
                <w:szCs w:val="15"/>
                <w:color w:val="auto"/>
              </w:rPr>
            </w:pPr>
          </w:p>
        </w:tc>
        <w:tc>
          <w:tcPr>
            <w:tcW w:w="180" w:type="dxa"/>
            <w:vAlign w:val="bottom"/>
            <w:tcBorders>
              <w:bottom w:val="single" w:sz="8" w:color="CCECFF"/>
            </w:tcBorders>
          </w:tcPr>
          <w:p>
            <w:pPr>
              <w:spacing w:after="0"/>
              <w:rPr>
                <w:sz w:val="15"/>
                <w:szCs w:val="15"/>
                <w:color w:val="auto"/>
              </w:rPr>
            </w:pPr>
          </w:p>
        </w:tc>
        <w:tc>
          <w:tcPr>
            <w:tcW w:w="320" w:type="dxa"/>
            <w:vAlign w:val="bottom"/>
            <w:tcBorders>
              <w:bottom w:val="single" w:sz="8" w:color="auto"/>
            </w:tcBorders>
          </w:tcPr>
          <w:p>
            <w:pPr>
              <w:jc w:val="right"/>
              <w:ind w:right="168"/>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1,267,064</w:t>
            </w:r>
          </w:p>
        </w:tc>
        <w:tc>
          <w:tcPr>
            <w:tcW w:w="260" w:type="dxa"/>
            <w:vAlign w:val="bottom"/>
            <w:tcBorders>
              <w:bottom w:val="single" w:sz="8" w:color="CCECFF"/>
            </w:tcBorders>
          </w:tcPr>
          <w:p>
            <w:pPr>
              <w:spacing w:after="0"/>
              <w:rPr>
                <w:sz w:val="15"/>
                <w:szCs w:val="15"/>
                <w:color w:val="auto"/>
              </w:rPr>
            </w:pPr>
          </w:p>
        </w:tc>
        <w:tc>
          <w:tcPr>
            <w:tcW w:w="320" w:type="dxa"/>
            <w:vAlign w:val="bottom"/>
            <w:tcBorders>
              <w:bottom w:val="single" w:sz="8" w:color="auto"/>
            </w:tcBorders>
          </w:tcPr>
          <w:p>
            <w:pPr>
              <w:jc w:val="right"/>
              <w:ind w:right="168"/>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2,549,392</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Non-cash exchanges and conversions</w:t>
            </w:r>
          </w:p>
        </w:tc>
        <w:tc>
          <w:tcPr>
            <w:tcW w:w="60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8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31,942,605</w:t>
            </w:r>
          </w:p>
        </w:tc>
        <w:tc>
          <w:tcPr>
            <w:tcW w:w="10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20" w:type="dxa"/>
            <w:vAlign w:val="bottom"/>
            <w:tcBorders>
              <w:bottom w:val="single" w:sz="8" w:color="auto"/>
            </w:tcBorders>
            <w:shd w:val="clear" w:color="auto" w:fill="CCECFF"/>
          </w:tcPr>
          <w:p>
            <w:pPr>
              <w:jc w:val="right"/>
              <w:ind w:right="168"/>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93,152,647</w:t>
            </w:r>
          </w:p>
        </w:tc>
        <w:tc>
          <w:tcPr>
            <w:tcW w:w="260" w:type="dxa"/>
            <w:vAlign w:val="bottom"/>
            <w:tcBorders>
              <w:bottom w:val="single" w:sz="8" w:color="CCECFF"/>
            </w:tcBorders>
            <w:shd w:val="clear" w:color="auto" w:fill="CCECFF"/>
          </w:tcPr>
          <w:p>
            <w:pPr>
              <w:spacing w:after="0"/>
              <w:rPr>
                <w:sz w:val="12"/>
                <w:szCs w:val="12"/>
                <w:color w:val="auto"/>
              </w:rPr>
            </w:pPr>
          </w:p>
        </w:tc>
        <w:tc>
          <w:tcPr>
            <w:tcW w:w="320" w:type="dxa"/>
            <w:vAlign w:val="bottom"/>
            <w:tcBorders>
              <w:bottom w:val="single" w:sz="8" w:color="auto"/>
            </w:tcBorders>
            <w:shd w:val="clear" w:color="auto" w:fill="CCECFF"/>
          </w:tcPr>
          <w:p>
            <w:pPr>
              <w:jc w:val="right"/>
              <w:ind w:right="168"/>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62,949,729</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Expiration</w:t>
            </w: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100" w:type="dxa"/>
            <w:vAlign w:val="bottom"/>
            <w:tcBorders>
              <w:bottom w:val="single" w:sz="8" w:color="CCECFF"/>
            </w:tcBorders>
          </w:tcPr>
          <w:p>
            <w:pPr>
              <w:spacing w:after="0"/>
              <w:rPr>
                <w:sz w:val="12"/>
                <w:szCs w:val="12"/>
                <w:color w:val="auto"/>
              </w:rPr>
            </w:pPr>
          </w:p>
        </w:tc>
      </w:tr>
      <w:tr>
        <w:trPr>
          <w:trHeight w:val="142"/>
        </w:trPr>
        <w:tc>
          <w:tcPr>
            <w:tcW w:w="664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Non-Controlled, Non-Affiliated Portfolio Companies—144.0% </w:t>
            </w:r>
            <w:r>
              <w:rPr>
                <w:rFonts w:ascii="Arial" w:cs="Arial" w:eastAsia="Arial" w:hAnsi="Arial"/>
                <w:sz w:val="9"/>
                <w:szCs w:val="9"/>
                <w:b w:val="1"/>
                <w:bCs w:val="1"/>
                <w:color w:val="auto"/>
              </w:rPr>
              <w:t>(1), (2)</w:t>
            </w: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b w:val="1"/>
                <w:bCs w:val="1"/>
                <w:color w:val="auto"/>
              </w:rPr>
              <w:t>First Lien Secured Debt—66.9%</w:t>
            </w:r>
          </w:p>
        </w:tc>
        <w:tc>
          <w:tcPr>
            <w:tcW w:w="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Allied America,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08/08/2022</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9.39%</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L+700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21,435,548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21,116,138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21,478,419</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08/08/2022</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Bazaarvoice,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02/01/2024</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Printing and Publishing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10.24%</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14,783,825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Bottom Line Systems, LLC</w:t>
            </w:r>
          </w:p>
        </w:tc>
        <w:tc>
          <w:tcPr>
            <w:tcW w:w="900" w:type="dxa"/>
            <w:vAlign w:val="bottom"/>
          </w:tcPr>
          <w:p>
            <w:pPr>
              <w:ind w:left="120"/>
              <w:spacing w:after="0"/>
              <w:rPr>
                <w:sz w:val="20"/>
                <w:szCs w:val="20"/>
                <w:color w:val="auto"/>
              </w:rPr>
            </w:pPr>
            <w:r>
              <w:rPr>
                <w:rFonts w:ascii="Arial" w:cs="Arial" w:eastAsia="Arial" w:hAnsi="Arial"/>
                <w:sz w:val="12"/>
                <w:szCs w:val="12"/>
                <w:color w:val="auto"/>
              </w:rPr>
              <w:t>02/13/2023</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9.74%</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1M L+750</w:t>
            </w:r>
          </w:p>
        </w:tc>
        <w:tc>
          <w:tcPr>
            <w:tcW w:w="680" w:type="dxa"/>
            <w:vAlign w:val="bottom"/>
          </w:tcPr>
          <w:p>
            <w:pPr>
              <w:jc w:val="right"/>
              <w:spacing w:after="0"/>
              <w:rPr>
                <w:sz w:val="20"/>
                <w:szCs w:val="20"/>
                <w:color w:val="auto"/>
              </w:rPr>
            </w:pPr>
            <w:r>
              <w:rPr>
                <w:rFonts w:ascii="Arial" w:cs="Arial" w:eastAsia="Arial" w:hAnsi="Arial"/>
                <w:sz w:val="12"/>
                <w:szCs w:val="12"/>
                <w:color w:val="auto"/>
              </w:rPr>
              <w:t>19,583,330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19,345,650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19,583,330</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Broder Bros., Co.</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12/02/2022</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10.33%</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31,676,768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31,678,078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31,676,768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Cano Health, LLC</w:t>
            </w:r>
          </w:p>
        </w:tc>
        <w:tc>
          <w:tcPr>
            <w:tcW w:w="900" w:type="dxa"/>
            <w:vAlign w:val="bottom"/>
          </w:tcPr>
          <w:p>
            <w:pPr>
              <w:ind w:left="120"/>
              <w:spacing w:after="0"/>
              <w:rPr>
                <w:sz w:val="20"/>
                <w:szCs w:val="20"/>
                <w:color w:val="auto"/>
              </w:rPr>
            </w:pPr>
            <w:r>
              <w:rPr>
                <w:rFonts w:ascii="Arial" w:cs="Arial" w:eastAsia="Arial" w:hAnsi="Arial"/>
                <w:sz w:val="12"/>
                <w:szCs w:val="12"/>
                <w:color w:val="auto"/>
              </w:rPr>
              <w:t>12/23/2021</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10.61%</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1M L+850</w:t>
            </w:r>
          </w:p>
        </w:tc>
        <w:tc>
          <w:tcPr>
            <w:tcW w:w="680" w:type="dxa"/>
            <w:vAlign w:val="bottom"/>
          </w:tcPr>
          <w:p>
            <w:pPr>
              <w:jc w:val="right"/>
              <w:spacing w:after="0"/>
              <w:rPr>
                <w:sz w:val="20"/>
                <w:szCs w:val="20"/>
                <w:color w:val="auto"/>
              </w:rPr>
            </w:pPr>
            <w:r>
              <w:rPr>
                <w:rFonts w:ascii="Arial" w:cs="Arial" w:eastAsia="Arial" w:hAnsi="Arial"/>
                <w:sz w:val="12"/>
                <w:szCs w:val="12"/>
                <w:color w:val="auto"/>
              </w:rPr>
              <w:t>32,813,941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32,240,776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32,813,941</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Cano Health, LLC (Revolver)</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11/05/2018</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10.68%</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3,150,000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3,150,000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DermaRite Industries LLC</w:t>
            </w:r>
          </w:p>
        </w:tc>
        <w:tc>
          <w:tcPr>
            <w:tcW w:w="900" w:type="dxa"/>
            <w:vAlign w:val="bottom"/>
          </w:tcPr>
          <w:p>
            <w:pPr>
              <w:ind w:left="120"/>
              <w:spacing w:after="0"/>
              <w:rPr>
                <w:sz w:val="20"/>
                <w:szCs w:val="20"/>
                <w:color w:val="auto"/>
              </w:rPr>
            </w:pPr>
            <w:r>
              <w:rPr>
                <w:rFonts w:ascii="Arial" w:cs="Arial" w:eastAsia="Arial" w:hAnsi="Arial"/>
                <w:sz w:val="12"/>
                <w:szCs w:val="12"/>
                <w:color w:val="auto"/>
              </w:rPr>
              <w:t>03/03/2022</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9.24%</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1M L+700</w:t>
            </w:r>
          </w:p>
        </w:tc>
        <w:tc>
          <w:tcPr>
            <w:tcW w:w="680" w:type="dxa"/>
            <w:vAlign w:val="bottom"/>
          </w:tcPr>
          <w:p>
            <w:pPr>
              <w:jc w:val="right"/>
              <w:spacing w:after="0"/>
              <w:rPr>
                <w:sz w:val="20"/>
                <w:szCs w:val="20"/>
                <w:color w:val="auto"/>
              </w:rPr>
            </w:pPr>
            <w:r>
              <w:rPr>
                <w:rFonts w:ascii="Arial" w:cs="Arial" w:eastAsia="Arial" w:hAnsi="Arial"/>
                <w:sz w:val="12"/>
                <w:szCs w:val="12"/>
                <w:color w:val="auto"/>
              </w:rPr>
              <w:t>9,850,000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9,738,431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9,683,465</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Deva Holdings,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10/31/2023</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7.74%</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4,962,500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4,877,212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4,962,500</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10/31/2022</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385,000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(11)</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08/29/2022</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9.74%</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L+750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19,800,000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19,475,599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19,800,000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(7), (11)</w:t>
            </w:r>
          </w:p>
        </w:tc>
        <w:tc>
          <w:tcPr>
            <w:tcW w:w="900" w:type="dxa"/>
            <w:vAlign w:val="bottom"/>
          </w:tcPr>
          <w:p>
            <w:pPr>
              <w:ind w:left="120"/>
              <w:spacing w:after="0"/>
              <w:rPr>
                <w:sz w:val="20"/>
                <w:szCs w:val="20"/>
                <w:color w:val="auto"/>
              </w:rPr>
            </w:pPr>
            <w:r>
              <w:rPr>
                <w:rFonts w:ascii="Arial" w:cs="Arial" w:eastAsia="Arial" w:hAnsi="Arial"/>
                <w:sz w:val="12"/>
                <w:szCs w:val="12"/>
                <w:color w:val="auto"/>
              </w:rPr>
              <w:t>08/29/2022</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eCommission Financial Services, Inc. (Revolver) </w:t>
            </w:r>
            <w:r>
              <w:rPr>
                <w:rFonts w:ascii="Arial" w:cs="Arial" w:eastAsia="Arial" w:hAnsi="Arial"/>
                <w:sz w:val="9"/>
                <w:szCs w:val="9"/>
                <w:color w:val="auto"/>
              </w:rPr>
              <w:t>(7), (11)</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08/29/2022</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900" w:type="dxa"/>
            <w:vAlign w:val="bottom"/>
          </w:tcPr>
          <w:p>
            <w:pPr>
              <w:ind w:left="120"/>
              <w:spacing w:after="0"/>
              <w:rPr>
                <w:sz w:val="20"/>
                <w:szCs w:val="20"/>
                <w:color w:val="auto"/>
              </w:rPr>
            </w:pPr>
            <w:r>
              <w:rPr>
                <w:rFonts w:ascii="Arial" w:cs="Arial" w:eastAsia="Arial" w:hAnsi="Arial"/>
                <w:sz w:val="12"/>
                <w:szCs w:val="12"/>
                <w:color w:val="auto"/>
              </w:rPr>
              <w:t>06/09/2023</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10.39%</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L+800</w:t>
            </w:r>
          </w:p>
        </w:tc>
        <w:tc>
          <w:tcPr>
            <w:tcW w:w="680" w:type="dxa"/>
            <w:vAlign w:val="bottom"/>
          </w:tcPr>
          <w:p>
            <w:pPr>
              <w:jc w:val="right"/>
              <w:spacing w:after="0"/>
              <w:rPr>
                <w:sz w:val="20"/>
                <w:szCs w:val="20"/>
                <w:color w:val="auto"/>
              </w:rPr>
            </w:pPr>
            <w:r>
              <w:rPr>
                <w:rFonts w:ascii="Arial" w:cs="Arial" w:eastAsia="Arial" w:hAnsi="Arial"/>
                <w:sz w:val="12"/>
                <w:szCs w:val="12"/>
                <w:color w:val="auto"/>
              </w:rPr>
              <w:t>19,713,838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19,386,443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19,516,699</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Impact Group,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06/27/2023</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8.64%</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22,457,923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22,225,155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22,345,634</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06/27/2023</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12,491,009</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(62,455)</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Juniper Landscaping of Florida,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12/22/2021</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11.61%</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14,350,500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14,140,360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14,350,500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K2 Pure Solutions NoCal, L.P.</w:t>
            </w:r>
          </w:p>
        </w:tc>
        <w:tc>
          <w:tcPr>
            <w:tcW w:w="900" w:type="dxa"/>
            <w:vAlign w:val="bottom"/>
          </w:tcPr>
          <w:p>
            <w:pPr>
              <w:ind w:left="120"/>
              <w:spacing w:after="0"/>
              <w:rPr>
                <w:sz w:val="20"/>
                <w:szCs w:val="20"/>
                <w:color w:val="auto"/>
              </w:rPr>
            </w:pPr>
            <w:r>
              <w:rPr>
                <w:rFonts w:ascii="Arial" w:cs="Arial" w:eastAsia="Arial" w:hAnsi="Arial"/>
                <w:sz w:val="12"/>
                <w:szCs w:val="12"/>
                <w:color w:val="auto"/>
              </w:rPr>
              <w:t>02/19/2021</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11.24%</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1M L+900</w:t>
            </w:r>
          </w:p>
        </w:tc>
        <w:tc>
          <w:tcPr>
            <w:tcW w:w="680" w:type="dxa"/>
            <w:vAlign w:val="bottom"/>
          </w:tcPr>
          <w:p>
            <w:pPr>
              <w:jc w:val="right"/>
              <w:spacing w:after="0"/>
              <w:rPr>
                <w:sz w:val="20"/>
                <w:szCs w:val="20"/>
                <w:color w:val="auto"/>
              </w:rPr>
            </w:pPr>
            <w:r>
              <w:rPr>
                <w:rFonts w:ascii="Arial" w:cs="Arial" w:eastAsia="Arial" w:hAnsi="Arial"/>
                <w:sz w:val="12"/>
                <w:szCs w:val="12"/>
                <w:color w:val="auto"/>
              </w:rPr>
              <w:t>14,243,249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14,033,015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14,243,249</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Ox Two,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02/27/2023</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2"/>
              </w:rPr>
              <w:t>Building Materials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8.49%</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22,218,750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21,819,701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22,218,750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Ox Two, LLC (Revolver)</w:t>
            </w:r>
          </w:p>
        </w:tc>
        <w:tc>
          <w:tcPr>
            <w:tcW w:w="900" w:type="dxa"/>
            <w:vAlign w:val="bottom"/>
          </w:tcPr>
          <w:p>
            <w:pPr>
              <w:ind w:left="120"/>
              <w:spacing w:after="0"/>
              <w:rPr>
                <w:sz w:val="20"/>
                <w:szCs w:val="20"/>
                <w:color w:val="auto"/>
              </w:rPr>
            </w:pPr>
            <w:r>
              <w:rPr>
                <w:rFonts w:ascii="Arial" w:cs="Arial" w:eastAsia="Arial" w:hAnsi="Arial"/>
                <w:sz w:val="12"/>
                <w:szCs w:val="12"/>
                <w:color w:val="auto"/>
              </w:rPr>
              <w:t>02/27/2023</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Building Materials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12.50%</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P+725</w:t>
            </w:r>
          </w:p>
        </w:tc>
        <w:tc>
          <w:tcPr>
            <w:tcW w:w="680" w:type="dxa"/>
            <w:vAlign w:val="bottom"/>
          </w:tcPr>
          <w:p>
            <w:pPr>
              <w:jc w:val="right"/>
              <w:spacing w:after="0"/>
              <w:rPr>
                <w:sz w:val="20"/>
                <w:szCs w:val="20"/>
                <w:color w:val="auto"/>
              </w:rPr>
            </w:pPr>
            <w:r>
              <w:rPr>
                <w:rFonts w:ascii="Arial" w:cs="Arial" w:eastAsia="Arial" w:hAnsi="Arial"/>
                <w:sz w:val="12"/>
                <w:szCs w:val="12"/>
                <w:color w:val="auto"/>
              </w:rPr>
              <w:t>750,000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750,000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750,000</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02/27/2023</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2"/>
              </w:rPr>
              <w:t>Building Materials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1,750,000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Questex, LLC</w:t>
            </w:r>
          </w:p>
        </w:tc>
        <w:tc>
          <w:tcPr>
            <w:tcW w:w="900" w:type="dxa"/>
            <w:vAlign w:val="bottom"/>
          </w:tcPr>
          <w:p>
            <w:pPr>
              <w:ind w:left="120"/>
              <w:spacing w:after="0"/>
              <w:rPr>
                <w:sz w:val="20"/>
                <w:szCs w:val="20"/>
                <w:color w:val="auto"/>
              </w:rPr>
            </w:pPr>
            <w:r>
              <w:rPr>
                <w:rFonts w:ascii="Arial" w:cs="Arial" w:eastAsia="Arial" w:hAnsi="Arial"/>
                <w:sz w:val="12"/>
                <w:szCs w:val="12"/>
                <w:color w:val="auto"/>
              </w:rPr>
              <w:t>09/09/2024</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Media</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8.57%</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80" w:type="dxa"/>
            <w:vAlign w:val="bottom"/>
          </w:tcPr>
          <w:p>
            <w:pPr>
              <w:jc w:val="right"/>
              <w:spacing w:after="0"/>
              <w:rPr>
                <w:sz w:val="20"/>
                <w:szCs w:val="20"/>
                <w:color w:val="auto"/>
              </w:rPr>
            </w:pPr>
            <w:r>
              <w:rPr>
                <w:rFonts w:ascii="Arial" w:cs="Arial" w:eastAsia="Arial" w:hAnsi="Arial"/>
                <w:sz w:val="12"/>
                <w:szCs w:val="12"/>
                <w:color w:val="auto"/>
              </w:rPr>
              <w:t>22,500,000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22,054,120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Questex, LLC (Revolver)</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09/09/2024</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Media</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8.57%</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598,404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598,404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586,436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09/09/2024</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Media</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2,992,021</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(59,840)</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Research Horizons,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06/28/2022</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Media</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8.36%</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22,071,351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22,050,000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06/28/2022</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Media</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9,121,622</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(182,432)</w:t>
            </w: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Research Horizons, LLC (Revolver)</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06/28/2022</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Media</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8.36%</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1,783,784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1,783,784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1,748,108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06/28/2022</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Media</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2,270,270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(45,405)</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SFP Holding,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09/01/2022</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8.59%</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20,925,313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20,642,473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20,925,313</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09/01/2022</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1,375,000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09/01/2022</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Triad Manufacturing, Inc.</w:t>
            </w:r>
          </w:p>
        </w:tc>
        <w:tc>
          <w:tcPr>
            <w:tcW w:w="900" w:type="dxa"/>
            <w:vAlign w:val="bottom"/>
          </w:tcPr>
          <w:p>
            <w:pPr>
              <w:ind w:left="120"/>
              <w:spacing w:after="0"/>
              <w:rPr>
                <w:sz w:val="20"/>
                <w:szCs w:val="20"/>
                <w:color w:val="auto"/>
              </w:rPr>
            </w:pPr>
            <w:r>
              <w:rPr>
                <w:rFonts w:ascii="Arial" w:cs="Arial" w:eastAsia="Arial" w:hAnsi="Arial"/>
                <w:sz w:val="12"/>
                <w:szCs w:val="12"/>
                <w:color w:val="auto"/>
              </w:rPr>
              <w:t>12/28/2020</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15.49%</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1M L+1,325</w:t>
            </w:r>
          </w:p>
        </w:tc>
        <w:tc>
          <w:tcPr>
            <w:tcW w:w="680" w:type="dxa"/>
            <w:vAlign w:val="bottom"/>
          </w:tcPr>
          <w:p>
            <w:pPr>
              <w:jc w:val="right"/>
              <w:spacing w:after="0"/>
              <w:rPr>
                <w:sz w:val="20"/>
                <w:szCs w:val="20"/>
                <w:color w:val="auto"/>
              </w:rPr>
            </w:pPr>
            <w:r>
              <w:rPr>
                <w:rFonts w:ascii="Arial" w:cs="Arial" w:eastAsia="Arial" w:hAnsi="Arial"/>
                <w:sz w:val="12"/>
                <w:szCs w:val="12"/>
                <w:color w:val="auto"/>
              </w:rPr>
              <w:t>23,718,379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23,464,517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23,006,827</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US Dominion,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07/15/2024</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Electronics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9.14%</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29,925,000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29,415,076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29,925,000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07/15/2024</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Electronics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7,500,000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US Med Acquisition,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08/13/2021</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11.39%</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8,476,563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8,476,563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8,052,732</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Walker Edison Furniture Company LLC</w:t>
            </w:r>
          </w:p>
        </w:tc>
        <w:tc>
          <w:tcPr>
            <w:tcW w:w="900" w:type="dxa"/>
            <w:vAlign w:val="bottom"/>
          </w:tcPr>
          <w:p>
            <w:pPr>
              <w:ind w:left="120"/>
              <w:spacing w:after="0"/>
              <w:rPr>
                <w:sz w:val="20"/>
                <w:szCs w:val="20"/>
                <w:color w:val="auto"/>
              </w:rPr>
            </w:pPr>
            <w:r>
              <w:rPr>
                <w:rFonts w:ascii="Arial" w:cs="Arial" w:eastAsia="Arial" w:hAnsi="Arial"/>
                <w:sz w:val="12"/>
                <w:szCs w:val="12"/>
                <w:color w:val="auto"/>
              </w:rPr>
              <w:t>09/26/2024</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Home and Office Furnishings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8.88%</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L+650</w:t>
            </w:r>
          </w:p>
        </w:tc>
        <w:tc>
          <w:tcPr>
            <w:tcW w:w="680" w:type="dxa"/>
            <w:vAlign w:val="bottom"/>
          </w:tcPr>
          <w:p>
            <w:pPr>
              <w:jc w:val="right"/>
              <w:spacing w:after="0"/>
              <w:rPr>
                <w:sz w:val="20"/>
                <w:szCs w:val="20"/>
                <w:color w:val="auto"/>
              </w:rPr>
            </w:pPr>
            <w:r>
              <w:rPr>
                <w:rFonts w:ascii="Arial" w:cs="Arial" w:eastAsia="Arial" w:hAnsi="Arial"/>
                <w:sz w:val="12"/>
                <w:szCs w:val="12"/>
                <w:color w:val="auto"/>
              </w:rPr>
              <w:t>22,500,000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22,050,866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10/18/2022</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11.25%</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19,305,000</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18,977,907</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19,305,000</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Total First Lien Secured Debt</w:t>
            </w:r>
          </w:p>
        </w:tc>
        <w:tc>
          <w:tcPr>
            <w:tcW w:w="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418,295,444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420,847,539</w:t>
            </w:r>
          </w:p>
        </w:tc>
        <w:tc>
          <w:tcPr>
            <w:tcW w:w="100" w:type="dxa"/>
            <w:vAlign w:val="bottom"/>
          </w:tcPr>
          <w:p>
            <w:pPr>
              <w:spacing w:after="0"/>
              <w:rPr>
                <w:sz w:val="12"/>
                <w:szCs w:val="12"/>
                <w:color w:val="auto"/>
              </w:rPr>
            </w:pPr>
          </w:p>
        </w:tc>
      </w:tr>
      <w:tr>
        <w:trPr>
          <w:trHeight w:val="142"/>
        </w:trPr>
        <w:tc>
          <w:tcPr>
            <w:tcW w:w="30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Debt—62.2%</w:t>
            </w:r>
          </w:p>
        </w:tc>
        <w:tc>
          <w:tcPr>
            <w:tcW w:w="900" w:type="dxa"/>
            <w:vAlign w:val="bottom"/>
            <w:tcBorders>
              <w:top w:val="single" w:sz="8" w:color="CCECFF"/>
            </w:tcBorders>
            <w:shd w:val="clear" w:color="auto" w:fill="CCECFF"/>
          </w:tcPr>
          <w:p>
            <w:pPr>
              <w:spacing w:after="0"/>
              <w:rPr>
                <w:sz w:val="12"/>
                <w:szCs w:val="12"/>
                <w:color w:val="auto"/>
              </w:rPr>
            </w:pPr>
          </w:p>
        </w:tc>
        <w:tc>
          <w:tcPr>
            <w:tcW w:w="262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74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Condor Borrower, LLC</w:t>
            </w:r>
          </w:p>
        </w:tc>
        <w:tc>
          <w:tcPr>
            <w:tcW w:w="900" w:type="dxa"/>
            <w:vAlign w:val="bottom"/>
          </w:tcPr>
          <w:p>
            <w:pPr>
              <w:ind w:left="120"/>
              <w:spacing w:after="0"/>
              <w:rPr>
                <w:sz w:val="20"/>
                <w:szCs w:val="20"/>
                <w:color w:val="auto"/>
              </w:rPr>
            </w:pPr>
            <w:r>
              <w:rPr>
                <w:rFonts w:ascii="Arial" w:cs="Arial" w:eastAsia="Arial" w:hAnsi="Arial"/>
                <w:sz w:val="12"/>
                <w:szCs w:val="12"/>
                <w:color w:val="auto"/>
              </w:rPr>
              <w:t>04/25/2025</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11.09%</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L+875</w:t>
            </w:r>
          </w:p>
        </w:tc>
        <w:tc>
          <w:tcPr>
            <w:tcW w:w="680" w:type="dxa"/>
            <w:vAlign w:val="bottom"/>
          </w:tcPr>
          <w:p>
            <w:pPr>
              <w:jc w:val="right"/>
              <w:spacing w:after="0"/>
              <w:rPr>
                <w:sz w:val="20"/>
                <w:szCs w:val="20"/>
                <w:color w:val="auto"/>
              </w:rPr>
            </w:pPr>
            <w:r>
              <w:rPr>
                <w:rFonts w:ascii="Arial" w:cs="Arial" w:eastAsia="Arial" w:hAnsi="Arial"/>
                <w:sz w:val="12"/>
                <w:szCs w:val="12"/>
                <w:color w:val="auto"/>
              </w:rPr>
              <w:t>12,500,000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12,271,734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12,500,000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DecoPac,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03/31/2025</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10.64%</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23,024,259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22,607,675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23,024,259</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Halo Buyer, Inc.</w:t>
            </w:r>
          </w:p>
        </w:tc>
        <w:tc>
          <w:tcPr>
            <w:tcW w:w="900" w:type="dxa"/>
            <w:vAlign w:val="bottom"/>
          </w:tcPr>
          <w:p>
            <w:pPr>
              <w:ind w:left="120"/>
              <w:spacing w:after="0"/>
              <w:rPr>
                <w:sz w:val="20"/>
                <w:szCs w:val="20"/>
                <w:color w:val="auto"/>
              </w:rPr>
            </w:pPr>
            <w:r>
              <w:rPr>
                <w:rFonts w:ascii="Arial" w:cs="Arial" w:eastAsia="Arial" w:hAnsi="Arial"/>
                <w:sz w:val="12"/>
                <w:szCs w:val="12"/>
                <w:color w:val="auto"/>
              </w:rPr>
              <w:t>07/06/2026</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10.49%</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1M L+825</w:t>
            </w:r>
          </w:p>
        </w:tc>
        <w:tc>
          <w:tcPr>
            <w:tcW w:w="680" w:type="dxa"/>
            <w:vAlign w:val="bottom"/>
          </w:tcPr>
          <w:p>
            <w:pPr>
              <w:jc w:val="right"/>
              <w:spacing w:after="0"/>
              <w:rPr>
                <w:sz w:val="20"/>
                <w:szCs w:val="20"/>
                <w:color w:val="auto"/>
              </w:rPr>
            </w:pPr>
            <w:r>
              <w:rPr>
                <w:rFonts w:ascii="Arial" w:cs="Arial" w:eastAsia="Arial" w:hAnsi="Arial"/>
                <w:sz w:val="12"/>
                <w:szCs w:val="12"/>
                <w:color w:val="auto"/>
              </w:rPr>
              <w:t>45,000,000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44,338,109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44,325,000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Infogroup,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04/03/2024</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11.64%</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L+925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20,056,087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20,400,000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Integrity Marketing Partners, LLC</w:t>
            </w:r>
          </w:p>
        </w:tc>
        <w:tc>
          <w:tcPr>
            <w:tcW w:w="900" w:type="dxa"/>
            <w:vAlign w:val="bottom"/>
          </w:tcPr>
          <w:p>
            <w:pPr>
              <w:ind w:left="120"/>
              <w:spacing w:after="0"/>
              <w:rPr>
                <w:sz w:val="20"/>
                <w:szCs w:val="20"/>
                <w:color w:val="auto"/>
              </w:rPr>
            </w:pPr>
            <w:r>
              <w:rPr>
                <w:rFonts w:ascii="Arial" w:cs="Arial" w:eastAsia="Arial" w:hAnsi="Arial"/>
                <w:sz w:val="12"/>
                <w:szCs w:val="12"/>
                <w:color w:val="auto"/>
              </w:rPr>
              <w:t>01/02/2023</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Banking, Finance, Insurance and Real Estate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11.17%</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1M L+900</w:t>
            </w:r>
          </w:p>
        </w:tc>
        <w:tc>
          <w:tcPr>
            <w:tcW w:w="680" w:type="dxa"/>
            <w:vAlign w:val="bottom"/>
          </w:tcPr>
          <w:p>
            <w:pPr>
              <w:jc w:val="right"/>
              <w:spacing w:after="0"/>
              <w:rPr>
                <w:sz w:val="20"/>
                <w:szCs w:val="20"/>
                <w:color w:val="auto"/>
              </w:rPr>
            </w:pPr>
            <w:r>
              <w:rPr>
                <w:rFonts w:ascii="Arial" w:cs="Arial" w:eastAsia="Arial" w:hAnsi="Arial"/>
                <w:sz w:val="12"/>
                <w:szCs w:val="12"/>
                <w:color w:val="auto"/>
              </w:rPr>
              <w:t>6,000,000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5,913,341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5,987,443</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03/01/2019</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Cargo Transport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11.00%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481,052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447,988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481,052</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11.00%)</w:t>
            </w: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MailSouth, Inc.</w:t>
            </w:r>
          </w:p>
        </w:tc>
        <w:tc>
          <w:tcPr>
            <w:tcW w:w="900" w:type="dxa"/>
            <w:vAlign w:val="bottom"/>
          </w:tcPr>
          <w:p>
            <w:pPr>
              <w:ind w:left="120"/>
              <w:spacing w:after="0"/>
              <w:rPr>
                <w:sz w:val="20"/>
                <w:szCs w:val="20"/>
                <w:color w:val="auto"/>
              </w:rPr>
            </w:pPr>
            <w:r>
              <w:rPr>
                <w:rFonts w:ascii="Arial" w:cs="Arial" w:eastAsia="Arial" w:hAnsi="Arial"/>
                <w:sz w:val="12"/>
                <w:szCs w:val="12"/>
                <w:color w:val="auto"/>
              </w:rPr>
              <w:t>10/23/2024</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Printing and Publishing</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12.00%</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L+925</w:t>
            </w:r>
          </w:p>
        </w:tc>
        <w:tc>
          <w:tcPr>
            <w:tcW w:w="680" w:type="dxa"/>
            <w:vAlign w:val="bottom"/>
          </w:tcPr>
          <w:p>
            <w:pPr>
              <w:jc w:val="right"/>
              <w:spacing w:after="0"/>
              <w:rPr>
                <w:sz w:val="20"/>
                <w:szCs w:val="20"/>
                <w:color w:val="auto"/>
              </w:rPr>
            </w:pPr>
            <w:r>
              <w:rPr>
                <w:rFonts w:ascii="Arial" w:cs="Arial" w:eastAsia="Arial" w:hAnsi="Arial"/>
                <w:sz w:val="12"/>
                <w:szCs w:val="12"/>
                <w:color w:val="auto"/>
              </w:rPr>
              <w:t>48,425,000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47,496,549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47,456,500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MBS Holdings,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01/02/2024</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10.60%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14,710,035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14,700,000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(8), (11)</w:t>
            </w:r>
          </w:p>
        </w:tc>
        <w:tc>
          <w:tcPr>
            <w:tcW w:w="900" w:type="dxa"/>
            <w:vAlign w:val="bottom"/>
          </w:tcPr>
          <w:p>
            <w:pPr>
              <w:ind w:left="120"/>
              <w:spacing w:after="0"/>
              <w:rPr>
                <w:sz w:val="20"/>
                <w:szCs w:val="20"/>
                <w:color w:val="auto"/>
              </w:rPr>
            </w:pPr>
            <w:r>
              <w:rPr>
                <w:rFonts w:ascii="Arial" w:cs="Arial" w:eastAsia="Arial" w:hAnsi="Arial"/>
                <w:sz w:val="12"/>
                <w:szCs w:val="12"/>
                <w:color w:val="auto"/>
              </w:rPr>
              <w:t>12/17/2021</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Hotels, Motels, Inns and Gaming</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14.39%</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L+1,200</w:t>
            </w:r>
          </w:p>
        </w:tc>
        <w:tc>
          <w:tcPr>
            <w:tcW w:w="680" w:type="dxa"/>
            <w:vAlign w:val="bottom"/>
          </w:tcPr>
          <w:p>
            <w:pPr>
              <w:jc w:val="right"/>
              <w:spacing w:after="0"/>
              <w:rPr>
                <w:sz w:val="20"/>
                <w:szCs w:val="20"/>
                <w:color w:val="auto"/>
              </w:rPr>
            </w:pPr>
            <w:r>
              <w:rPr>
                <w:rFonts w:ascii="Arial" w:cs="Arial" w:eastAsia="Arial" w:hAnsi="Arial"/>
                <w:sz w:val="12"/>
                <w:szCs w:val="12"/>
                <w:color w:val="auto"/>
              </w:rPr>
              <w:t>76,500,000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76,500,000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80,904,325</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Pathway Partners Vet Management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10/10/2025</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10.24%</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19,300,700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19,246,644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19,107,693</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Pathway Partners Vet Management LLC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10/10/2025</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4,699,300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(46,993)</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PT Network,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04/12/2023</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12.34%</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L+1,000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41,666,667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40,959,198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41,250,000</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Shift4 Payments, LLC</w:t>
            </w:r>
          </w:p>
        </w:tc>
        <w:tc>
          <w:tcPr>
            <w:tcW w:w="900" w:type="dxa"/>
            <w:vAlign w:val="bottom"/>
          </w:tcPr>
          <w:p>
            <w:pPr>
              <w:ind w:left="120"/>
              <w:spacing w:after="0"/>
              <w:rPr>
                <w:sz w:val="20"/>
                <w:szCs w:val="20"/>
                <w:color w:val="auto"/>
              </w:rPr>
            </w:pPr>
            <w:r>
              <w:rPr>
                <w:rFonts w:ascii="Arial" w:cs="Arial" w:eastAsia="Arial" w:hAnsi="Arial"/>
                <w:sz w:val="12"/>
                <w:szCs w:val="12"/>
                <w:color w:val="auto"/>
              </w:rPr>
              <w:t>11/28/2025</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10.84%</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3M L+850</w:t>
            </w:r>
          </w:p>
        </w:tc>
        <w:tc>
          <w:tcPr>
            <w:tcW w:w="680" w:type="dxa"/>
            <w:vAlign w:val="bottom"/>
          </w:tcPr>
          <w:p>
            <w:pPr>
              <w:jc w:val="right"/>
              <w:spacing w:after="0"/>
              <w:rPr>
                <w:sz w:val="20"/>
                <w:szCs w:val="20"/>
                <w:color w:val="auto"/>
              </w:rPr>
            </w:pPr>
            <w:r>
              <w:rPr>
                <w:rFonts w:ascii="Arial" w:cs="Arial" w:eastAsia="Arial" w:hAnsi="Arial"/>
                <w:sz w:val="12"/>
                <w:szCs w:val="12"/>
                <w:color w:val="auto"/>
              </w:rPr>
              <w:t>37,000,000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36,835,458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36,768,750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VT Topco,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08/24/2026</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9.34%</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L+700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12,437,500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12,500,000</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Winter Park Intermediate, Inc.</w:t>
            </w:r>
          </w:p>
        </w:tc>
        <w:tc>
          <w:tcPr>
            <w:tcW w:w="900" w:type="dxa"/>
            <w:vAlign w:val="bottom"/>
            <w:tcBorders>
              <w:bottom w:val="single" w:sz="8" w:color="CCECFF"/>
            </w:tcBorders>
          </w:tcPr>
          <w:p>
            <w:pPr>
              <w:ind w:left="120"/>
              <w:spacing w:after="0"/>
              <w:rPr>
                <w:sz w:val="20"/>
                <w:szCs w:val="20"/>
                <w:color w:val="auto"/>
              </w:rPr>
            </w:pPr>
            <w:r>
              <w:rPr>
                <w:rFonts w:ascii="Arial" w:cs="Arial" w:eastAsia="Arial" w:hAnsi="Arial"/>
                <w:sz w:val="12"/>
                <w:szCs w:val="12"/>
                <w:color w:val="auto"/>
              </w:rPr>
              <w:t>04/03/2026</w:t>
            </w:r>
          </w:p>
        </w:tc>
        <w:tc>
          <w:tcPr>
            <w:tcW w:w="274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9"/>
              </w:rPr>
              <w:t>Auto Sector</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10.62%</w:t>
            </w:r>
          </w:p>
        </w:tc>
        <w:tc>
          <w:tcPr>
            <w:tcW w:w="96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1M L+850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32,000,000</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31,380,959</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31,680,000</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90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385,201,277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391,038,029</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Subordinated Debt/Corporate Notes—7.7%</w:t>
            </w:r>
          </w:p>
        </w:tc>
        <w:tc>
          <w:tcPr>
            <w:tcW w:w="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Blackhawk Industrial Distribution,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03/17/2025</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6"/>
              </w:rPr>
              <w:t>Distribution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12.00%</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13,230,411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13,230,000</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2.00%)</w:t>
            </w: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Cascade Environmental LLC</w:t>
            </w:r>
          </w:p>
        </w:tc>
        <w:tc>
          <w:tcPr>
            <w:tcW w:w="900" w:type="dxa"/>
            <w:vAlign w:val="bottom"/>
          </w:tcPr>
          <w:p>
            <w:pPr>
              <w:ind w:left="120"/>
              <w:spacing w:after="0"/>
              <w:rPr>
                <w:sz w:val="20"/>
                <w:szCs w:val="20"/>
                <w:color w:val="auto"/>
              </w:rPr>
            </w:pPr>
            <w:r>
              <w:rPr>
                <w:rFonts w:ascii="Arial" w:cs="Arial" w:eastAsia="Arial" w:hAnsi="Arial"/>
                <w:sz w:val="12"/>
                <w:szCs w:val="12"/>
                <w:color w:val="auto"/>
              </w:rPr>
              <w:t>08/20/2021</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15.00%</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35,792,396</w:t>
            </w: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35,386,702</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34,897,586</w:t>
            </w:r>
          </w:p>
        </w:tc>
        <w:tc>
          <w:tcPr>
            <w:tcW w:w="100" w:type="dxa"/>
            <w:vAlign w:val="bottom"/>
          </w:tcPr>
          <w:p>
            <w:pPr>
              <w:spacing w:after="0"/>
              <w:rPr>
                <w:sz w:val="12"/>
                <w:szCs w:val="12"/>
                <w:color w:val="auto"/>
              </w:rPr>
            </w:pPr>
          </w:p>
        </w:tc>
      </w:tr>
      <w:tr>
        <w:trPr>
          <w:trHeight w:val="142"/>
        </w:trPr>
        <w:tc>
          <w:tcPr>
            <w:tcW w:w="3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13.00%)</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48,617,113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48,127,586</w:t>
            </w:r>
          </w:p>
        </w:tc>
        <w:tc>
          <w:tcPr>
            <w:tcW w:w="100" w:type="dxa"/>
            <w:vAlign w:val="bottom"/>
          </w:tcPr>
          <w:p>
            <w:pPr>
              <w:spacing w:after="0"/>
              <w:rPr>
                <w:sz w:val="12"/>
                <w:szCs w:val="12"/>
                <w:color w:val="auto"/>
              </w:rPr>
            </w:pPr>
          </w:p>
        </w:tc>
      </w:tr>
      <w:tr>
        <w:trPr>
          <w:trHeight w:val="142"/>
        </w:trPr>
        <w:tc>
          <w:tcPr>
            <w:tcW w:w="30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Equity/Partnership Interests—0.2% </w:t>
            </w:r>
            <w:r>
              <w:rPr>
                <w:rFonts w:ascii="Arial" w:cs="Arial" w:eastAsia="Arial" w:hAnsi="Arial"/>
                <w:sz w:val="9"/>
                <w:szCs w:val="9"/>
                <w:b w:val="1"/>
                <w:bCs w:val="1"/>
                <w:color w:val="auto"/>
              </w:rPr>
              <w:t>(6)</w:t>
            </w:r>
          </w:p>
        </w:tc>
        <w:tc>
          <w:tcPr>
            <w:tcW w:w="900" w:type="dxa"/>
            <w:vAlign w:val="bottom"/>
            <w:tcBorders>
              <w:top w:val="single" w:sz="8" w:color="CCECFF"/>
            </w:tcBorders>
            <w:shd w:val="clear" w:color="auto" w:fill="CCECFF"/>
          </w:tcPr>
          <w:p>
            <w:pPr>
              <w:spacing w:after="0"/>
              <w:rPr>
                <w:sz w:val="12"/>
                <w:szCs w:val="12"/>
                <w:color w:val="auto"/>
              </w:rPr>
            </w:pPr>
          </w:p>
        </w:tc>
        <w:tc>
          <w:tcPr>
            <w:tcW w:w="262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74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AH Holdings, Inc.</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6.00%</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211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500,000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396,898</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CI (PTN) Investment Holdings II, LLC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36,450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546,750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565,339</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(9)</w:t>
            </w:r>
          </w:p>
        </w:tc>
        <w:tc>
          <w:tcPr>
            <w:tcW w:w="90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(8), (11)</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556,000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64,277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64,277</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(8), (11)</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556,000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491,723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491,723</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HW Holdco, LLC</w:t>
            </w:r>
          </w:p>
        </w:tc>
        <w:tc>
          <w:tcPr>
            <w:tcW w:w="900" w:type="dxa"/>
            <w:vAlign w:val="bottom"/>
            <w:tcBorders>
              <w:bottom w:val="single" w:sz="8" w:color="CCECFF"/>
            </w:tcBorders>
          </w:tcPr>
          <w:p>
            <w:pPr>
              <w:ind w:left="380"/>
              <w:spacing w:after="0"/>
              <w:rPr>
                <w:sz w:val="20"/>
                <w:szCs w:val="20"/>
                <w:color w:val="auto"/>
              </w:rPr>
            </w:pPr>
            <w:r>
              <w:rPr>
                <w:rFonts w:ascii="Arial" w:cs="Arial" w:eastAsia="Arial" w:hAnsi="Arial"/>
                <w:sz w:val="12"/>
                <w:szCs w:val="12"/>
                <w:color w:val="auto"/>
              </w:rPr>
              <w:t>—</w:t>
            </w:r>
          </w:p>
        </w:tc>
        <w:tc>
          <w:tcPr>
            <w:tcW w:w="274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2"/>
                <w:szCs w:val="12"/>
                <w:color w:val="auto"/>
                <w:w w:val="87"/>
              </w:rPr>
              <w:t>Other Media</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8.00%</w:t>
            </w:r>
          </w:p>
        </w:tc>
        <w:tc>
          <w:tcPr>
            <w:tcW w:w="96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3,591</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25,771</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90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1,602,750</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1,544,008</w:t>
            </w:r>
          </w:p>
        </w:tc>
        <w:tc>
          <w:tcPr>
            <w:tcW w:w="100" w:type="dxa"/>
            <w:vAlign w:val="bottom"/>
            <w:shd w:val="clear" w:color="auto" w:fill="CCECFF"/>
          </w:tcPr>
          <w:p>
            <w:pPr>
              <w:spacing w:after="0"/>
              <w:rPr>
                <w:sz w:val="12"/>
                <w:szCs w:val="12"/>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2"/>
              </w:rPr>
              <w:t>Basis Point</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3"/>
              </w:rPr>
              <w:t>Spread</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60" w:type="dxa"/>
            <w:vAlign w:val="bottom"/>
          </w:tcPr>
          <w:p>
            <w:pPr>
              <w:spacing w:after="0"/>
              <w:rPr>
                <w:sz w:val="11"/>
                <w:szCs w:val="11"/>
                <w:color w:val="auto"/>
              </w:rPr>
            </w:pPr>
          </w:p>
        </w:tc>
        <w:tc>
          <w:tcPr>
            <w:tcW w:w="9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Maturity /</w:t>
            </w: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Current</w:t>
            </w: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Expiration</w:t>
            </w:r>
          </w:p>
        </w:tc>
        <w:tc>
          <w:tcPr>
            <w:tcW w:w="25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Industry</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Coupon</w:t>
            </w:r>
          </w:p>
        </w:tc>
        <w:tc>
          <w:tcPr>
            <w:tcW w:w="9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68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r>
      <w:tr>
        <w:trPr>
          <w:trHeight w:val="142"/>
        </w:trPr>
        <w:tc>
          <w:tcPr>
            <w:tcW w:w="30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w w:val="93"/>
              </w:rPr>
              <w:t xml:space="preserve">Common Equity/Partnership Interests/Warrants—7.0% </w:t>
            </w:r>
            <w:r>
              <w:rPr>
                <w:rFonts w:ascii="Arial" w:cs="Arial" w:eastAsia="Arial" w:hAnsi="Arial"/>
                <w:sz w:val="9"/>
                <w:szCs w:val="9"/>
                <w:b w:val="1"/>
                <w:bCs w:val="1"/>
                <w:color w:val="auto"/>
                <w:w w:val="93"/>
              </w:rPr>
              <w:t>(6)</w:t>
            </w:r>
          </w:p>
        </w:tc>
        <w:tc>
          <w:tcPr>
            <w:tcW w:w="960" w:type="dxa"/>
            <w:vAlign w:val="bottom"/>
            <w:tcBorders>
              <w:top w:val="single" w:sz="8" w:color="auto"/>
            </w:tcBorders>
            <w:shd w:val="clear" w:color="auto" w:fill="CCECFF"/>
          </w:tcPr>
          <w:p>
            <w:pPr>
              <w:spacing w:after="0"/>
              <w:rPr>
                <w:sz w:val="12"/>
                <w:szCs w:val="12"/>
                <w:color w:val="auto"/>
              </w:rPr>
            </w:pPr>
          </w:p>
        </w:tc>
        <w:tc>
          <w:tcPr>
            <w:tcW w:w="24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74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9"/>
        </w:trPr>
        <w:tc>
          <w:tcPr>
            <w:tcW w:w="3060" w:type="dxa"/>
            <w:vAlign w:val="bottom"/>
          </w:tcPr>
          <w:p>
            <w:pPr>
              <w:spacing w:after="0"/>
              <w:rPr>
                <w:sz w:val="20"/>
                <w:szCs w:val="20"/>
                <w:color w:val="auto"/>
              </w:rPr>
            </w:pPr>
            <w:r>
              <w:rPr>
                <w:rFonts w:ascii="Arial" w:cs="Arial" w:eastAsia="Arial" w:hAnsi="Arial"/>
                <w:sz w:val="12"/>
                <w:szCs w:val="12"/>
                <w:color w:val="auto"/>
              </w:rPr>
              <w:t>AH Holdings, Inc. (Warrants)</w:t>
            </w:r>
          </w:p>
        </w:tc>
        <w:tc>
          <w:tcPr>
            <w:tcW w:w="960" w:type="dxa"/>
            <w:vAlign w:val="bottom"/>
          </w:tcPr>
          <w:p>
            <w:pPr>
              <w:ind w:left="60"/>
              <w:spacing w:after="0"/>
              <w:rPr>
                <w:sz w:val="20"/>
                <w:szCs w:val="20"/>
                <w:color w:val="auto"/>
              </w:rPr>
            </w:pPr>
            <w:r>
              <w:rPr>
                <w:rFonts w:ascii="Arial" w:cs="Arial" w:eastAsia="Arial" w:hAnsi="Arial"/>
                <w:sz w:val="12"/>
                <w:szCs w:val="12"/>
                <w:color w:val="auto"/>
              </w:rPr>
              <w:t>03/23/2021</w:t>
            </w:r>
          </w:p>
        </w:tc>
        <w:tc>
          <w:tcPr>
            <w:tcW w:w="2540" w:type="dxa"/>
            <w:vAlign w:val="bottom"/>
            <w:gridSpan w:val="2"/>
          </w:tcPr>
          <w:p>
            <w:pPr>
              <w:jc w:val="center"/>
              <w:ind w:right="26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753</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ASP LCG Holdings, Inc. (Warrants)</w:t>
            </w:r>
          </w:p>
        </w:tc>
        <w:tc>
          <w:tcPr>
            <w:tcW w:w="960" w:type="dxa"/>
            <w:vAlign w:val="bottom"/>
            <w:shd w:val="clear" w:color="auto" w:fill="CCECFF"/>
          </w:tcPr>
          <w:p>
            <w:pPr>
              <w:ind w:left="60"/>
              <w:spacing w:after="0"/>
              <w:rPr>
                <w:sz w:val="20"/>
                <w:szCs w:val="20"/>
                <w:color w:val="auto"/>
              </w:rPr>
            </w:pPr>
            <w:r>
              <w:rPr>
                <w:rFonts w:ascii="Arial" w:cs="Arial" w:eastAsia="Arial" w:hAnsi="Arial"/>
                <w:sz w:val="12"/>
                <w:szCs w:val="12"/>
                <w:color w:val="auto"/>
              </w:rPr>
              <w:t>05/05/2026</w:t>
            </w:r>
          </w:p>
        </w:tc>
        <w:tc>
          <w:tcPr>
            <w:tcW w:w="25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Education</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933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586,975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1,651,653</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Autumn Games, LLC</w:t>
            </w:r>
          </w:p>
        </w:tc>
        <w:tc>
          <w:tcPr>
            <w:tcW w:w="960" w:type="dxa"/>
            <w:vAlign w:val="bottom"/>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Broadcasting and Entertainment</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1,333,330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Cardinal Logistics Holdings LLC</w:t>
            </w:r>
          </w:p>
        </w:tc>
        <w:tc>
          <w:tcPr>
            <w:tcW w:w="96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6"/>
              </w:rPr>
              <w:t>Cargo Transport</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(13)</w:t>
            </w: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5,411,024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2,776,777</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(9)</w:t>
            </w:r>
          </w:p>
        </w:tc>
        <w:tc>
          <w:tcPr>
            <w:tcW w:w="96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60" w:type="dxa"/>
            <w:vAlign w:val="bottom"/>
          </w:tcPr>
          <w:p>
            <w:pPr>
              <w:spacing w:after="0"/>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(9)</w:t>
            </w:r>
          </w:p>
        </w:tc>
        <w:tc>
          <w:tcPr>
            <w:tcW w:w="960" w:type="dxa"/>
            <w:vAlign w:val="bottom"/>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33,901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2,852,080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1,186,539</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CI (Allied) Investment Holdings, LLC</w:t>
            </w:r>
          </w:p>
        </w:tc>
        <w:tc>
          <w:tcPr>
            <w:tcW w:w="96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840,004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957,866</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(Allied America, Inc.) </w:t>
            </w:r>
            <w:r>
              <w:rPr>
                <w:rFonts w:ascii="Arial" w:cs="Arial" w:eastAsia="Arial" w:hAnsi="Arial"/>
                <w:sz w:val="9"/>
                <w:szCs w:val="9"/>
                <w:color w:val="auto"/>
              </w:rPr>
              <w:t>(9)</w:t>
            </w:r>
          </w:p>
        </w:tc>
        <w:tc>
          <w:tcPr>
            <w:tcW w:w="96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6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960" w:type="dxa"/>
            <w:vAlign w:val="bottom"/>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26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333,333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tcPr>
          <w:p>
            <w:pPr>
              <w:spacing w:after="0"/>
              <w:rPr>
                <w:sz w:val="13"/>
                <w:szCs w:val="13"/>
                <w:color w:val="auto"/>
              </w:rPr>
            </w:pPr>
          </w:p>
        </w:tc>
      </w:tr>
      <w:tr>
        <w:trPr>
          <w:trHeight w:val="141"/>
        </w:trPr>
        <w:tc>
          <w:tcPr>
            <w:tcW w:w="3060" w:type="dxa"/>
            <w:vAlign w:val="bottom"/>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(9)</w:t>
            </w:r>
          </w:p>
        </w:tc>
        <w:tc>
          <w:tcPr>
            <w:tcW w:w="9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CI (Summit) Investment Holdings LLC</w:t>
            </w:r>
          </w:p>
        </w:tc>
        <w:tc>
          <w:tcPr>
            <w:tcW w:w="96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7"/>
              </w:rPr>
              <w:t>Buildings and Real Estate</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1,245,827</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shd w:val="clear" w:color="auto" w:fill="CCECFF"/>
          </w:tcPr>
          <w:p>
            <w:pPr>
              <w:ind w:left="140"/>
              <w:spacing w:after="0"/>
              <w:rPr>
                <w:sz w:val="20"/>
                <w:szCs w:val="20"/>
                <w:color w:val="auto"/>
              </w:rPr>
            </w:pPr>
            <w:r>
              <w:rPr>
                <w:rFonts w:ascii="Arial" w:cs="Arial" w:eastAsia="Arial" w:hAnsi="Arial"/>
                <w:sz w:val="12"/>
                <w:szCs w:val="12"/>
                <w:color w:val="auto"/>
              </w:rPr>
              <w:t>(SFP Holdings, Inc.)</w:t>
            </w:r>
          </w:p>
        </w:tc>
        <w:tc>
          <w:tcPr>
            <w:tcW w:w="96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60" w:type="dxa"/>
            <w:vAlign w:val="bottom"/>
          </w:tcPr>
          <w:p>
            <w:pPr>
              <w:spacing w:after="0"/>
              <w:rPr>
                <w:sz w:val="20"/>
                <w:szCs w:val="20"/>
                <w:color w:val="auto"/>
              </w:rPr>
            </w:pPr>
            <w:r>
              <w:rPr>
                <w:rFonts w:ascii="Arial" w:cs="Arial" w:eastAsia="Arial" w:hAnsi="Arial"/>
                <w:sz w:val="12"/>
                <w:szCs w:val="12"/>
                <w:color w:val="auto"/>
              </w:rPr>
              <w:t>Cowboy Parent LLC</w:t>
            </w:r>
          </w:p>
        </w:tc>
        <w:tc>
          <w:tcPr>
            <w:tcW w:w="960" w:type="dxa"/>
            <w:vAlign w:val="bottom"/>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260"/>
              <w:spacing w:after="0"/>
              <w:rPr>
                <w:sz w:val="20"/>
                <w:szCs w:val="20"/>
                <w:color w:val="auto"/>
              </w:rPr>
            </w:pPr>
            <w:r>
              <w:rPr>
                <w:rFonts w:ascii="Arial" w:cs="Arial" w:eastAsia="Arial" w:hAnsi="Arial"/>
                <w:sz w:val="12"/>
                <w:szCs w:val="12"/>
                <w:color w:val="auto"/>
                <w:w w:val="93"/>
              </w:rPr>
              <w:t>Distribution</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2,250,000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2,250,000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2,250,000</w:t>
            </w:r>
          </w:p>
        </w:tc>
        <w:tc>
          <w:tcPr>
            <w:tcW w:w="100" w:type="dxa"/>
            <w:vAlign w:val="bottom"/>
          </w:tcPr>
          <w:p>
            <w:pPr>
              <w:spacing w:after="0"/>
              <w:rPr>
                <w:sz w:val="13"/>
                <w:szCs w:val="13"/>
                <w:color w:val="auto"/>
              </w:rPr>
            </w:pPr>
          </w:p>
        </w:tc>
      </w:tr>
      <w:tr>
        <w:trPr>
          <w:trHeight w:val="141"/>
        </w:trPr>
        <w:tc>
          <w:tcPr>
            <w:tcW w:w="3060" w:type="dxa"/>
            <w:vAlign w:val="bottom"/>
          </w:tcPr>
          <w:p>
            <w:pPr>
              <w:ind w:left="140"/>
              <w:spacing w:after="0"/>
              <w:rPr>
                <w:sz w:val="20"/>
                <w:szCs w:val="20"/>
                <w:color w:val="auto"/>
              </w:rPr>
            </w:pPr>
            <w:r>
              <w:rPr>
                <w:rFonts w:ascii="Arial" w:cs="Arial" w:eastAsia="Arial" w:hAnsi="Arial"/>
                <w:sz w:val="12"/>
                <w:szCs w:val="12"/>
                <w:color w:val="auto"/>
              </w:rPr>
              <w:t>(Blackhawk Industrial Distribution, Inc.)</w:t>
            </w:r>
          </w:p>
        </w:tc>
        <w:tc>
          <w:tcPr>
            <w:tcW w:w="9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DecoPac Holdings Inc.</w:t>
            </w:r>
          </w:p>
        </w:tc>
        <w:tc>
          <w:tcPr>
            <w:tcW w:w="96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3,449</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3,448,658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4,165,759</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(11)</w:t>
            </w:r>
          </w:p>
        </w:tc>
        <w:tc>
          <w:tcPr>
            <w:tcW w:w="960" w:type="dxa"/>
            <w:vAlign w:val="bottom"/>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1,049,378</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w:t>
            </w:r>
          </w:p>
        </w:tc>
        <w:tc>
          <w:tcPr>
            <w:tcW w:w="96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92"/>
              </w:rPr>
              <w:t>Building Materials</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4,277</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217,635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1,147,011</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Green Veracity Holdings, LP - Class A (VT Topco, Inc.)</w:t>
            </w:r>
          </w:p>
        </w:tc>
        <w:tc>
          <w:tcPr>
            <w:tcW w:w="960" w:type="dxa"/>
            <w:vAlign w:val="bottom"/>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15,000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1,500,000</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HW Holdco, LLC</w:t>
            </w:r>
          </w:p>
        </w:tc>
        <w:tc>
          <w:tcPr>
            <w:tcW w:w="96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90"/>
              </w:rPr>
              <w:t>Other Media</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388,378</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2,787,265</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Infogroup Parent Holdings, Inc.</w:t>
            </w:r>
          </w:p>
        </w:tc>
        <w:tc>
          <w:tcPr>
            <w:tcW w:w="960" w:type="dxa"/>
            <w:vAlign w:val="bottom"/>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260"/>
              <w:spacing w:after="0"/>
              <w:rPr>
                <w:sz w:val="20"/>
                <w:szCs w:val="20"/>
                <w:color w:val="auto"/>
              </w:rPr>
            </w:pPr>
            <w:r>
              <w:rPr>
                <w:rFonts w:ascii="Arial" w:cs="Arial" w:eastAsia="Arial" w:hAnsi="Arial"/>
                <w:sz w:val="12"/>
                <w:szCs w:val="12"/>
                <w:color w:val="auto"/>
                <w:w w:val="90"/>
              </w:rPr>
              <w:t>Other Media</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181,495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2,040,000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2,167,874</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(9)</w:t>
            </w:r>
          </w:p>
        </w:tc>
        <w:tc>
          <w:tcPr>
            <w:tcW w:w="96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204,985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2,049,849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3,654,472</w:t>
            </w:r>
          </w:p>
        </w:tc>
        <w:tc>
          <w:tcPr>
            <w:tcW w:w="100" w:type="dxa"/>
            <w:vAlign w:val="bottom"/>
            <w:shd w:val="clear" w:color="auto" w:fill="CCECFF"/>
          </w:tcPr>
          <w:p>
            <w:pPr>
              <w:spacing w:after="0"/>
              <w:rPr>
                <w:sz w:val="12"/>
                <w:szCs w:val="12"/>
                <w:color w:val="auto"/>
              </w:rPr>
            </w:pPr>
          </w:p>
        </w:tc>
      </w:tr>
      <w:tr>
        <w:trPr>
          <w:trHeight w:val="156"/>
        </w:trPr>
        <w:tc>
          <w:tcPr>
            <w:tcW w:w="3060" w:type="dxa"/>
            <w:vAlign w:val="bottom"/>
          </w:tcPr>
          <w:p>
            <w:pPr>
              <w:spacing w:after="0"/>
              <w:rPr>
                <w:sz w:val="20"/>
                <w:szCs w:val="20"/>
                <w:color w:val="auto"/>
              </w:rPr>
            </w:pPr>
            <w:r>
              <w:rPr>
                <w:rFonts w:ascii="Arial" w:cs="Arial" w:eastAsia="Arial" w:hAnsi="Arial"/>
                <w:sz w:val="12"/>
                <w:szCs w:val="12"/>
                <w:color w:val="auto"/>
              </w:rPr>
              <w:t>JWC-WE Holdings, L.P.</w:t>
            </w:r>
          </w:p>
        </w:tc>
        <w:tc>
          <w:tcPr>
            <w:tcW w:w="960" w:type="dxa"/>
            <w:vAlign w:val="bottom"/>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260"/>
              <w:spacing w:after="0"/>
              <w:rPr>
                <w:sz w:val="20"/>
                <w:szCs w:val="20"/>
                <w:color w:val="auto"/>
              </w:rPr>
            </w:pPr>
            <w:r>
              <w:rPr>
                <w:rFonts w:ascii="Arial" w:cs="Arial" w:eastAsia="Arial" w:hAnsi="Arial"/>
                <w:sz w:val="12"/>
                <w:szCs w:val="12"/>
                <w:color w:val="auto"/>
                <w:w w:val="90"/>
              </w:rPr>
              <w:t>Home and Office Furnishings</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1,906,433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1,906,433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1,906,433</w:t>
            </w:r>
          </w:p>
        </w:tc>
        <w:tc>
          <w:tcPr>
            <w:tcW w:w="100" w:type="dxa"/>
            <w:vAlign w:val="bottom"/>
          </w:tcPr>
          <w:p>
            <w:pPr>
              <w:spacing w:after="0"/>
              <w:rPr>
                <w:sz w:val="13"/>
                <w:szCs w:val="13"/>
                <w:color w:val="auto"/>
              </w:rPr>
            </w:pPr>
          </w:p>
        </w:tc>
      </w:tr>
      <w:tr>
        <w:trPr>
          <w:trHeight w:val="142"/>
        </w:trPr>
        <w:tc>
          <w:tcPr>
            <w:tcW w:w="3060" w:type="dxa"/>
            <w:vAlign w:val="bottom"/>
          </w:tcPr>
          <w:p>
            <w:pPr>
              <w:ind w:left="140"/>
              <w:spacing w:after="0"/>
              <w:rPr>
                <w:sz w:val="20"/>
                <w:szCs w:val="20"/>
                <w:color w:val="auto"/>
              </w:rPr>
            </w:pPr>
            <w:r>
              <w:rPr>
                <w:rFonts w:ascii="Arial" w:cs="Arial" w:eastAsia="Arial" w:hAnsi="Arial"/>
                <w:sz w:val="12"/>
                <w:szCs w:val="12"/>
                <w:color w:val="auto"/>
              </w:rPr>
              <w:t>(Walker Edison Furniture Company LLC)</w:t>
            </w:r>
          </w:p>
        </w:tc>
        <w:tc>
          <w:tcPr>
            <w:tcW w:w="9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(12)</w:t>
            </w:r>
          </w:p>
        </w:tc>
        <w:tc>
          <w:tcPr>
            <w:tcW w:w="96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252,014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2,265,639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841,727</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(9)</w:t>
            </w:r>
          </w:p>
        </w:tc>
        <w:tc>
          <w:tcPr>
            <w:tcW w:w="960" w:type="dxa"/>
            <w:vAlign w:val="bottom"/>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260"/>
              <w:spacing w:after="0"/>
              <w:rPr>
                <w:sz w:val="20"/>
                <w:szCs w:val="20"/>
                <w:color w:val="auto"/>
              </w:rPr>
            </w:pPr>
            <w:r>
              <w:rPr>
                <w:rFonts w:ascii="Arial" w:cs="Arial" w:eastAsia="Arial" w:hAnsi="Arial"/>
                <w:sz w:val="12"/>
                <w:szCs w:val="12"/>
                <w:color w:val="auto"/>
                <w:w w:val="93"/>
              </w:rPr>
              <w:t>Distribution</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493,280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522,889</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(9)</w:t>
            </w:r>
          </w:p>
        </w:tc>
        <w:tc>
          <w:tcPr>
            <w:tcW w:w="96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1,148,703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1,158,703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672,195</w:t>
            </w:r>
          </w:p>
        </w:tc>
        <w:tc>
          <w:tcPr>
            <w:tcW w:w="100" w:type="dxa"/>
            <w:vAlign w:val="bottom"/>
            <w:shd w:val="clear" w:color="auto" w:fill="CCECFF"/>
          </w:tcPr>
          <w:p>
            <w:pPr>
              <w:spacing w:after="0"/>
              <w:rPr>
                <w:sz w:val="12"/>
                <w:szCs w:val="12"/>
                <w:color w:val="auto"/>
              </w:rPr>
            </w:pPr>
          </w:p>
        </w:tc>
      </w:tr>
      <w:tr>
        <w:trPr>
          <w:trHeight w:val="156"/>
        </w:trPr>
        <w:tc>
          <w:tcPr>
            <w:tcW w:w="3060" w:type="dxa"/>
            <w:vAlign w:val="bottom"/>
          </w:tcPr>
          <w:p>
            <w:pPr>
              <w:spacing w:after="0"/>
              <w:rPr>
                <w:sz w:val="20"/>
                <w:szCs w:val="20"/>
                <w:color w:val="auto"/>
              </w:rPr>
            </w:pPr>
            <w:r>
              <w:rPr>
                <w:rFonts w:ascii="Arial" w:cs="Arial" w:eastAsia="Arial" w:hAnsi="Arial"/>
                <w:sz w:val="12"/>
                <w:szCs w:val="12"/>
                <w:color w:val="auto"/>
              </w:rPr>
              <w:t>SSC Dominion Holdings, LLC</w:t>
            </w:r>
          </w:p>
        </w:tc>
        <w:tc>
          <w:tcPr>
            <w:tcW w:w="960" w:type="dxa"/>
            <w:vAlign w:val="bottom"/>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Electronics</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1,500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1,500,000</w:t>
            </w:r>
          </w:p>
        </w:tc>
        <w:tc>
          <w:tcPr>
            <w:tcW w:w="100" w:type="dxa"/>
            <w:vAlign w:val="bottom"/>
          </w:tcPr>
          <w:p>
            <w:pPr>
              <w:spacing w:after="0"/>
              <w:rPr>
                <w:sz w:val="13"/>
                <w:szCs w:val="13"/>
                <w:color w:val="auto"/>
              </w:rPr>
            </w:pPr>
          </w:p>
        </w:tc>
      </w:tr>
      <w:tr>
        <w:trPr>
          <w:trHeight w:val="142"/>
        </w:trPr>
        <w:tc>
          <w:tcPr>
            <w:tcW w:w="3060" w:type="dxa"/>
            <w:vAlign w:val="bottom"/>
          </w:tcPr>
          <w:p>
            <w:pPr>
              <w:ind w:left="140"/>
              <w:spacing w:after="0"/>
              <w:rPr>
                <w:sz w:val="20"/>
                <w:szCs w:val="20"/>
                <w:color w:val="auto"/>
              </w:rPr>
            </w:pPr>
            <w:r>
              <w:rPr>
                <w:rFonts w:ascii="Arial" w:cs="Arial" w:eastAsia="Arial" w:hAnsi="Arial"/>
                <w:sz w:val="12"/>
                <w:szCs w:val="12"/>
                <w:color w:val="auto"/>
              </w:rPr>
              <w:t>Class A (US Dominion, Inc.)</w:t>
            </w:r>
          </w:p>
        </w:tc>
        <w:tc>
          <w:tcPr>
            <w:tcW w:w="9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SSC Dominion Holdings, LLC</w:t>
            </w:r>
          </w:p>
        </w:tc>
        <w:tc>
          <w:tcPr>
            <w:tcW w:w="96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Electronics</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60" w:type="dxa"/>
            <w:vAlign w:val="bottom"/>
            <w:shd w:val="clear" w:color="auto" w:fill="CCECFF"/>
          </w:tcPr>
          <w:p>
            <w:pPr>
              <w:ind w:left="140"/>
              <w:spacing w:after="0"/>
              <w:rPr>
                <w:sz w:val="20"/>
                <w:szCs w:val="20"/>
                <w:color w:val="auto"/>
              </w:rPr>
            </w:pPr>
            <w:r>
              <w:rPr>
                <w:rFonts w:ascii="Arial" w:cs="Arial" w:eastAsia="Arial" w:hAnsi="Arial"/>
                <w:sz w:val="12"/>
                <w:szCs w:val="12"/>
                <w:color w:val="auto"/>
              </w:rPr>
              <w:t>Class B (US Dominion, Inc.)</w:t>
            </w:r>
          </w:p>
        </w:tc>
        <w:tc>
          <w:tcPr>
            <w:tcW w:w="96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60" w:type="dxa"/>
            <w:vAlign w:val="bottom"/>
          </w:tcPr>
          <w:p>
            <w:pPr>
              <w:spacing w:after="0"/>
              <w:rPr>
                <w:sz w:val="20"/>
                <w:szCs w:val="20"/>
                <w:color w:val="auto"/>
              </w:rPr>
            </w:pPr>
            <w:r>
              <w:rPr>
                <w:rFonts w:ascii="Arial" w:cs="Arial" w:eastAsia="Arial" w:hAnsi="Arial"/>
                <w:sz w:val="12"/>
                <w:szCs w:val="12"/>
                <w:color w:val="auto"/>
              </w:rPr>
              <w:t>WBB Equity, LLC</w:t>
            </w:r>
          </w:p>
        </w:tc>
        <w:tc>
          <w:tcPr>
            <w:tcW w:w="960" w:type="dxa"/>
            <w:vAlign w:val="bottom"/>
          </w:tcPr>
          <w:p>
            <w:pPr>
              <w:spacing w:after="0"/>
              <w:rPr>
                <w:sz w:val="13"/>
                <w:szCs w:val="13"/>
                <w:color w:val="auto"/>
              </w:rPr>
            </w:pPr>
          </w:p>
        </w:tc>
        <w:tc>
          <w:tcPr>
            <w:tcW w:w="254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628,571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628,571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1,181,714</w:t>
            </w:r>
          </w:p>
        </w:tc>
        <w:tc>
          <w:tcPr>
            <w:tcW w:w="100" w:type="dxa"/>
            <w:vAlign w:val="bottom"/>
          </w:tcPr>
          <w:p>
            <w:pPr>
              <w:spacing w:after="0"/>
              <w:rPr>
                <w:sz w:val="13"/>
                <w:szCs w:val="13"/>
                <w:color w:val="auto"/>
              </w:rPr>
            </w:pPr>
          </w:p>
        </w:tc>
      </w:tr>
      <w:tr>
        <w:trPr>
          <w:trHeight w:val="141"/>
        </w:trPr>
        <w:tc>
          <w:tcPr>
            <w:tcW w:w="3060" w:type="dxa"/>
            <w:vAlign w:val="bottom"/>
          </w:tcPr>
          <w:p>
            <w:pPr>
              <w:ind w:left="140"/>
              <w:spacing w:after="0"/>
              <w:rPr>
                <w:sz w:val="20"/>
                <w:szCs w:val="20"/>
                <w:color w:val="auto"/>
              </w:rPr>
            </w:pPr>
            <w:r>
              <w:rPr>
                <w:rFonts w:ascii="Arial" w:cs="Arial" w:eastAsia="Arial" w:hAnsi="Arial"/>
                <w:sz w:val="12"/>
                <w:szCs w:val="12"/>
                <w:color w:val="auto"/>
              </w:rPr>
              <w:t xml:space="preserve">(Whitney, Bradley &amp; Brown, Inc.) </w:t>
            </w:r>
            <w:r>
              <w:rPr>
                <w:rFonts w:ascii="Arial" w:cs="Arial" w:eastAsia="Arial" w:hAnsi="Arial"/>
                <w:sz w:val="9"/>
                <w:szCs w:val="9"/>
                <w:color w:val="auto"/>
              </w:rPr>
              <w:t>(9)</w:t>
            </w:r>
          </w:p>
        </w:tc>
        <w:tc>
          <w:tcPr>
            <w:tcW w:w="9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Wheel Pros Holdings, L.P.</w:t>
            </w:r>
          </w:p>
        </w:tc>
        <w:tc>
          <w:tcPr>
            <w:tcW w:w="960" w:type="dxa"/>
            <w:vAlign w:val="bottom"/>
            <w:shd w:val="clear" w:color="auto" w:fill="CCECFF"/>
          </w:tcPr>
          <w:p>
            <w:pPr>
              <w:spacing w:after="0"/>
              <w:rPr>
                <w:sz w:val="12"/>
                <w:szCs w:val="12"/>
                <w:color w:val="auto"/>
              </w:rPr>
            </w:pPr>
          </w:p>
        </w:tc>
        <w:tc>
          <w:tcPr>
            <w:tcW w:w="25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Auto Sector</w:t>
            </w: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4,513,118</w:t>
            </w:r>
          </w:p>
        </w:tc>
        <w:tc>
          <w:tcPr>
            <w:tcW w:w="100" w:type="dxa"/>
            <w:vAlign w:val="bottom"/>
            <w:shd w:val="clear" w:color="auto" w:fill="CCECFF"/>
          </w:tcPr>
          <w:p>
            <w:pPr>
              <w:spacing w:after="0"/>
              <w:rPr>
                <w:sz w:val="12"/>
                <w:szCs w:val="12"/>
                <w:color w:val="auto"/>
              </w:rPr>
            </w:pPr>
          </w:p>
        </w:tc>
      </w:tr>
      <w:tr>
        <w:trPr>
          <w:trHeight w:val="149"/>
        </w:trPr>
        <w:tc>
          <w:tcPr>
            <w:tcW w:w="3060" w:type="dxa"/>
            <w:vAlign w:val="bottom"/>
            <w:shd w:val="clear" w:color="auto" w:fill="CCECFF"/>
          </w:tcPr>
          <w:p>
            <w:pPr>
              <w:ind w:left="140"/>
              <w:spacing w:after="0"/>
              <w:rPr>
                <w:sz w:val="20"/>
                <w:szCs w:val="20"/>
                <w:color w:val="auto"/>
              </w:rPr>
            </w:pPr>
            <w:r>
              <w:rPr>
                <w:rFonts w:ascii="Arial" w:cs="Arial" w:eastAsia="Arial" w:hAnsi="Arial"/>
                <w:sz w:val="12"/>
                <w:szCs w:val="12"/>
                <w:color w:val="auto"/>
              </w:rPr>
              <w:t>(Winter Park Intermediate, Inc.)</w:t>
            </w:r>
          </w:p>
        </w:tc>
        <w:tc>
          <w:tcPr>
            <w:tcW w:w="96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5"/>
        </w:trPr>
        <w:tc>
          <w:tcPr>
            <w:tcW w:w="3060" w:type="dxa"/>
            <w:vAlign w:val="bottom"/>
          </w:tcPr>
          <w:p>
            <w:pPr>
              <w:spacing w:after="0"/>
              <w:rPr>
                <w:sz w:val="20"/>
                <w:szCs w:val="20"/>
                <w:color w:val="auto"/>
              </w:rPr>
            </w:pPr>
            <w:r>
              <w:rPr>
                <w:rFonts w:ascii="Arial" w:cs="Arial" w:eastAsia="Arial" w:hAnsi="Arial"/>
                <w:sz w:val="12"/>
                <w:szCs w:val="12"/>
                <w:color w:val="auto"/>
              </w:rPr>
              <w:t>ZS Juniper L.P.</w:t>
            </w:r>
          </w:p>
        </w:tc>
        <w:tc>
          <w:tcPr>
            <w:tcW w:w="960" w:type="dxa"/>
            <w:vAlign w:val="bottom"/>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260"/>
              <w:spacing w:after="0"/>
              <w:rPr>
                <w:sz w:val="20"/>
                <w:szCs w:val="20"/>
                <w:color w:val="auto"/>
              </w:rPr>
            </w:pPr>
            <w:r>
              <w:rPr>
                <w:rFonts w:ascii="Arial" w:cs="Arial" w:eastAsia="Arial" w:hAnsi="Arial"/>
                <w:sz w:val="12"/>
                <w:szCs w:val="12"/>
                <w:color w:val="auto"/>
                <w:w w:val="87"/>
              </w:rPr>
              <w:t>Personal, Food and Miscellaneous Services</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856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855,515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1,035,599</w:t>
            </w:r>
          </w:p>
        </w:tc>
        <w:tc>
          <w:tcPr>
            <w:tcW w:w="100" w:type="dxa"/>
            <w:vAlign w:val="bottom"/>
          </w:tcPr>
          <w:p>
            <w:pPr>
              <w:spacing w:after="0"/>
              <w:rPr>
                <w:sz w:val="13"/>
                <w:szCs w:val="13"/>
                <w:color w:val="auto"/>
              </w:rPr>
            </w:pPr>
          </w:p>
        </w:tc>
      </w:tr>
      <w:tr>
        <w:trPr>
          <w:trHeight w:val="141"/>
        </w:trPr>
        <w:tc>
          <w:tcPr>
            <w:tcW w:w="3060" w:type="dxa"/>
            <w:vAlign w:val="bottom"/>
            <w:tcBorders>
              <w:bottom w:val="single" w:sz="8" w:color="CCECFF"/>
            </w:tcBorders>
          </w:tcPr>
          <w:p>
            <w:pPr>
              <w:ind w:left="140"/>
              <w:spacing w:after="0"/>
              <w:rPr>
                <w:sz w:val="20"/>
                <w:szCs w:val="20"/>
                <w:color w:val="auto"/>
              </w:rPr>
            </w:pPr>
            <w:r>
              <w:rPr>
                <w:rFonts w:ascii="Arial" w:cs="Arial" w:eastAsia="Arial" w:hAnsi="Arial"/>
                <w:sz w:val="12"/>
                <w:szCs w:val="12"/>
                <w:color w:val="auto"/>
              </w:rPr>
              <w:t xml:space="preserve">(Juniper Landscaping of Florida, LLC) </w:t>
            </w:r>
            <w:r>
              <w:rPr>
                <w:rFonts w:ascii="Arial" w:cs="Arial" w:eastAsia="Arial" w:hAnsi="Arial"/>
                <w:sz w:val="9"/>
                <w:szCs w:val="9"/>
                <w:color w:val="auto"/>
              </w:rPr>
              <w:t>(9)</w:t>
            </w:r>
          </w:p>
        </w:tc>
        <w:tc>
          <w:tcPr>
            <w:tcW w:w="960" w:type="dxa"/>
            <w:vAlign w:val="bottom"/>
            <w:tcBorders>
              <w:bottom w:val="single" w:sz="8" w:color="CCECFF"/>
            </w:tcBorders>
          </w:tcPr>
          <w:p>
            <w:pPr>
              <w:spacing w:after="0"/>
              <w:rPr>
                <w:sz w:val="12"/>
                <w:szCs w:val="12"/>
                <w:color w:val="auto"/>
              </w:rPr>
            </w:pPr>
          </w:p>
        </w:tc>
        <w:tc>
          <w:tcPr>
            <w:tcW w:w="24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7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6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43,004,366</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43,714,096</w:t>
            </w:r>
          </w:p>
        </w:tc>
        <w:tc>
          <w:tcPr>
            <w:tcW w:w="100" w:type="dxa"/>
            <w:vAlign w:val="bottom"/>
            <w:shd w:val="clear" w:color="auto" w:fill="CCECFF"/>
          </w:tcPr>
          <w:p>
            <w:pPr>
              <w:spacing w:after="0"/>
              <w:rPr>
                <w:sz w:val="12"/>
                <w:szCs w:val="12"/>
                <w:color w:val="auto"/>
              </w:rPr>
            </w:pPr>
          </w:p>
        </w:tc>
      </w:tr>
      <w:tr>
        <w:trPr>
          <w:trHeight w:val="142"/>
        </w:trPr>
        <w:tc>
          <w:tcPr>
            <w:tcW w:w="402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6"/>
              </w:rPr>
              <w:t>Total Investments in Non-Controlled, Non-Affiliated Portfolio Companies</w:t>
            </w:r>
          </w:p>
        </w:tc>
        <w:tc>
          <w:tcPr>
            <w:tcW w:w="24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7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896,720,950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905,271,258</w:t>
            </w:r>
          </w:p>
        </w:tc>
        <w:tc>
          <w:tcPr>
            <w:tcW w:w="100" w:type="dxa"/>
            <w:vAlign w:val="bottom"/>
            <w:tcBorders>
              <w:bottom w:val="single" w:sz="8" w:color="CCECFF"/>
            </w:tcBorders>
          </w:tcPr>
          <w:p>
            <w:pPr>
              <w:spacing w:after="0"/>
              <w:rPr>
                <w:sz w:val="12"/>
                <w:szCs w:val="12"/>
                <w:color w:val="auto"/>
              </w:rPr>
            </w:pPr>
          </w:p>
        </w:tc>
      </w:tr>
      <w:tr>
        <w:trPr>
          <w:trHeight w:val="142"/>
        </w:trPr>
        <w:tc>
          <w:tcPr>
            <w:tcW w:w="402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3"/>
              </w:rPr>
              <w:t xml:space="preserve">Investments in Non-Controlled, Affiliated Portfolio Companies—12.4% </w:t>
            </w:r>
            <w:r>
              <w:rPr>
                <w:rFonts w:ascii="Arial" w:cs="Arial" w:eastAsia="Arial" w:hAnsi="Arial"/>
                <w:sz w:val="9"/>
                <w:szCs w:val="9"/>
                <w:b w:val="1"/>
                <w:bCs w:val="1"/>
                <w:color w:val="auto"/>
                <w:w w:val="93"/>
              </w:rPr>
              <w:t>(1), (2)</w:t>
            </w: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b w:val="1"/>
                <w:bCs w:val="1"/>
                <w:color w:val="auto"/>
              </w:rPr>
              <w:t>First Lien Secured Debt—1.9%</w:t>
            </w:r>
          </w:p>
        </w:tc>
        <w:tc>
          <w:tcPr>
            <w:tcW w:w="9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U.S. Well Services, LLC</w:t>
            </w:r>
          </w:p>
        </w:tc>
        <w:tc>
          <w:tcPr>
            <w:tcW w:w="960" w:type="dxa"/>
            <w:vAlign w:val="bottom"/>
            <w:shd w:val="clear" w:color="auto" w:fill="CCECFF"/>
          </w:tcPr>
          <w:p>
            <w:pPr>
              <w:ind w:left="60"/>
              <w:spacing w:after="0"/>
              <w:rPr>
                <w:sz w:val="20"/>
                <w:szCs w:val="20"/>
                <w:color w:val="auto"/>
              </w:rPr>
            </w:pPr>
            <w:r>
              <w:rPr>
                <w:rFonts w:ascii="Arial" w:cs="Arial" w:eastAsia="Arial" w:hAnsi="Arial"/>
                <w:sz w:val="12"/>
                <w:szCs w:val="12"/>
                <w:color w:val="auto"/>
              </w:rPr>
              <w:t>02/02/2022</w:t>
            </w:r>
          </w:p>
        </w:tc>
        <w:tc>
          <w:tcPr>
            <w:tcW w:w="25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13.08%</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L+1,100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10,160,537</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10,098,625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10,160,537</w:t>
            </w:r>
          </w:p>
        </w:tc>
        <w:tc>
          <w:tcPr>
            <w:tcW w:w="100" w:type="dxa"/>
            <w:vAlign w:val="bottom"/>
            <w:shd w:val="clear" w:color="auto" w:fill="CCECFF"/>
          </w:tcPr>
          <w:p>
            <w:pPr>
              <w:spacing w:after="0"/>
              <w:rPr>
                <w:sz w:val="12"/>
                <w:szCs w:val="12"/>
                <w:color w:val="auto"/>
              </w:rPr>
            </w:pPr>
          </w:p>
        </w:tc>
      </w:tr>
      <w:tr>
        <w:trPr>
          <w:trHeight w:val="149"/>
        </w:trPr>
        <w:tc>
          <w:tcPr>
            <w:tcW w:w="306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ind w:left="160"/>
              <w:spacing w:after="0"/>
              <w:rPr>
                <w:sz w:val="20"/>
                <w:szCs w:val="20"/>
                <w:color w:val="auto"/>
              </w:rPr>
            </w:pPr>
            <w:r>
              <w:rPr>
                <w:rFonts w:ascii="Arial" w:cs="Arial" w:eastAsia="Arial" w:hAnsi="Arial"/>
                <w:sz w:val="12"/>
                <w:szCs w:val="12"/>
                <w:color w:val="auto"/>
              </w:rPr>
              <w:t>(PIK 13.08%)</w:t>
            </w: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U.S. Well Services, LLC (Revolver)</w:t>
            </w:r>
          </w:p>
        </w:tc>
        <w:tc>
          <w:tcPr>
            <w:tcW w:w="960" w:type="dxa"/>
            <w:vAlign w:val="bottom"/>
          </w:tcPr>
          <w:p>
            <w:pPr>
              <w:ind w:left="60"/>
              <w:spacing w:after="0"/>
              <w:rPr>
                <w:sz w:val="20"/>
                <w:szCs w:val="20"/>
                <w:color w:val="auto"/>
              </w:rPr>
            </w:pPr>
            <w:r>
              <w:rPr>
                <w:rFonts w:ascii="Arial" w:cs="Arial" w:eastAsia="Arial" w:hAnsi="Arial"/>
                <w:sz w:val="12"/>
                <w:szCs w:val="12"/>
                <w:color w:val="auto"/>
              </w:rPr>
              <w:t>02/02/2022</w:t>
            </w:r>
          </w:p>
        </w:tc>
        <w:tc>
          <w:tcPr>
            <w:tcW w:w="254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8.08%</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1M L+600</w:t>
            </w:r>
          </w:p>
        </w:tc>
        <w:tc>
          <w:tcPr>
            <w:tcW w:w="680" w:type="dxa"/>
            <w:vAlign w:val="bottom"/>
          </w:tcPr>
          <w:p>
            <w:pPr>
              <w:jc w:val="right"/>
              <w:spacing w:after="0"/>
              <w:rPr>
                <w:sz w:val="20"/>
                <w:szCs w:val="20"/>
                <w:color w:val="auto"/>
              </w:rPr>
            </w:pPr>
            <w:r>
              <w:rPr>
                <w:rFonts w:ascii="Arial" w:cs="Arial" w:eastAsia="Arial" w:hAnsi="Arial"/>
                <w:sz w:val="12"/>
                <w:szCs w:val="12"/>
                <w:color w:val="auto"/>
              </w:rPr>
              <w:t>1,680,528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1,680,528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1,680,528</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(7)</w:t>
            </w:r>
          </w:p>
        </w:tc>
        <w:tc>
          <w:tcPr>
            <w:tcW w:w="960" w:type="dxa"/>
            <w:vAlign w:val="bottom"/>
            <w:shd w:val="clear" w:color="auto" w:fill="CCECFF"/>
          </w:tcPr>
          <w:p>
            <w:pPr>
              <w:ind w:left="60"/>
              <w:spacing w:after="0"/>
              <w:rPr>
                <w:sz w:val="20"/>
                <w:szCs w:val="20"/>
                <w:color w:val="auto"/>
              </w:rPr>
            </w:pPr>
            <w:r>
              <w:rPr>
                <w:rFonts w:ascii="Arial" w:cs="Arial" w:eastAsia="Arial" w:hAnsi="Arial"/>
                <w:sz w:val="12"/>
                <w:szCs w:val="12"/>
                <w:color w:val="auto"/>
              </w:rPr>
              <w:t>02/02/2022</w:t>
            </w:r>
          </w:p>
        </w:tc>
        <w:tc>
          <w:tcPr>
            <w:tcW w:w="25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511,893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960" w:type="dxa"/>
            <w:vAlign w:val="bottom"/>
            <w:tcBorders>
              <w:bottom w:val="single" w:sz="8" w:color="CCECFF"/>
            </w:tcBorders>
          </w:tcPr>
          <w:p>
            <w:pPr>
              <w:spacing w:after="0"/>
              <w:rPr>
                <w:sz w:val="12"/>
                <w:szCs w:val="12"/>
                <w:color w:val="auto"/>
              </w:rPr>
            </w:pPr>
          </w:p>
        </w:tc>
        <w:tc>
          <w:tcPr>
            <w:tcW w:w="24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7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11,779,153</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11,841,065</w:t>
            </w:r>
          </w:p>
        </w:tc>
        <w:tc>
          <w:tcPr>
            <w:tcW w:w="100" w:type="dxa"/>
            <w:vAlign w:val="bottom"/>
            <w:tcBorders>
              <w:bottom w:val="single" w:sz="8" w:color="CCECFF"/>
            </w:tcBorders>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91"/>
              </w:rPr>
              <w:t xml:space="preserve">Common Equity/Partnership Interests/Warrants—10.5% </w:t>
            </w:r>
            <w:r>
              <w:rPr>
                <w:rFonts w:ascii="Arial" w:cs="Arial" w:eastAsia="Arial" w:hAnsi="Arial"/>
                <w:sz w:val="9"/>
                <w:szCs w:val="9"/>
                <w:b w:val="1"/>
                <w:bCs w:val="1"/>
                <w:color w:val="auto"/>
                <w:w w:val="91"/>
              </w:rPr>
              <w:t>(6)</w:t>
            </w:r>
          </w:p>
        </w:tc>
        <w:tc>
          <w:tcPr>
            <w:tcW w:w="96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960" w:type="dxa"/>
            <w:vAlign w:val="bottom"/>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26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859,496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30,503,493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18,137,081</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96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37,181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10,265,973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29,841</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Big Run, Inc.</w:t>
            </w:r>
          </w:p>
        </w:tc>
        <w:tc>
          <w:tcPr>
            <w:tcW w:w="960" w:type="dxa"/>
            <w:vAlign w:val="bottom"/>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143,668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674,943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397,025</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96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1,658,389</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29,711,576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33,040,294</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ETX Energy Management Company, LLC</w:t>
            </w:r>
          </w:p>
        </w:tc>
        <w:tc>
          <w:tcPr>
            <w:tcW w:w="960" w:type="dxa"/>
            <w:vAlign w:val="bottom"/>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tcPr>
          <w:p>
            <w:pPr>
              <w:jc w:val="center"/>
              <w:ind w:right="26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1,754,104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1,562,020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1,761,079</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USWS Holdings, LLC - Class A and Class B </w:t>
            </w:r>
            <w:r>
              <w:rPr>
                <w:rFonts w:ascii="Arial" w:cs="Arial" w:eastAsia="Arial" w:hAnsi="Arial"/>
                <w:sz w:val="9"/>
                <w:szCs w:val="9"/>
                <w:color w:val="auto"/>
              </w:rPr>
              <w:t>(9)</w:t>
            </w:r>
          </w:p>
        </w:tc>
        <w:tc>
          <w:tcPr>
            <w:tcW w:w="96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54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8,190,817</w:t>
            </w: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7,023,750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12,871,946</w:t>
            </w: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60" w:type="dxa"/>
            <w:vAlign w:val="bottom"/>
            <w:tcBorders>
              <w:bottom w:val="single" w:sz="8" w:color="CCECFF"/>
            </w:tcBorders>
          </w:tcPr>
          <w:p>
            <w:pPr>
              <w:spacing w:after="0"/>
              <w:rPr>
                <w:sz w:val="12"/>
                <w:szCs w:val="12"/>
                <w:color w:val="auto"/>
              </w:rPr>
            </w:pPr>
          </w:p>
        </w:tc>
        <w:tc>
          <w:tcPr>
            <w:tcW w:w="24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7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79,741,755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66,237,266</w:t>
            </w:r>
          </w:p>
        </w:tc>
        <w:tc>
          <w:tcPr>
            <w:tcW w:w="100" w:type="dxa"/>
            <w:vAlign w:val="bottom"/>
            <w:tcBorders>
              <w:bottom w:val="single" w:sz="8" w:color="CCECFF"/>
            </w:tcBorders>
          </w:tcPr>
          <w:p>
            <w:pPr>
              <w:spacing w:after="0"/>
              <w:rPr>
                <w:sz w:val="12"/>
                <w:szCs w:val="12"/>
                <w:color w:val="auto"/>
              </w:rPr>
            </w:pPr>
          </w:p>
        </w:tc>
      </w:tr>
      <w:tr>
        <w:trPr>
          <w:trHeight w:val="142"/>
        </w:trPr>
        <w:tc>
          <w:tcPr>
            <w:tcW w:w="402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91,520,908</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78,078,331</w:t>
            </w:r>
          </w:p>
        </w:tc>
        <w:tc>
          <w:tcPr>
            <w:tcW w:w="100" w:type="dxa"/>
            <w:vAlign w:val="bottom"/>
            <w:shd w:val="clear" w:color="auto" w:fill="CCECFF"/>
          </w:tcPr>
          <w:p>
            <w:pPr>
              <w:spacing w:after="0"/>
              <w:rPr>
                <w:sz w:val="12"/>
                <w:szCs w:val="12"/>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0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2360" w:type="dxa"/>
            <w:vAlign w:val="bottom"/>
          </w:tcPr>
          <w:p>
            <w:pPr>
              <w:spacing w:after="0"/>
              <w:rPr>
                <w:sz w:val="11"/>
                <w:szCs w:val="11"/>
                <w:color w:val="auto"/>
              </w:rPr>
            </w:pPr>
          </w:p>
        </w:tc>
        <w:tc>
          <w:tcPr>
            <w:tcW w:w="1060" w:type="dxa"/>
            <w:vAlign w:val="bottom"/>
            <w:gridSpan w:val="2"/>
          </w:tcPr>
          <w:p>
            <w:pPr>
              <w:jc w:val="right"/>
              <w:ind w:right="30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02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0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220" w:type="dxa"/>
            <w:vAlign w:val="bottom"/>
          </w:tcPr>
          <w:p>
            <w:pPr>
              <w:spacing w:after="0"/>
              <w:rPr>
                <w:sz w:val="12"/>
                <w:szCs w:val="12"/>
                <w:color w:val="auto"/>
              </w:rPr>
            </w:pPr>
          </w:p>
        </w:tc>
        <w:tc>
          <w:tcPr>
            <w:tcW w:w="580" w:type="dxa"/>
            <w:vAlign w:val="bottom"/>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42"/>
        </w:trPr>
        <w:tc>
          <w:tcPr>
            <w:tcW w:w="39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7"/>
              </w:rPr>
              <w:t xml:space="preserve">Investments in Controlled, Affiliated Portfolio Companies—23.6% </w:t>
            </w:r>
            <w:r>
              <w:rPr>
                <w:rFonts w:ascii="Arial" w:cs="Arial" w:eastAsia="Arial" w:hAnsi="Arial"/>
                <w:sz w:val="9"/>
                <w:szCs w:val="9"/>
                <w:b w:val="1"/>
                <w:bCs w:val="1"/>
                <w:color w:val="auto"/>
                <w:w w:val="97"/>
              </w:rPr>
              <w:t>(1), (2)</w:t>
            </w:r>
          </w:p>
        </w:tc>
        <w:tc>
          <w:tcPr>
            <w:tcW w:w="2360" w:type="dxa"/>
            <w:vAlign w:val="bottom"/>
            <w:tcBorders>
              <w:top w:val="single" w:sz="8" w:color="auto"/>
            </w:tcBorders>
            <w:shd w:val="clear" w:color="auto" w:fill="CCECFF"/>
          </w:tcPr>
          <w:p>
            <w:pPr>
              <w:spacing w:after="0"/>
              <w:rPr>
                <w:sz w:val="12"/>
                <w:szCs w:val="12"/>
                <w:color w:val="auto"/>
              </w:rPr>
            </w:pPr>
          </w:p>
        </w:tc>
        <w:tc>
          <w:tcPr>
            <w:tcW w:w="90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b w:val="1"/>
                <w:bCs w:val="1"/>
                <w:color w:val="auto"/>
              </w:rPr>
              <w:t>First Lien Secured Debt—15.7%</w:t>
            </w:r>
          </w:p>
        </w:tc>
        <w:tc>
          <w:tcPr>
            <w:tcW w:w="1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10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03/13/2024</w:t>
            </w:r>
          </w:p>
        </w:tc>
        <w:tc>
          <w:tcPr>
            <w:tcW w:w="23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6.55%</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3M L+575</w:t>
            </w:r>
          </w:p>
        </w:tc>
        <w:tc>
          <w:tcPr>
            <w:tcW w:w="2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28,000,000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39,051,600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36,513,484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RAM Energy LLC</w:t>
            </w:r>
          </w:p>
        </w:tc>
        <w:tc>
          <w:tcPr>
            <w:tcW w:w="1020" w:type="dxa"/>
            <w:vAlign w:val="bottom"/>
          </w:tcPr>
          <w:p>
            <w:pPr>
              <w:ind w:left="120"/>
              <w:spacing w:after="0"/>
              <w:rPr>
                <w:sz w:val="20"/>
                <w:szCs w:val="20"/>
                <w:color w:val="auto"/>
              </w:rPr>
            </w:pPr>
            <w:r>
              <w:rPr>
                <w:rFonts w:ascii="Arial" w:cs="Arial" w:eastAsia="Arial" w:hAnsi="Arial"/>
                <w:sz w:val="12"/>
                <w:szCs w:val="12"/>
                <w:color w:val="auto"/>
              </w:rPr>
              <w:t>07/01/2022</w:t>
            </w:r>
          </w:p>
        </w:tc>
        <w:tc>
          <w:tcPr>
            <w:tcW w:w="2360" w:type="dxa"/>
            <w:vAlign w:val="bottom"/>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1060" w:type="dxa"/>
            <w:vAlign w:val="bottom"/>
            <w:gridSpan w:val="2"/>
          </w:tcPr>
          <w:p>
            <w:pPr>
              <w:jc w:val="right"/>
              <w:ind w:right="60"/>
              <w:spacing w:after="0"/>
              <w:rPr>
                <w:sz w:val="20"/>
                <w:szCs w:val="20"/>
                <w:color w:val="auto"/>
              </w:rPr>
            </w:pPr>
            <w:r>
              <w:rPr>
                <w:rFonts w:ascii="Arial" w:cs="Arial" w:eastAsia="Arial" w:hAnsi="Arial"/>
                <w:sz w:val="12"/>
                <w:szCs w:val="12"/>
                <w:color w:val="auto"/>
              </w:rPr>
              <w:t>8.00%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35,000,000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RAM Energy LLC (Revolver)</w:t>
            </w:r>
          </w:p>
        </w:tc>
        <w:tc>
          <w:tcPr>
            <w:tcW w:w="10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07/01/2022</w:t>
            </w:r>
          </w:p>
        </w:tc>
        <w:tc>
          <w:tcPr>
            <w:tcW w:w="236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8.00%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RAM Energy LLC (Revolver) </w:t>
            </w:r>
            <w:r>
              <w:rPr>
                <w:rFonts w:ascii="Arial" w:cs="Arial" w:eastAsia="Arial" w:hAnsi="Arial"/>
                <w:sz w:val="9"/>
                <w:szCs w:val="9"/>
                <w:color w:val="auto"/>
              </w:rPr>
              <w:t>(7)</w:t>
            </w:r>
          </w:p>
        </w:tc>
        <w:tc>
          <w:tcPr>
            <w:tcW w:w="1020" w:type="dxa"/>
            <w:vAlign w:val="bottom"/>
          </w:tcPr>
          <w:p>
            <w:pPr>
              <w:ind w:left="120"/>
              <w:spacing w:after="0"/>
              <w:rPr>
                <w:sz w:val="20"/>
                <w:szCs w:val="20"/>
                <w:color w:val="auto"/>
              </w:rPr>
            </w:pPr>
            <w:r>
              <w:rPr>
                <w:rFonts w:ascii="Arial" w:cs="Arial" w:eastAsia="Arial" w:hAnsi="Arial"/>
                <w:sz w:val="12"/>
                <w:szCs w:val="12"/>
                <w:color w:val="auto"/>
              </w:rPr>
              <w:t>07/01/2022</w:t>
            </w:r>
          </w:p>
        </w:tc>
        <w:tc>
          <w:tcPr>
            <w:tcW w:w="2360" w:type="dxa"/>
            <w:vAlign w:val="bottom"/>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LLC</w:t>
            </w:r>
          </w:p>
        </w:tc>
        <w:tc>
          <w:tcPr>
            <w:tcW w:w="10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12/31/2018</w:t>
            </w:r>
          </w:p>
        </w:tc>
        <w:tc>
          <w:tcPr>
            <w:tcW w:w="236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1"/>
              </w:rPr>
              <w:t>Media</w:t>
            </w: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7.84%</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3M L+550</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23,208,601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22,749,435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17,220,000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(PIK 7.84%)</w:t>
            </w: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106,801,035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98,733,484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Equity—1.9% </w:t>
            </w:r>
            <w:r>
              <w:rPr>
                <w:rFonts w:ascii="Arial" w:cs="Arial" w:eastAsia="Arial" w:hAnsi="Arial"/>
                <w:sz w:val="9"/>
                <w:szCs w:val="9"/>
                <w:b w:val="1"/>
                <w:bCs w:val="1"/>
                <w:color w:val="auto"/>
              </w:rPr>
              <w:t>(6)</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MidOcean JF Holdings Corp.</w:t>
            </w:r>
          </w:p>
        </w:tc>
        <w:tc>
          <w:tcPr>
            <w:tcW w:w="1020" w:type="dxa"/>
            <w:vAlign w:val="bottom"/>
          </w:tcPr>
          <w:p>
            <w:pPr>
              <w:ind w:left="380"/>
              <w:spacing w:after="0"/>
              <w:rPr>
                <w:sz w:val="20"/>
                <w:szCs w:val="20"/>
                <w:color w:val="auto"/>
              </w:rPr>
            </w:pPr>
            <w:r>
              <w:rPr>
                <w:rFonts w:ascii="Arial" w:cs="Arial" w:eastAsia="Arial" w:hAnsi="Arial"/>
                <w:sz w:val="12"/>
                <w:szCs w:val="12"/>
                <w:color w:val="auto"/>
              </w:rPr>
              <w:t>—</w:t>
            </w:r>
          </w:p>
        </w:tc>
        <w:tc>
          <w:tcPr>
            <w:tcW w:w="2360" w:type="dxa"/>
            <w:vAlign w:val="bottom"/>
          </w:tcPr>
          <w:p>
            <w:pPr>
              <w:jc w:val="center"/>
              <w:spacing w:after="0"/>
              <w:rPr>
                <w:sz w:val="20"/>
                <w:szCs w:val="20"/>
                <w:color w:val="auto"/>
              </w:rPr>
            </w:pPr>
            <w:r>
              <w:rPr>
                <w:rFonts w:ascii="Arial" w:cs="Arial" w:eastAsia="Arial" w:hAnsi="Arial"/>
                <w:sz w:val="12"/>
                <w:szCs w:val="12"/>
                <w:color w:val="auto"/>
                <w:w w:val="93"/>
              </w:rPr>
              <w:t>Distribution</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153,922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15,392,189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12,099,647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10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36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1"/>
              </w:rPr>
              <w:t>Media</w:t>
            </w: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15.00%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873,289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30,011,026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Preferred Equity</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45,403,215</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12,099,647</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Common Equity—6.0% </w:t>
            </w:r>
            <w:r>
              <w:rPr>
                <w:rFonts w:ascii="Arial" w:cs="Arial" w:eastAsia="Arial" w:hAnsi="Arial"/>
                <w:sz w:val="9"/>
                <w:szCs w:val="9"/>
                <w:b w:val="1"/>
                <w:bCs w:val="1"/>
                <w:color w:val="auto"/>
              </w:rPr>
              <w:t>(6)</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1020" w:type="dxa"/>
            <w:vAlign w:val="bottom"/>
          </w:tcPr>
          <w:p>
            <w:pPr>
              <w:ind w:left="380"/>
              <w:spacing w:after="0"/>
              <w:rPr>
                <w:sz w:val="20"/>
                <w:szCs w:val="20"/>
                <w:color w:val="auto"/>
              </w:rPr>
            </w:pPr>
            <w:r>
              <w:rPr>
                <w:rFonts w:ascii="Arial" w:cs="Arial" w:eastAsia="Arial" w:hAnsi="Arial"/>
                <w:sz w:val="12"/>
                <w:szCs w:val="12"/>
                <w:color w:val="auto"/>
              </w:rPr>
              <w:t>—</w:t>
            </w:r>
          </w:p>
        </w:tc>
        <w:tc>
          <w:tcPr>
            <w:tcW w:w="2360" w:type="dxa"/>
            <w:vAlign w:val="bottom"/>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132,497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3,987,794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0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3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Distribution</w:t>
            </w: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65,933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24,761,831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RAM Energy Holdings LLC</w:t>
            </w:r>
          </w:p>
        </w:tc>
        <w:tc>
          <w:tcPr>
            <w:tcW w:w="1020" w:type="dxa"/>
            <w:vAlign w:val="bottom"/>
          </w:tcPr>
          <w:p>
            <w:pPr>
              <w:ind w:left="380"/>
              <w:spacing w:after="0"/>
              <w:rPr>
                <w:sz w:val="20"/>
                <w:szCs w:val="20"/>
                <w:color w:val="auto"/>
              </w:rPr>
            </w:pPr>
            <w:r>
              <w:rPr>
                <w:rFonts w:ascii="Arial" w:cs="Arial" w:eastAsia="Arial" w:hAnsi="Arial"/>
                <w:sz w:val="12"/>
                <w:szCs w:val="12"/>
                <w:color w:val="auto"/>
              </w:rPr>
              <w:t>—</w:t>
            </w:r>
          </w:p>
        </w:tc>
        <w:tc>
          <w:tcPr>
            <w:tcW w:w="2360" w:type="dxa"/>
            <w:vAlign w:val="bottom"/>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84,747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76,264,739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33,914,960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10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36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1"/>
              </w:rPr>
              <w:t>Media</w:t>
            </w: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2,211,000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103,370,067</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37,902,754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255,574,317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148,735,885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Investments—180.0%</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1,243,816,175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1,132,085,474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Equivalents—3.1%</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531,379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531,379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 Reserve and Cash</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19,012,246</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18,974,775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19,543,625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19,506,154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Equivalents—183.1%</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1,263,359,800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1,151,591,628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2"/>
                <w:szCs w:val="12"/>
                <w:b w:val="1"/>
                <w:bCs w:val="1"/>
                <w:color w:val="auto"/>
              </w:rPr>
              <w:t>Liabilities in Excess of Other Assets—(83.1%)</w:t>
            </w:r>
          </w:p>
        </w:tc>
        <w:tc>
          <w:tcPr>
            <w:tcW w:w="1020" w:type="dxa"/>
            <w:vAlign w:val="bottom"/>
            <w:tcBorders>
              <w:top w:val="single" w:sz="8" w:color="CCECFF"/>
            </w:tcBorders>
          </w:tcPr>
          <w:p>
            <w:pPr>
              <w:spacing w:after="0" w:line="20" w:lineRule="exact"/>
              <w:rPr>
                <w:sz w:val="1"/>
                <w:szCs w:val="1"/>
                <w:color w:val="auto"/>
              </w:rPr>
            </w:pPr>
          </w:p>
        </w:tc>
        <w:tc>
          <w:tcPr>
            <w:tcW w:w="2360" w:type="dxa"/>
            <w:vAlign w:val="bottom"/>
            <w:tcBorders>
              <w:top w:val="single" w:sz="8" w:color="CCECFF"/>
            </w:tcBorders>
          </w:tcPr>
          <w:p>
            <w:pPr>
              <w:spacing w:after="0" w:line="20" w:lineRule="exact"/>
              <w:rPr>
                <w:sz w:val="1"/>
                <w:szCs w:val="1"/>
                <w:color w:val="auto"/>
              </w:rPr>
            </w:pPr>
          </w:p>
        </w:tc>
        <w:tc>
          <w:tcPr>
            <w:tcW w:w="9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5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8"/>
              </w:rPr>
              <w:t>(522,689,733)</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628,901,895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tcBorders>
          </w:tcPr>
          <w:p>
            <w:pPr>
              <w:spacing w:after="0" w:line="20" w:lineRule="exact"/>
              <w:rPr>
                <w:sz w:val="1"/>
                <w:szCs w:val="1"/>
                <w:color w:val="auto"/>
              </w:rPr>
            </w:pPr>
          </w:p>
        </w:tc>
        <w:tc>
          <w:tcPr>
            <w:tcW w:w="1020" w:type="dxa"/>
            <w:vAlign w:val="bottom"/>
            <w:tcBorders>
              <w:top w:val="single" w:sz="8" w:color="CCECFF"/>
            </w:tcBorders>
          </w:tcPr>
          <w:p>
            <w:pPr>
              <w:spacing w:after="0" w:line="20" w:lineRule="exact"/>
              <w:rPr>
                <w:sz w:val="1"/>
                <w:szCs w:val="1"/>
                <w:color w:val="auto"/>
              </w:rPr>
            </w:pPr>
          </w:p>
        </w:tc>
        <w:tc>
          <w:tcPr>
            <w:tcW w:w="2360" w:type="dxa"/>
            <w:vAlign w:val="bottom"/>
            <w:tcBorders>
              <w:top w:val="single" w:sz="8" w:color="CCECFF"/>
            </w:tcBorders>
          </w:tcPr>
          <w:p>
            <w:pPr>
              <w:spacing w:after="0" w:line="20" w:lineRule="exact"/>
              <w:rPr>
                <w:sz w:val="1"/>
                <w:szCs w:val="1"/>
                <w:color w:val="auto"/>
              </w:rPr>
            </w:pPr>
          </w:p>
        </w:tc>
        <w:tc>
          <w:tcPr>
            <w:tcW w:w="9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5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3455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76" w:lineRule="exact"/>
        <w:rPr>
          <w:sz w:val="20"/>
          <w:szCs w:val="20"/>
          <w:color w:val="auto"/>
        </w:rPr>
      </w:pPr>
    </w:p>
    <w:p>
      <w:pPr>
        <w:ind w:left="380" w:hanging="372"/>
        <w:spacing w:after="0" w:line="252" w:lineRule="auto"/>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right="120" w:hanging="372"/>
        <w:spacing w:after="0" w:line="269" w:lineRule="auto"/>
        <w:tabs>
          <w:tab w:leader="none" w:pos="380" w:val="left"/>
        </w:tabs>
        <w:numPr>
          <w:ilvl w:val="0"/>
          <w:numId w:val="53"/>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13" w:lineRule="exact"/>
        <w:rPr>
          <w:rFonts w:ascii="Arial" w:cs="Arial" w:eastAsia="Arial" w:hAnsi="Arial"/>
          <w:sz w:val="11"/>
          <w:szCs w:val="11"/>
          <w:color w:val="auto"/>
        </w:rPr>
      </w:pPr>
    </w:p>
    <w:p>
      <w:pPr>
        <w:ind w:left="380" w:hanging="372"/>
        <w:spacing w:after="0"/>
        <w:tabs>
          <w:tab w:leader="none" w:pos="380" w:val="left"/>
        </w:tabs>
        <w:numPr>
          <w:ilvl w:val="0"/>
          <w:numId w:val="53"/>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or in Euros (€) as denoted.</w:t>
      </w:r>
    </w:p>
    <w:p>
      <w:pPr>
        <w:spacing w:after="0" w:line="37" w:lineRule="exact"/>
        <w:rPr>
          <w:rFonts w:ascii="Arial" w:cs="Arial" w:eastAsia="Arial" w:hAnsi="Arial"/>
          <w:sz w:val="12"/>
          <w:szCs w:val="12"/>
          <w:color w:val="auto"/>
        </w:rPr>
      </w:pPr>
    </w:p>
    <w:p>
      <w:pPr>
        <w:ind w:left="380" w:right="20" w:hanging="372"/>
        <w:spacing w:after="0" w:line="294" w:lineRule="auto"/>
        <w:tabs>
          <w:tab w:leader="none" w:pos="380" w:val="left"/>
        </w:tabs>
        <w:numPr>
          <w:ilvl w:val="0"/>
          <w:numId w:val="53"/>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2018, qualifying assets represent 88% of the Company’s total assets and non-qualifying assets represent 12% of the Company’s total assets.</w:t>
      </w: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Expiration</w:t>
            </w: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100" w:type="dxa"/>
            <w:vAlign w:val="bottom"/>
            <w:tcBorders>
              <w:bottom w:val="single" w:sz="8" w:color="CCECFF"/>
            </w:tcBorders>
          </w:tcPr>
          <w:p>
            <w:pPr>
              <w:spacing w:after="0"/>
              <w:rPr>
                <w:sz w:val="12"/>
                <w:szCs w:val="12"/>
                <w:color w:val="auto"/>
              </w:rPr>
            </w:pPr>
          </w:p>
        </w:tc>
      </w:tr>
      <w:tr>
        <w:trPr>
          <w:trHeight w:val="142"/>
        </w:trPr>
        <w:tc>
          <w:tcPr>
            <w:tcW w:w="670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Non-Controlled, Non-Affiliated Portfolio Companies—131.3% </w:t>
            </w:r>
            <w:r>
              <w:rPr>
                <w:rFonts w:ascii="Arial" w:cs="Arial" w:eastAsia="Arial" w:hAnsi="Arial"/>
                <w:sz w:val="9"/>
                <w:szCs w:val="9"/>
                <w:b w:val="1"/>
                <w:bCs w:val="1"/>
                <w:color w:val="auto"/>
              </w:rPr>
              <w:t>(1), (2)</w:t>
            </w: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b w:val="1"/>
                <w:bCs w:val="1"/>
                <w:color w:val="auto"/>
              </w:rPr>
              <w:t>First Lien Secured Debt—52.8%</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ACC of Tamarac,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06/20/2022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10.82%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7,481,250</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7,362,571</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7,331,625</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Allied America, Inc.</w:t>
            </w:r>
          </w:p>
        </w:tc>
        <w:tc>
          <w:tcPr>
            <w:tcW w:w="900" w:type="dxa"/>
            <w:vAlign w:val="bottom"/>
          </w:tcPr>
          <w:p>
            <w:pPr>
              <w:ind w:left="120"/>
              <w:spacing w:after="0"/>
              <w:rPr>
                <w:sz w:val="20"/>
                <w:szCs w:val="20"/>
                <w:color w:val="auto"/>
              </w:rPr>
            </w:pPr>
            <w:r>
              <w:rPr>
                <w:rFonts w:ascii="Arial" w:cs="Arial" w:eastAsia="Arial" w:hAnsi="Arial"/>
                <w:sz w:val="12"/>
                <w:szCs w:val="12"/>
                <w:color w:val="auto"/>
              </w:rPr>
              <w:t>08/08/2022</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8.32%</w:t>
            </w:r>
          </w:p>
        </w:tc>
        <w:tc>
          <w:tcPr>
            <w:tcW w:w="680" w:type="dxa"/>
            <w:vAlign w:val="bottom"/>
          </w:tcPr>
          <w:p>
            <w:pPr>
              <w:jc w:val="right"/>
              <w:spacing w:after="0"/>
              <w:rPr>
                <w:sz w:val="20"/>
                <w:szCs w:val="20"/>
                <w:color w:val="auto"/>
              </w:rPr>
            </w:pPr>
            <w:r>
              <w:rPr>
                <w:rFonts w:ascii="Arial" w:cs="Arial" w:eastAsia="Arial" w:hAnsi="Arial"/>
                <w:sz w:val="12"/>
                <w:szCs w:val="12"/>
                <w:color w:val="auto"/>
              </w:rPr>
              <w:t>L+700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19,950,000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19,557,525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19,551,000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(8)</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08/08/2022</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Bottom Line Systems, LLC</w:t>
            </w:r>
          </w:p>
        </w:tc>
        <w:tc>
          <w:tcPr>
            <w:tcW w:w="900" w:type="dxa"/>
            <w:vAlign w:val="bottom"/>
          </w:tcPr>
          <w:p>
            <w:pPr>
              <w:ind w:left="120"/>
              <w:spacing w:after="0"/>
              <w:rPr>
                <w:sz w:val="20"/>
                <w:szCs w:val="20"/>
                <w:color w:val="auto"/>
              </w:rPr>
            </w:pPr>
            <w:r>
              <w:rPr>
                <w:rFonts w:ascii="Arial" w:cs="Arial" w:eastAsia="Arial" w:hAnsi="Arial"/>
                <w:sz w:val="12"/>
                <w:szCs w:val="12"/>
                <w:color w:val="auto"/>
              </w:rPr>
              <w:t>02/13/2023</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8.83%</w:t>
            </w:r>
          </w:p>
        </w:tc>
        <w:tc>
          <w:tcPr>
            <w:tcW w:w="680" w:type="dxa"/>
            <w:vAlign w:val="bottom"/>
          </w:tcPr>
          <w:p>
            <w:pPr>
              <w:jc w:val="right"/>
              <w:spacing w:after="0"/>
              <w:rPr>
                <w:sz w:val="20"/>
                <w:szCs w:val="20"/>
                <w:color w:val="auto"/>
              </w:rPr>
            </w:pPr>
            <w:r>
              <w:rPr>
                <w:rFonts w:ascii="Arial" w:cs="Arial" w:eastAsia="Arial" w:hAnsi="Arial"/>
                <w:sz w:val="12"/>
                <w:szCs w:val="12"/>
                <w:color w:val="auto"/>
              </w:rPr>
              <w:t>L+750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19,850,000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19,573,919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19,773,923</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Broder Bros., Co., Tranche A</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06/03/2021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8,398,102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8,279,029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8,398,102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Broder Bros., Co., Tranche B</w:t>
            </w:r>
          </w:p>
        </w:tc>
        <w:tc>
          <w:tcPr>
            <w:tcW w:w="900" w:type="dxa"/>
            <w:vAlign w:val="bottom"/>
          </w:tcPr>
          <w:p>
            <w:pPr>
              <w:ind w:left="120"/>
              <w:spacing w:after="0"/>
              <w:rPr>
                <w:sz w:val="20"/>
                <w:szCs w:val="20"/>
                <w:color w:val="auto"/>
              </w:rPr>
            </w:pPr>
            <w:r>
              <w:rPr>
                <w:rFonts w:ascii="Arial" w:cs="Arial" w:eastAsia="Arial" w:hAnsi="Arial"/>
                <w:sz w:val="12"/>
                <w:szCs w:val="12"/>
                <w:color w:val="auto"/>
              </w:rPr>
              <w:t>06/03/2021</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13.58%</w:t>
            </w:r>
          </w:p>
        </w:tc>
        <w:tc>
          <w:tcPr>
            <w:tcW w:w="680" w:type="dxa"/>
            <w:vAlign w:val="bottom"/>
          </w:tcPr>
          <w:p>
            <w:pPr>
              <w:jc w:val="right"/>
              <w:spacing w:after="0"/>
              <w:rPr>
                <w:sz w:val="20"/>
                <w:szCs w:val="20"/>
                <w:color w:val="auto"/>
              </w:rPr>
            </w:pPr>
            <w:r>
              <w:rPr>
                <w:rFonts w:ascii="Arial" w:cs="Arial" w:eastAsia="Arial" w:hAnsi="Arial"/>
                <w:sz w:val="12"/>
                <w:szCs w:val="12"/>
                <w:color w:val="auto"/>
              </w:rPr>
              <w:t>L+1,225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8,723,735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8,593,867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8,723,735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Cano Health,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12/23/2021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9.74%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23,538,688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22,997,008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23,538,687</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Cano Health, LLC (Revolver)</w:t>
            </w:r>
          </w:p>
        </w:tc>
        <w:tc>
          <w:tcPr>
            <w:tcW w:w="900" w:type="dxa"/>
            <w:vAlign w:val="bottom"/>
          </w:tcPr>
          <w:p>
            <w:pPr>
              <w:ind w:left="120"/>
              <w:spacing w:after="0"/>
              <w:rPr>
                <w:sz w:val="20"/>
                <w:szCs w:val="20"/>
                <w:color w:val="auto"/>
              </w:rPr>
            </w:pPr>
            <w:r>
              <w:rPr>
                <w:rFonts w:ascii="Arial" w:cs="Arial" w:eastAsia="Arial" w:hAnsi="Arial"/>
                <w:sz w:val="12"/>
                <w:szCs w:val="12"/>
                <w:color w:val="auto"/>
              </w:rPr>
              <w:t>09/21/2018</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9.74%</w:t>
            </w:r>
          </w:p>
        </w:tc>
        <w:tc>
          <w:tcPr>
            <w:tcW w:w="680" w:type="dxa"/>
            <w:vAlign w:val="bottom"/>
          </w:tcPr>
          <w:p>
            <w:pPr>
              <w:jc w:val="right"/>
              <w:spacing w:after="0"/>
              <w:rPr>
                <w:sz w:val="20"/>
                <w:szCs w:val="20"/>
                <w:color w:val="auto"/>
              </w:rPr>
            </w:pPr>
            <w:r>
              <w:rPr>
                <w:rFonts w:ascii="Arial" w:cs="Arial" w:eastAsia="Arial" w:hAnsi="Arial"/>
                <w:sz w:val="12"/>
                <w:szCs w:val="12"/>
                <w:color w:val="auto"/>
              </w:rPr>
              <w:t>L+850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540,000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540,000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Cano Health, LLC (Revolver) </w:t>
            </w:r>
            <w:r>
              <w:rPr>
                <w:rFonts w:ascii="Arial" w:cs="Arial" w:eastAsia="Arial" w:hAnsi="Arial"/>
                <w:sz w:val="9"/>
                <w:szCs w:val="9"/>
                <w:color w:val="auto"/>
              </w:rPr>
              <w:t>(8)</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09/21/2018</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DermaRite Industries LLC</w:t>
            </w:r>
          </w:p>
        </w:tc>
        <w:tc>
          <w:tcPr>
            <w:tcW w:w="900" w:type="dxa"/>
            <w:vAlign w:val="bottom"/>
          </w:tcPr>
          <w:p>
            <w:pPr>
              <w:ind w:left="120"/>
              <w:spacing w:after="0"/>
              <w:rPr>
                <w:sz w:val="20"/>
                <w:szCs w:val="20"/>
                <w:color w:val="auto"/>
              </w:rPr>
            </w:pPr>
            <w:r>
              <w:rPr>
                <w:rFonts w:ascii="Arial" w:cs="Arial" w:eastAsia="Arial" w:hAnsi="Arial"/>
                <w:sz w:val="12"/>
                <w:szCs w:val="12"/>
                <w:color w:val="auto"/>
              </w:rPr>
              <w:t>03/03/2022</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8.24%</w:t>
            </w:r>
          </w:p>
        </w:tc>
        <w:tc>
          <w:tcPr>
            <w:tcW w:w="680" w:type="dxa"/>
            <w:vAlign w:val="bottom"/>
          </w:tcPr>
          <w:p>
            <w:pPr>
              <w:jc w:val="right"/>
              <w:spacing w:after="0"/>
              <w:rPr>
                <w:sz w:val="20"/>
                <w:szCs w:val="20"/>
                <w:color w:val="auto"/>
              </w:rPr>
            </w:pPr>
            <w:r>
              <w:rPr>
                <w:rFonts w:ascii="Arial" w:cs="Arial" w:eastAsia="Arial" w:hAnsi="Arial"/>
                <w:sz w:val="12"/>
                <w:szCs w:val="12"/>
                <w:color w:val="auto"/>
              </w:rPr>
              <w:t>L+700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9,950,000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9,814,043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9,938,114</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08/29/2022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8.74%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19,605,736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19,600,000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(8), (12)</w:t>
            </w:r>
          </w:p>
        </w:tc>
        <w:tc>
          <w:tcPr>
            <w:tcW w:w="900" w:type="dxa"/>
            <w:vAlign w:val="bottom"/>
          </w:tcPr>
          <w:p>
            <w:pPr>
              <w:ind w:left="120"/>
              <w:spacing w:after="0"/>
              <w:rPr>
                <w:sz w:val="20"/>
                <w:szCs w:val="20"/>
                <w:color w:val="auto"/>
              </w:rPr>
            </w:pPr>
            <w:r>
              <w:rPr>
                <w:rFonts w:ascii="Arial" w:cs="Arial" w:eastAsia="Arial" w:hAnsi="Arial"/>
                <w:sz w:val="12"/>
                <w:szCs w:val="12"/>
                <w:color w:val="auto"/>
              </w:rPr>
              <w:t>08/29/2022</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(80,000)</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eCommission Financial Services, Inc. (Revolver) </w:t>
            </w:r>
            <w:r>
              <w:rPr>
                <w:rFonts w:ascii="Arial" w:cs="Arial" w:eastAsia="Arial" w:hAnsi="Arial"/>
                <w:sz w:val="9"/>
                <w:szCs w:val="9"/>
                <w:color w:val="auto"/>
              </w:rPr>
              <w:t>(8), (12)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08/29/2022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(80,000)</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900" w:type="dxa"/>
            <w:vAlign w:val="bottom"/>
          </w:tcPr>
          <w:p>
            <w:pPr>
              <w:ind w:left="120"/>
              <w:spacing w:after="0"/>
              <w:rPr>
                <w:sz w:val="20"/>
                <w:szCs w:val="20"/>
                <w:color w:val="auto"/>
              </w:rPr>
            </w:pPr>
            <w:r>
              <w:rPr>
                <w:rFonts w:ascii="Arial" w:cs="Arial" w:eastAsia="Arial" w:hAnsi="Arial"/>
                <w:sz w:val="12"/>
                <w:szCs w:val="12"/>
                <w:color w:val="auto"/>
              </w:rPr>
              <w:t>06/09/2023</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9.30%</w:t>
            </w: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22,443,750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22,010,693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22,219,312</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Home Town Cable TV,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06/20/2022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10.82%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9,806,795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Interior Specialists, Inc.</w:t>
            </w:r>
          </w:p>
        </w:tc>
        <w:tc>
          <w:tcPr>
            <w:tcW w:w="900" w:type="dxa"/>
            <w:vAlign w:val="bottom"/>
          </w:tcPr>
          <w:p>
            <w:pPr>
              <w:ind w:left="120"/>
              <w:spacing w:after="0"/>
              <w:rPr>
                <w:sz w:val="20"/>
                <w:szCs w:val="20"/>
                <w:color w:val="auto"/>
              </w:rPr>
            </w:pPr>
            <w:r>
              <w:rPr>
                <w:rFonts w:ascii="Arial" w:cs="Arial" w:eastAsia="Arial" w:hAnsi="Arial"/>
                <w:sz w:val="12"/>
                <w:szCs w:val="12"/>
                <w:color w:val="auto"/>
              </w:rPr>
              <w:t>06/30/2020</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9.25%</w:t>
            </w: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24,470,390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24,323,542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24,470,390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Juniper Landscaping of Florida,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12/22/2021</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10.74%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14,083,875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13,836,409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14,083,875</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K2 Pure Solutions NoCal, L.P.</w:t>
            </w:r>
          </w:p>
        </w:tc>
        <w:tc>
          <w:tcPr>
            <w:tcW w:w="900" w:type="dxa"/>
            <w:vAlign w:val="bottom"/>
          </w:tcPr>
          <w:p>
            <w:pPr>
              <w:ind w:left="120"/>
              <w:spacing w:after="0"/>
              <w:rPr>
                <w:sz w:val="20"/>
                <w:szCs w:val="20"/>
                <w:color w:val="auto"/>
              </w:rPr>
            </w:pPr>
            <w:r>
              <w:rPr>
                <w:rFonts w:ascii="Arial" w:cs="Arial" w:eastAsia="Arial" w:hAnsi="Arial"/>
                <w:sz w:val="12"/>
                <w:szCs w:val="12"/>
                <w:color w:val="auto"/>
              </w:rPr>
              <w:t>02/19/2021</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10.24%</w:t>
            </w:r>
          </w:p>
        </w:tc>
        <w:tc>
          <w:tcPr>
            <w:tcW w:w="680" w:type="dxa"/>
            <w:vAlign w:val="bottom"/>
          </w:tcPr>
          <w:p>
            <w:pPr>
              <w:jc w:val="right"/>
              <w:spacing w:after="0"/>
              <w:rPr>
                <w:sz w:val="20"/>
                <w:szCs w:val="20"/>
                <w:color w:val="auto"/>
              </w:rPr>
            </w:pPr>
            <w:r>
              <w:rPr>
                <w:rFonts w:ascii="Arial" w:cs="Arial" w:eastAsia="Arial" w:hAnsi="Arial"/>
                <w:sz w:val="12"/>
                <w:szCs w:val="12"/>
                <w:color w:val="auto"/>
              </w:rPr>
              <w:t>L+900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14,522,529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14,290,133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14,111,098</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03/03/2022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10.52%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L+918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16,250,000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15,953,520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16,250,000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900" w:type="dxa"/>
            <w:vAlign w:val="bottom"/>
          </w:tcPr>
          <w:p>
            <w:pPr>
              <w:ind w:left="120"/>
              <w:spacing w:after="0"/>
              <w:rPr>
                <w:sz w:val="20"/>
                <w:szCs w:val="20"/>
                <w:color w:val="auto"/>
              </w:rPr>
            </w:pPr>
            <w:r>
              <w:rPr>
                <w:rFonts w:ascii="Arial" w:cs="Arial" w:eastAsia="Arial" w:hAnsi="Arial"/>
                <w:sz w:val="12"/>
                <w:szCs w:val="12"/>
                <w:color w:val="auto"/>
              </w:rPr>
              <w:t>12/16/2019</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Mining, Steel, Iron and Non-Precious Metals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11.50%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14,250,000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14,184,265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14,820,000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SFP Holding,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7.57%</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17,500,000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17,155,691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17,150,000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(8)</w:t>
            </w:r>
          </w:p>
        </w:tc>
        <w:tc>
          <w:tcPr>
            <w:tcW w:w="900" w:type="dxa"/>
            <w:vAlign w:val="bottom"/>
          </w:tcPr>
          <w:p>
            <w:pPr>
              <w:ind w:left="120"/>
              <w:spacing w:after="0"/>
              <w:rPr>
                <w:sz w:val="20"/>
                <w:szCs w:val="20"/>
                <w:color w:val="auto"/>
              </w:rPr>
            </w:pPr>
            <w:r>
              <w:rPr>
                <w:rFonts w:ascii="Arial" w:cs="Arial" w:eastAsia="Arial" w:hAnsi="Arial"/>
                <w:sz w:val="12"/>
                <w:szCs w:val="12"/>
                <w:color w:val="auto"/>
              </w:rPr>
              <w:t>09/01/2022</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(100,000)</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(8)</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56"/>
        </w:trPr>
        <w:tc>
          <w:tcPr>
            <w:tcW w:w="3020" w:type="dxa"/>
            <w:vAlign w:val="bottom"/>
          </w:tcPr>
          <w:p>
            <w:pPr>
              <w:spacing w:after="0"/>
              <w:rPr>
                <w:sz w:val="20"/>
                <w:szCs w:val="20"/>
                <w:color w:val="auto"/>
              </w:rPr>
            </w:pPr>
            <w:r>
              <w:rPr>
                <w:rFonts w:ascii="Arial" w:cs="Arial" w:eastAsia="Arial" w:hAnsi="Arial"/>
                <w:sz w:val="12"/>
                <w:szCs w:val="12"/>
                <w:color w:val="auto"/>
              </w:rPr>
              <w:t xml:space="preserve">Sunborn Oy, Sunborn Saga Oy </w:t>
            </w:r>
            <w:r>
              <w:rPr>
                <w:rFonts w:ascii="Arial" w:cs="Arial" w:eastAsia="Arial" w:hAnsi="Arial"/>
                <w:sz w:val="9"/>
                <w:szCs w:val="9"/>
                <w:color w:val="auto"/>
              </w:rPr>
              <w:t>(9), (11), (12)</w:t>
            </w:r>
          </w:p>
        </w:tc>
        <w:tc>
          <w:tcPr>
            <w:tcW w:w="900" w:type="dxa"/>
            <w:vAlign w:val="bottom"/>
          </w:tcPr>
          <w:p>
            <w:pPr>
              <w:ind w:left="120"/>
              <w:spacing w:after="0"/>
              <w:rPr>
                <w:sz w:val="20"/>
                <w:szCs w:val="20"/>
                <w:color w:val="auto"/>
              </w:rPr>
            </w:pPr>
            <w:r>
              <w:rPr>
                <w:rFonts w:ascii="Arial" w:cs="Arial" w:eastAsia="Arial" w:hAnsi="Arial"/>
                <w:sz w:val="12"/>
                <w:szCs w:val="12"/>
                <w:color w:val="auto"/>
              </w:rPr>
              <w:t>06/28/2019</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Hotels, Motels, Inns and Gaming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11.50%</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30,150,294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31,228,529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35,821,926</w:t>
            </w:r>
          </w:p>
        </w:tc>
        <w:tc>
          <w:tcPr>
            <w:tcW w:w="100" w:type="dxa"/>
            <w:vAlign w:val="bottom"/>
          </w:tcPr>
          <w:p>
            <w:pPr>
              <w:spacing w:after="0"/>
              <w:rPr>
                <w:sz w:val="13"/>
                <w:szCs w:val="13"/>
                <w:color w:val="auto"/>
              </w:rPr>
            </w:pPr>
          </w:p>
        </w:tc>
      </w:tr>
      <w:tr>
        <w:trPr>
          <w:trHeight w:val="141"/>
        </w:trPr>
        <w:tc>
          <w:tcPr>
            <w:tcW w:w="3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3.50%)</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12/28/2020</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L+1,125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24,797,823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24,446,831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24,673,834</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Trust Inns Limited </w:t>
            </w:r>
            <w:r>
              <w:rPr>
                <w:rFonts w:ascii="Arial" w:cs="Arial" w:eastAsia="Arial" w:hAnsi="Arial"/>
                <w:sz w:val="9"/>
                <w:szCs w:val="9"/>
                <w:color w:val="auto"/>
              </w:rPr>
              <w:t>(9), (11), (12)</w:t>
            </w:r>
          </w:p>
        </w:tc>
        <w:tc>
          <w:tcPr>
            <w:tcW w:w="900" w:type="dxa"/>
            <w:vAlign w:val="bottom"/>
          </w:tcPr>
          <w:p>
            <w:pPr>
              <w:ind w:left="120"/>
              <w:spacing w:after="0"/>
              <w:rPr>
                <w:sz w:val="20"/>
                <w:szCs w:val="20"/>
                <w:color w:val="auto"/>
              </w:rPr>
            </w:pPr>
            <w:r>
              <w:rPr>
                <w:rFonts w:ascii="Arial" w:cs="Arial" w:eastAsia="Arial" w:hAnsi="Arial"/>
                <w:sz w:val="12"/>
                <w:szCs w:val="12"/>
                <w:color w:val="auto"/>
              </w:rPr>
              <w:t>02/12/2020</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10.83%</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340" w:type="dxa"/>
            <w:vAlign w:val="bottom"/>
            <w:gridSpan w:val="2"/>
          </w:tcPr>
          <w:p>
            <w:pPr>
              <w:jc w:val="right"/>
              <w:spacing w:after="0"/>
              <w:rPr>
                <w:sz w:val="20"/>
                <w:szCs w:val="20"/>
                <w:color w:val="auto"/>
              </w:rPr>
            </w:pPr>
            <w:r>
              <w:rPr>
                <w:rFonts w:ascii="Arial" w:cs="Arial" w:eastAsia="Arial" w:hAnsi="Arial"/>
                <w:sz w:val="10"/>
                <w:szCs w:val="10"/>
                <w:color w:val="auto"/>
              </w:rPr>
              <w:t xml:space="preserve">(7) </w:t>
            </w: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16,890,936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27,246,877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22,817,525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US Med Acquisition,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08/13/2021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8,564,063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8,564,063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8,135,859</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90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339,371,046</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341,489,005</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Debt—60.3%</w:t>
            </w: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Acre Operating Company, LLC</w:t>
            </w:r>
          </w:p>
        </w:tc>
        <w:tc>
          <w:tcPr>
            <w:tcW w:w="900" w:type="dxa"/>
            <w:vAlign w:val="bottom"/>
          </w:tcPr>
          <w:p>
            <w:pPr>
              <w:ind w:left="120"/>
              <w:spacing w:after="0"/>
              <w:rPr>
                <w:sz w:val="20"/>
                <w:szCs w:val="20"/>
                <w:color w:val="auto"/>
              </w:rPr>
            </w:pPr>
            <w:r>
              <w:rPr>
                <w:rFonts w:ascii="Arial" w:cs="Arial" w:eastAsia="Arial" w:hAnsi="Arial"/>
                <w:sz w:val="12"/>
                <w:szCs w:val="12"/>
                <w:color w:val="auto"/>
              </w:rPr>
              <w:t>12/12/2023</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Electronics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10.74%</w:t>
            </w:r>
          </w:p>
        </w:tc>
        <w:tc>
          <w:tcPr>
            <w:tcW w:w="680" w:type="dxa"/>
            <w:vAlign w:val="bottom"/>
          </w:tcPr>
          <w:p>
            <w:pPr>
              <w:jc w:val="right"/>
              <w:spacing w:after="0"/>
              <w:rPr>
                <w:sz w:val="20"/>
                <w:szCs w:val="20"/>
                <w:color w:val="auto"/>
              </w:rPr>
            </w:pPr>
            <w:r>
              <w:rPr>
                <w:rFonts w:ascii="Arial" w:cs="Arial" w:eastAsia="Arial" w:hAnsi="Arial"/>
                <w:sz w:val="12"/>
                <w:szCs w:val="12"/>
                <w:color w:val="auto"/>
              </w:rPr>
              <w:t>L+950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38,800,000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38,164,636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39,576,000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Balboa Capital Corporation </w:t>
            </w:r>
            <w:r>
              <w:rPr>
                <w:rFonts w:ascii="Arial" w:cs="Arial" w:eastAsia="Arial" w:hAnsi="Arial"/>
                <w:sz w:val="9"/>
                <w:szCs w:val="9"/>
                <w:color w:val="auto"/>
              </w:rPr>
              <w:t>(12)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03/04/2022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28,500,000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28,288,480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28,500,000</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DecoPac, Inc.</w:t>
            </w:r>
          </w:p>
        </w:tc>
        <w:tc>
          <w:tcPr>
            <w:tcW w:w="900" w:type="dxa"/>
            <w:vAlign w:val="bottom"/>
          </w:tcPr>
          <w:p>
            <w:pPr>
              <w:ind w:left="120"/>
              <w:spacing w:after="0"/>
              <w:rPr>
                <w:sz w:val="20"/>
                <w:szCs w:val="20"/>
                <w:color w:val="auto"/>
              </w:rPr>
            </w:pPr>
            <w:r>
              <w:rPr>
                <w:rFonts w:ascii="Arial" w:cs="Arial" w:eastAsia="Arial" w:hAnsi="Arial"/>
                <w:sz w:val="12"/>
                <w:szCs w:val="12"/>
                <w:color w:val="auto"/>
              </w:rPr>
              <w:t>03/31/2025</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9.58%</w:t>
            </w:r>
          </w:p>
        </w:tc>
        <w:tc>
          <w:tcPr>
            <w:tcW w:w="680" w:type="dxa"/>
            <w:vAlign w:val="bottom"/>
          </w:tcPr>
          <w:p>
            <w:pPr>
              <w:jc w:val="right"/>
              <w:spacing w:after="0"/>
              <w:rPr>
                <w:sz w:val="20"/>
                <w:szCs w:val="20"/>
                <w:color w:val="auto"/>
              </w:rPr>
            </w:pPr>
            <w:r>
              <w:rPr>
                <w:rFonts w:ascii="Arial" w:cs="Arial" w:eastAsia="Arial" w:hAnsi="Arial"/>
                <w:sz w:val="12"/>
                <w:szCs w:val="12"/>
                <w:color w:val="auto"/>
              </w:rPr>
              <w:t>L+825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35,500,000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34,790,399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34,790,000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Howard Berger Co.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09/30/2020</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3"/>
              </w:rPr>
              <w:t>Distribution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11.34%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42,937,500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41,491,290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41,220,000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5.18%)</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Infogroup, Inc.</w:t>
            </w:r>
          </w:p>
        </w:tc>
        <w:tc>
          <w:tcPr>
            <w:tcW w:w="900" w:type="dxa"/>
            <w:vAlign w:val="bottom"/>
          </w:tcPr>
          <w:p>
            <w:pPr>
              <w:ind w:left="120"/>
              <w:spacing w:after="0"/>
              <w:rPr>
                <w:sz w:val="20"/>
                <w:szCs w:val="20"/>
                <w:color w:val="auto"/>
              </w:rPr>
            </w:pPr>
            <w:r>
              <w:rPr>
                <w:rFonts w:ascii="Arial" w:cs="Arial" w:eastAsia="Arial" w:hAnsi="Arial"/>
                <w:sz w:val="12"/>
                <w:szCs w:val="12"/>
                <w:color w:val="auto"/>
              </w:rPr>
              <w:t>04/03/2024</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Other Media</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10.58%</w:t>
            </w:r>
          </w:p>
        </w:tc>
        <w:tc>
          <w:tcPr>
            <w:tcW w:w="680" w:type="dxa"/>
            <w:vAlign w:val="bottom"/>
          </w:tcPr>
          <w:p>
            <w:pPr>
              <w:jc w:val="right"/>
              <w:spacing w:after="0"/>
              <w:rPr>
                <w:sz w:val="20"/>
                <w:szCs w:val="20"/>
                <w:color w:val="auto"/>
              </w:rPr>
            </w:pPr>
            <w:r>
              <w:rPr>
                <w:rFonts w:ascii="Arial" w:cs="Arial" w:eastAsia="Arial" w:hAnsi="Arial"/>
                <w:sz w:val="12"/>
                <w:szCs w:val="12"/>
                <w:color w:val="auto"/>
              </w:rPr>
              <w:t>L+925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20,400,000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20,011,940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19,992,000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03/01/2019</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Cargo Transport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432,203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334,401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432,203</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11.00%)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20" w:type="dxa"/>
            <w:vAlign w:val="bottom"/>
          </w:tcPr>
          <w:p>
            <w:pPr>
              <w:spacing w:after="0"/>
              <w:rPr>
                <w:sz w:val="20"/>
                <w:szCs w:val="20"/>
                <w:color w:val="auto"/>
              </w:rPr>
            </w:pPr>
            <w:r>
              <w:rPr>
                <w:rFonts w:ascii="Arial" w:cs="Arial" w:eastAsia="Arial" w:hAnsi="Arial"/>
                <w:sz w:val="12"/>
                <w:szCs w:val="12"/>
                <w:color w:val="auto"/>
              </w:rPr>
              <w:t>Lighthouse Network, LLC</w:t>
            </w:r>
          </w:p>
        </w:tc>
        <w:tc>
          <w:tcPr>
            <w:tcW w:w="900" w:type="dxa"/>
            <w:vAlign w:val="bottom"/>
          </w:tcPr>
          <w:p>
            <w:pPr>
              <w:ind w:left="120"/>
              <w:spacing w:after="0"/>
              <w:rPr>
                <w:sz w:val="20"/>
                <w:szCs w:val="20"/>
                <w:color w:val="auto"/>
              </w:rPr>
            </w:pPr>
            <w:r>
              <w:rPr>
                <w:rFonts w:ascii="Arial" w:cs="Arial" w:eastAsia="Arial" w:hAnsi="Arial"/>
                <w:sz w:val="12"/>
                <w:szCs w:val="12"/>
                <w:color w:val="auto"/>
              </w:rPr>
              <w:t>10/11/2024</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10.74%</w:t>
            </w:r>
          </w:p>
        </w:tc>
        <w:tc>
          <w:tcPr>
            <w:tcW w:w="680" w:type="dxa"/>
            <w:vAlign w:val="bottom"/>
          </w:tcPr>
          <w:p>
            <w:pPr>
              <w:jc w:val="right"/>
              <w:spacing w:after="0"/>
              <w:rPr>
                <w:sz w:val="20"/>
                <w:szCs w:val="20"/>
                <w:color w:val="auto"/>
              </w:rPr>
            </w:pPr>
            <w:r>
              <w:rPr>
                <w:rFonts w:ascii="Arial" w:cs="Arial" w:eastAsia="Arial" w:hAnsi="Arial"/>
                <w:sz w:val="12"/>
                <w:szCs w:val="12"/>
                <w:color w:val="auto"/>
              </w:rPr>
              <w:t>L+950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33,900,000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33,633,877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33,900,000</w:t>
            </w:r>
          </w:p>
        </w:tc>
        <w:tc>
          <w:tcPr>
            <w:tcW w:w="100" w:type="dxa"/>
            <w:vAlign w:val="bottom"/>
          </w:tcPr>
          <w:p>
            <w:pPr>
              <w:spacing w:after="0"/>
              <w:rPr>
                <w:sz w:val="13"/>
                <w:szCs w:val="13"/>
                <w:color w:val="auto"/>
              </w:rPr>
            </w:pPr>
          </w:p>
        </w:tc>
      </w:tr>
      <w:tr>
        <w:trPr>
          <w:trHeight w:val="141"/>
        </w:trPr>
        <w:tc>
          <w:tcPr>
            <w:tcW w:w="3020" w:type="dxa"/>
            <w:vAlign w:val="bottom"/>
          </w:tcPr>
          <w:p>
            <w:pPr>
              <w:ind w:left="140"/>
              <w:spacing w:after="0"/>
              <w:rPr>
                <w:sz w:val="20"/>
                <w:szCs w:val="20"/>
                <w:color w:val="auto"/>
              </w:rPr>
            </w:pPr>
            <w:r>
              <w:rPr>
                <w:rFonts w:ascii="Arial" w:cs="Arial" w:eastAsia="Arial" w:hAnsi="Arial"/>
                <w:sz w:val="12"/>
                <w:szCs w:val="12"/>
                <w:color w:val="auto"/>
              </w:rPr>
              <w:t>(f/k/a Harbortouch Payments, LLC)</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MailSouth,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10/22/2021</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11.80%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26,425,000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26,004,601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26,689,250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(9), (12)</w:t>
            </w:r>
          </w:p>
        </w:tc>
        <w:tc>
          <w:tcPr>
            <w:tcW w:w="900" w:type="dxa"/>
            <w:vAlign w:val="bottom"/>
          </w:tcPr>
          <w:p>
            <w:pPr>
              <w:ind w:left="120"/>
              <w:spacing w:after="0"/>
              <w:rPr>
                <w:sz w:val="20"/>
                <w:szCs w:val="20"/>
                <w:color w:val="auto"/>
              </w:rPr>
            </w:pPr>
            <w:r>
              <w:rPr>
                <w:rFonts w:ascii="Arial" w:cs="Arial" w:eastAsia="Arial" w:hAnsi="Arial"/>
                <w:sz w:val="12"/>
                <w:szCs w:val="12"/>
                <w:color w:val="auto"/>
              </w:rPr>
              <w:t>12/17/2021</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Hotels, Motels, Inns and Gaming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13.24%</w:t>
            </w:r>
          </w:p>
        </w:tc>
        <w:tc>
          <w:tcPr>
            <w:tcW w:w="680" w:type="dxa"/>
            <w:vAlign w:val="bottom"/>
          </w:tcPr>
          <w:p>
            <w:pPr>
              <w:jc w:val="right"/>
              <w:spacing w:after="0"/>
              <w:rPr>
                <w:sz w:val="20"/>
                <w:szCs w:val="20"/>
                <w:color w:val="auto"/>
              </w:rPr>
            </w:pPr>
            <w:r>
              <w:rPr>
                <w:rFonts w:ascii="Arial" w:cs="Arial" w:eastAsia="Arial" w:hAnsi="Arial"/>
                <w:sz w:val="12"/>
                <w:szCs w:val="12"/>
                <w:color w:val="auto"/>
              </w:rPr>
              <w:t>L+1,200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76,500,000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76,500,000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83,295,634</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Pre-Paid Legal Services,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07/01/2020</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62,750,000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62,291,419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62,985,313</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Veritext Corp.</w:t>
            </w:r>
          </w:p>
        </w:tc>
        <w:tc>
          <w:tcPr>
            <w:tcW w:w="900" w:type="dxa"/>
            <w:vAlign w:val="bottom"/>
            <w:tcBorders>
              <w:bottom w:val="single" w:sz="8" w:color="CCECFF"/>
            </w:tcBorders>
          </w:tcPr>
          <w:p>
            <w:pPr>
              <w:ind w:left="120"/>
              <w:spacing w:after="0"/>
              <w:rPr>
                <w:sz w:val="20"/>
                <w:szCs w:val="20"/>
                <w:color w:val="auto"/>
              </w:rPr>
            </w:pPr>
            <w:r>
              <w:rPr>
                <w:rFonts w:ascii="Arial" w:cs="Arial" w:eastAsia="Arial" w:hAnsi="Arial"/>
                <w:sz w:val="12"/>
                <w:szCs w:val="12"/>
                <w:color w:val="auto"/>
              </w:rPr>
              <w:t>01/30/2023</w:t>
            </w:r>
          </w:p>
        </w:tc>
        <w:tc>
          <w:tcPr>
            <w:tcW w:w="278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10.33%</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L+900</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89"/>
              </w:rPr>
              <w:t>18,834,375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18,351,647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18,646,031</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379,862,690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390,026,431</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Subordinated Debt/Corporate Notes—10.6%</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Cascade Environmental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08/20/2021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32,675,553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32,158,389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31,940,353</w:t>
            </w:r>
          </w:p>
        </w:tc>
        <w:tc>
          <w:tcPr>
            <w:tcW w:w="100" w:type="dxa"/>
            <w:vAlign w:val="bottom"/>
            <w:shd w:val="clear" w:color="auto" w:fill="CCECFF"/>
          </w:tcPr>
          <w:p>
            <w:pPr>
              <w:spacing w:after="0"/>
              <w:rPr>
                <w:sz w:val="12"/>
                <w:szCs w:val="12"/>
                <w:color w:val="auto"/>
              </w:rPr>
            </w:pPr>
          </w:p>
        </w:tc>
      </w:tr>
      <w:tr>
        <w:trPr>
          <w:trHeight w:val="155"/>
        </w:trPr>
        <w:tc>
          <w:tcPr>
            <w:tcW w:w="3020" w:type="dxa"/>
            <w:vAlign w:val="bottom"/>
          </w:tcPr>
          <w:p>
            <w:pPr>
              <w:spacing w:after="0"/>
              <w:rPr>
                <w:sz w:val="20"/>
                <w:szCs w:val="20"/>
                <w:color w:val="auto"/>
              </w:rPr>
            </w:pPr>
            <w:r>
              <w:rPr>
                <w:rFonts w:ascii="Arial" w:cs="Arial" w:eastAsia="Arial" w:hAnsi="Arial"/>
                <w:sz w:val="12"/>
                <w:szCs w:val="12"/>
                <w:color w:val="auto"/>
              </w:rPr>
              <w:t>Credit Infonet, Inc.</w:t>
            </w:r>
          </w:p>
        </w:tc>
        <w:tc>
          <w:tcPr>
            <w:tcW w:w="900" w:type="dxa"/>
            <w:vAlign w:val="bottom"/>
          </w:tcPr>
          <w:p>
            <w:pPr>
              <w:ind w:left="120"/>
              <w:spacing w:after="0"/>
              <w:rPr>
                <w:sz w:val="20"/>
                <w:szCs w:val="20"/>
                <w:color w:val="auto"/>
              </w:rPr>
            </w:pPr>
            <w:r>
              <w:rPr>
                <w:rFonts w:ascii="Arial" w:cs="Arial" w:eastAsia="Arial" w:hAnsi="Arial"/>
                <w:sz w:val="12"/>
                <w:szCs w:val="12"/>
                <w:color w:val="auto"/>
              </w:rPr>
              <w:t>10/26/2020</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11,151,903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10,939,903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11,151,903</w:t>
            </w:r>
          </w:p>
        </w:tc>
        <w:tc>
          <w:tcPr>
            <w:tcW w:w="100" w:type="dxa"/>
            <w:vAlign w:val="bottom"/>
          </w:tcPr>
          <w:p>
            <w:pPr>
              <w:spacing w:after="0"/>
              <w:rPr>
                <w:sz w:val="13"/>
                <w:szCs w:val="13"/>
                <w:color w:val="auto"/>
              </w:rPr>
            </w:pPr>
          </w:p>
        </w:tc>
      </w:tr>
      <w:tr>
        <w:trPr>
          <w:trHeight w:val="141"/>
        </w:trPr>
        <w:tc>
          <w:tcPr>
            <w:tcW w:w="3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0.75%)</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Goldsun Trading Limited </w:t>
            </w:r>
            <w:r>
              <w:rPr>
                <w:rFonts w:ascii="Arial" w:cs="Arial" w:eastAsia="Arial" w:hAnsi="Arial"/>
                <w:sz w:val="9"/>
                <w:szCs w:val="9"/>
                <w:color w:val="auto"/>
              </w:rPr>
              <w:t>(9), (11), (12)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02/19/2018</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20.50%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L+1,600</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9,112,485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13,280,807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12,225,783</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12.00%)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Sonny’s Enterprises, LLC</w:t>
            </w:r>
          </w:p>
        </w:tc>
        <w:tc>
          <w:tcPr>
            <w:tcW w:w="900" w:type="dxa"/>
            <w:vAlign w:val="bottom"/>
            <w:tcBorders>
              <w:bottom w:val="single" w:sz="8" w:color="CCECFF"/>
            </w:tcBorders>
          </w:tcPr>
          <w:p>
            <w:pPr>
              <w:ind w:left="120"/>
              <w:spacing w:after="0"/>
              <w:rPr>
                <w:sz w:val="20"/>
                <w:szCs w:val="20"/>
                <w:color w:val="auto"/>
              </w:rPr>
            </w:pPr>
            <w:r>
              <w:rPr>
                <w:rFonts w:ascii="Arial" w:cs="Arial" w:eastAsia="Arial" w:hAnsi="Arial"/>
                <w:sz w:val="12"/>
                <w:szCs w:val="12"/>
                <w:color w:val="auto"/>
              </w:rPr>
              <w:t>06/01/2023</w:t>
            </w:r>
          </w:p>
        </w:tc>
        <w:tc>
          <w:tcPr>
            <w:tcW w:w="278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11.00%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89"/>
              </w:rPr>
              <w:t>13,300,000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13,055,456</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13,300,000</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69,434,555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68,618,039</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Equity/Partnership Interests—0.9% </w:t>
            </w:r>
            <w:r>
              <w:rPr>
                <w:rFonts w:ascii="Arial" w:cs="Arial" w:eastAsia="Arial" w:hAnsi="Arial"/>
                <w:sz w:val="9"/>
                <w:szCs w:val="9"/>
                <w:b w:val="1"/>
                <w:bCs w:val="1"/>
                <w:color w:val="auto"/>
              </w:rPr>
              <w:t>(6)</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AH Holdings, Inc.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327,380</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Alegeus Technologies Holdings Corp.</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949,050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1,144,391</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Convergint Technologies Holdings, LLC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Electronics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2,088,121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2,552,034</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HW Holdco, LLC</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Other Media</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3,591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24,971</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Roto Holdings, Inc.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1,197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1,197,000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1,537,236</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4,734,171</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5,586,012</w:t>
            </w:r>
          </w:p>
        </w:tc>
        <w:tc>
          <w:tcPr>
            <w:tcW w:w="100" w:type="dxa"/>
            <w:vAlign w:val="bottom"/>
          </w:tcPr>
          <w:p>
            <w:pPr>
              <w:spacing w:after="0"/>
              <w:rPr>
                <w:sz w:val="12"/>
                <w:szCs w:val="12"/>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6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Maturity /</w:t>
            </w: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Expiration</w:t>
            </w:r>
          </w:p>
        </w:tc>
        <w:tc>
          <w:tcPr>
            <w:tcW w:w="26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8"/>
              </w:rPr>
              <w:t>Industry</w:t>
            </w:r>
          </w:p>
        </w:tc>
        <w:tc>
          <w:tcPr>
            <w:tcW w:w="9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68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r>
      <w:tr>
        <w:trPr>
          <w:trHeight w:val="142"/>
        </w:trPr>
        <w:tc>
          <w:tcPr>
            <w:tcW w:w="30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w w:val="93"/>
              </w:rPr>
              <w:t xml:space="preserve">Common Equity/Partnership Interests/Warrants—6.7% </w:t>
            </w:r>
            <w:r>
              <w:rPr>
                <w:rFonts w:ascii="Arial" w:cs="Arial" w:eastAsia="Arial" w:hAnsi="Arial"/>
                <w:sz w:val="9"/>
                <w:szCs w:val="9"/>
                <w:b w:val="1"/>
                <w:bCs w:val="1"/>
                <w:color w:val="auto"/>
                <w:w w:val="93"/>
              </w:rPr>
              <w:t>(6)</w:t>
            </w:r>
          </w:p>
        </w:tc>
        <w:tc>
          <w:tcPr>
            <w:tcW w:w="980" w:type="dxa"/>
            <w:vAlign w:val="bottom"/>
            <w:tcBorders>
              <w:top w:val="single" w:sz="8" w:color="auto"/>
            </w:tcBorders>
            <w:shd w:val="clear" w:color="auto" w:fill="CCECFF"/>
          </w:tcPr>
          <w:p>
            <w:pPr>
              <w:spacing w:after="0"/>
              <w:rPr>
                <w:sz w:val="12"/>
                <w:szCs w:val="12"/>
                <w:color w:val="auto"/>
              </w:rPr>
            </w:pPr>
          </w:p>
        </w:tc>
        <w:tc>
          <w:tcPr>
            <w:tcW w:w="248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AH Holdings, Inc. (Warrants)</w:t>
            </w:r>
          </w:p>
        </w:tc>
        <w:tc>
          <w:tcPr>
            <w:tcW w:w="980" w:type="dxa"/>
            <w:vAlign w:val="bottom"/>
          </w:tcPr>
          <w:p>
            <w:pPr>
              <w:ind w:left="60"/>
              <w:spacing w:after="0"/>
              <w:rPr>
                <w:sz w:val="20"/>
                <w:szCs w:val="20"/>
                <w:color w:val="auto"/>
              </w:rPr>
            </w:pPr>
            <w:r>
              <w:rPr>
                <w:rFonts w:ascii="Arial" w:cs="Arial" w:eastAsia="Arial" w:hAnsi="Arial"/>
                <w:sz w:val="12"/>
                <w:szCs w:val="12"/>
                <w:color w:val="auto"/>
              </w:rPr>
              <w:t>03/23/2021</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753</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Alegeus Technologies Holdings Corp.</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1,146</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ASP LCG Holdings, Inc. (Warrants)</w:t>
            </w:r>
          </w:p>
        </w:tc>
        <w:tc>
          <w:tcPr>
            <w:tcW w:w="980" w:type="dxa"/>
            <w:vAlign w:val="bottom"/>
          </w:tcPr>
          <w:p>
            <w:pPr>
              <w:ind w:left="60"/>
              <w:spacing w:after="0"/>
              <w:rPr>
                <w:sz w:val="20"/>
                <w:szCs w:val="20"/>
                <w:color w:val="auto"/>
              </w:rPr>
            </w:pPr>
            <w:r>
              <w:rPr>
                <w:rFonts w:ascii="Arial" w:cs="Arial" w:eastAsia="Arial" w:hAnsi="Arial"/>
                <w:sz w:val="12"/>
                <w:szCs w:val="12"/>
                <w:color w:val="auto"/>
              </w:rPr>
              <w:t>05/05/2026</w:t>
            </w:r>
          </w:p>
        </w:tc>
        <w:tc>
          <w:tcPr>
            <w:tcW w:w="2600" w:type="dxa"/>
            <w:vAlign w:val="bottom"/>
            <w:gridSpan w:val="2"/>
          </w:tcPr>
          <w:p>
            <w:pPr>
              <w:jc w:val="center"/>
              <w:ind w:right="300"/>
              <w:spacing w:after="0"/>
              <w:rPr>
                <w:sz w:val="20"/>
                <w:szCs w:val="20"/>
                <w:color w:val="auto"/>
              </w:rPr>
            </w:pPr>
            <w:r>
              <w:rPr>
                <w:rFonts w:ascii="Arial" w:cs="Arial" w:eastAsia="Arial" w:hAnsi="Arial"/>
                <w:sz w:val="12"/>
                <w:szCs w:val="12"/>
                <w:color w:val="auto"/>
                <w:w w:val="86"/>
              </w:rPr>
              <w:t>Education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933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586,975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1,752,663</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Autumn Games, LLC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7"/>
              </w:rPr>
              <w:t>Broadcasting and Entertainment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1,333,330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56"/>
        </w:trPr>
        <w:tc>
          <w:tcPr>
            <w:tcW w:w="3060" w:type="dxa"/>
            <w:vAlign w:val="bottom"/>
          </w:tcPr>
          <w:p>
            <w:pPr>
              <w:spacing w:after="0"/>
              <w:rPr>
                <w:sz w:val="20"/>
                <w:szCs w:val="20"/>
                <w:color w:val="auto"/>
              </w:rPr>
            </w:pPr>
            <w:r>
              <w:rPr>
                <w:rFonts w:ascii="Arial" w:cs="Arial" w:eastAsia="Arial" w:hAnsi="Arial"/>
                <w:sz w:val="12"/>
                <w:szCs w:val="12"/>
                <w:color w:val="auto"/>
              </w:rPr>
              <w:t xml:space="preserve">Cardinal Logistics Holdings LLC </w:t>
            </w:r>
            <w:r>
              <w:rPr>
                <w:rFonts w:ascii="Arial" w:cs="Arial" w:eastAsia="Arial" w:hAnsi="Arial"/>
                <w:sz w:val="9"/>
                <w:szCs w:val="9"/>
                <w:color w:val="auto"/>
              </w:rPr>
              <w:t>(10)</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Cargo Transport</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0"/>
                <w:szCs w:val="10"/>
                <w:color w:val="auto"/>
              </w:rPr>
              <w:t>(14)</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5,411,024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3,688,211</w:t>
            </w:r>
          </w:p>
        </w:tc>
        <w:tc>
          <w:tcPr>
            <w:tcW w:w="100" w:type="dxa"/>
            <w:vAlign w:val="bottom"/>
          </w:tcPr>
          <w:p>
            <w:pPr>
              <w:spacing w:after="0"/>
              <w:rPr>
                <w:sz w:val="13"/>
                <w:szCs w:val="13"/>
                <w:color w:val="auto"/>
              </w:rPr>
            </w:pPr>
          </w:p>
        </w:tc>
      </w:tr>
      <w:tr>
        <w:trPr>
          <w:trHeight w:val="142"/>
        </w:trPr>
        <w:tc>
          <w:tcPr>
            <w:tcW w:w="3060" w:type="dxa"/>
            <w:vAlign w:val="bottom"/>
          </w:tcPr>
          <w:p>
            <w:pPr>
              <w:ind w:left="140"/>
              <w:spacing w:after="0"/>
              <w:rPr>
                <w:sz w:val="20"/>
                <w:szCs w:val="20"/>
                <w:color w:val="auto"/>
              </w:rPr>
            </w:pPr>
            <w:r>
              <w:rPr>
                <w:rFonts w:ascii="Arial" w:cs="Arial" w:eastAsia="Arial" w:hAnsi="Arial"/>
                <w:sz w:val="12"/>
                <w:szCs w:val="12"/>
                <w:color w:val="auto"/>
              </w:rPr>
              <w:t>(Intermediate Transportation 100, LLC)</w:t>
            </w:r>
          </w:p>
        </w:tc>
        <w:tc>
          <w:tcPr>
            <w:tcW w:w="9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(10)</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24,382</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2,518,909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2,438,193</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(10)</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tcPr>
          <w:p>
            <w:pPr>
              <w:jc w:val="center"/>
              <w:ind w:right="300"/>
              <w:spacing w:after="0"/>
              <w:rPr>
                <w:sz w:val="20"/>
                <w:szCs w:val="20"/>
                <w:color w:val="auto"/>
              </w:rPr>
            </w:pPr>
            <w:r>
              <w:rPr>
                <w:rFonts w:ascii="Arial" w:cs="Arial" w:eastAsia="Arial" w:hAnsi="Arial"/>
                <w:sz w:val="12"/>
                <w:szCs w:val="12"/>
                <w:color w:val="auto"/>
                <w:w w:val="96"/>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1,745,639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1,745,639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3,928,695</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CI (Summit) Investment Holdings LLC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8"/>
              </w:rPr>
              <w:t>Buildings and Real Estate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Convergint Technologies Holdings, LLC</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tcPr>
          <w:p>
            <w:pPr>
              <w:jc w:val="center"/>
              <w:ind w:right="300"/>
              <w:spacing w:after="0"/>
              <w:rPr>
                <w:sz w:val="20"/>
                <w:szCs w:val="20"/>
                <w:color w:val="auto"/>
              </w:rPr>
            </w:pPr>
            <w:r>
              <w:rPr>
                <w:rFonts w:ascii="Arial" w:cs="Arial" w:eastAsia="Arial" w:hAnsi="Arial"/>
                <w:sz w:val="12"/>
                <w:szCs w:val="12"/>
                <w:color w:val="auto"/>
                <w:w w:val="91"/>
              </w:rPr>
              <w:t>Electronics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2,375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4,612,054</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DecoPac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3,449</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3,448,658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3,448,658</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(12)</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800,000</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 (Interior Specialists,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92"/>
              </w:rPr>
              <w:t>Building Materials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4,277</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217,635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767,569</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HW Holdco, LLC</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388,378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2,700,680</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Infogroup Parent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181,495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1,934,243</w:t>
            </w:r>
          </w:p>
        </w:tc>
        <w:tc>
          <w:tcPr>
            <w:tcW w:w="100" w:type="dxa"/>
            <w:vAlign w:val="bottom"/>
            <w:shd w:val="clear" w:color="auto" w:fill="CCECFF"/>
          </w:tcPr>
          <w:p>
            <w:pPr>
              <w:spacing w:after="0"/>
              <w:rPr>
                <w:sz w:val="12"/>
                <w:szCs w:val="12"/>
                <w:color w:val="auto"/>
              </w:rPr>
            </w:pPr>
          </w:p>
        </w:tc>
      </w:tr>
      <w:tr>
        <w:trPr>
          <w:trHeight w:val="149"/>
        </w:trPr>
        <w:tc>
          <w:tcPr>
            <w:tcW w:w="3060" w:type="dxa"/>
            <w:vAlign w:val="bottom"/>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(10)</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204,985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2,049,849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2,197,752</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(13)</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252,014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2,265,639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844,247</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(10)</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tcPr>
          <w:p>
            <w:pPr>
              <w:jc w:val="center"/>
              <w:ind w:right="300"/>
              <w:spacing w:after="0"/>
              <w:rPr>
                <w:sz w:val="20"/>
                <w:szCs w:val="20"/>
                <w:color w:val="auto"/>
              </w:rPr>
            </w:pPr>
            <w:r>
              <w:rPr>
                <w:rFonts w:ascii="Arial" w:cs="Arial" w:eastAsia="Arial" w:hAnsi="Arial"/>
                <w:sz w:val="12"/>
                <w:szCs w:val="12"/>
                <w:color w:val="auto"/>
                <w:w w:val="96"/>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493,280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803,665</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(10)</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56"/>
        </w:trPr>
        <w:tc>
          <w:tcPr>
            <w:tcW w:w="3060" w:type="dxa"/>
            <w:vAlign w:val="bottom"/>
          </w:tcPr>
          <w:p>
            <w:pPr>
              <w:spacing w:after="0"/>
              <w:rPr>
                <w:sz w:val="20"/>
                <w:szCs w:val="20"/>
                <w:color w:val="auto"/>
              </w:rPr>
            </w:pPr>
            <w:r>
              <w:rPr>
                <w:rFonts w:ascii="Arial" w:cs="Arial" w:eastAsia="Arial" w:hAnsi="Arial"/>
                <w:sz w:val="12"/>
                <w:szCs w:val="12"/>
                <w:color w:val="auto"/>
              </w:rPr>
              <w:t>MidOcean PPL Holdings, Corp.</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tcPr>
          <w:p>
            <w:pPr>
              <w:jc w:val="center"/>
              <w:ind w:right="30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9,786,996</w:t>
            </w:r>
          </w:p>
        </w:tc>
        <w:tc>
          <w:tcPr>
            <w:tcW w:w="100" w:type="dxa"/>
            <w:vAlign w:val="bottom"/>
          </w:tcPr>
          <w:p>
            <w:pPr>
              <w:spacing w:after="0"/>
              <w:rPr>
                <w:sz w:val="13"/>
                <w:szCs w:val="13"/>
                <w:color w:val="auto"/>
              </w:rPr>
            </w:pPr>
          </w:p>
        </w:tc>
      </w:tr>
      <w:tr>
        <w:trPr>
          <w:trHeight w:val="142"/>
        </w:trPr>
        <w:tc>
          <w:tcPr>
            <w:tcW w:w="3060" w:type="dxa"/>
            <w:vAlign w:val="bottom"/>
          </w:tcPr>
          <w:p>
            <w:pPr>
              <w:ind w:left="140"/>
              <w:spacing w:after="0"/>
              <w:rPr>
                <w:sz w:val="20"/>
                <w:szCs w:val="20"/>
                <w:color w:val="auto"/>
              </w:rPr>
            </w:pPr>
            <w:r>
              <w:rPr>
                <w:rFonts w:ascii="Arial" w:cs="Arial" w:eastAsia="Arial" w:hAnsi="Arial"/>
                <w:sz w:val="12"/>
                <w:szCs w:val="12"/>
                <w:color w:val="auto"/>
              </w:rPr>
              <w:t>(Pre-Paid Legal Services, Inc.)</w:t>
            </w:r>
          </w:p>
        </w:tc>
        <w:tc>
          <w:tcPr>
            <w:tcW w:w="9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7"/>
              </w:rPr>
              <w:t>Insurance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100,885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238,038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136,195</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Roto Holdings, Inc.</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Manufacturing / Basic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2,036,830</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ZS Juniper L.P.</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754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754,264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754,264</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(Juniper Landscaping of Florida, LLC) </w:t>
            </w:r>
            <w:r>
              <w:rPr>
                <w:rFonts w:ascii="Arial" w:cs="Arial" w:eastAsia="Arial" w:hAnsi="Arial"/>
                <w:sz w:val="9"/>
                <w:szCs w:val="9"/>
                <w:color w:val="auto"/>
              </w:rPr>
              <w:t>(10)</w:t>
            </w:r>
          </w:p>
        </w:tc>
        <w:tc>
          <w:tcPr>
            <w:tcW w:w="9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80" w:type="dxa"/>
            <w:vAlign w:val="bottom"/>
            <w:tcBorders>
              <w:bottom w:val="single" w:sz="8" w:color="CCECFF"/>
            </w:tcBorders>
          </w:tcPr>
          <w:p>
            <w:pPr>
              <w:spacing w:after="0"/>
              <w:rPr>
                <w:sz w:val="12"/>
                <w:szCs w:val="12"/>
                <w:color w:val="auto"/>
              </w:rPr>
            </w:pPr>
          </w:p>
        </w:tc>
        <w:tc>
          <w:tcPr>
            <w:tcW w:w="24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30,703,860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43,632,061</w:t>
            </w:r>
          </w:p>
        </w:tc>
        <w:tc>
          <w:tcPr>
            <w:tcW w:w="100" w:type="dxa"/>
            <w:vAlign w:val="bottom"/>
            <w:tcBorders>
              <w:bottom w:val="single" w:sz="8" w:color="CCECFF"/>
            </w:tcBorders>
          </w:tcPr>
          <w:p>
            <w:pPr>
              <w:spacing w:after="0"/>
              <w:rPr>
                <w:sz w:val="12"/>
                <w:szCs w:val="12"/>
                <w:color w:val="auto"/>
              </w:rPr>
            </w:pPr>
          </w:p>
        </w:tc>
      </w:tr>
      <w:tr>
        <w:trPr>
          <w:trHeight w:val="142"/>
        </w:trPr>
        <w:tc>
          <w:tcPr>
            <w:tcW w:w="40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7"/>
              </w:rPr>
              <w:t>Total Investments in Non-Controlled, Non-Affiliated Portfolio Companies</w:t>
            </w: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824,106,322</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849,351,548</w:t>
            </w:r>
          </w:p>
        </w:tc>
        <w:tc>
          <w:tcPr>
            <w:tcW w:w="100" w:type="dxa"/>
            <w:vAlign w:val="bottom"/>
            <w:shd w:val="clear" w:color="auto" w:fill="CCECFF"/>
          </w:tcPr>
          <w:p>
            <w:pPr>
              <w:spacing w:after="0"/>
              <w:rPr>
                <w:sz w:val="12"/>
                <w:szCs w:val="12"/>
                <w:color w:val="auto"/>
              </w:rPr>
            </w:pPr>
          </w:p>
        </w:tc>
      </w:tr>
      <w:tr>
        <w:trPr>
          <w:trHeight w:val="142"/>
        </w:trPr>
        <w:tc>
          <w:tcPr>
            <w:tcW w:w="4040" w:type="dxa"/>
            <w:vAlign w:val="bottom"/>
            <w:gridSpan w:val="2"/>
          </w:tcPr>
          <w:p>
            <w:pPr>
              <w:spacing w:after="0"/>
              <w:rPr>
                <w:sz w:val="20"/>
                <w:szCs w:val="20"/>
                <w:color w:val="auto"/>
              </w:rPr>
            </w:pPr>
            <w:r>
              <w:rPr>
                <w:rFonts w:ascii="Arial" w:cs="Arial" w:eastAsia="Arial" w:hAnsi="Arial"/>
                <w:sz w:val="12"/>
                <w:szCs w:val="12"/>
                <w:b w:val="1"/>
                <w:bCs w:val="1"/>
                <w:color w:val="auto"/>
                <w:w w:val="93"/>
              </w:rPr>
              <w:t xml:space="preserve">Investments in Non-Controlled, Affiliated Portfolio Companies—29.3% </w:t>
            </w:r>
            <w:r>
              <w:rPr>
                <w:rFonts w:ascii="Arial" w:cs="Arial" w:eastAsia="Arial" w:hAnsi="Arial"/>
                <w:sz w:val="9"/>
                <w:szCs w:val="9"/>
                <w:b w:val="1"/>
                <w:bCs w:val="1"/>
                <w:color w:val="auto"/>
                <w:w w:val="93"/>
              </w:rPr>
              <w:t>(1), (2)</w:t>
            </w: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First Lien Secured Debt—9.8%</w:t>
            </w:r>
          </w:p>
        </w:tc>
        <w:tc>
          <w:tcPr>
            <w:tcW w:w="9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5"/>
        </w:trPr>
        <w:tc>
          <w:tcPr>
            <w:tcW w:w="3060" w:type="dxa"/>
            <w:vAlign w:val="bottom"/>
          </w:tcPr>
          <w:p>
            <w:pPr>
              <w:spacing w:after="0"/>
              <w:rPr>
                <w:sz w:val="20"/>
                <w:szCs w:val="20"/>
                <w:color w:val="auto"/>
              </w:rPr>
            </w:pPr>
            <w:r>
              <w:rPr>
                <w:rFonts w:ascii="Arial" w:cs="Arial" w:eastAsia="Arial" w:hAnsi="Arial"/>
                <w:sz w:val="12"/>
                <w:szCs w:val="12"/>
                <w:color w:val="auto"/>
              </w:rPr>
              <w:t>American Gilsonite Company</w:t>
            </w:r>
          </w:p>
        </w:tc>
        <w:tc>
          <w:tcPr>
            <w:tcW w:w="980" w:type="dxa"/>
            <w:vAlign w:val="bottom"/>
          </w:tcPr>
          <w:p>
            <w:pPr>
              <w:ind w:left="60"/>
              <w:spacing w:after="0"/>
              <w:rPr>
                <w:sz w:val="20"/>
                <w:szCs w:val="20"/>
                <w:color w:val="auto"/>
              </w:rPr>
            </w:pPr>
            <w:r>
              <w:rPr>
                <w:rFonts w:ascii="Arial" w:cs="Arial" w:eastAsia="Arial" w:hAnsi="Arial"/>
                <w:sz w:val="12"/>
                <w:szCs w:val="12"/>
                <w:color w:val="auto"/>
              </w:rPr>
              <w:t>12/31/2021</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Diversified Natural Resources,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15.00%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3,257,511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3,168,502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3,583,262</w:t>
            </w:r>
          </w:p>
        </w:tc>
        <w:tc>
          <w:tcPr>
            <w:tcW w:w="100" w:type="dxa"/>
            <w:vAlign w:val="bottom"/>
          </w:tcPr>
          <w:p>
            <w:pPr>
              <w:spacing w:after="0"/>
              <w:rPr>
                <w:sz w:val="13"/>
                <w:szCs w:val="13"/>
                <w:color w:val="auto"/>
              </w:rPr>
            </w:pPr>
          </w:p>
        </w:tc>
      </w:tr>
      <w:tr>
        <w:trPr>
          <w:trHeight w:val="142"/>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Precious Metals and Minerals</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5.00%)</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Corfin Industries LLC</w:t>
            </w:r>
          </w:p>
        </w:tc>
        <w:tc>
          <w:tcPr>
            <w:tcW w:w="980" w:type="dxa"/>
            <w:vAlign w:val="bottom"/>
            <w:shd w:val="clear" w:color="auto" w:fill="CCECFF"/>
          </w:tcPr>
          <w:p>
            <w:pPr>
              <w:ind w:left="60"/>
              <w:spacing w:after="0"/>
              <w:rPr>
                <w:sz w:val="20"/>
                <w:szCs w:val="20"/>
                <w:color w:val="auto"/>
              </w:rPr>
            </w:pPr>
            <w:r>
              <w:rPr>
                <w:rFonts w:ascii="Arial" w:cs="Arial" w:eastAsia="Arial" w:hAnsi="Arial"/>
                <w:sz w:val="12"/>
                <w:szCs w:val="12"/>
                <w:color w:val="auto"/>
              </w:rPr>
              <w:t>11/25/2020</w:t>
            </w:r>
          </w:p>
        </w:tc>
        <w:tc>
          <w:tcPr>
            <w:tcW w:w="26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10.99%</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L+975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22,593,352</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22,280,645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22,480,385</w:t>
            </w:r>
          </w:p>
        </w:tc>
        <w:tc>
          <w:tcPr>
            <w:tcW w:w="100" w:type="dxa"/>
            <w:vAlign w:val="bottom"/>
            <w:shd w:val="clear" w:color="auto" w:fill="CCECFF"/>
          </w:tcPr>
          <w:p>
            <w:pPr>
              <w:spacing w:after="0"/>
              <w:rPr>
                <w:sz w:val="12"/>
                <w:szCs w:val="12"/>
                <w:color w:val="auto"/>
              </w:rPr>
            </w:pPr>
          </w:p>
        </w:tc>
      </w:tr>
      <w:tr>
        <w:trPr>
          <w:trHeight w:val="149"/>
        </w:trPr>
        <w:tc>
          <w:tcPr>
            <w:tcW w:w="3060" w:type="dxa"/>
            <w:vAlign w:val="bottom"/>
          </w:tcPr>
          <w:p>
            <w:pPr>
              <w:spacing w:after="0"/>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w:t>
            </w:r>
          </w:p>
        </w:tc>
        <w:tc>
          <w:tcPr>
            <w:tcW w:w="980" w:type="dxa"/>
            <w:vAlign w:val="bottom"/>
          </w:tcPr>
          <w:p>
            <w:pPr>
              <w:ind w:left="60"/>
              <w:spacing w:after="0"/>
              <w:rPr>
                <w:sz w:val="20"/>
                <w:szCs w:val="20"/>
                <w:color w:val="auto"/>
              </w:rPr>
            </w:pPr>
            <w:r>
              <w:rPr>
                <w:rFonts w:ascii="Arial" w:cs="Arial" w:eastAsia="Arial" w:hAnsi="Arial"/>
                <w:sz w:val="12"/>
                <w:szCs w:val="12"/>
                <w:color w:val="auto"/>
              </w:rPr>
              <w:t>11/25/2020</w:t>
            </w:r>
          </w:p>
        </w:tc>
        <w:tc>
          <w:tcPr>
            <w:tcW w:w="2600" w:type="dxa"/>
            <w:vAlign w:val="bottom"/>
            <w:gridSpan w:val="2"/>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1,942,623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TRAK Acquisition Corp.</w:t>
            </w:r>
          </w:p>
        </w:tc>
        <w:tc>
          <w:tcPr>
            <w:tcW w:w="9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04/30/2018</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L+1,050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21,202,411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21,136,798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21,202,411</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TRAK Acquisition Corp. (Revolver)</w:t>
            </w:r>
          </w:p>
        </w:tc>
        <w:tc>
          <w:tcPr>
            <w:tcW w:w="980" w:type="dxa"/>
            <w:vAlign w:val="bottom"/>
          </w:tcPr>
          <w:p>
            <w:pPr>
              <w:ind w:left="60"/>
              <w:spacing w:after="0"/>
              <w:rPr>
                <w:sz w:val="20"/>
                <w:szCs w:val="20"/>
                <w:color w:val="auto"/>
              </w:rPr>
            </w:pPr>
            <w:r>
              <w:rPr>
                <w:rFonts w:ascii="Arial" w:cs="Arial" w:eastAsia="Arial" w:hAnsi="Arial"/>
                <w:sz w:val="12"/>
                <w:szCs w:val="12"/>
                <w:color w:val="auto"/>
              </w:rPr>
              <w:t>04/30/2018</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L+1,050</w:t>
            </w:r>
          </w:p>
        </w:tc>
        <w:tc>
          <w:tcPr>
            <w:tcW w:w="680" w:type="dxa"/>
            <w:vAlign w:val="bottom"/>
          </w:tcPr>
          <w:p>
            <w:pPr>
              <w:jc w:val="right"/>
              <w:spacing w:after="0"/>
              <w:rPr>
                <w:sz w:val="20"/>
                <w:szCs w:val="20"/>
                <w:color w:val="auto"/>
              </w:rPr>
            </w:pPr>
            <w:r>
              <w:rPr>
                <w:rFonts w:ascii="Arial" w:cs="Arial" w:eastAsia="Arial" w:hAnsi="Arial"/>
                <w:sz w:val="12"/>
                <w:szCs w:val="12"/>
                <w:color w:val="auto"/>
              </w:rPr>
              <w:t>5,000,000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U.S. Well Services, LLC</w:t>
            </w:r>
          </w:p>
        </w:tc>
        <w:tc>
          <w:tcPr>
            <w:tcW w:w="9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02/02/2022</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12.24%</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L+1,100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9,644,284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9,566,510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9,644,284</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12.24%)</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60" w:type="dxa"/>
            <w:vAlign w:val="bottom"/>
          </w:tcPr>
          <w:p>
            <w:pPr>
              <w:spacing w:after="0"/>
              <w:rPr>
                <w:sz w:val="20"/>
                <w:szCs w:val="20"/>
                <w:color w:val="auto"/>
              </w:rPr>
            </w:pPr>
            <w:r>
              <w:rPr>
                <w:rFonts w:ascii="Arial" w:cs="Arial" w:eastAsia="Arial" w:hAnsi="Arial"/>
                <w:sz w:val="12"/>
                <w:szCs w:val="12"/>
                <w:color w:val="auto"/>
              </w:rPr>
              <w:t>U.S. Well Services, LLC (Revolver)</w:t>
            </w:r>
          </w:p>
        </w:tc>
        <w:tc>
          <w:tcPr>
            <w:tcW w:w="980" w:type="dxa"/>
            <w:vAlign w:val="bottom"/>
          </w:tcPr>
          <w:p>
            <w:pPr>
              <w:ind w:left="60"/>
              <w:spacing w:after="0"/>
              <w:rPr>
                <w:sz w:val="20"/>
                <w:szCs w:val="20"/>
                <w:color w:val="auto"/>
              </w:rPr>
            </w:pPr>
            <w:r>
              <w:rPr>
                <w:rFonts w:ascii="Arial" w:cs="Arial" w:eastAsia="Arial" w:hAnsi="Arial"/>
                <w:sz w:val="12"/>
                <w:szCs w:val="12"/>
                <w:color w:val="auto"/>
              </w:rPr>
              <w:t>02/02/2022</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7.24%</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tcPr>
          <w:p>
            <w:pPr>
              <w:jc w:val="right"/>
              <w:spacing w:after="0"/>
              <w:rPr>
                <w:sz w:val="20"/>
                <w:szCs w:val="20"/>
                <w:color w:val="auto"/>
              </w:rPr>
            </w:pPr>
            <w:r>
              <w:rPr>
                <w:rFonts w:ascii="Arial" w:cs="Arial" w:eastAsia="Arial" w:hAnsi="Arial"/>
                <w:sz w:val="12"/>
                <w:szCs w:val="12"/>
                <w:color w:val="auto"/>
              </w:rPr>
              <w:t>1,478,151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1,478,151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1,478,151</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(8)</w:t>
            </w:r>
          </w:p>
        </w:tc>
        <w:tc>
          <w:tcPr>
            <w:tcW w:w="9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02/02/2022</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714,270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980" w:type="dxa"/>
            <w:vAlign w:val="bottom"/>
            <w:tcBorders>
              <w:bottom w:val="single" w:sz="8" w:color="CCECFF"/>
            </w:tcBorders>
          </w:tcPr>
          <w:p>
            <w:pPr>
              <w:spacing w:after="0"/>
              <w:rPr>
                <w:sz w:val="12"/>
                <w:szCs w:val="12"/>
                <w:color w:val="auto"/>
              </w:rPr>
            </w:pPr>
          </w:p>
        </w:tc>
        <w:tc>
          <w:tcPr>
            <w:tcW w:w="24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62,630,606</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63,388,493</w:t>
            </w:r>
          </w:p>
        </w:tc>
        <w:tc>
          <w:tcPr>
            <w:tcW w:w="100" w:type="dxa"/>
            <w:vAlign w:val="bottom"/>
            <w:tcBorders>
              <w:bottom w:val="single" w:sz="8" w:color="CCECFF"/>
            </w:tcBorders>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Debt—1.5%</w:t>
            </w:r>
          </w:p>
        </w:tc>
        <w:tc>
          <w:tcPr>
            <w:tcW w:w="9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60" w:type="dxa"/>
            <w:vAlign w:val="bottom"/>
          </w:tcPr>
          <w:p>
            <w:pPr>
              <w:spacing w:after="0"/>
              <w:rPr>
                <w:sz w:val="20"/>
                <w:szCs w:val="20"/>
                <w:color w:val="auto"/>
              </w:rPr>
            </w:pPr>
            <w:r>
              <w:rPr>
                <w:rFonts w:ascii="Arial" w:cs="Arial" w:eastAsia="Arial" w:hAnsi="Arial"/>
                <w:sz w:val="12"/>
                <w:szCs w:val="12"/>
                <w:color w:val="auto"/>
              </w:rPr>
              <w:t>EnviroSolutions Real Property Holdings, Inc. -</w:t>
            </w:r>
          </w:p>
        </w:tc>
        <w:tc>
          <w:tcPr>
            <w:tcW w:w="980" w:type="dxa"/>
            <w:vAlign w:val="bottom"/>
          </w:tcPr>
          <w:p>
            <w:pPr>
              <w:ind w:left="60"/>
              <w:spacing w:after="0"/>
              <w:rPr>
                <w:sz w:val="20"/>
                <w:szCs w:val="20"/>
                <w:color w:val="auto"/>
              </w:rPr>
            </w:pPr>
            <w:r>
              <w:rPr>
                <w:rFonts w:ascii="Arial" w:cs="Arial" w:eastAsia="Arial" w:hAnsi="Arial"/>
                <w:sz w:val="12"/>
                <w:szCs w:val="12"/>
                <w:color w:val="auto"/>
              </w:rPr>
              <w:t>12/23/2019</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9.34%</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tcPr>
          <w:p>
            <w:pPr>
              <w:jc w:val="right"/>
              <w:spacing w:after="0"/>
              <w:rPr>
                <w:sz w:val="20"/>
                <w:szCs w:val="20"/>
                <w:color w:val="auto"/>
              </w:rPr>
            </w:pPr>
            <w:r>
              <w:rPr>
                <w:rFonts w:ascii="Arial" w:cs="Arial" w:eastAsia="Arial" w:hAnsi="Arial"/>
                <w:sz w:val="12"/>
                <w:szCs w:val="12"/>
                <w:color w:val="auto"/>
              </w:rPr>
              <w:t>4,856,640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4,834,021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4,856,640</w:t>
            </w:r>
          </w:p>
        </w:tc>
        <w:tc>
          <w:tcPr>
            <w:tcW w:w="100" w:type="dxa"/>
            <w:vAlign w:val="bottom"/>
          </w:tcPr>
          <w:p>
            <w:pPr>
              <w:spacing w:after="0"/>
              <w:rPr>
                <w:sz w:val="13"/>
                <w:szCs w:val="13"/>
                <w:color w:val="auto"/>
              </w:rPr>
            </w:pPr>
          </w:p>
        </w:tc>
      </w:tr>
      <w:tr>
        <w:trPr>
          <w:trHeight w:val="141"/>
        </w:trPr>
        <w:tc>
          <w:tcPr>
            <w:tcW w:w="3060" w:type="dxa"/>
            <w:vAlign w:val="bottom"/>
          </w:tcPr>
          <w:p>
            <w:pPr>
              <w:ind w:left="140"/>
              <w:spacing w:after="0"/>
              <w:rPr>
                <w:sz w:val="20"/>
                <w:szCs w:val="20"/>
                <w:color w:val="auto"/>
              </w:rPr>
            </w:pPr>
            <w:r>
              <w:rPr>
                <w:rFonts w:ascii="Arial" w:cs="Arial" w:eastAsia="Arial" w:hAnsi="Arial"/>
                <w:sz w:val="12"/>
                <w:szCs w:val="12"/>
                <w:color w:val="auto"/>
              </w:rPr>
              <w:t>Tranche A</w:t>
            </w:r>
          </w:p>
        </w:tc>
        <w:tc>
          <w:tcPr>
            <w:tcW w:w="9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EnviroSolutions Real Property Holdings, Inc. -</w:t>
            </w:r>
          </w:p>
        </w:tc>
        <w:tc>
          <w:tcPr>
            <w:tcW w:w="9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08/03/2020</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9.34%</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4,661,312</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4,639,603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4,661,312</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shd w:val="clear" w:color="auto" w:fill="CCECFF"/>
          </w:tcPr>
          <w:p>
            <w:pPr>
              <w:ind w:left="140"/>
              <w:spacing w:after="0"/>
              <w:rPr>
                <w:sz w:val="20"/>
                <w:szCs w:val="20"/>
                <w:color w:val="auto"/>
              </w:rPr>
            </w:pPr>
            <w:r>
              <w:rPr>
                <w:rFonts w:ascii="Arial" w:cs="Arial" w:eastAsia="Arial" w:hAnsi="Arial"/>
                <w:sz w:val="12"/>
                <w:szCs w:val="12"/>
                <w:color w:val="auto"/>
              </w:rPr>
              <w:t>Tranche B</w:t>
            </w:r>
          </w:p>
        </w:tc>
        <w:tc>
          <w:tcPr>
            <w:tcW w:w="9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9.34%)</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Second Lien Secured Debt</w:t>
            </w:r>
          </w:p>
        </w:tc>
        <w:tc>
          <w:tcPr>
            <w:tcW w:w="980" w:type="dxa"/>
            <w:vAlign w:val="bottom"/>
            <w:tcBorders>
              <w:bottom w:val="single" w:sz="8" w:color="CCECFF"/>
            </w:tcBorders>
          </w:tcPr>
          <w:p>
            <w:pPr>
              <w:spacing w:after="0"/>
              <w:rPr>
                <w:sz w:val="12"/>
                <w:szCs w:val="12"/>
                <w:color w:val="auto"/>
              </w:rPr>
            </w:pPr>
          </w:p>
        </w:tc>
        <w:tc>
          <w:tcPr>
            <w:tcW w:w="24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9,473,624</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9,517,952</w:t>
            </w:r>
          </w:p>
        </w:tc>
        <w:tc>
          <w:tcPr>
            <w:tcW w:w="100" w:type="dxa"/>
            <w:vAlign w:val="bottom"/>
            <w:tcBorders>
              <w:bottom w:val="single" w:sz="8" w:color="CCECFF"/>
            </w:tcBorders>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Subordinated Debt/Corporate Notes—8.0%</w:t>
            </w:r>
          </w:p>
        </w:tc>
        <w:tc>
          <w:tcPr>
            <w:tcW w:w="9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60" w:type="dxa"/>
            <w:vAlign w:val="bottom"/>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980" w:type="dxa"/>
            <w:vAlign w:val="bottom"/>
          </w:tcPr>
          <w:p>
            <w:pPr>
              <w:ind w:left="60"/>
              <w:spacing w:after="0"/>
              <w:rPr>
                <w:sz w:val="20"/>
                <w:szCs w:val="20"/>
                <w:color w:val="auto"/>
              </w:rPr>
            </w:pPr>
            <w:r>
              <w:rPr>
                <w:rFonts w:ascii="Arial" w:cs="Arial" w:eastAsia="Arial" w:hAnsi="Arial"/>
                <w:sz w:val="12"/>
                <w:szCs w:val="12"/>
                <w:color w:val="auto"/>
              </w:rPr>
              <w:t>12/31/2021</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Diversified Natural Resources,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17.00%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9,727,948</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9,727,948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10,603,464</w:t>
            </w:r>
          </w:p>
        </w:tc>
        <w:tc>
          <w:tcPr>
            <w:tcW w:w="100" w:type="dxa"/>
            <w:vAlign w:val="bottom"/>
          </w:tcPr>
          <w:p>
            <w:pPr>
              <w:spacing w:after="0"/>
              <w:rPr>
                <w:sz w:val="13"/>
                <w:szCs w:val="13"/>
                <w:color w:val="auto"/>
              </w:rPr>
            </w:pPr>
          </w:p>
        </w:tc>
      </w:tr>
      <w:tr>
        <w:trPr>
          <w:trHeight w:val="141"/>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Precious Metals and Minerals</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17.00%)</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ETX Energy, LLC, Convertible Note </w:t>
            </w:r>
            <w:r>
              <w:rPr>
                <w:rFonts w:ascii="Arial" w:cs="Arial" w:eastAsia="Arial" w:hAnsi="Arial"/>
                <w:sz w:val="9"/>
                <w:szCs w:val="9"/>
                <w:color w:val="auto"/>
              </w:rPr>
              <w:t>(5)</w:t>
            </w:r>
          </w:p>
        </w:tc>
        <w:tc>
          <w:tcPr>
            <w:tcW w:w="9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05/03/2021</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28,611,214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37,434,384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41,486,260</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12.50%)</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80" w:type="dxa"/>
            <w:vAlign w:val="bottom"/>
            <w:tcBorders>
              <w:bottom w:val="single" w:sz="8" w:color="CCECFF"/>
            </w:tcBorders>
          </w:tcPr>
          <w:p>
            <w:pPr>
              <w:spacing w:after="0"/>
              <w:rPr>
                <w:sz w:val="12"/>
                <w:szCs w:val="12"/>
                <w:color w:val="auto"/>
              </w:rPr>
            </w:pPr>
          </w:p>
        </w:tc>
        <w:tc>
          <w:tcPr>
            <w:tcW w:w="24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47,162,332</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52,089,724</w:t>
            </w:r>
          </w:p>
        </w:tc>
        <w:tc>
          <w:tcPr>
            <w:tcW w:w="100" w:type="dxa"/>
            <w:vAlign w:val="bottom"/>
            <w:tcBorders>
              <w:bottom w:val="single" w:sz="8" w:color="CCECFF"/>
            </w:tcBorders>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91"/>
              </w:rPr>
              <w:t xml:space="preserve">Common Equity/Partnership Interests/Warrants—10.0% </w:t>
            </w:r>
            <w:r>
              <w:rPr>
                <w:rFonts w:ascii="Arial" w:cs="Arial" w:eastAsia="Arial" w:hAnsi="Arial"/>
                <w:sz w:val="9"/>
                <w:szCs w:val="9"/>
                <w:b w:val="1"/>
                <w:bCs w:val="1"/>
                <w:color w:val="auto"/>
                <w:w w:val="91"/>
              </w:rPr>
              <w:t>(6)</w:t>
            </w:r>
          </w:p>
        </w:tc>
        <w:tc>
          <w:tcPr>
            <w:tcW w:w="98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859,496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30,503,493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19,648,795</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37,181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10,265,972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55,344</w:t>
            </w:r>
          </w:p>
        </w:tc>
        <w:tc>
          <w:tcPr>
            <w:tcW w:w="100" w:type="dxa"/>
            <w:vAlign w:val="bottom"/>
            <w:shd w:val="clear" w:color="auto" w:fill="CCECFF"/>
          </w:tcPr>
          <w:p>
            <w:pPr>
              <w:spacing w:after="0"/>
              <w:rPr>
                <w:sz w:val="12"/>
                <w:szCs w:val="12"/>
                <w:color w:val="auto"/>
              </w:rPr>
            </w:pPr>
          </w:p>
        </w:tc>
      </w:tr>
      <w:tr>
        <w:trPr>
          <w:trHeight w:val="156"/>
        </w:trPr>
        <w:tc>
          <w:tcPr>
            <w:tcW w:w="3060" w:type="dxa"/>
            <w:vAlign w:val="bottom"/>
          </w:tcPr>
          <w:p>
            <w:pPr>
              <w:spacing w:after="0"/>
              <w:rPr>
                <w:sz w:val="20"/>
                <w:szCs w:val="20"/>
                <w:color w:val="auto"/>
              </w:rPr>
            </w:pPr>
            <w:r>
              <w:rPr>
                <w:rFonts w:ascii="Arial" w:cs="Arial" w:eastAsia="Arial" w:hAnsi="Arial"/>
                <w:sz w:val="12"/>
                <w:szCs w:val="12"/>
                <w:color w:val="auto"/>
              </w:rPr>
              <w:t>American Gilsonite Company</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Diversified Natural Resources,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25,400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5,465,627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8,620,806</w:t>
            </w:r>
          </w:p>
        </w:tc>
        <w:tc>
          <w:tcPr>
            <w:tcW w:w="100" w:type="dxa"/>
            <w:vAlign w:val="bottom"/>
          </w:tcPr>
          <w:p>
            <w:pPr>
              <w:spacing w:after="0"/>
              <w:rPr>
                <w:sz w:val="13"/>
                <w:szCs w:val="13"/>
                <w:color w:val="auto"/>
              </w:rPr>
            </w:pPr>
          </w:p>
        </w:tc>
      </w:tr>
      <w:tr>
        <w:trPr>
          <w:trHeight w:val="141"/>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Precious Metals and Minerals</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Corfin InvestCo, L.P.</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11,250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1,609,091</w:t>
            </w:r>
          </w:p>
        </w:tc>
        <w:tc>
          <w:tcPr>
            <w:tcW w:w="100" w:type="dxa"/>
            <w:vAlign w:val="bottom"/>
            <w:shd w:val="clear" w:color="auto" w:fill="CCECFF"/>
          </w:tcPr>
          <w:p>
            <w:pPr>
              <w:spacing w:after="0"/>
              <w:rPr>
                <w:sz w:val="12"/>
                <w:szCs w:val="12"/>
                <w:color w:val="auto"/>
              </w:rPr>
            </w:pPr>
          </w:p>
        </w:tc>
      </w:tr>
      <w:tr>
        <w:trPr>
          <w:trHeight w:val="149"/>
        </w:trPr>
        <w:tc>
          <w:tcPr>
            <w:tcW w:w="3060" w:type="dxa"/>
            <w:vAlign w:val="bottom"/>
          </w:tcPr>
          <w:p>
            <w:pPr>
              <w:spacing w:after="0"/>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(8)</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11,250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EnviroSolutions Holdings, Inc.</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143,668</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11,960,702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15,718,184</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(10)</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113,610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2,797,423</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ETX Energy Management Company, LLC </w:t>
            </w:r>
            <w:r>
              <w:rPr>
                <w:rFonts w:ascii="Arial" w:cs="Arial" w:eastAsia="Arial" w:hAnsi="Arial"/>
                <w:sz w:val="9"/>
                <w:szCs w:val="9"/>
                <w:color w:val="auto"/>
              </w:rPr>
              <w:t>(10)</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119,603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147,249</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TRAK Acquisition Corp.</w:t>
            </w:r>
          </w:p>
        </w:tc>
        <w:tc>
          <w:tcPr>
            <w:tcW w:w="980" w:type="dxa"/>
            <w:vAlign w:val="bottom"/>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491,755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188,837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5,972,967</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USWS Holdings, LLC - Class A and Class B</w:t>
            </w:r>
          </w:p>
        </w:tc>
        <w:tc>
          <w:tcPr>
            <w:tcW w:w="9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60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8,190,817</w:t>
            </w: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7,023,750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10,108,949</w:t>
            </w: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80" w:type="dxa"/>
            <w:vAlign w:val="bottom"/>
            <w:tcBorders>
              <w:bottom w:val="single" w:sz="8" w:color="CCECFF"/>
            </w:tcBorders>
          </w:tcPr>
          <w:p>
            <w:pPr>
              <w:spacing w:after="0"/>
              <w:rPr>
                <w:sz w:val="12"/>
                <w:szCs w:val="12"/>
                <w:color w:val="auto"/>
              </w:rPr>
            </w:pPr>
          </w:p>
        </w:tc>
        <w:tc>
          <w:tcPr>
            <w:tcW w:w="24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66,533,381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64,678,808</w:t>
            </w:r>
          </w:p>
        </w:tc>
        <w:tc>
          <w:tcPr>
            <w:tcW w:w="100" w:type="dxa"/>
            <w:vAlign w:val="bottom"/>
            <w:tcBorders>
              <w:bottom w:val="single" w:sz="8" w:color="CCECFF"/>
            </w:tcBorders>
          </w:tcPr>
          <w:p>
            <w:pPr>
              <w:spacing w:after="0"/>
              <w:rPr>
                <w:sz w:val="12"/>
                <w:szCs w:val="12"/>
                <w:color w:val="auto"/>
              </w:rPr>
            </w:pPr>
          </w:p>
        </w:tc>
      </w:tr>
      <w:tr>
        <w:trPr>
          <w:trHeight w:val="142"/>
        </w:trPr>
        <w:tc>
          <w:tcPr>
            <w:tcW w:w="40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185,799,943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189,674,977</w:t>
            </w:r>
          </w:p>
        </w:tc>
        <w:tc>
          <w:tcPr>
            <w:tcW w:w="100" w:type="dxa"/>
            <w:vAlign w:val="bottom"/>
            <w:shd w:val="clear" w:color="auto" w:fill="CCECFF"/>
          </w:tcPr>
          <w:p>
            <w:pPr>
              <w:spacing w:after="0"/>
              <w:rPr>
                <w:sz w:val="12"/>
                <w:szCs w:val="12"/>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1980" w:type="dxa"/>
            <w:vAlign w:val="bottom"/>
          </w:tcPr>
          <w:p>
            <w:pPr>
              <w:spacing w:after="0"/>
              <w:rPr>
                <w:sz w:val="11"/>
                <w:szCs w:val="11"/>
                <w:color w:val="auto"/>
              </w:rPr>
            </w:pPr>
          </w:p>
        </w:tc>
        <w:tc>
          <w:tcPr>
            <w:tcW w:w="126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198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60" w:type="dxa"/>
            <w:vAlign w:val="bottom"/>
            <w:gridSpan w:val="2"/>
          </w:tcPr>
          <w:p>
            <w:pPr>
              <w:ind w:left="56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0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42"/>
        </w:trPr>
        <w:tc>
          <w:tcPr>
            <w:tcW w:w="41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Companies—17.8% </w:t>
            </w:r>
            <w:r>
              <w:rPr>
                <w:rFonts w:ascii="Arial" w:cs="Arial" w:eastAsia="Arial" w:hAnsi="Arial"/>
                <w:sz w:val="9"/>
                <w:szCs w:val="9"/>
                <w:b w:val="1"/>
                <w:bCs w:val="1"/>
                <w:color w:val="auto"/>
              </w:rPr>
              <w:t>(1), (2)</w:t>
            </w:r>
          </w:p>
        </w:tc>
        <w:tc>
          <w:tcPr>
            <w:tcW w:w="1980" w:type="dxa"/>
            <w:vAlign w:val="bottom"/>
            <w:tcBorders>
              <w:top w:val="single" w:sz="8" w:color="auto"/>
            </w:tcBorders>
            <w:shd w:val="clear" w:color="auto" w:fill="CCECFF"/>
          </w:tcPr>
          <w:p>
            <w:pPr>
              <w:spacing w:after="0"/>
              <w:rPr>
                <w:sz w:val="12"/>
                <w:szCs w:val="12"/>
                <w:color w:val="auto"/>
              </w:rPr>
            </w:pPr>
          </w:p>
        </w:tc>
        <w:tc>
          <w:tcPr>
            <w:tcW w:w="110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b w:val="1"/>
                <w:bCs w:val="1"/>
                <w:color w:val="auto"/>
              </w:rPr>
              <w:t>First Lien Secured Debt—9.5%</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RAM Energy Holdings LLC</w:t>
            </w:r>
          </w:p>
        </w:tc>
        <w:tc>
          <w:tcPr>
            <w:tcW w:w="12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07/01/2022</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0"/>
              </w:rPr>
              <w:t>Energy and Utilities</w:t>
            </w:r>
          </w:p>
        </w:tc>
        <w:tc>
          <w:tcPr>
            <w:tcW w:w="12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8.00%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35,000,000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35,000,000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ind w:left="620"/>
              <w:spacing w:after="0"/>
              <w:rPr>
                <w:sz w:val="20"/>
                <w:szCs w:val="20"/>
                <w:color w:val="auto"/>
              </w:rPr>
            </w:pPr>
            <w:r>
              <w:rPr>
                <w:rFonts w:ascii="Arial" w:cs="Arial" w:eastAsia="Arial" w:hAnsi="Arial"/>
                <w:sz w:val="12"/>
                <w:szCs w:val="12"/>
                <w:color w:val="auto"/>
                <w:w w:val="95"/>
              </w:rPr>
              <w:t>(PIK 4.00%)</w:t>
            </w: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20"/>
                <w:szCs w:val="20"/>
                <w:color w:val="auto"/>
              </w:rPr>
            </w:pPr>
            <w:r>
              <w:rPr>
                <w:rFonts w:ascii="Arial" w:cs="Arial" w:eastAsia="Arial" w:hAnsi="Arial"/>
                <w:sz w:val="12"/>
                <w:szCs w:val="12"/>
                <w:color w:val="auto"/>
              </w:rPr>
              <w:t>Superior Digital Displays, LLC</w:t>
            </w:r>
          </w:p>
        </w:tc>
        <w:tc>
          <w:tcPr>
            <w:tcW w:w="1200" w:type="dxa"/>
            <w:vAlign w:val="bottom"/>
          </w:tcPr>
          <w:p>
            <w:pPr>
              <w:ind w:left="120"/>
              <w:spacing w:after="0"/>
              <w:rPr>
                <w:sz w:val="20"/>
                <w:szCs w:val="20"/>
                <w:color w:val="auto"/>
              </w:rPr>
            </w:pPr>
            <w:r>
              <w:rPr>
                <w:rFonts w:ascii="Arial" w:cs="Arial" w:eastAsia="Arial" w:hAnsi="Arial"/>
                <w:sz w:val="12"/>
                <w:szCs w:val="12"/>
                <w:color w:val="auto"/>
              </w:rPr>
              <w:t>12/31/2018</w:t>
            </w:r>
          </w:p>
        </w:tc>
        <w:tc>
          <w:tcPr>
            <w:tcW w:w="1980" w:type="dxa"/>
            <w:vAlign w:val="bottom"/>
          </w:tcPr>
          <w:p>
            <w:pPr>
              <w:jc w:val="center"/>
              <w:spacing w:after="0"/>
              <w:rPr>
                <w:sz w:val="20"/>
                <w:szCs w:val="20"/>
                <w:color w:val="auto"/>
              </w:rPr>
            </w:pPr>
            <w:r>
              <w:rPr>
                <w:rFonts w:ascii="Arial" w:cs="Arial" w:eastAsia="Arial" w:hAnsi="Arial"/>
                <w:sz w:val="12"/>
                <w:szCs w:val="12"/>
                <w:color w:val="auto"/>
                <w:w w:val="91"/>
              </w:rPr>
              <w:t>Media</w:t>
            </w:r>
          </w:p>
        </w:tc>
        <w:tc>
          <w:tcPr>
            <w:tcW w:w="1260" w:type="dxa"/>
            <w:vAlign w:val="bottom"/>
            <w:gridSpan w:val="2"/>
          </w:tcPr>
          <w:p>
            <w:pPr>
              <w:jc w:val="right"/>
              <w:ind w:right="60"/>
              <w:spacing w:after="0"/>
              <w:rPr>
                <w:sz w:val="20"/>
                <w:szCs w:val="20"/>
                <w:color w:val="auto"/>
              </w:rPr>
            </w:pPr>
            <w:r>
              <w:rPr>
                <w:rFonts w:ascii="Arial" w:cs="Arial" w:eastAsia="Arial" w:hAnsi="Arial"/>
                <w:sz w:val="12"/>
                <w:szCs w:val="12"/>
                <w:color w:val="auto"/>
              </w:rPr>
              <w:t>10.30%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L+900</w:t>
            </w:r>
          </w:p>
        </w:tc>
        <w:tc>
          <w:tcPr>
            <w:tcW w:w="800" w:type="dxa"/>
            <w:vAlign w:val="bottom"/>
          </w:tcPr>
          <w:p>
            <w:pPr>
              <w:jc w:val="right"/>
              <w:spacing w:after="0"/>
              <w:rPr>
                <w:sz w:val="20"/>
                <w:szCs w:val="20"/>
                <w:color w:val="auto"/>
              </w:rPr>
            </w:pPr>
            <w:r>
              <w:rPr>
                <w:rFonts w:ascii="Arial" w:cs="Arial" w:eastAsia="Arial" w:hAnsi="Arial"/>
                <w:sz w:val="12"/>
                <w:szCs w:val="12"/>
                <w:color w:val="auto"/>
              </w:rPr>
              <w:t>29,386,130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28,233,485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26,198,854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12"/>
                <w:szCs w:val="12"/>
                <w:color w:val="auto"/>
              </w:rPr>
            </w:pP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260" w:type="dxa"/>
            <w:vAlign w:val="bottom"/>
            <w:tcBorders>
              <w:bottom w:val="single" w:sz="8" w:color="CCECFF"/>
            </w:tcBorders>
            <w:gridSpan w:val="2"/>
          </w:tcPr>
          <w:p>
            <w:pPr>
              <w:ind w:left="560"/>
              <w:spacing w:after="0"/>
              <w:rPr>
                <w:sz w:val="20"/>
                <w:szCs w:val="20"/>
                <w:color w:val="auto"/>
              </w:rPr>
            </w:pPr>
            <w:r>
              <w:rPr>
                <w:rFonts w:ascii="Arial" w:cs="Arial" w:eastAsia="Arial" w:hAnsi="Arial"/>
                <w:sz w:val="12"/>
                <w:szCs w:val="12"/>
                <w:color w:val="auto"/>
                <w:w w:val="95"/>
              </w:rPr>
              <w:t>(PIK 10.30%)</w:t>
            </w: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63,233,485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61,198,854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Equity—2.5% </w:t>
            </w:r>
            <w:r>
              <w:rPr>
                <w:rFonts w:ascii="Arial" w:cs="Arial" w:eastAsia="Arial" w:hAnsi="Arial"/>
                <w:sz w:val="9"/>
                <w:szCs w:val="9"/>
                <w:b w:val="1"/>
                <w:bCs w:val="1"/>
                <w:color w:val="auto"/>
              </w:rPr>
              <w:t>(6)</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Distribution</w:t>
            </w: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143,183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14,318,325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16,117,208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Superior Digital Displays Holdings, Inc.</w:t>
            </w:r>
          </w:p>
        </w:tc>
        <w:tc>
          <w:tcPr>
            <w:tcW w:w="1200" w:type="dxa"/>
            <w:vAlign w:val="bottom"/>
          </w:tcPr>
          <w:p>
            <w:pPr>
              <w:ind w:left="380"/>
              <w:spacing w:after="0"/>
              <w:rPr>
                <w:sz w:val="20"/>
                <w:szCs w:val="20"/>
                <w:color w:val="auto"/>
              </w:rPr>
            </w:pPr>
            <w:r>
              <w:rPr>
                <w:rFonts w:ascii="Arial" w:cs="Arial" w:eastAsia="Arial" w:hAnsi="Arial"/>
                <w:sz w:val="12"/>
                <w:szCs w:val="12"/>
                <w:color w:val="auto"/>
              </w:rPr>
              <w:t>—</w:t>
            </w:r>
          </w:p>
        </w:tc>
        <w:tc>
          <w:tcPr>
            <w:tcW w:w="1980" w:type="dxa"/>
            <w:vAlign w:val="bottom"/>
          </w:tcPr>
          <w:p>
            <w:pPr>
              <w:jc w:val="center"/>
              <w:spacing w:after="0"/>
              <w:rPr>
                <w:sz w:val="20"/>
                <w:szCs w:val="20"/>
                <w:color w:val="auto"/>
              </w:rPr>
            </w:pPr>
            <w:r>
              <w:rPr>
                <w:rFonts w:ascii="Arial" w:cs="Arial" w:eastAsia="Arial" w:hAnsi="Arial"/>
                <w:sz w:val="12"/>
                <w:szCs w:val="12"/>
                <w:color w:val="auto"/>
                <w:w w:val="91"/>
              </w:rPr>
              <w:t>Media</w:t>
            </w:r>
          </w:p>
        </w:tc>
        <w:tc>
          <w:tcPr>
            <w:tcW w:w="1260" w:type="dxa"/>
            <w:vAlign w:val="bottom"/>
            <w:gridSpan w:val="2"/>
          </w:tcPr>
          <w:p>
            <w:pPr>
              <w:jc w:val="right"/>
              <w:ind w:right="60"/>
              <w:spacing w:after="0"/>
              <w:rPr>
                <w:sz w:val="20"/>
                <w:szCs w:val="20"/>
                <w:color w:val="auto"/>
              </w:rPr>
            </w:pPr>
            <w:r>
              <w:rPr>
                <w:rFonts w:ascii="Arial" w:cs="Arial" w:eastAsia="Arial" w:hAnsi="Arial"/>
                <w:sz w:val="12"/>
                <w:szCs w:val="12"/>
                <w:color w:val="auto"/>
              </w:rPr>
              <w:t>15.00%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516,204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19,331,027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Preferred Equity</w:t>
            </w:r>
          </w:p>
        </w:tc>
        <w:tc>
          <w:tcPr>
            <w:tcW w:w="1200" w:type="dxa"/>
            <w:vAlign w:val="bottom"/>
            <w:tcBorders>
              <w:top w:val="single" w:sz="8" w:color="CCECFF"/>
            </w:tcBorders>
            <w:shd w:val="clear" w:color="auto" w:fill="CCECFF"/>
          </w:tcPr>
          <w:p>
            <w:pPr>
              <w:spacing w:after="0"/>
              <w:rPr>
                <w:sz w:val="12"/>
                <w:szCs w:val="12"/>
                <w:color w:val="auto"/>
              </w:rPr>
            </w:pPr>
          </w:p>
        </w:tc>
        <w:tc>
          <w:tcPr>
            <w:tcW w:w="1980" w:type="dxa"/>
            <w:vAlign w:val="bottom"/>
            <w:tcBorders>
              <w:top w:val="single" w:sz="8" w:color="CCECFF"/>
            </w:tcBorders>
            <w:shd w:val="clear" w:color="auto" w:fill="CCECFF"/>
          </w:tcPr>
          <w:p>
            <w:pPr>
              <w:spacing w:after="0"/>
              <w:rPr>
                <w:sz w:val="12"/>
                <w:szCs w:val="12"/>
                <w:color w:val="auto"/>
              </w:rPr>
            </w:pPr>
          </w:p>
        </w:tc>
        <w:tc>
          <w:tcPr>
            <w:tcW w:w="110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spacing w:after="0"/>
              <w:rPr>
                <w:sz w:val="12"/>
                <w:szCs w:val="12"/>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33,649,352</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16,117,208</w:t>
            </w: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b w:val="1"/>
                <w:bCs w:val="1"/>
                <w:color w:val="auto"/>
              </w:rPr>
              <w:t xml:space="preserve">Common Equity—5.8% </w:t>
            </w:r>
            <w:r>
              <w:rPr>
                <w:rFonts w:ascii="Arial" w:cs="Arial" w:eastAsia="Arial" w:hAnsi="Arial"/>
                <w:sz w:val="9"/>
                <w:szCs w:val="9"/>
                <w:b w:val="1"/>
                <w:bCs w:val="1"/>
                <w:color w:val="auto"/>
              </w:rPr>
              <w:t>(6)</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Distribution</w:t>
            </w: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65,933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24,761,831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828,349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RAM Energy Holdings LLC</w:t>
            </w:r>
          </w:p>
        </w:tc>
        <w:tc>
          <w:tcPr>
            <w:tcW w:w="1200" w:type="dxa"/>
            <w:vAlign w:val="bottom"/>
          </w:tcPr>
          <w:p>
            <w:pPr>
              <w:ind w:left="380"/>
              <w:spacing w:after="0"/>
              <w:rPr>
                <w:sz w:val="20"/>
                <w:szCs w:val="20"/>
                <w:color w:val="auto"/>
              </w:rPr>
            </w:pPr>
            <w:r>
              <w:rPr>
                <w:rFonts w:ascii="Arial" w:cs="Arial" w:eastAsia="Arial" w:hAnsi="Arial"/>
                <w:sz w:val="12"/>
                <w:szCs w:val="12"/>
                <w:color w:val="auto"/>
              </w:rPr>
              <w:t>—</w:t>
            </w:r>
          </w:p>
        </w:tc>
        <w:tc>
          <w:tcPr>
            <w:tcW w:w="1980" w:type="dxa"/>
            <w:vAlign w:val="bottom"/>
          </w:tcPr>
          <w:p>
            <w:pPr>
              <w:jc w:val="center"/>
              <w:spacing w:after="0"/>
              <w:rPr>
                <w:sz w:val="20"/>
                <w:szCs w:val="20"/>
                <w:color w:val="auto"/>
              </w:rPr>
            </w:pPr>
            <w:r>
              <w:rPr>
                <w:rFonts w:ascii="Arial" w:cs="Arial" w:eastAsia="Arial" w:hAnsi="Arial"/>
                <w:sz w:val="12"/>
                <w:szCs w:val="12"/>
                <w:color w:val="auto"/>
                <w:w w:val="90"/>
              </w:rPr>
              <w:t>Energy and Utilities</w:t>
            </w: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84,747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76,264,739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36,406,572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1"/>
              </w:rPr>
              <w:t>Media</w:t>
            </w: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2,211,000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w:t>
            </w: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103,237,570</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37,234,921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200,120,407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114,550,983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Investments—178.4%</w:t>
            </w: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1,210,026,672</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1,153,577,508</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Equivalents—5.9%</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20,490,740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20,490,740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 Reserve and Cash</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17,691,633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17,711,328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38,182,373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38,202,068</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Equivalents—184.3%</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1,248,209,045</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1,191,779,576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2"/>
                <w:szCs w:val="12"/>
                <w:b w:val="1"/>
                <w:bCs w:val="1"/>
                <w:color w:val="auto"/>
              </w:rPr>
              <w:t>Liabilities in Excess of Other Assets—(84.3%)</w:t>
            </w:r>
          </w:p>
        </w:tc>
        <w:tc>
          <w:tcPr>
            <w:tcW w:w="1200" w:type="dxa"/>
            <w:vAlign w:val="bottom"/>
            <w:tcBorders>
              <w:top w:val="single" w:sz="8" w:color="CCECFF"/>
            </w:tcBorders>
          </w:tcPr>
          <w:p>
            <w:pPr>
              <w:spacing w:after="0" w:line="20" w:lineRule="exact"/>
              <w:rPr>
                <w:sz w:val="1"/>
                <w:szCs w:val="1"/>
                <w:color w:val="auto"/>
              </w:rPr>
            </w:pPr>
          </w:p>
        </w:tc>
        <w:tc>
          <w:tcPr>
            <w:tcW w:w="1980" w:type="dxa"/>
            <w:vAlign w:val="bottom"/>
            <w:tcBorders>
              <w:top w:val="single" w:sz="8" w:color="CCECFF"/>
            </w:tcBorders>
          </w:tcPr>
          <w:p>
            <w:pPr>
              <w:spacing w:after="0" w:line="20" w:lineRule="exact"/>
              <w:rPr>
                <w:sz w:val="1"/>
                <w:szCs w:val="1"/>
                <w:color w:val="auto"/>
              </w:rPr>
            </w:pPr>
          </w:p>
        </w:tc>
        <w:tc>
          <w:tcPr>
            <w:tcW w:w="11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8"/>
              </w:rPr>
              <w:t>(544,971,105)</w:t>
            </w: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646,808,471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tcBorders>
          </w:tcPr>
          <w:p>
            <w:pPr>
              <w:spacing w:after="0" w:line="20" w:lineRule="exact"/>
              <w:rPr>
                <w:sz w:val="1"/>
                <w:szCs w:val="1"/>
                <w:color w:val="auto"/>
              </w:rPr>
            </w:pPr>
          </w:p>
        </w:tc>
        <w:tc>
          <w:tcPr>
            <w:tcW w:w="1200" w:type="dxa"/>
            <w:vAlign w:val="bottom"/>
            <w:tcBorders>
              <w:top w:val="single" w:sz="8" w:color="CCECFF"/>
            </w:tcBorders>
          </w:tcPr>
          <w:p>
            <w:pPr>
              <w:spacing w:after="0" w:line="20" w:lineRule="exact"/>
              <w:rPr>
                <w:sz w:val="1"/>
                <w:szCs w:val="1"/>
                <w:color w:val="auto"/>
              </w:rPr>
            </w:pPr>
          </w:p>
        </w:tc>
        <w:tc>
          <w:tcPr>
            <w:tcW w:w="1980" w:type="dxa"/>
            <w:vAlign w:val="bottom"/>
            <w:tcBorders>
              <w:top w:val="single" w:sz="8" w:color="CCECFF"/>
            </w:tcBorders>
          </w:tcPr>
          <w:p>
            <w:pPr>
              <w:spacing w:after="0" w:line="20" w:lineRule="exact"/>
              <w:rPr>
                <w:sz w:val="1"/>
                <w:szCs w:val="1"/>
                <w:color w:val="auto"/>
              </w:rPr>
            </w:pPr>
          </w:p>
        </w:tc>
        <w:tc>
          <w:tcPr>
            <w:tcW w:w="11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3455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76" w:lineRule="exact"/>
        <w:rPr>
          <w:sz w:val="20"/>
          <w:szCs w:val="20"/>
          <w:color w:val="auto"/>
        </w:rPr>
      </w:pPr>
    </w:p>
    <w:p>
      <w:pPr>
        <w:ind w:left="380" w:hanging="372"/>
        <w:spacing w:after="0" w:line="252" w:lineRule="auto"/>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right="120" w:hanging="372"/>
        <w:spacing w:after="0" w:line="252" w:lineRule="auto"/>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5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Par denominated in British Pounds (£) or in Euros (€) as denoted.</w:t>
      </w:r>
    </w:p>
    <w:p>
      <w:pPr>
        <w:spacing w:after="0" w:line="37" w:lineRule="exact"/>
        <w:rPr>
          <w:rFonts w:ascii="Arial" w:cs="Arial" w:eastAsia="Arial" w:hAnsi="Arial"/>
          <w:sz w:val="12"/>
          <w:szCs w:val="12"/>
          <w:color w:val="auto"/>
        </w:rPr>
      </w:pPr>
    </w:p>
    <w:p>
      <w:pPr>
        <w:ind w:left="380" w:right="20" w:hanging="372"/>
        <w:spacing w:after="0" w:line="294" w:lineRule="auto"/>
        <w:tabs>
          <w:tab w:leader="none" w:pos="380" w:val="left"/>
        </w:tabs>
        <w:numPr>
          <w:ilvl w:val="0"/>
          <w:numId w:val="54"/>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2017, qualifying assets represent 83% of the Company’s total assets and non-qualifying assets represent 17% of the Company’s total assets.</w:t>
      </w:r>
    </w:p>
    <w:p>
      <w:pPr>
        <w:ind w:left="380" w:hanging="372"/>
        <w:spacing w:after="0"/>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2018</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first lien secured debt, second lien secured debt and subordinated debt and, to a lesser extent, equity investments. On April 24, 2007, we closed our initial public offering and our common stock trades on the NASDAQ Global Select Market under the symbol “PNNT.”</w:t>
      </w:r>
    </w:p>
    <w:p>
      <w:pPr>
        <w:spacing w:after="0" w:line="107"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We have entered into the Investment Management Agreement with the Investment Adviser, an external adviser that manages our day-to-day operations. PennantPark Investment, through the Investment Adviser, manages day-to-day operations of and provides investment advisory services to each of our SBIC Funds under separate investment management agreements. We have also entered into the Administration Agreement with the Administrator, which provides the administrative services necessary for us to operate. PennantPark Investment, through the Administrator, also provides similar services to each of our SBIC Funds under a separate administration agreement. See Note 3.</w:t>
      </w:r>
    </w:p>
    <w:p>
      <w:pPr>
        <w:spacing w:after="0" w:line="104"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15" w:lineRule="exact"/>
        <w:rPr>
          <w:sz w:val="20"/>
          <w:szCs w:val="20"/>
          <w:color w:val="auto"/>
        </w:rPr>
      </w:pPr>
    </w:p>
    <w:p>
      <w:pPr>
        <w:ind w:right="120" w:firstLine="438"/>
        <w:spacing w:after="0" w:line="335" w:lineRule="auto"/>
        <w:rPr>
          <w:sz w:val="20"/>
          <w:szCs w:val="20"/>
          <w:color w:val="auto"/>
        </w:rPr>
      </w:pPr>
      <w:r>
        <w:rPr>
          <w:rFonts w:ascii="Arial" w:cs="Arial" w:eastAsia="Arial" w:hAnsi="Arial"/>
          <w:sz w:val="12"/>
          <w:szCs w:val="12"/>
          <w:color w:val="auto"/>
        </w:rPr>
        <w:t>We have formed and expect to continue to form certain taxable subsidiaries, including the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27"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13"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23" w:lineRule="exact"/>
        <w:rPr>
          <w:sz w:val="20"/>
          <w:szCs w:val="20"/>
          <w:color w:val="auto"/>
        </w:rPr>
      </w:pPr>
    </w:p>
    <w:p>
      <w:pPr>
        <w:ind w:left="620" w:hanging="369"/>
        <w:spacing w:after="0"/>
        <w:tabs>
          <w:tab w:leader="none" w:pos="620" w:val="left"/>
        </w:tabs>
        <w:numPr>
          <w:ilvl w:val="0"/>
          <w:numId w:val="5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20" w:right="20" w:hanging="359"/>
        <w:spacing w:after="0" w:line="253" w:lineRule="auto"/>
        <w:tabs>
          <w:tab w:leader="none" w:pos="9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20" w:hanging="359"/>
        <w:spacing w:after="0"/>
        <w:tabs>
          <w:tab w:leader="none" w:pos="9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36" w:lineRule="exact"/>
        <w:rPr>
          <w:rFonts w:ascii="Arial" w:cs="Arial" w:eastAsia="Arial" w:hAnsi="Arial"/>
          <w:sz w:val="14"/>
          <w:szCs w:val="14"/>
          <w:color w:val="auto"/>
        </w:rPr>
      </w:pPr>
    </w:p>
    <w:p>
      <w:pPr>
        <w:ind w:left="920" w:right="60" w:hanging="359"/>
        <w:spacing w:after="0" w:line="264" w:lineRule="auto"/>
        <w:tabs>
          <w:tab w:leader="none" w:pos="9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20" w:right="320" w:hanging="359"/>
        <w:spacing w:after="0" w:line="238" w:lineRule="auto"/>
        <w:tabs>
          <w:tab w:leader="none" w:pos="9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20" w:right="80" w:hanging="359"/>
        <w:spacing w:after="0" w:line="253" w:lineRule="auto"/>
        <w:tabs>
          <w:tab w:leader="none" w:pos="9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3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rPr>
          <w:sz w:val="20"/>
          <w:szCs w:val="20"/>
          <w:color w:val="auto"/>
        </w:rPr>
      </w:pPr>
      <w:r>
        <w:rPr>
          <w:rFonts w:ascii="Arial" w:cs="Arial" w:eastAsia="Arial" w:hAnsi="Arial"/>
          <w:sz w:val="14"/>
          <w:szCs w:val="14"/>
          <w:b w:val="1"/>
          <w:bCs w:val="1"/>
          <w:color w:val="auto"/>
        </w:rPr>
        <w:t>SEPTEMBER 30, 2018</w:t>
      </w:r>
    </w:p>
    <w:p>
      <w:pPr>
        <w:spacing w:after="0" w:line="273"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color w:val="auto"/>
        </w:rPr>
        <w:t>market quote does not reflect the fair value of an investment, it may independently value such investments by using the valuation procedure that it uses with respect to assets for which market quotations are not readily available.</w:t>
      </w:r>
    </w:p>
    <w:p>
      <w:pPr>
        <w:spacing w:after="0" w:line="93" w:lineRule="exact"/>
        <w:rPr>
          <w:sz w:val="20"/>
          <w:szCs w:val="20"/>
          <w:color w:val="auto"/>
        </w:rPr>
      </w:pPr>
    </w:p>
    <w:p>
      <w:pPr>
        <w:ind w:left="620" w:hanging="369"/>
        <w:spacing w:after="0"/>
        <w:tabs>
          <w:tab w:leader="none" w:pos="620" w:val="left"/>
        </w:tabs>
        <w:numPr>
          <w:ilvl w:val="0"/>
          <w:numId w:val="5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136"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our Credit Facility, the 2019 Notes and, prior to their redemption, the 2025 Notes during the reporting period, including any reversal of previously recorded unrealized appreciation or depreciation, when gains or losses are realized.</w:t>
      </w:r>
    </w:p>
    <w:p>
      <w:pPr>
        <w:spacing w:after="0" w:line="107"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7" w:lineRule="exact"/>
        <w:rPr>
          <w:sz w:val="20"/>
          <w:szCs w:val="20"/>
          <w:color w:val="auto"/>
        </w:rPr>
      </w:pPr>
    </w:p>
    <w:p>
      <w:pPr>
        <w:ind w:right="320" w:firstLine="438"/>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04" w:lineRule="exact"/>
        <w:rPr>
          <w:sz w:val="20"/>
          <w:szCs w:val="20"/>
          <w:color w:val="auto"/>
        </w:rPr>
      </w:pPr>
    </w:p>
    <w:p>
      <w:pPr>
        <w:ind w:left="620" w:hanging="369"/>
        <w:spacing w:after="0"/>
        <w:tabs>
          <w:tab w:leader="none" w:pos="620" w:val="left"/>
        </w:tabs>
        <w:numPr>
          <w:ilvl w:val="0"/>
          <w:numId w:val="5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Income Taxes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federal income taxes. However, we may choose to retain a portion of our calendar year income, which may result in the imposition of an excise tax. Additionally, certain of the Company’s consolidated subsidiaries are subject to U.S. federal and state income taxes. For the years ended September 30, 2018, 2017 and 2016, we recorded a provision for taxes of zero, $1.7 million ($0.5 million of excise tax and $1.2 million of U.S. federal and state income taxes related to Taxable Subsidiaries) and $2.4 million ($0.9 million of excise tax and $1.5 million of U.S. federal and state income taxes related to Taxable Subsidiaries), respectively.</w:t>
      </w:r>
    </w:p>
    <w:p>
      <w:pPr>
        <w:spacing w:after="0" w:line="111" w:lineRule="exact"/>
        <w:rPr>
          <w:sz w:val="20"/>
          <w:szCs w:val="20"/>
          <w:color w:val="auto"/>
        </w:rPr>
      </w:pPr>
    </w:p>
    <w:p>
      <w:pPr>
        <w:ind w:right="22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September 30, 2018,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13" w:lineRule="exact"/>
        <w:rPr>
          <w:sz w:val="20"/>
          <w:szCs w:val="20"/>
          <w:color w:val="auto"/>
        </w:rPr>
      </w:pPr>
    </w:p>
    <w:p>
      <w:pPr>
        <w:ind w:right="100" w:firstLine="438"/>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87" w:lineRule="exact"/>
        <w:rPr>
          <w:sz w:val="20"/>
          <w:szCs w:val="20"/>
          <w:color w:val="auto"/>
        </w:rPr>
      </w:pPr>
    </w:p>
    <w:p>
      <w:pPr>
        <w:ind w:left="620" w:hanging="369"/>
        <w:spacing w:after="0"/>
        <w:tabs>
          <w:tab w:leader="none" w:pos="620" w:val="left"/>
        </w:tabs>
        <w:numPr>
          <w:ilvl w:val="0"/>
          <w:numId w:val="5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Distributions and Capital Transactions</w:t>
      </w:r>
    </w:p>
    <w:p>
      <w:pPr>
        <w:spacing w:after="0" w:line="13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return of capital.</w:t>
      </w:r>
    </w:p>
    <w:p>
      <w:pPr>
        <w:spacing w:after="0" w:line="115"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ind w:left="620" w:hanging="369"/>
        <w:spacing w:after="0"/>
        <w:tabs>
          <w:tab w:leader="none" w:pos="620" w:val="left"/>
        </w:tabs>
        <w:numPr>
          <w:ilvl w:val="0"/>
          <w:numId w:val="6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23" w:lineRule="exact"/>
        <w:rPr>
          <w:sz w:val="20"/>
          <w:szCs w:val="20"/>
          <w:color w:val="auto"/>
        </w:rPr>
      </w:pPr>
    </w:p>
    <w:p>
      <w:pPr>
        <w:ind w:left="920" w:hanging="359"/>
        <w:spacing w:after="0"/>
        <w:tabs>
          <w:tab w:leader="none" w:pos="9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6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273" w:lineRule="exact"/>
        <w:rPr>
          <w:sz w:val="20"/>
          <w:szCs w:val="20"/>
          <w:color w:val="auto"/>
        </w:rPr>
      </w:pPr>
    </w:p>
    <w:p>
      <w:pPr>
        <w:ind w:left="1040" w:hanging="784"/>
        <w:spacing w:after="0"/>
        <w:tabs>
          <w:tab w:leader="none" w:pos="1040" w:val="left"/>
        </w:tabs>
        <w:numPr>
          <w:ilvl w:val="0"/>
          <w:numId w:val="6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Consolidation</w:t>
      </w:r>
    </w:p>
    <w:p>
      <w:pPr>
        <w:spacing w:after="0" w:line="123" w:lineRule="exact"/>
        <w:rPr>
          <w:sz w:val="20"/>
          <w:szCs w:val="20"/>
          <w:color w:val="auto"/>
        </w:rPr>
      </w:pPr>
    </w:p>
    <w:p>
      <w:pPr>
        <w:jc w:val="both"/>
        <w:ind w:right="100" w:firstLine="438"/>
        <w:spacing w:after="0" w:line="238" w:lineRule="auto"/>
        <w:rPr>
          <w:sz w:val="20"/>
          <w:szCs w:val="20"/>
          <w:color w:val="auto"/>
        </w:rPr>
      </w:pPr>
      <w:r>
        <w:rPr>
          <w:rFonts w:ascii="Arial" w:cs="Arial" w:eastAsia="Arial" w:hAnsi="Arial"/>
          <w:sz w:val="14"/>
          <w:szCs w:val="14"/>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115" w:lineRule="exact"/>
        <w:rPr>
          <w:sz w:val="20"/>
          <w:szCs w:val="20"/>
          <w:color w:val="auto"/>
        </w:rPr>
      </w:pPr>
    </w:p>
    <w:p>
      <w:pPr>
        <w:ind w:left="1080" w:hanging="824"/>
        <w:spacing w:after="0"/>
        <w:tabs>
          <w:tab w:leader="none" w:pos="1080" w:val="left"/>
        </w:tabs>
        <w:numPr>
          <w:ilvl w:val="0"/>
          <w:numId w:val="6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Recent Accounting Pronouncements</w:t>
      </w:r>
    </w:p>
    <w:p>
      <w:pPr>
        <w:spacing w:after="0" w:line="136" w:lineRule="exact"/>
        <w:rPr>
          <w:sz w:val="20"/>
          <w:szCs w:val="20"/>
          <w:color w:val="auto"/>
        </w:rPr>
      </w:pPr>
    </w:p>
    <w:p>
      <w:pPr>
        <w:ind w:right="200" w:firstLine="438"/>
        <w:spacing w:after="0" w:line="255" w:lineRule="auto"/>
        <w:rPr>
          <w:sz w:val="20"/>
          <w:szCs w:val="20"/>
          <w:color w:val="auto"/>
        </w:rPr>
      </w:pPr>
      <w:r>
        <w:rPr>
          <w:rFonts w:ascii="Arial" w:cs="Arial" w:eastAsia="Arial" w:hAnsi="Arial"/>
          <w:sz w:val="13"/>
          <w:szCs w:val="13"/>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this guidance early, but not before the original effective date (i.e., interim periods within annual periods beginning after December 15, 2016). The Company has evaluated this guidance and determined it will not have a material impact on its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w:t>
      </w:r>
      <w:r>
        <w:rPr>
          <w:rFonts w:ascii="Arial" w:cs="Arial" w:eastAsia="Arial" w:hAnsi="Arial"/>
          <w:sz w:val="11"/>
          <w:szCs w:val="11"/>
          <w:b w:val="1"/>
          <w:bCs w:val="1"/>
          <w:color w:val="auto"/>
        </w:rPr>
        <w:t>.</w:t>
      </w:r>
      <w:r>
        <w:rPr>
          <w:rFonts w:ascii="Arial" w:cs="Arial" w:eastAsia="Arial" w:hAnsi="Arial"/>
          <w:sz w:val="14"/>
          <w:szCs w:val="14"/>
          <w:b w:val="1"/>
          <w:bCs w:val="1"/>
          <w:color w:val="auto"/>
        </w:rPr>
        <w:t xml:space="preserve"> AGREEMENTS AND RELATED PARTY TRANSACTIONS</w:t>
      </w:r>
    </w:p>
    <w:p>
      <w:pPr>
        <w:spacing w:after="0" w:line="140"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Under the Investment Management Agreement, as amended and restated on February 6, 2018, we implemented the previously announced permanent reductions in base management and incentive fees, effective January 1, 2018. The Investment Management Agreement with the Investment Adviser was reapproved by our board of directors, including a majority of our directors who are not interested persons of us or the Investment Adviser, in February 2018.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 or, collectively, Management Fees.</w:t>
      </w:r>
    </w:p>
    <w:p>
      <w:pPr>
        <w:spacing w:after="0" w:line="118"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Effective January 1, 2018, the base management fee is calculated at an annual rate of 1.50%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years ended September 30, 2018, 2017 and 2016, the Investment Adviser earned base management fees of $16.5 million (after a waiver of $0.9 million), $20.3 million (after a waiver of $3.9 million) and $20.9 million (after a waiver of $4.0 million), respectively, from us.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39"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Effective January 1, 2018,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w:t>
      </w:r>
    </w:p>
    <w:p>
      <w:pPr>
        <w:spacing w:after="0" w:line="6" w:lineRule="exact"/>
        <w:rPr>
          <w:sz w:val="20"/>
          <w:szCs w:val="20"/>
          <w:color w:val="auto"/>
        </w:rPr>
      </w:pPr>
    </w:p>
    <w:p>
      <w:pPr>
        <w:ind w:left="220" w:hanging="212"/>
        <w:spacing w:after="0"/>
        <w:tabs>
          <w:tab w:leader="none" w:pos="2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no incentive fee in any calendar quarter in which our Pre-Incentive Fee Net Investment Income did not exceed the hurdle rate of 1.75%, (2) 100% of our Pre-Incentive Fee Net Investment</w:t>
      </w:r>
    </w:p>
    <w:p>
      <w:pPr>
        <w:ind w:right="20"/>
        <w:spacing w:after="0" w:line="246" w:lineRule="auto"/>
        <w:rPr>
          <w:rFonts w:ascii="Arial" w:cs="Arial" w:eastAsia="Arial" w:hAnsi="Arial"/>
          <w:sz w:val="13"/>
          <w:szCs w:val="13"/>
          <w:color w:val="auto"/>
        </w:rPr>
      </w:pPr>
      <w:r>
        <w:rPr>
          <w:rFonts w:ascii="Arial" w:cs="Arial" w:eastAsia="Arial" w:hAnsi="Arial"/>
          <w:sz w:val="13"/>
          <w:szCs w:val="13"/>
          <w:color w:val="auto"/>
        </w:rPr>
        <w:t>Income with respect to that portion of such Pre-Incentive Fee Net Investment Income, if any, that exceeded the hurdle rate but was less than 2.1875% in any calendar quarter (8.75% annualized), and (3) 20% of the amount of our Pre-Incentive Fee Net Investment Income, if any, that exceeded 2.1875% in any calendar quarter. From December 31, 2015 through December 31, 2017, the Investment Adviser voluntarily agreed, in consultation with the board of directors, to irrevocably waive 16% of incentive fees, correlated to our 16% energy cost exposure (oil &amp; gas and energy &amp; utilities industries) at cost as of December 31, 2015. For the years ended September 30, 2018, 2017 and 2016, the Investment Adviser earned $11.0 million (after a waiver of $0.5 million), $9.3 million (after a waiver of $1.8 million) and $13.5 million (after a waiver of $2.5 million), respectively, in incentive fees on net investment income from us.</w:t>
      </w:r>
    </w:p>
    <w:p>
      <w:pPr>
        <w:spacing w:after="0" w:line="113" w:lineRule="exact"/>
        <w:rPr>
          <w:sz w:val="20"/>
          <w:szCs w:val="20"/>
          <w:color w:val="auto"/>
        </w:rPr>
      </w:pPr>
    </w:p>
    <w:p>
      <w:pPr>
        <w:ind w:right="120" w:firstLine="456"/>
        <w:spacing w:after="0" w:line="231"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2018, 2017 and 2016, the Investment Adviser did not accrue an incentive fee on capital gains as calculated under the Investment Management Agreement (as described above).</w:t>
      </w:r>
    </w:p>
    <w:p>
      <w:pPr>
        <w:spacing w:after="0" w:line="116" w:lineRule="exact"/>
        <w:rPr>
          <w:sz w:val="20"/>
          <w:szCs w:val="20"/>
          <w:color w:val="auto"/>
        </w:rPr>
      </w:pPr>
    </w:p>
    <w:p>
      <w:pPr>
        <w:ind w:right="80" w:firstLine="456"/>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the years ended September 30, 2018, 2017 and 2016, the Investment Adviser did not accrue an incentive fee on capital gains as calculated under GAAP.</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273" w:lineRule="exact"/>
        <w:rPr>
          <w:sz w:val="20"/>
          <w:szCs w:val="20"/>
          <w:color w:val="auto"/>
        </w:rPr>
      </w:pPr>
    </w:p>
    <w:p>
      <w:pPr>
        <w:ind w:right="180" w:firstLine="438"/>
        <w:spacing w:after="0" w:line="245"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2018.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years ended September 30, 2018, 2017 and 2016, we reimbursed the Investment Adviser approximately $2.0 million, $2.5 million and $3.7 million, respectively, including expenses the Investment Adviser incurred on behalf of the Administrator, for services described above.</w:t>
      </w:r>
    </w:p>
    <w:p>
      <w:pPr>
        <w:spacing w:after="0" w:line="102" w:lineRule="exact"/>
        <w:rPr>
          <w:sz w:val="20"/>
          <w:szCs w:val="20"/>
          <w:color w:val="auto"/>
        </w:rPr>
      </w:pPr>
    </w:p>
    <w:p>
      <w:pPr>
        <w:jc w:val="both"/>
        <w:ind w:right="240" w:firstLine="438"/>
        <w:spacing w:after="0" w:line="238" w:lineRule="auto"/>
        <w:rPr>
          <w:sz w:val="20"/>
          <w:szCs w:val="20"/>
          <w:color w:val="auto"/>
        </w:rPr>
      </w:pPr>
      <w:r>
        <w:rPr>
          <w:rFonts w:ascii="Arial" w:cs="Arial" w:eastAsia="Arial" w:hAnsi="Arial"/>
          <w:sz w:val="14"/>
          <w:szCs w:val="14"/>
          <w:color w:val="auto"/>
        </w:rPr>
        <w:t>There were no transactions in accordance with Rule 17a-7 of the 1940 Act during the years ended September 30, 2018 and 2016. For the year ended September 30, 2017, the Company purchased $5.0 million from and sold $45.6 million in total investments to affiliated funds managed by our Investment Adviser in accordance with, and pursuant to procedures adopted under, Rule 17a-7 of the 1940 Act. Realized gains on those sales amounted to $1.1 million.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jc w:val="both"/>
        <w:ind w:right="220" w:firstLine="438"/>
        <w:spacing w:after="0" w:line="253" w:lineRule="auto"/>
        <w:rPr>
          <w:sz w:val="20"/>
          <w:szCs w:val="20"/>
          <w:color w:val="auto"/>
        </w:rPr>
      </w:pPr>
      <w:r>
        <w:rPr>
          <w:rFonts w:ascii="Arial" w:cs="Arial" w:eastAsia="Arial" w:hAnsi="Arial"/>
          <w:sz w:val="14"/>
          <w:szCs w:val="14"/>
          <w:color w:val="auto"/>
        </w:rPr>
        <w:t>Purchases of investments, including PIK interest, for the years ended September 30, 2018, 2017 and 2016 totaled $616.1 million, $529.5 million and $345.7 million, respectively. Sales and repayments of investments for the same periods totaled $630.5 million, $544.0 million and $439.7 million, respectively.</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4"/>
          </w:tcPr>
          <w:p>
            <w:pPr>
              <w:jc w:val="right"/>
              <w:ind w:right="948"/>
              <w:spacing w:after="0"/>
              <w:rPr>
                <w:sz w:val="20"/>
                <w:szCs w:val="20"/>
                <w:color w:val="auto"/>
              </w:rPr>
            </w:pPr>
            <w:r>
              <w:rPr>
                <w:rFonts w:ascii="Arial" w:cs="Arial" w:eastAsia="Arial" w:hAnsi="Arial"/>
                <w:sz w:val="14"/>
                <w:szCs w:val="14"/>
                <w:b w:val="1"/>
                <w:bCs w:val="1"/>
                <w:color w:val="auto"/>
              </w:rPr>
              <w:t>September 30, 2018</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536,875,632</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531,422,088</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465,235,137</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466,076,352</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385,201,277</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391,038,029</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389,336,314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399,544,383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48,617,113</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48,127,586</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116,596,887</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120,707,763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273,122,153</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161,497,771</w:t>
            </w:r>
          </w:p>
        </w:tc>
        <w:tc>
          <w:tcPr>
            <w:tcW w:w="2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238,858,334</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167,249,010</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1,243,816,175</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1,132,085,474</w:t>
            </w:r>
          </w:p>
        </w:tc>
        <w:tc>
          <w:tcPr>
            <w:tcW w:w="2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1,210,026,672</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1,153,577,508</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19,543,625</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19,506,154</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38,182,373</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38,202,068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1,263,359,800</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1,151,591,628</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1,248,209,045</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1,191,779,576</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 Classification</w:t>
            </w:r>
          </w:p>
        </w:tc>
        <w:tc>
          <w:tcPr>
            <w:tcW w:w="24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September 30, 2018</w:t>
            </w:r>
          </w:p>
        </w:tc>
        <w:tc>
          <w:tcPr>
            <w:tcW w:w="38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September 30, 2017</w:t>
            </w:r>
          </w:p>
        </w:tc>
        <w:tc>
          <w:tcPr>
            <w:tcW w:w="140" w:type="dxa"/>
            <w:vAlign w:val="bottom"/>
            <w:tcBorders>
              <w:bottom w:val="single" w:sz="8" w:color="CCECFF"/>
            </w:tcBorders>
          </w:tcPr>
          <w:p>
            <w:pPr>
              <w:spacing w:after="0"/>
              <w:rPr>
                <w:sz w:val="14"/>
                <w:szCs w:val="14"/>
                <w:color w:val="auto"/>
              </w:rPr>
            </w:pPr>
          </w:p>
        </w:tc>
      </w:tr>
      <w:tr>
        <w:trPr>
          <w:trHeight w:val="156"/>
        </w:trPr>
        <w:tc>
          <w:tcPr>
            <w:tcW w:w="62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Healthcare, Education and Childcare</w:t>
            </w:r>
          </w:p>
        </w:tc>
        <w:tc>
          <w:tcPr>
            <w:tcW w:w="240" w:type="dxa"/>
            <w:vAlign w:val="bottom"/>
            <w:shd w:val="clear" w:color="auto" w:fill="CCECFF"/>
          </w:tcPr>
          <w:p>
            <w:pPr>
              <w:spacing w:after="0"/>
              <w:rPr>
                <w:sz w:val="13"/>
                <w:szCs w:val="13"/>
                <w:color w:val="auto"/>
              </w:rPr>
            </w:pPr>
          </w:p>
        </w:tc>
        <w:tc>
          <w:tcPr>
            <w:tcW w:w="2520" w:type="dxa"/>
            <w:vAlign w:val="bottom"/>
            <w:gridSpan w:val="2"/>
            <w:shd w:val="clear" w:color="auto" w:fill="CCECFF"/>
          </w:tcPr>
          <w:p>
            <w:pPr>
              <w:jc w:val="right"/>
              <w:ind w:right="260"/>
              <w:spacing w:after="0" w:line="155" w:lineRule="exact"/>
              <w:rPr>
                <w:sz w:val="20"/>
                <w:szCs w:val="20"/>
                <w:color w:val="auto"/>
              </w:rPr>
            </w:pPr>
            <w:r>
              <w:rPr>
                <w:rFonts w:ascii="Arial" w:cs="Arial" w:eastAsia="Arial" w:hAnsi="Arial"/>
                <w:sz w:val="14"/>
                <w:szCs w:val="14"/>
                <w:color w:val="auto"/>
              </w:rPr>
              <w:t>15%</w:t>
            </w:r>
          </w:p>
        </w:tc>
        <w:tc>
          <w:tcPr>
            <w:tcW w:w="228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6%</w:t>
            </w: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Consumer Products</w:t>
            </w:r>
          </w:p>
        </w:tc>
        <w:tc>
          <w:tcPr>
            <w:tcW w:w="2140" w:type="dxa"/>
            <w:vAlign w:val="bottom"/>
          </w:tcPr>
          <w:p>
            <w:pPr>
              <w:jc w:val="right"/>
              <w:spacing w:after="0"/>
              <w:rPr>
                <w:sz w:val="20"/>
                <w:szCs w:val="20"/>
                <w:color w:val="auto"/>
              </w:rPr>
            </w:pPr>
            <w:r>
              <w:rPr>
                <w:rFonts w:ascii="Arial" w:cs="Arial" w:eastAsia="Arial" w:hAnsi="Arial"/>
                <w:sz w:val="14"/>
                <w:szCs w:val="14"/>
                <w:color w:val="auto"/>
              </w:rPr>
              <w:t>10</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Energy and Utilities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Hotels, Motels, Inns and Gaming</w:t>
            </w:r>
          </w:p>
        </w:tc>
        <w:tc>
          <w:tcPr>
            <w:tcW w:w="2140" w:type="dxa"/>
            <w:vAlign w:val="bottom"/>
          </w:tcPr>
          <w:p>
            <w:pPr>
              <w:jc w:val="right"/>
              <w:spacing w:after="0"/>
              <w:rPr>
                <w:sz w:val="20"/>
                <w:szCs w:val="20"/>
                <w:color w:val="auto"/>
              </w:rPr>
            </w:pPr>
            <w:r>
              <w:rPr>
                <w:rFonts w:ascii="Arial" w:cs="Arial" w:eastAsia="Arial" w:hAnsi="Arial"/>
                <w:sz w:val="14"/>
                <w:szCs w:val="14"/>
                <w:color w:val="auto"/>
              </w:rPr>
              <w:t>7</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Media</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Printing and Publishing</w:t>
            </w:r>
          </w:p>
        </w:tc>
        <w:tc>
          <w:tcPr>
            <w:tcW w:w="2140" w:type="dxa"/>
            <w:vAlign w:val="bottom"/>
          </w:tcPr>
          <w:p>
            <w:pPr>
              <w:jc w:val="right"/>
              <w:spacing w:after="0"/>
              <w:rPr>
                <w:sz w:val="20"/>
                <w:szCs w:val="20"/>
                <w:color w:val="auto"/>
              </w:rPr>
            </w:pPr>
            <w:r>
              <w:rPr>
                <w:rFonts w:ascii="Arial" w:cs="Arial" w:eastAsia="Arial" w:hAnsi="Arial"/>
                <w:sz w:val="14"/>
                <w:szCs w:val="14"/>
                <w:color w:val="auto"/>
              </w:rPr>
              <w:t>6</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Financial Services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Oil and Gas</w:t>
            </w:r>
          </w:p>
        </w:tc>
        <w:tc>
          <w:tcPr>
            <w:tcW w:w="2140" w:type="dxa"/>
            <w:vAlign w:val="bottom"/>
          </w:tcPr>
          <w:p>
            <w:pPr>
              <w:jc w:val="right"/>
              <w:spacing w:after="0"/>
              <w:rPr>
                <w:sz w:val="20"/>
                <w:szCs w:val="20"/>
                <w:color w:val="auto"/>
              </w:rPr>
            </w:pPr>
            <w:r>
              <w:rPr>
                <w:rFonts w:ascii="Arial" w:cs="Arial" w:eastAsia="Arial" w:hAnsi="Arial"/>
                <w:sz w:val="14"/>
                <w:szCs w:val="14"/>
                <w:color w:val="auto"/>
              </w:rPr>
              <w:t>5</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Business Services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Auto Sector</w:t>
            </w: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2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Electronics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Environmental Services</w:t>
            </w: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Manufacturing / Basic Industries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Personal, Food and Miscellaneous Services</w:t>
            </w: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Aerospace and Defense</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Beverage, Food and Tobacco</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Building Materials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Buildings and Real Estate</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Distribution</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Home and Office Furnishings</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Other Media</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Telecommunications</w:t>
            </w:r>
          </w:p>
        </w:tc>
        <w:tc>
          <w:tcPr>
            <w:tcW w:w="2140" w:type="dxa"/>
            <w:vAlign w:val="bottom"/>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Diversified Natural Resources, Precious Metal and Minerals</w:t>
            </w:r>
          </w:p>
        </w:tc>
        <w:tc>
          <w:tcPr>
            <w:tcW w:w="2520" w:type="dxa"/>
            <w:vAlign w:val="bottom"/>
            <w:gridSpan w:val="2"/>
            <w:shd w:val="clear" w:color="auto" w:fill="CCECFF"/>
          </w:tcPr>
          <w:p>
            <w:pPr>
              <w:jc w:val="right"/>
              <w:ind w:right="400"/>
              <w:spacing w:after="0"/>
              <w:rPr>
                <w:sz w:val="20"/>
                <w:szCs w:val="20"/>
                <w:color w:val="auto"/>
              </w:rPr>
            </w:pPr>
            <w:r>
              <w:rPr>
                <w:rFonts w:ascii="Arial" w:cs="Arial" w:eastAsia="Arial" w:hAnsi="Arial"/>
                <w:sz w:val="14"/>
                <w:szCs w:val="14"/>
                <w:color w:val="auto"/>
              </w:rPr>
              <w:t>—</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Other</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38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CCECFF"/>
            </w:tcBorders>
          </w:tcPr>
          <w:p>
            <w:pPr>
              <w:spacing w:after="0"/>
              <w:rPr>
                <w:sz w:val="14"/>
                <w:szCs w:val="14"/>
                <w:color w:val="auto"/>
              </w:rPr>
            </w:pPr>
          </w:p>
        </w:tc>
      </w:tr>
      <w:tr>
        <w:trPr>
          <w:trHeight w:val="155"/>
        </w:trPr>
        <w:tc>
          <w:tcPr>
            <w:tcW w:w="64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w:t>
            </w:r>
          </w:p>
        </w:tc>
        <w:tc>
          <w:tcPr>
            <w:tcW w:w="2520" w:type="dxa"/>
            <w:vAlign w:val="bottom"/>
            <w:gridSpan w:val="2"/>
            <w:shd w:val="clear" w:color="auto" w:fill="CCECFF"/>
          </w:tcPr>
          <w:p>
            <w:pPr>
              <w:jc w:val="right"/>
              <w:ind w:right="260"/>
              <w:spacing w:after="0" w:line="155" w:lineRule="exact"/>
              <w:rPr>
                <w:sz w:val="20"/>
                <w:szCs w:val="20"/>
                <w:color w:val="auto"/>
              </w:rPr>
            </w:pPr>
            <w:r>
              <w:rPr>
                <w:rFonts w:ascii="Arial" w:cs="Arial" w:eastAsia="Arial" w:hAnsi="Arial"/>
                <w:sz w:val="14"/>
                <w:szCs w:val="14"/>
                <w:color w:val="auto"/>
              </w:rPr>
              <w:t>100%</w:t>
            </w:r>
          </w:p>
        </w:tc>
        <w:tc>
          <w:tcPr>
            <w:tcW w:w="228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100%</w:t>
            </w:r>
          </w:p>
        </w:tc>
      </w:tr>
      <w:tr>
        <w:trPr>
          <w:trHeight w:val="20"/>
        </w:trPr>
        <w:tc>
          <w:tcPr>
            <w:tcW w:w="62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C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2018</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23"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380" w:right="300" w:hanging="809"/>
        <w:spacing w:after="0" w:line="290"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320" w:firstLine="438"/>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Our investments are generally structured as debt and equity investments in the form of first lien secured debt, second lien secured debt, subordinated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03" w:lineRule="exact"/>
        <w:rPr>
          <w:sz w:val="20"/>
          <w:szCs w:val="20"/>
          <w:color w:val="auto"/>
        </w:rPr>
      </w:pPr>
    </w:p>
    <w:p>
      <w:pPr>
        <w:ind w:right="220" w:firstLine="438"/>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no reclassifications during the years ended September 30, 2018 and 2017. During the year ended September 30, 2016, there was one reclassification from Level 2 to 1, one reclassification from Level 3 to 1 and one reclassification from Level 3 to 2.</w:t>
      </w:r>
    </w:p>
    <w:p>
      <w:pPr>
        <w:spacing w:after="0" w:line="117"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the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ind w:right="160" w:firstLine="438"/>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have no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94" w:lineRule="exact"/>
        <w:rPr>
          <w:sz w:val="20"/>
          <w:szCs w:val="20"/>
          <w:color w:val="auto"/>
        </w:rPr>
      </w:pPr>
    </w:p>
    <w:p>
      <w:pPr>
        <w:ind w:right="40" w:firstLine="438"/>
        <w:spacing w:after="0" w:line="226" w:lineRule="auto"/>
        <w:rPr>
          <w:sz w:val="20"/>
          <w:szCs w:val="20"/>
          <w:color w:val="auto"/>
        </w:rPr>
      </w:pPr>
      <w:r>
        <w:rPr>
          <w:rFonts w:ascii="Arial" w:cs="Arial" w:eastAsia="Arial" w:hAnsi="Arial"/>
          <w:sz w:val="14"/>
          <w:szCs w:val="14"/>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multiple will have the opposite effect.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2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September 30, 2018</w:t>
            </w:r>
          </w:p>
        </w:tc>
        <w:tc>
          <w:tcPr>
            <w:tcW w:w="2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Second lien</w:t>
            </w:r>
          </w:p>
        </w:tc>
        <w:tc>
          <w:tcPr>
            <w:tcW w:w="1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164,734,450</w:t>
            </w:r>
          </w:p>
        </w:tc>
        <w:tc>
          <w:tcPr>
            <w:tcW w:w="2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22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531,422,088</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tcPr>
          <w:p>
            <w:pPr>
              <w:jc w:val="center"/>
              <w:spacing w:after="0"/>
              <w:rPr>
                <w:sz w:val="20"/>
                <w:szCs w:val="20"/>
                <w:color w:val="auto"/>
              </w:rPr>
            </w:pPr>
            <w:r>
              <w:rPr>
                <w:rFonts w:ascii="Arial" w:cs="Arial" w:eastAsia="Arial" w:hAnsi="Arial"/>
                <w:sz w:val="14"/>
                <w:szCs w:val="14"/>
                <w:color w:val="auto"/>
                <w:w w:val="94"/>
              </w:rPr>
              <w:t>7.4% – 17.5% (10.1%)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226,303,579</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10.7% – 14.1% (13.3%)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48,127,586</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tcPr>
          <w:p>
            <w:pPr>
              <w:jc w:val="center"/>
              <w:spacing w:after="0"/>
              <w:rPr>
                <w:sz w:val="20"/>
                <w:szCs w:val="20"/>
                <w:color w:val="auto"/>
              </w:rPr>
            </w:pPr>
            <w:r>
              <w:rPr>
                <w:rFonts w:ascii="Arial" w:cs="Arial" w:eastAsia="Arial" w:hAnsi="Arial"/>
                <w:sz w:val="14"/>
                <w:szCs w:val="14"/>
                <w:color w:val="auto"/>
                <w:w w:val="93"/>
              </w:rPr>
              <w:t>12.5% – 15.3% (14.5%)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160,656,044</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22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3.9x – 13.8x (8.2x)</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580" w:type="dxa"/>
            <w:vAlign w:val="bottom"/>
            <w:tcBorders>
              <w:bottom w:val="single" w:sz="8" w:color="CCECFF"/>
            </w:tcBorders>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1,131,243,747</w:t>
            </w:r>
          </w:p>
        </w:tc>
        <w:tc>
          <w:tcPr>
            <w:tcW w:w="260" w:type="dxa"/>
            <w:vAlign w:val="bottom"/>
            <w:tcBorders>
              <w:bottom w:val="single" w:sz="8" w:color="CCECFF"/>
            </w:tcBorders>
          </w:tcPr>
          <w:p>
            <w:pPr>
              <w:spacing w:after="0"/>
              <w:rPr>
                <w:sz w:val="17"/>
                <w:szCs w:val="17"/>
                <w:color w:val="auto"/>
              </w:rPr>
            </w:pPr>
          </w:p>
        </w:tc>
        <w:tc>
          <w:tcPr>
            <w:tcW w:w="204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04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220" w:type="dxa"/>
            <w:vAlign w:val="bottom"/>
            <w:tcBorders>
              <w:bottom w:val="single" w:sz="8" w:color="CCEC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58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77,645,830</w:t>
            </w:r>
          </w:p>
        </w:tc>
        <w:tc>
          <w:tcPr>
            <w:tcW w:w="260" w:type="dxa"/>
            <w:vAlign w:val="bottom"/>
            <w:tcBorders>
              <w:bottom w:val="single" w:sz="8" w:color="CCECFF"/>
            </w:tcBorders>
            <w:shd w:val="clear" w:color="auto" w:fill="CCECFF"/>
          </w:tcPr>
          <w:p>
            <w:pPr>
              <w:spacing w:after="0"/>
              <w:rPr>
                <w:sz w:val="12"/>
                <w:szCs w:val="12"/>
                <w:color w:val="auto"/>
              </w:rPr>
            </w:pPr>
          </w:p>
        </w:tc>
        <w:tc>
          <w:tcPr>
            <w:tcW w:w="220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220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222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300" w:type="dxa"/>
            <w:vAlign w:val="bottom"/>
            <w:gridSpan w:val="2"/>
            <w:vMerge w:val="restart"/>
          </w:tcPr>
          <w:p>
            <w:pPr>
              <w:jc w:val="center"/>
              <w:ind w:left="168"/>
              <w:spacing w:after="0"/>
              <w:rPr>
                <w:sz w:val="20"/>
                <w:szCs w:val="20"/>
                <w:color w:val="auto"/>
              </w:rPr>
            </w:pPr>
            <w:r>
              <w:rPr>
                <w:rFonts w:ascii="Arial" w:cs="Arial" w:eastAsia="Arial" w:hAnsi="Arial"/>
                <w:sz w:val="14"/>
                <w:szCs w:val="14"/>
                <w:color w:val="auto"/>
                <w:w w:val="89"/>
              </w:rPr>
              <w:t>62</w:t>
            </w: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5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4" w:name="page65"/>
    <w:bookmarkEnd w:id="64"/>
    <w:p>
      <w:pPr>
        <w:jc w:val="center"/>
        <w:ind w:right="2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2018</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2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September 30, 2017</w:t>
            </w:r>
          </w:p>
        </w:tc>
        <w:tc>
          <w:tcPr>
            <w:tcW w:w="2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56"/>
        </w:trPr>
        <w:tc>
          <w:tcPr>
            <w:tcW w:w="2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14,820,000</w:t>
            </w:r>
          </w:p>
        </w:tc>
        <w:tc>
          <w:tcPr>
            <w:tcW w:w="2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1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96,885,313</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451,256,352</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shd w:val="clear" w:color="auto" w:fill="CCECFF"/>
          </w:tcPr>
          <w:p>
            <w:pPr>
              <w:jc w:val="center"/>
              <w:ind w:right="140"/>
              <w:spacing w:after="0"/>
              <w:rPr>
                <w:sz w:val="20"/>
                <w:szCs w:val="20"/>
                <w:color w:val="auto"/>
              </w:rPr>
            </w:pPr>
            <w:r>
              <w:rPr>
                <w:rFonts w:ascii="Arial" w:cs="Arial" w:eastAsia="Arial" w:hAnsi="Arial"/>
                <w:sz w:val="14"/>
                <w:szCs w:val="14"/>
                <w:color w:val="auto"/>
                <w:w w:val="94"/>
              </w:rPr>
              <w:t>8.1% – 14.0% (11.0%)</w:t>
            </w:r>
          </w:p>
        </w:tc>
        <w:tc>
          <w:tcPr>
            <w:tcW w:w="0" w:type="dxa"/>
            <w:vAlign w:val="bottom"/>
          </w:tcPr>
          <w:p>
            <w:pPr>
              <w:spacing w:after="0"/>
              <w:rPr>
                <w:sz w:val="1"/>
                <w:szCs w:val="1"/>
                <w:color w:val="auto"/>
              </w:rPr>
            </w:pPr>
          </w:p>
        </w:tc>
      </w:tr>
      <w:tr>
        <w:trPr>
          <w:trHeight w:val="162"/>
        </w:trPr>
        <w:tc>
          <w:tcPr>
            <w:tcW w:w="27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302,659,070</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9.6% – 14.6% (12.2%)</w:t>
            </w:r>
          </w:p>
        </w:tc>
        <w:tc>
          <w:tcPr>
            <w:tcW w:w="0" w:type="dxa"/>
            <w:vAlign w:val="bottom"/>
          </w:tcPr>
          <w:p>
            <w:pPr>
              <w:spacing w:after="0"/>
              <w:rPr>
                <w:sz w:val="1"/>
                <w:szCs w:val="1"/>
                <w:color w:val="auto"/>
              </w:rPr>
            </w:pPr>
          </w:p>
        </w:tc>
      </w:tr>
      <w:tr>
        <w:trPr>
          <w:trHeight w:val="162"/>
        </w:trPr>
        <w:tc>
          <w:tcPr>
            <w:tcW w:w="27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120,707,763</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11.6% – 20.5% (14.3%)</w:t>
            </w:r>
          </w:p>
        </w:tc>
        <w:tc>
          <w:tcPr>
            <w:tcW w:w="0" w:type="dxa"/>
            <w:vAlign w:val="bottom"/>
          </w:tcPr>
          <w:p>
            <w:pPr>
              <w:spacing w:after="0"/>
              <w:rPr>
                <w:sz w:val="1"/>
                <w:szCs w:val="1"/>
                <w:color w:val="auto"/>
              </w:rPr>
            </w:pPr>
          </w:p>
        </w:tc>
      </w:tr>
      <w:tr>
        <w:trPr>
          <w:trHeight w:val="162"/>
        </w:trPr>
        <w:tc>
          <w:tcPr>
            <w:tcW w:w="27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166,268,568</w:t>
            </w:r>
          </w:p>
        </w:tc>
        <w:tc>
          <w:tcPr>
            <w:tcW w:w="260" w:type="dxa"/>
            <w:vAlign w:val="bottom"/>
            <w:tcBorders>
              <w:bottom w:val="single" w:sz="8" w:color="CCECFF"/>
            </w:tcBorders>
          </w:tcPr>
          <w:p>
            <w:pPr>
              <w:spacing w:after="0"/>
              <w:rPr>
                <w:sz w:val="14"/>
                <w:szCs w:val="14"/>
                <w:color w:val="auto"/>
              </w:rPr>
            </w:pPr>
          </w:p>
        </w:tc>
        <w:tc>
          <w:tcPr>
            <w:tcW w:w="22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222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4"/>
                <w:szCs w:val="14"/>
                <w:color w:val="auto"/>
                <w:w w:val="94"/>
              </w:rPr>
              <w:t>4.8x – 15.8x (8.2x)</w:t>
            </w:r>
          </w:p>
        </w:tc>
        <w:tc>
          <w:tcPr>
            <w:tcW w:w="0" w:type="dxa"/>
            <w:vAlign w:val="bottom"/>
          </w:tcPr>
          <w:p>
            <w:pPr>
              <w:spacing w:after="0"/>
              <w:rPr>
                <w:sz w:val="1"/>
                <w:szCs w:val="1"/>
                <w:color w:val="auto"/>
              </w:rPr>
            </w:pPr>
          </w:p>
        </w:tc>
      </w:tr>
      <w:tr>
        <w:trPr>
          <w:trHeight w:val="156"/>
        </w:trPr>
        <w:tc>
          <w:tcPr>
            <w:tcW w:w="274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2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1,152,597,066</w:t>
            </w:r>
          </w:p>
        </w:tc>
        <w:tc>
          <w:tcPr>
            <w:tcW w:w="2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10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100" w:type="dxa"/>
            <w:vAlign w:val="bottom"/>
            <w:vMerge w:val="restart"/>
          </w:tcPr>
          <w:p>
            <w:pPr>
              <w:jc w:val="center"/>
              <w:spacing w:after="0"/>
              <w:rPr>
                <w:sz w:val="20"/>
                <w:szCs w:val="20"/>
                <w:color w:val="auto"/>
              </w:rPr>
            </w:pPr>
            <w:r>
              <w:rPr>
                <w:rFonts w:ascii="Arial" w:cs="Arial" w:eastAsia="Arial" w:hAnsi="Arial"/>
                <w:sz w:val="14"/>
                <w:szCs w:val="14"/>
                <w:color w:val="auto"/>
                <w:w w:val="93"/>
              </w:rPr>
              <w:t>4.3%</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4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76,037,341</w:t>
            </w:r>
          </w:p>
        </w:tc>
        <w:tc>
          <w:tcPr>
            <w:tcW w:w="26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investments, cash and cash equivalents, Credit Facility and the 2019 Notes were categorized as follows in the fair value hierarchy for ASC 820 purposes: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80" w:type="dxa"/>
            <w:vAlign w:val="bottom"/>
            <w:gridSpan w:val="5"/>
          </w:tcPr>
          <w:p>
            <w:pPr>
              <w:ind w:left="280"/>
              <w:spacing w:after="0"/>
              <w:rPr>
                <w:sz w:val="20"/>
                <w:szCs w:val="20"/>
                <w:color w:val="auto"/>
              </w:rPr>
            </w:pPr>
            <w:r>
              <w:rPr>
                <w:rFonts w:ascii="Arial" w:cs="Arial" w:eastAsia="Arial" w:hAnsi="Arial"/>
                <w:sz w:val="14"/>
                <w:szCs w:val="14"/>
                <w:b w:val="1"/>
                <w:bCs w:val="1"/>
                <w:color w:val="auto"/>
              </w:rPr>
              <w:t>Fair Value at September 30, 2018</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970,587,703</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970,587,703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161,497,771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841,727</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160,656,044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1,132,085,474</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841,727</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1,131,243,747</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19,506,154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19,506,154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1,151,591,628</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20,347,881</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1,131,243,747</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77,645,830</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77,645,830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2019 Notes</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251,322,500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251,322,500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328,968,330</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251,322,500</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77,645,830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9"/>
          </w:tcPr>
          <w:p>
            <w:pPr>
              <w:jc w:val="right"/>
              <w:ind w:right="860"/>
              <w:spacing w:after="0"/>
              <w:rPr>
                <w:sz w:val="20"/>
                <w:szCs w:val="20"/>
                <w:color w:val="auto"/>
              </w:rPr>
            </w:pPr>
            <w:r>
              <w:rPr>
                <w:rFonts w:ascii="Arial" w:cs="Arial" w:eastAsia="Arial" w:hAnsi="Arial"/>
                <w:sz w:val="14"/>
                <w:szCs w:val="14"/>
                <w:b w:val="1"/>
                <w:bCs w:val="1"/>
                <w:color w:val="auto"/>
              </w:rPr>
              <w:t>Fair Value at September 30, 2017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center"/>
              <w:ind w:right="580"/>
              <w:spacing w:after="0" w:line="155" w:lineRule="exact"/>
              <w:rPr>
                <w:sz w:val="20"/>
                <w:szCs w:val="20"/>
                <w:color w:val="auto"/>
              </w:rPr>
            </w:pPr>
            <w:r>
              <w:rPr>
                <w:rFonts w:ascii="Arial" w:cs="Arial" w:eastAsia="Arial" w:hAnsi="Arial"/>
                <w:sz w:val="14"/>
                <w:szCs w:val="14"/>
                <w:b w:val="1"/>
                <w:bCs w:val="1"/>
                <w:color w:val="auto"/>
                <w:w w:val="98"/>
              </w:rPr>
              <w:t>Fair Value</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right"/>
              <w:ind w:right="740"/>
              <w:spacing w:after="0" w:line="155" w:lineRule="exact"/>
              <w:rPr>
                <w:sz w:val="20"/>
                <w:szCs w:val="20"/>
                <w:color w:val="auto"/>
              </w:rPr>
            </w:pPr>
            <w:r>
              <w:rPr>
                <w:rFonts w:ascii="Arial" w:cs="Arial" w:eastAsia="Arial" w:hAnsi="Arial"/>
                <w:sz w:val="14"/>
                <w:szCs w:val="14"/>
                <w:b w:val="1"/>
                <w:bCs w:val="1"/>
                <w:color w:val="auto"/>
              </w:rPr>
              <w:t>Level 1</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right"/>
              <w:ind w:right="78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986,328,498</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gridSpan w:val="2"/>
            <w:shd w:val="clear" w:color="auto" w:fill="CCECFF"/>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986,328,498</w:t>
            </w: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167,249,010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980,442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166,268,568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1,153,577,508</w:t>
            </w:r>
          </w:p>
        </w:tc>
        <w:tc>
          <w:tcPr>
            <w:tcW w:w="2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980,442</w:t>
            </w:r>
          </w:p>
        </w:tc>
        <w:tc>
          <w:tcPr>
            <w:tcW w:w="1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1,152,597,066</w:t>
            </w: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38,202,068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38,202,068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1,191,779,576</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gridSpan w:val="2"/>
            <w:shd w:val="clear" w:color="auto" w:fill="CCECFF"/>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39,182,510</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4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1,152,597,066</w:t>
            </w:r>
          </w:p>
        </w:tc>
        <w:tc>
          <w:tcPr>
            <w:tcW w:w="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4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76,037,341</w:t>
            </w:r>
          </w:p>
        </w:tc>
        <w:tc>
          <w:tcPr>
            <w:tcW w:w="260" w:type="dxa"/>
            <w:vAlign w:val="bottom"/>
          </w:tcPr>
          <w:p>
            <w:pPr>
              <w:spacing w:after="0"/>
              <w:rPr>
                <w:sz w:val="12"/>
                <w:szCs w:val="12"/>
                <w:color w:val="auto"/>
              </w:rPr>
            </w:pPr>
          </w:p>
        </w:tc>
        <w:tc>
          <w:tcPr>
            <w:tcW w:w="160" w:type="dxa"/>
            <w:vAlign w:val="bottom"/>
            <w:tcBorders>
              <w:top w:val="single" w:sz="8" w:color="auto"/>
            </w:tcBorders>
            <w:gridSpan w:val="2"/>
          </w:tcPr>
          <w:p>
            <w:pPr>
              <w:jc w:val="right"/>
              <w:ind w:right="80"/>
              <w:spacing w:after="0" w:line="143"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76,037,341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2019 Notes</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255,665,000</w:t>
            </w: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3"/>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255,665,000</w:t>
            </w:r>
          </w:p>
        </w:tc>
        <w:tc>
          <w:tcPr>
            <w:tcW w:w="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331,702,341</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255,665,000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76,037,341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0000" w:type="dxa"/>
            <w:vAlign w:val="bottom"/>
            <w:gridSpan w:val="20"/>
          </w:tcPr>
          <w:p>
            <w:pPr>
              <w:jc w:val="center"/>
              <w:ind w:left="208"/>
              <w:spacing w:after="0"/>
              <w:rPr>
                <w:sz w:val="20"/>
                <w:szCs w:val="20"/>
                <w:color w:val="auto"/>
              </w:rPr>
            </w:pPr>
            <w:r>
              <w:rPr>
                <w:rFonts w:ascii="Arial" w:cs="Arial" w:eastAsia="Arial" w:hAnsi="Arial"/>
                <w:sz w:val="14"/>
                <w:szCs w:val="14"/>
                <w:color w:val="auto"/>
                <w:w w:val="93"/>
              </w:rPr>
              <w:t>The tables below show a reconciliation of the beginning and ending balances for fair valued investments measured using significant unobservable inputs (Level 3):</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gridSpan w:val="10"/>
          </w:tcPr>
          <w:p>
            <w:pPr>
              <w:jc w:val="center"/>
              <w:ind w:right="48"/>
              <w:spacing w:after="0"/>
              <w:rPr>
                <w:sz w:val="20"/>
                <w:szCs w:val="20"/>
                <w:color w:val="auto"/>
              </w:rPr>
            </w:pPr>
            <w:r>
              <w:rPr>
                <w:rFonts w:ascii="Arial" w:cs="Arial" w:eastAsia="Arial" w:hAnsi="Arial"/>
                <w:sz w:val="14"/>
                <w:szCs w:val="14"/>
                <w:b w:val="1"/>
                <w:bCs w:val="1"/>
                <w:color w:val="auto"/>
                <w:w w:val="92"/>
              </w:rPr>
              <w:t>Year Ended September 30, 2018</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89"/>
              </w:rPr>
              <w:t>Debt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2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986,328,498</w:t>
            </w:r>
          </w:p>
        </w:tc>
        <w:tc>
          <w:tcPr>
            <w:tcW w:w="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166,268,568</w:t>
            </w: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1,152,597,066</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Net realized gains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2,847,904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43,250,660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46,098,564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depreciation</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3"/>
            <w:shd w:val="clear" w:color="auto" w:fill="CCECFF"/>
          </w:tcPr>
          <w:p>
            <w:pPr>
              <w:jc w:val="right"/>
              <w:ind w:right="20"/>
              <w:spacing w:after="0"/>
              <w:rPr>
                <w:sz w:val="20"/>
                <w:szCs w:val="20"/>
                <w:color w:val="auto"/>
              </w:rPr>
            </w:pPr>
            <w:r>
              <w:rPr>
                <w:rFonts w:ascii="Arial" w:cs="Arial" w:eastAsia="Arial" w:hAnsi="Arial"/>
                <w:sz w:val="14"/>
                <w:szCs w:val="14"/>
                <w:color w:val="auto"/>
              </w:rPr>
              <w:t>(15,266,479)</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8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(40,114,380)</w:t>
            </w: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(55,380,859)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gridSpan w:val="3"/>
          </w:tcPr>
          <w:p>
            <w:pPr>
              <w:ind w:left="500"/>
              <w:spacing w:after="0"/>
              <w:rPr>
                <w:sz w:val="20"/>
                <w:szCs w:val="20"/>
                <w:color w:val="auto"/>
              </w:rPr>
            </w:pPr>
            <w:r>
              <w:rPr>
                <w:rFonts w:ascii="Arial" w:cs="Arial" w:eastAsia="Arial" w:hAnsi="Arial"/>
                <w:sz w:val="14"/>
                <w:szCs w:val="14"/>
                <w:color w:val="auto"/>
                <w:w w:val="93"/>
              </w:rPr>
              <w:t>Purchases, PIK interest, net discount accretion and non-cash exchanges</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556,756,457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61,674,905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618,431,362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3"/>
            <w:shd w:val="clear" w:color="auto" w:fill="CCECFF"/>
          </w:tcPr>
          <w:p>
            <w:pPr>
              <w:jc w:val="right"/>
              <w:ind w:right="20"/>
              <w:spacing w:after="0"/>
              <w:rPr>
                <w:sz w:val="20"/>
                <w:szCs w:val="20"/>
                <w:color w:val="auto"/>
              </w:rPr>
            </w:pPr>
            <w:r>
              <w:rPr>
                <w:rFonts w:ascii="Arial" w:cs="Arial" w:eastAsia="Arial" w:hAnsi="Arial"/>
                <w:sz w:val="14"/>
                <w:szCs w:val="14"/>
                <w:color w:val="auto"/>
              </w:rPr>
              <w:t>(560,078,677)</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8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(70,423,709)</w:t>
            </w: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(630,502,386)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CCECFF"/>
              <w:bottom w:val="single" w:sz="8" w:color="CCECFF"/>
            </w:tcBorders>
            <w:shd w:val="clear" w:color="auto" w:fill="CCECFF"/>
          </w:tcPr>
          <w:p>
            <w:pPr>
              <w:spacing w:after="0"/>
              <w:rPr>
                <w:sz w:val="13"/>
                <w:szCs w:val="13"/>
                <w:color w:val="auto"/>
              </w:rPr>
            </w:pPr>
          </w:p>
        </w:tc>
        <w:tc>
          <w:tcPr>
            <w:tcW w:w="118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970,587,703</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160,656,044</w:t>
            </w: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1,131,243,747</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60" w:type="dxa"/>
            <w:vAlign w:val="bottom"/>
            <w:gridSpan w:val="5"/>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 (depreciation)</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1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20" w:type="dxa"/>
            <w:vAlign w:val="bottom"/>
            <w:gridSpan w:val="7"/>
          </w:tcPr>
          <w:p>
            <w:pPr>
              <w:spacing w:after="0" w:line="149" w:lineRule="exact"/>
              <w:rPr>
                <w:sz w:val="20"/>
                <w:szCs w:val="20"/>
                <w:color w:val="auto"/>
              </w:rPr>
            </w:pPr>
            <w:r>
              <w:rPr>
                <w:rFonts w:ascii="Arial" w:cs="Arial" w:eastAsia="Arial" w:hAnsi="Arial"/>
                <w:sz w:val="14"/>
                <w:szCs w:val="14"/>
                <w:color w:val="auto"/>
                <w:w w:val="94"/>
              </w:rPr>
              <w:t>appreciation on investments in our Consolidated Statements of Operations attributable to our Level 3 assets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tcPr>
          <w:p>
            <w:pPr>
              <w:spacing w:after="0"/>
              <w:rPr>
                <w:sz w:val="20"/>
                <w:szCs w:val="20"/>
                <w:color w:val="auto"/>
              </w:rPr>
            </w:pPr>
            <w:r>
              <w:rPr>
                <w:rFonts w:ascii="Arial" w:cs="Arial" w:eastAsia="Arial" w:hAnsi="Arial"/>
                <w:sz w:val="14"/>
                <w:szCs w:val="14"/>
                <w:color w:val="auto"/>
              </w:rPr>
              <w:t>still held at the reporting date.</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300" w:type="dxa"/>
            <w:vAlign w:val="bottom"/>
            <w:gridSpan w:val="3"/>
          </w:tcPr>
          <w:p>
            <w:pPr>
              <w:jc w:val="right"/>
              <w:ind w:right="20"/>
              <w:spacing w:after="0"/>
              <w:rPr>
                <w:sz w:val="20"/>
                <w:szCs w:val="20"/>
                <w:color w:val="auto"/>
              </w:rPr>
            </w:pPr>
            <w:r>
              <w:rPr>
                <w:rFonts w:ascii="Arial" w:cs="Arial" w:eastAsia="Arial" w:hAnsi="Arial"/>
                <w:sz w:val="14"/>
                <w:szCs w:val="14"/>
                <w:color w:val="auto"/>
              </w:rPr>
              <w:t>(5,468,175)</w:t>
            </w:r>
          </w:p>
        </w:tc>
        <w:tc>
          <w:tcPr>
            <w:tcW w:w="40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140"/>
              <w:spacing w:after="0"/>
              <w:rPr>
                <w:sz w:val="20"/>
                <w:szCs w:val="20"/>
                <w:color w:val="auto"/>
              </w:rPr>
            </w:pPr>
            <w:r>
              <w:rPr>
                <w:rFonts w:ascii="Arial" w:cs="Arial" w:eastAsia="Arial" w:hAnsi="Arial"/>
                <w:sz w:val="14"/>
                <w:szCs w:val="14"/>
                <w:color w:val="auto"/>
              </w:rPr>
              <w:t>(10,447,877)</w:t>
            </w:r>
          </w:p>
        </w:tc>
        <w:tc>
          <w:tcPr>
            <w:tcW w:w="3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(15,916,052)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0" w:type="dxa"/>
            <w:vAlign w:val="bottom"/>
            <w:tcBorders>
              <w:top w:val="single" w:sz="8" w:color="auto"/>
              <w:bottom w:val="single" w:sz="8" w:color="auto"/>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gridSpan w:val="10"/>
          </w:tcPr>
          <w:p>
            <w:pPr>
              <w:jc w:val="center"/>
              <w:ind w:right="48"/>
              <w:spacing w:after="0"/>
              <w:rPr>
                <w:sz w:val="20"/>
                <w:szCs w:val="20"/>
                <w:color w:val="auto"/>
              </w:rPr>
            </w:pPr>
            <w:r>
              <w:rPr>
                <w:rFonts w:ascii="Arial" w:cs="Arial" w:eastAsia="Arial" w:hAnsi="Arial"/>
                <w:sz w:val="14"/>
                <w:szCs w:val="14"/>
                <w:b w:val="1"/>
                <w:bCs w:val="1"/>
                <w:color w:val="auto"/>
                <w:w w:val="92"/>
              </w:rPr>
              <w:t>Year Ended September 30, 2017</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89"/>
              </w:rPr>
              <w:t>Debt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2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1,000,146,681</w:t>
            </w:r>
          </w:p>
        </w:tc>
        <w:tc>
          <w:tcPr>
            <w:tcW w:w="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125,633,017</w:t>
            </w: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1,125,779,698</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Net realized losses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4"/>
                <w:szCs w:val="14"/>
                <w:color w:val="auto"/>
              </w:rPr>
              <w:t>(43,066,781)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4"/>
                <w:szCs w:val="14"/>
                <w:color w:val="auto"/>
              </w:rPr>
              <w:t>(10,910,451)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(53,977,232)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appreciation (depreciation)</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75,097,153</w:t>
            </w:r>
          </w:p>
        </w:tc>
        <w:tc>
          <w:tcPr>
            <w:tcW w:w="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8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(6,862,504)</w:t>
            </w: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68,234,649</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gridSpan w:val="3"/>
          </w:tcPr>
          <w:p>
            <w:pPr>
              <w:ind w:left="500"/>
              <w:spacing w:after="0"/>
              <w:rPr>
                <w:sz w:val="20"/>
                <w:szCs w:val="20"/>
                <w:color w:val="auto"/>
              </w:rPr>
            </w:pPr>
            <w:r>
              <w:rPr>
                <w:rFonts w:ascii="Arial" w:cs="Arial" w:eastAsia="Arial" w:hAnsi="Arial"/>
                <w:sz w:val="14"/>
                <w:szCs w:val="14"/>
                <w:color w:val="auto"/>
                <w:w w:val="93"/>
              </w:rPr>
              <w:t>Purchases, PIK interest, net discount accretion and non-cash exchanges</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509,394,726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93,811,871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603,206,597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3"/>
            <w:shd w:val="clear" w:color="auto" w:fill="CCECFF"/>
          </w:tcPr>
          <w:p>
            <w:pPr>
              <w:jc w:val="right"/>
              <w:ind w:right="20"/>
              <w:spacing w:after="0"/>
              <w:rPr>
                <w:sz w:val="20"/>
                <w:szCs w:val="20"/>
                <w:color w:val="auto"/>
              </w:rPr>
            </w:pPr>
            <w:r>
              <w:rPr>
                <w:rFonts w:ascii="Arial" w:cs="Arial" w:eastAsia="Arial" w:hAnsi="Arial"/>
                <w:sz w:val="14"/>
                <w:szCs w:val="14"/>
                <w:color w:val="auto"/>
              </w:rPr>
              <w:t>(555,243,281)</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8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(35,403,365)</w:t>
            </w: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(590,646,646)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CCECFF"/>
              <w:bottom w:val="single" w:sz="8" w:color="CCECFF"/>
            </w:tcBorders>
            <w:shd w:val="clear" w:color="auto" w:fill="CCECFF"/>
          </w:tcPr>
          <w:p>
            <w:pPr>
              <w:spacing w:after="0"/>
              <w:rPr>
                <w:sz w:val="13"/>
                <w:szCs w:val="13"/>
                <w:color w:val="auto"/>
              </w:rPr>
            </w:pPr>
          </w:p>
        </w:tc>
        <w:tc>
          <w:tcPr>
            <w:tcW w:w="118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986,328,498</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166,268,568</w:t>
            </w: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1,152,597,066</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60" w:type="dxa"/>
            <w:vAlign w:val="bottom"/>
            <w:gridSpan w:val="5"/>
            <w:vMerge w:val="restart"/>
          </w:tcPr>
          <w:p>
            <w:pPr>
              <w:spacing w:after="0"/>
              <w:rPr>
                <w:sz w:val="20"/>
                <w:szCs w:val="20"/>
                <w:color w:val="auto"/>
              </w:rPr>
            </w:pPr>
            <w:r>
              <w:rPr>
                <w:rFonts w:ascii="Arial" w:cs="Arial" w:eastAsia="Arial" w:hAnsi="Arial"/>
                <w:sz w:val="14"/>
                <w:szCs w:val="14"/>
                <w:color w:val="auto"/>
              </w:rPr>
              <w:t>Net change in unrealized appreciation (depreciation) reported within the net change in unrealized</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1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20" w:type="dxa"/>
            <w:vAlign w:val="bottom"/>
            <w:gridSpan w:val="7"/>
          </w:tcPr>
          <w:p>
            <w:pPr>
              <w:spacing w:after="0" w:line="149" w:lineRule="exact"/>
              <w:rPr>
                <w:sz w:val="20"/>
                <w:szCs w:val="20"/>
                <w:color w:val="auto"/>
              </w:rPr>
            </w:pPr>
            <w:r>
              <w:rPr>
                <w:rFonts w:ascii="Arial" w:cs="Arial" w:eastAsia="Arial" w:hAnsi="Arial"/>
                <w:sz w:val="14"/>
                <w:szCs w:val="14"/>
                <w:color w:val="auto"/>
                <w:w w:val="94"/>
              </w:rPr>
              <w:t>(depreciation) appreciation on investments in our Consolidated Statements of Operations attributable to our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tcPr>
          <w:p>
            <w:pPr>
              <w:spacing w:after="0"/>
              <w:rPr>
                <w:sz w:val="20"/>
                <w:szCs w:val="20"/>
                <w:color w:val="auto"/>
              </w:rPr>
            </w:pPr>
            <w:r>
              <w:rPr>
                <w:rFonts w:ascii="Arial" w:cs="Arial" w:eastAsia="Arial" w:hAnsi="Arial"/>
                <w:sz w:val="14"/>
                <w:szCs w:val="14"/>
                <w:color w:val="auto"/>
              </w:rPr>
              <w:t>Level 3 assets still held at the reporting date.</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40,461,680</w:t>
            </w:r>
          </w:p>
        </w:tc>
        <w:tc>
          <w:tcPr>
            <w:tcW w:w="80" w:type="dxa"/>
            <w:vAlign w:val="bottom"/>
          </w:tcPr>
          <w:p>
            <w:pPr>
              <w:spacing w:after="0"/>
              <w:rPr>
                <w:sz w:val="14"/>
                <w:szCs w:val="14"/>
                <w:color w:val="auto"/>
              </w:rPr>
            </w:pPr>
          </w:p>
        </w:tc>
        <w:tc>
          <w:tcPr>
            <w:tcW w:w="40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140"/>
              <w:spacing w:after="0"/>
              <w:rPr>
                <w:sz w:val="20"/>
                <w:szCs w:val="20"/>
                <w:color w:val="auto"/>
              </w:rPr>
            </w:pPr>
            <w:r>
              <w:rPr>
                <w:rFonts w:ascii="Arial" w:cs="Arial" w:eastAsia="Arial" w:hAnsi="Arial"/>
                <w:sz w:val="14"/>
                <w:szCs w:val="14"/>
                <w:color w:val="auto"/>
              </w:rPr>
              <w:t>(29,825,294)</w:t>
            </w:r>
          </w:p>
        </w:tc>
        <w:tc>
          <w:tcPr>
            <w:tcW w:w="3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10,636,386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color w:val="auto"/>
              </w:rPr>
              <w:t>63</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5" w:name="page66"/>
    <w:bookmarkEnd w:id="6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940" w:type="dxa"/>
            <w:vAlign w:val="bottom"/>
            <w:gridSpan w:val="6"/>
          </w:tcPr>
          <w:p>
            <w:pPr>
              <w:ind w:left="440"/>
              <w:spacing w:after="0"/>
              <w:rPr>
                <w:sz w:val="20"/>
                <w:szCs w:val="20"/>
                <w:color w:val="auto"/>
              </w:rPr>
            </w:pPr>
            <w:r>
              <w:rPr>
                <w:rFonts w:ascii="Arial" w:cs="Arial" w:eastAsia="Arial" w:hAnsi="Arial"/>
                <w:sz w:val="14"/>
                <w:szCs w:val="14"/>
                <w:color w:val="auto"/>
                <w:w w:val="96"/>
              </w:rPr>
              <w:t>The table below shows a reconciliation of the beginning and ending balances for fair valued liabilities measured using significant unobservable inputs (Level 3):</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7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26"/>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7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$79,392,900 and $50,339,700,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76,037,341</w:t>
            </w:r>
          </w:p>
        </w:tc>
        <w:tc>
          <w:tcPr>
            <w:tcW w:w="280" w:type="dxa"/>
            <w:vAlign w:val="bottom"/>
            <w:tcBorders>
              <w:top w:val="single" w:sz="8" w:color="CCECFF"/>
            </w:tcBorders>
            <w:shd w:val="clear" w:color="auto" w:fill="CCECFF"/>
          </w:tcPr>
          <w:p>
            <w:pPr>
              <w:spacing w:after="0"/>
              <w:rPr>
                <w:sz w:val="13"/>
                <w:szCs w:val="13"/>
                <w:color w:val="auto"/>
              </w:rPr>
            </w:pPr>
          </w:p>
        </w:tc>
        <w:tc>
          <w:tcPr>
            <w:tcW w:w="380" w:type="dxa"/>
            <w:vAlign w:val="bottom"/>
            <w:tcBorders>
              <w:top w:val="single" w:sz="8" w:color="auto"/>
            </w:tcBorders>
            <w:shd w:val="clear" w:color="auto" w:fill="CCECFF"/>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39,551,187</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appreciation included in earnings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481,389</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7,432,954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161,520,000</w:t>
            </w:r>
          </w:p>
        </w:tc>
        <w:tc>
          <w:tcPr>
            <w:tcW w:w="28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237,760,000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(162,392,900)</w:t>
            </w:r>
          </w:p>
        </w:tc>
        <w:tc>
          <w:tcPr>
            <w:tcW w:w="38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(208,706,800)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$80,520,000 and $79,392,900, respectively)</w:t>
            </w:r>
          </w:p>
        </w:tc>
        <w:tc>
          <w:tcPr>
            <w:tcW w:w="36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75,645,830</w:t>
            </w:r>
          </w:p>
        </w:tc>
        <w:tc>
          <w:tcPr>
            <w:tcW w:w="280" w:type="dxa"/>
            <w:vAlign w:val="bottom"/>
          </w:tcPr>
          <w:p>
            <w:pPr>
              <w:spacing w:after="0"/>
              <w:rPr>
                <w:sz w:val="13"/>
                <w:szCs w:val="13"/>
                <w:color w:val="auto"/>
              </w:rPr>
            </w:pPr>
          </w:p>
        </w:tc>
        <w:tc>
          <w:tcPr>
            <w:tcW w:w="380" w:type="dxa"/>
            <w:vAlign w:val="bottom"/>
            <w:tcBorders>
              <w:top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76,037,341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Temporary draws outstanding, at cost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2,000,000</w:t>
            </w:r>
          </w:p>
        </w:tc>
        <w:tc>
          <w:tcPr>
            <w:tcW w:w="28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$80,520,000 and $79,392,900, respectively)</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77,645,830</w:t>
            </w:r>
          </w:p>
        </w:tc>
        <w:tc>
          <w:tcPr>
            <w:tcW w:w="2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76,037,341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3455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64" w:lineRule="exact"/>
        <w:rPr>
          <w:sz w:val="20"/>
          <w:szCs w:val="20"/>
          <w:color w:val="auto"/>
        </w:rPr>
      </w:pPr>
    </w:p>
    <w:p>
      <w:pPr>
        <w:ind w:left="380" w:hanging="372"/>
        <w:spacing w:after="0"/>
        <w:tabs>
          <w:tab w:leader="none" w:pos="380" w:val="left"/>
        </w:tabs>
        <w:numPr>
          <w:ilvl w:val="0"/>
          <w:numId w:val="65"/>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136"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As of September 30, 2018, we had outstanding non-U.S. dollar borrowings on our Credit Facility. Net change in fair value on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41,520,000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39,121,590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December 14, 2018</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(2,398,410)</w:t>
            </w:r>
          </w:p>
        </w:tc>
        <w:tc>
          <w:tcPr>
            <w:tcW w:w="100" w:type="dxa"/>
            <w:vAlign w:val="bottom"/>
            <w:tcBorders>
              <w:top w:val="single" w:sz="8" w:color="CCECFF"/>
            </w:tcBorders>
            <w:shd w:val="clear" w:color="auto" w:fill="CCECFF"/>
          </w:tcPr>
          <w:p>
            <w:pPr>
              <w:spacing w:after="0"/>
              <w:rPr>
                <w:sz w:val="13"/>
                <w:szCs w:val="13"/>
                <w:color w:val="auto"/>
              </w:rPr>
            </w:pPr>
          </w:p>
        </w:tc>
      </w:tr>
      <w:tr>
        <w:trPr>
          <w:trHeight w:val="278"/>
        </w:trPr>
        <w:tc>
          <w:tcPr>
            <w:tcW w:w="11240" w:type="dxa"/>
            <w:vAlign w:val="bottom"/>
            <w:gridSpan w:val="16"/>
          </w:tcPr>
          <w:p>
            <w:pPr>
              <w:ind w:left="440"/>
              <w:spacing w:after="0"/>
              <w:rPr>
                <w:sz w:val="20"/>
                <w:szCs w:val="20"/>
                <w:color w:val="auto"/>
              </w:rPr>
            </w:pPr>
            <w:r>
              <w:rPr>
                <w:rFonts w:ascii="Arial" w:cs="Arial" w:eastAsia="Arial" w:hAnsi="Arial"/>
                <w:sz w:val="14"/>
                <w:szCs w:val="14"/>
                <w:color w:val="auto"/>
                <w:w w:val="96"/>
              </w:rPr>
              <w:t>As of September 30, 2017, we had outstanding non-U.S. dollar borrowings on our Credit Facility. Net change in fair value on foreign currency translation on outstanding borrowings is</w:t>
            </w:r>
          </w:p>
        </w:tc>
      </w:tr>
      <w:tr>
        <w:trPr>
          <w:trHeight w:val="182"/>
        </w:trPr>
        <w:tc>
          <w:tcPr>
            <w:tcW w:w="1920" w:type="dxa"/>
            <w:vAlign w:val="bottom"/>
          </w:tcPr>
          <w:p>
            <w:pPr>
              <w:spacing w:after="0"/>
              <w:rPr>
                <w:sz w:val="20"/>
                <w:szCs w:val="20"/>
                <w:color w:val="auto"/>
              </w:rPr>
            </w:pPr>
            <w:r>
              <w:rPr>
                <w:rFonts w:ascii="Arial" w:cs="Arial" w:eastAsia="Arial" w:hAnsi="Arial"/>
                <w:sz w:val="14"/>
                <w:szCs w:val="14"/>
                <w:color w:val="auto"/>
              </w:rPr>
              <w:t>listed below:</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96"/>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24"/>
                <w:szCs w:val="2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6"/>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44,032,900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36,224,604</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October 4, 2017</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(7,808,296)</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19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Euro</w:t>
            </w:r>
          </w:p>
        </w:tc>
        <w:tc>
          <w:tcPr>
            <w:tcW w:w="320" w:type="dxa"/>
            <w:vAlign w:val="bottom"/>
            <w:tcBorders>
              <w:bottom w:val="single" w:sz="8" w:color="CCECFF"/>
            </w:tcBorders>
            <w:gridSpan w:val="2"/>
          </w:tcPr>
          <w:p>
            <w:pPr>
              <w:ind w:left="18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34,000,000</w:t>
            </w:r>
          </w:p>
        </w:tc>
        <w:tc>
          <w:tcPr>
            <w:tcW w:w="28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35,360,000</w:t>
            </w:r>
          </w:p>
        </w:tc>
        <w:tc>
          <w:tcPr>
            <w:tcW w:w="28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40,194,834</w:t>
            </w:r>
          </w:p>
        </w:tc>
        <w:tc>
          <w:tcPr>
            <w:tcW w:w="280" w:type="dxa"/>
            <w:vAlign w:val="bottom"/>
            <w:tcBorders>
              <w:bottom w:val="single" w:sz="8" w:color="CCECFF"/>
            </w:tcBorders>
          </w:tcPr>
          <w:p>
            <w:pPr>
              <w:spacing w:after="0"/>
              <w:rPr>
                <w:sz w:val="14"/>
                <w:szCs w:val="14"/>
                <w:color w:val="auto"/>
              </w:rPr>
            </w:pPr>
          </w:p>
        </w:tc>
        <w:tc>
          <w:tcPr>
            <w:tcW w:w="1880" w:type="dxa"/>
            <w:vAlign w:val="bottom"/>
            <w:tcBorders>
              <w:bottom w:val="single" w:sz="8" w:color="CCECFF"/>
            </w:tcBorders>
            <w:gridSpan w:val="2"/>
          </w:tcPr>
          <w:p>
            <w:pPr>
              <w:jc w:val="center"/>
              <w:ind w:right="180"/>
              <w:spacing w:after="0"/>
              <w:rPr>
                <w:sz w:val="20"/>
                <w:szCs w:val="20"/>
                <w:color w:val="auto"/>
              </w:rPr>
            </w:pPr>
            <w:r>
              <w:rPr>
                <w:rFonts w:ascii="Arial" w:cs="Arial" w:eastAsia="Arial" w:hAnsi="Arial"/>
                <w:sz w:val="14"/>
                <w:szCs w:val="14"/>
                <w:color w:val="auto"/>
                <w:w w:val="93"/>
              </w:rPr>
              <w:t>October 4, 2017</w:t>
            </w: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4,834,834</w:t>
            </w:r>
          </w:p>
        </w:tc>
        <w:tc>
          <w:tcPr>
            <w:tcW w:w="100" w:type="dxa"/>
            <w:vAlign w:val="bottom"/>
            <w:tcBorders>
              <w:bottom w:val="single" w:sz="8" w:color="CCECFF"/>
            </w:tcBorders>
          </w:tcPr>
          <w:p>
            <w:pPr>
              <w:spacing w:after="0"/>
              <w:rPr>
                <w:sz w:val="14"/>
                <w:szCs w:val="14"/>
                <w:color w:val="auto"/>
              </w:rPr>
            </w:pPr>
          </w:p>
        </w:tc>
      </w:tr>
      <w:tr>
        <w:trPr>
          <w:trHeight w:val="156"/>
        </w:trPr>
        <w:tc>
          <w:tcPr>
            <w:tcW w:w="192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14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79,392,900</w:t>
            </w:r>
          </w:p>
        </w:tc>
        <w:tc>
          <w:tcPr>
            <w:tcW w:w="28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76,419,438</w:t>
            </w:r>
          </w:p>
        </w:tc>
        <w:tc>
          <w:tcPr>
            <w:tcW w:w="280" w:type="dxa"/>
            <w:vAlign w:val="bottom"/>
            <w:tcBorders>
              <w:bottom w:val="single" w:sz="8" w:color="CCECFF"/>
            </w:tcBorders>
            <w:shd w:val="clear" w:color="auto" w:fill="CCECFF"/>
          </w:tcPr>
          <w:p>
            <w:pPr>
              <w:spacing w:after="0"/>
              <w:rPr>
                <w:sz w:val="13"/>
                <w:szCs w:val="13"/>
                <w:color w:val="auto"/>
              </w:rPr>
            </w:pPr>
          </w:p>
        </w:tc>
        <w:tc>
          <w:tcPr>
            <w:tcW w:w="170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(2,973,462)</w:t>
            </w:r>
          </w:p>
        </w:tc>
        <w:tc>
          <w:tcPr>
            <w:tcW w:w="100" w:type="dxa"/>
            <w:vAlign w:val="bottom"/>
            <w:tcBorders>
              <w:bottom w:val="single" w:sz="8" w:color="CCECFF"/>
            </w:tcBorders>
            <w:shd w:val="clear" w:color="auto" w:fill="CCECFF"/>
          </w:tcPr>
          <w:p>
            <w:pPr>
              <w:spacing w:after="0"/>
              <w:rPr>
                <w:sz w:val="13"/>
                <w:szCs w:val="13"/>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right="20" w:firstLine="438"/>
        <w:spacing w:after="0" w:line="242"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Facility, the 2019 Notes and, prior to their redemption, the 2025 Notes. We elected to use the fair value option for the Credit Facility, the 2019 Notes and, prior to their redemption, the 2025 Notes to align the measurement attributes of both our assets and liabilities while mitigating volatility in earnings from using different measurement attributes. Due to that election and in accordance with GAAP, we incurred expenses of zero, $3.9 million and zero relating to amendment costs on the Credit Facility during the years ended September 30, 2018, 2017 and 2016,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the 2019 Notes and, prior to their redemption, the 2025 Notes are reported in our Consolidated Statements of Operations. We elected not to apply ASC 825-10 to any other financial assets or liabilities, including the SBA debentures. For the year ended September 30, 2018, the Credit Facility and the 2019 Notes had a net change in unrealized depreciation of $3.9 million. For the years ended September 30, 2017 and 2016, our Credit Facility, the 2019 Notes and the 2025 Notes had a net change in unrealized (appreciation) depreciation of $(7.6) million and $3.7 million, respectively. As of September 30, 2018 and 2017, net unrealized depreciation (appreciation) on our Credit Facility and the 2019 Notes totaled $1.6 million and $(2.3) million, respectively. We use a nationally recognized independent valuation service to measure the fair value of our Credit Facility and the 2019 Notes in a manner consistent with the valuation process that the board of directors uses to value our investments.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rPr>
          <w:sz w:val="20"/>
          <w:szCs w:val="20"/>
          <w:color w:val="auto"/>
        </w:rPr>
      </w:pPr>
      <w:r>
        <w:rPr>
          <w:rFonts w:ascii="Arial" w:cs="Arial" w:eastAsia="Arial" w:hAnsi="Arial"/>
          <w:sz w:val="14"/>
          <w:szCs w:val="14"/>
          <w:b w:val="1"/>
          <w:bCs w:val="1"/>
          <w:color w:val="auto"/>
        </w:rPr>
        <w:t>SEPTEMBER 30, 2018</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27" w:lineRule="exact"/>
        <w:rPr>
          <w:sz w:val="20"/>
          <w:szCs w:val="20"/>
          <w:color w:val="auto"/>
        </w:rPr>
      </w:pPr>
    </w:p>
    <w:p>
      <w:pPr>
        <w:ind w:right="44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year ended September 30, 2018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Purchases of /</w:t>
            </w:r>
          </w:p>
        </w:tc>
        <w:tc>
          <w:tcPr>
            <w:tcW w:w="120" w:type="dxa"/>
            <w:vAlign w:val="bottom"/>
          </w:tcPr>
          <w:p>
            <w:pPr>
              <w:spacing w:after="0"/>
              <w:rPr>
                <w:sz w:val="14"/>
                <w:szCs w:val="14"/>
                <w:color w:val="auto"/>
              </w:rPr>
            </w:pP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Sale of /</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Net Change in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 at</w:t>
            </w:r>
          </w:p>
        </w:tc>
        <w:tc>
          <w:tcPr>
            <w:tcW w:w="22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Advances to</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8"/>
        </w:trPr>
        <w:tc>
          <w:tcPr>
            <w:tcW w:w="2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 xml:space="preserve">Affiliates </w:t>
            </w:r>
            <w:r>
              <w:rPr>
                <w:rFonts w:ascii="Arial" w:cs="Arial" w:eastAsia="Arial" w:hAnsi="Arial"/>
                <w:sz w:val="12"/>
                <w:szCs w:val="12"/>
                <w:b w:val="1"/>
                <w:bCs w:val="1"/>
                <w:color w:val="auto"/>
                <w:w w:val="93"/>
              </w:rPr>
              <w:t>(1),</w:t>
            </w:r>
          </w:p>
        </w:tc>
        <w:tc>
          <w:tcPr>
            <w:tcW w:w="12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Appreciation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62"/>
        </w:trPr>
        <w:tc>
          <w:tcPr>
            <w:tcW w:w="2380" w:type="dxa"/>
            <w:vAlign w:val="bottom"/>
            <w:gridSpan w:val="2"/>
            <w:vMerge w:val="continue"/>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w w:val="92"/>
              </w:rPr>
              <w:t xml:space="preserve">September 30, 2017 </w:t>
            </w:r>
            <w:r>
              <w:rPr>
                <w:rFonts w:ascii="Arial" w:cs="Arial" w:eastAsia="Arial" w:hAnsi="Arial"/>
                <w:sz w:val="12"/>
                <w:szCs w:val="12"/>
                <w:b w:val="1"/>
                <w:bCs w:val="1"/>
                <w:color w:val="auto"/>
                <w:w w:val="92"/>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69"/>
              <w:spacing w:after="0"/>
              <w:rPr>
                <w:sz w:val="20"/>
                <w:szCs w:val="20"/>
                <w:color w:val="auto"/>
              </w:rPr>
            </w:pPr>
            <w:r>
              <w:rPr>
                <w:rFonts w:ascii="Arial" w:cs="Arial" w:eastAsia="Arial" w:hAnsi="Arial"/>
                <w:sz w:val="12"/>
                <w:szCs w:val="12"/>
                <w:b w:val="1"/>
                <w:bCs w:val="1"/>
                <w:color w:val="auto"/>
                <w:w w:val="95"/>
              </w:rPr>
              <w:t>(2)</w:t>
            </w:r>
          </w:p>
        </w:tc>
        <w:tc>
          <w:tcPr>
            <w:tcW w:w="22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from Affiliates </w:t>
            </w:r>
            <w:r>
              <w:rPr>
                <w:rFonts w:ascii="Arial" w:cs="Arial" w:eastAsia="Arial" w:hAnsi="Arial"/>
                <w:sz w:val="12"/>
                <w:szCs w:val="12"/>
                <w:b w:val="1"/>
                <w:bCs w:val="1"/>
                <w:color w:val="auto"/>
              </w:rPr>
              <w:t>(1)</w:t>
            </w:r>
          </w:p>
        </w:tc>
        <w:tc>
          <w:tcPr>
            <w:tcW w:w="1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w w:val="96"/>
              </w:rPr>
              <w:t>Accrued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(Depreciation)</w:t>
            </w:r>
          </w:p>
        </w:tc>
        <w:tc>
          <w:tcPr>
            <w:tcW w:w="8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w w:val="92"/>
              </w:rPr>
              <w:t xml:space="preserve">September 30, 2018 </w:t>
            </w:r>
            <w:r>
              <w:rPr>
                <w:rFonts w:ascii="Arial" w:cs="Arial" w:eastAsia="Arial" w:hAnsi="Arial"/>
                <w:sz w:val="12"/>
                <w:szCs w:val="12"/>
                <w:b w:val="1"/>
                <w:bCs w:val="1"/>
                <w:color w:val="auto"/>
                <w:w w:val="92"/>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(Losses)</w:t>
            </w:r>
          </w:p>
        </w:tc>
        <w:tc>
          <w:tcPr>
            <w:tcW w:w="0" w:type="dxa"/>
            <w:vAlign w:val="bottom"/>
          </w:tcPr>
          <w:p>
            <w:pPr>
              <w:spacing w:after="0"/>
              <w:rPr>
                <w:sz w:val="1"/>
                <w:szCs w:val="1"/>
                <w:color w:val="auto"/>
              </w:rPr>
            </w:pPr>
          </w:p>
        </w:tc>
      </w:tr>
      <w:tr>
        <w:trPr>
          <w:trHeight w:val="155"/>
        </w:trPr>
        <w:tc>
          <w:tcPr>
            <w:tcW w:w="22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10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2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7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72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2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8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80" w:type="dxa"/>
            <w:vAlign w:val="bottom"/>
            <w:gridSpan w:val="2"/>
          </w:tcPr>
          <w:p>
            <w:pPr>
              <w:spacing w:after="0"/>
              <w:rPr>
                <w:sz w:val="20"/>
                <w:szCs w:val="20"/>
                <w:color w:val="auto"/>
              </w:rPr>
            </w:pPr>
            <w:r>
              <w:rPr>
                <w:rFonts w:ascii="Arial" w:cs="Arial" w:eastAsia="Arial" w:hAnsi="Arial"/>
                <w:sz w:val="14"/>
                <w:szCs w:val="14"/>
                <w:color w:val="auto"/>
              </w:rPr>
              <w:t xml:space="preserve">AKW Holdings Limited </w:t>
            </w:r>
            <w:r>
              <w:rPr>
                <w:rFonts w:ascii="Arial" w:cs="Arial" w:eastAsia="Arial" w:hAnsi="Arial"/>
                <w:sz w:val="12"/>
                <w:szCs w:val="12"/>
                <w:color w:val="auto"/>
              </w:rPr>
              <w:t>(3)</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39,184,097</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1,299,807</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1,317,181</w:t>
            </w:r>
          </w:p>
        </w:tc>
        <w:tc>
          <w:tcPr>
            <w:tcW w:w="140" w:type="dxa"/>
            <w:vAlign w:val="bottom"/>
          </w:tcPr>
          <w:p>
            <w:pPr>
              <w:spacing w:after="0"/>
              <w:rPr>
                <w:sz w:val="14"/>
                <w:szCs w:val="14"/>
                <w:color w:val="auto"/>
              </w:rPr>
            </w:pPr>
          </w:p>
        </w:tc>
        <w:tc>
          <w:tcPr>
            <w:tcW w:w="2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40,501,278</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38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MidOcean JF Holdings Corp.</w:t>
            </w:r>
          </w:p>
        </w:tc>
        <w:tc>
          <w:tcPr>
            <w:tcW w:w="18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80" w:type="dxa"/>
            <w:vAlign w:val="bottom"/>
            <w:gridSpan w:val="2"/>
            <w:shd w:val="clear" w:color="auto" w:fill="CCECFF"/>
          </w:tcPr>
          <w:p>
            <w:pPr>
              <w:ind w:left="120"/>
              <w:spacing w:after="0"/>
              <w:rPr>
                <w:sz w:val="20"/>
                <w:szCs w:val="20"/>
                <w:color w:val="auto"/>
              </w:rPr>
            </w:pPr>
            <w:r>
              <w:rPr>
                <w:rFonts w:ascii="Arial" w:cs="Arial" w:eastAsia="Arial" w:hAnsi="Arial"/>
                <w:sz w:val="14"/>
                <w:szCs w:val="14"/>
                <w:color w:val="auto"/>
              </w:rPr>
              <w:t>(JF Acquisition, LLC)</w:t>
            </w: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16,945,557</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1,073,864</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4"/>
                <w:szCs w:val="14"/>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(5,919,774)</w:t>
            </w:r>
          </w:p>
        </w:tc>
        <w:tc>
          <w:tcPr>
            <w:tcW w:w="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12,099,647</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80" w:type="dxa"/>
            <w:vAlign w:val="bottom"/>
            <w:gridSpan w:val="2"/>
          </w:tcPr>
          <w:p>
            <w:pPr>
              <w:spacing w:after="0"/>
              <w:rPr>
                <w:sz w:val="20"/>
                <w:szCs w:val="20"/>
                <w:color w:val="auto"/>
              </w:rPr>
            </w:pPr>
            <w:r>
              <w:rPr>
                <w:rFonts w:ascii="Arial" w:cs="Arial" w:eastAsia="Arial" w:hAnsi="Arial"/>
                <w:sz w:val="14"/>
                <w:szCs w:val="14"/>
                <w:color w:val="auto"/>
              </w:rPr>
              <w:t>RAM Energy LLC</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71,406,572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10,350,000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(350,000)</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3,043,300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(2,491,612)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78,914,960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38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Superior Digital Displays</w:t>
            </w:r>
          </w:p>
        </w:tc>
        <w:tc>
          <w:tcPr>
            <w:tcW w:w="18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80" w:type="dxa"/>
            <w:vAlign w:val="bottom"/>
            <w:gridSpan w:val="2"/>
            <w:shd w:val="clear" w:color="auto" w:fill="CCECFF"/>
          </w:tcPr>
          <w:p>
            <w:pPr>
              <w:ind w:left="120"/>
              <w:spacing w:after="0"/>
              <w:rPr>
                <w:sz w:val="20"/>
                <w:szCs w:val="20"/>
                <w:color w:val="auto"/>
              </w:rPr>
            </w:pPr>
            <w:r>
              <w:rPr>
                <w:rFonts w:ascii="Arial" w:cs="Arial" w:eastAsia="Arial" w:hAnsi="Arial"/>
                <w:sz w:val="14"/>
                <w:szCs w:val="14"/>
                <w:color w:val="auto"/>
              </w:rPr>
              <w:t>Holdings, Inc.</w:t>
            </w: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26,198,854</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9"/>
              </w:rPr>
              <w:t>13,502,471</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(9,000,000)</w:t>
            </w:r>
          </w:p>
        </w:tc>
        <w:tc>
          <w:tcPr>
            <w:tcW w:w="120" w:type="dxa"/>
            <w:vAlign w:val="bottom"/>
            <w:shd w:val="clear" w:color="auto" w:fill="CCECFF"/>
          </w:tcPr>
          <w:p>
            <w:pPr>
              <w:spacing w:after="0"/>
              <w:rPr>
                <w:sz w:val="14"/>
                <w:szCs w:val="14"/>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3,006,741</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(14,174,803)</w:t>
            </w:r>
          </w:p>
        </w:tc>
        <w:tc>
          <w:tcPr>
            <w:tcW w:w="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17,220,000</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187,236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Non-Controlled Affiliates</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Affinion Group Holdings, Inc.</w:t>
            </w: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19,704,139</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4"/>
                <w:szCs w:val="14"/>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(1,537,218)</w:t>
            </w:r>
          </w:p>
        </w:tc>
        <w:tc>
          <w:tcPr>
            <w:tcW w:w="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18,166,922</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80" w:type="dxa"/>
            <w:vAlign w:val="bottom"/>
            <w:gridSpan w:val="2"/>
          </w:tcPr>
          <w:p>
            <w:pPr>
              <w:spacing w:after="0"/>
              <w:rPr>
                <w:sz w:val="20"/>
                <w:szCs w:val="20"/>
                <w:color w:val="auto"/>
              </w:rPr>
            </w:pPr>
            <w:r>
              <w:rPr>
                <w:rFonts w:ascii="Arial" w:cs="Arial" w:eastAsia="Arial" w:hAnsi="Arial"/>
                <w:sz w:val="14"/>
                <w:szCs w:val="14"/>
                <w:color w:val="auto"/>
              </w:rPr>
              <w:t>American Gilsonite Company</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22,807,532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504,246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(26,983,525)</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1,070,685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(4,445,455)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8,106,827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 xml:space="preserve">Big Run, Inc. </w:t>
            </w:r>
            <w:r>
              <w:rPr>
                <w:rFonts w:ascii="Arial" w:cs="Arial" w:eastAsia="Arial" w:hAnsi="Arial"/>
                <w:sz w:val="12"/>
                <w:szCs w:val="12"/>
                <w:color w:val="auto"/>
              </w:rPr>
              <w:t>(4)</w:t>
            </w: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674,943</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4"/>
                <w:szCs w:val="14"/>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(277,918)</w:t>
            </w:r>
          </w:p>
        </w:tc>
        <w:tc>
          <w:tcPr>
            <w:tcW w:w="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397,025</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80" w:type="dxa"/>
            <w:vAlign w:val="bottom"/>
            <w:gridSpan w:val="2"/>
          </w:tcPr>
          <w:p>
            <w:pPr>
              <w:spacing w:after="0"/>
              <w:rPr>
                <w:sz w:val="20"/>
                <w:szCs w:val="20"/>
                <w:color w:val="auto"/>
              </w:rPr>
            </w:pPr>
            <w:r>
              <w:rPr>
                <w:rFonts w:ascii="Arial" w:cs="Arial" w:eastAsia="Arial" w:hAnsi="Arial"/>
                <w:sz w:val="14"/>
                <w:szCs w:val="14"/>
                <w:color w:val="auto"/>
              </w:rPr>
              <w:t>Corfin Industries LLC</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24,089,476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(26,739,059)</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993,423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(683,831)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3,296,101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EnviroSolutions Holdings, Inc.</w:t>
            </w: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25,236,136</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103,947</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(19,310,228)</w:t>
            </w:r>
          </w:p>
        </w:tc>
        <w:tc>
          <w:tcPr>
            <w:tcW w:w="120" w:type="dxa"/>
            <w:vAlign w:val="bottom"/>
            <w:shd w:val="clear" w:color="auto" w:fill="CCECFF"/>
          </w:tcPr>
          <w:p>
            <w:pPr>
              <w:spacing w:after="0"/>
              <w:rPr>
                <w:sz w:val="14"/>
                <w:szCs w:val="14"/>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454,098</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(3,801,810)</w:t>
            </w:r>
          </w:p>
        </w:tc>
        <w:tc>
          <w:tcPr>
            <w:tcW w:w="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w w:val="97"/>
              </w:rPr>
              <w:t>(2,238,725)</w:t>
            </w:r>
          </w:p>
        </w:tc>
        <w:tc>
          <w:tcPr>
            <w:tcW w:w="0" w:type="dxa"/>
            <w:vAlign w:val="bottom"/>
          </w:tcPr>
          <w:p>
            <w:pPr>
              <w:spacing w:after="0"/>
              <w:rPr>
                <w:sz w:val="1"/>
                <w:szCs w:val="1"/>
                <w:color w:val="auto"/>
              </w:rPr>
            </w:pPr>
          </w:p>
        </w:tc>
      </w:tr>
      <w:tr>
        <w:trPr>
          <w:trHeight w:val="162"/>
        </w:trPr>
        <w:tc>
          <w:tcPr>
            <w:tcW w:w="2380" w:type="dxa"/>
            <w:vAlign w:val="bottom"/>
            <w:gridSpan w:val="2"/>
          </w:tcPr>
          <w:p>
            <w:pPr>
              <w:spacing w:after="0"/>
              <w:rPr>
                <w:sz w:val="20"/>
                <w:szCs w:val="20"/>
                <w:color w:val="auto"/>
              </w:rPr>
            </w:pPr>
            <w:r>
              <w:rPr>
                <w:rFonts w:ascii="Arial" w:cs="Arial" w:eastAsia="Arial" w:hAnsi="Arial"/>
                <w:sz w:val="14"/>
                <w:szCs w:val="14"/>
                <w:color w:val="auto"/>
              </w:rPr>
              <w:t>ETX Energy, LLC</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44,430,932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894,101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291,534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(3,468,771)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34,801,373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(6,452,914)</w:t>
            </w:r>
          </w:p>
        </w:tc>
        <w:tc>
          <w:tcPr>
            <w:tcW w:w="0" w:type="dxa"/>
            <w:vAlign w:val="bottom"/>
          </w:tcPr>
          <w:p>
            <w:pPr>
              <w:spacing w:after="0"/>
              <w:rPr>
                <w:sz w:val="1"/>
                <w:szCs w:val="1"/>
                <w:color w:val="auto"/>
              </w:rPr>
            </w:pPr>
          </w:p>
        </w:tc>
      </w:tr>
      <w:tr>
        <w:trPr>
          <w:trHeight w:val="162"/>
        </w:trPr>
        <w:tc>
          <w:tcPr>
            <w:tcW w:w="23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TRAK Acquisition Corp.</w:t>
            </w: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32,175,378</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9"/>
              </w:rPr>
              <w:t>15,000,000</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(48,318,847)</w:t>
            </w:r>
          </w:p>
        </w:tc>
        <w:tc>
          <w:tcPr>
            <w:tcW w:w="120" w:type="dxa"/>
            <w:vAlign w:val="bottom"/>
            <w:shd w:val="clear" w:color="auto" w:fill="CCECFF"/>
          </w:tcPr>
          <w:p>
            <w:pPr>
              <w:spacing w:after="0"/>
              <w:rPr>
                <w:sz w:val="14"/>
                <w:szCs w:val="14"/>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895,459</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(5,849,743)</w:t>
            </w:r>
          </w:p>
        </w:tc>
        <w:tc>
          <w:tcPr>
            <w:tcW w:w="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6,955,332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gridSpan w:val="2"/>
          </w:tcPr>
          <w:p>
            <w:pPr>
              <w:spacing w:after="0"/>
              <w:rPr>
                <w:sz w:val="20"/>
                <w:szCs w:val="20"/>
                <w:color w:val="auto"/>
              </w:rPr>
            </w:pPr>
            <w:r>
              <w:rPr>
                <w:rFonts w:ascii="Arial" w:cs="Arial" w:eastAsia="Arial" w:hAnsi="Arial"/>
                <w:sz w:val="14"/>
                <w:szCs w:val="14"/>
                <w:color w:val="auto"/>
              </w:rPr>
              <w:t>U.S. Well Services, LLC</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21,231,384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923,753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(205,123)</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1,340,366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2,747,135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24,713,011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380" w:type="dxa"/>
            <w:vAlign w:val="bottom"/>
            <w:tcBorders>
              <w:top w:val="single" w:sz="8" w:color="CCECFF"/>
            </w:tcBorders>
            <w:gridSpan w:val="2"/>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Total Controlled and</w:t>
            </w:r>
          </w:p>
        </w:tc>
        <w:tc>
          <w:tcPr>
            <w:tcW w:w="180" w:type="dxa"/>
            <w:vAlign w:val="bottom"/>
            <w:tcBorders>
              <w:top w:val="single" w:sz="8" w:color="auto"/>
            </w:tcBorders>
            <w:shd w:val="clear" w:color="auto" w:fill="CCECFF"/>
          </w:tcPr>
          <w:p>
            <w:pPr>
              <w:spacing w:after="0"/>
              <w:rPr>
                <w:sz w:val="11"/>
                <w:szCs w:val="11"/>
                <w:color w:val="auto"/>
              </w:rPr>
            </w:pPr>
          </w:p>
        </w:tc>
        <w:tc>
          <w:tcPr>
            <w:tcW w:w="12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100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100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CCECFF"/>
            </w:tcBorders>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12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CFF"/>
          </w:tcPr>
          <w:p>
            <w:pPr>
              <w:ind w:left="120"/>
              <w:spacing w:after="0"/>
              <w:rPr>
                <w:sz w:val="20"/>
                <w:szCs w:val="20"/>
                <w:color w:val="auto"/>
              </w:rPr>
            </w:pPr>
            <w:r>
              <w:rPr>
                <w:rFonts w:ascii="Arial" w:cs="Arial" w:eastAsia="Arial" w:hAnsi="Arial"/>
                <w:sz w:val="14"/>
                <w:szCs w:val="14"/>
                <w:b w:val="1"/>
                <w:bCs w:val="1"/>
                <w:color w:val="auto"/>
              </w:rPr>
              <w:t>Non-Controlled Affiliates</w:t>
            </w:r>
          </w:p>
        </w:tc>
        <w:tc>
          <w:tcPr>
            <w:tcW w:w="18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304,225,960</w:t>
            </w:r>
          </w:p>
        </w:tc>
        <w:tc>
          <w:tcPr>
            <w:tcW w:w="360" w:type="dxa"/>
            <w:vAlign w:val="bottom"/>
            <w:gridSpan w:val="2"/>
            <w:shd w:val="clear" w:color="auto" w:fill="CCEC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9"/>
              </w:rPr>
              <w:t>82,211,422</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(130,906,782)</w:t>
            </w: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6"/>
              </w:rPr>
              <w:t>12,395,413</w:t>
            </w: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(38,586,619)</w:t>
            </w:r>
          </w:p>
        </w:tc>
        <w:tc>
          <w:tcPr>
            <w:tcW w:w="260" w:type="dxa"/>
            <w:vAlign w:val="bottom"/>
            <w:gridSpan w:val="2"/>
            <w:shd w:val="clear" w:color="auto" w:fill="CCECFF"/>
          </w:tcPr>
          <w:p>
            <w:pPr>
              <w:ind w:left="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226,814,216</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9,853,857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455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64" w:lineRule="exact"/>
        <w:rPr>
          <w:sz w:val="20"/>
          <w:szCs w:val="20"/>
          <w:color w:val="auto"/>
        </w:rPr>
      </w:pPr>
    </w:p>
    <w:p>
      <w:pPr>
        <w:ind w:left="380" w:hanging="372"/>
        <w:spacing w:after="0"/>
        <w:tabs>
          <w:tab w:leader="none" w:pos="380" w:val="left"/>
        </w:tabs>
        <w:numPr>
          <w:ilvl w:val="0"/>
          <w:numId w:val="66"/>
        </w:numPr>
        <w:rPr>
          <w:rFonts w:ascii="Arial" w:cs="Arial" w:eastAsia="Arial" w:hAnsi="Arial"/>
          <w:sz w:val="12"/>
          <w:szCs w:val="12"/>
          <w:color w:val="auto"/>
        </w:rPr>
      </w:pPr>
      <w:r>
        <w:rPr>
          <w:rFonts w:ascii="Arial" w:cs="Arial" w:eastAsia="Arial" w:hAnsi="Arial"/>
          <w:sz w:val="14"/>
          <w:szCs w:val="14"/>
          <w:color w:val="auto"/>
        </w:rPr>
        <w:t>Excluding delayed draw investments.</w:t>
      </w:r>
    </w:p>
    <w:p>
      <w:pPr>
        <w:spacing w:after="0" w:line="13" w:lineRule="exact"/>
        <w:rPr>
          <w:rFonts w:ascii="Arial" w:cs="Arial" w:eastAsia="Arial" w:hAnsi="Arial"/>
          <w:sz w:val="12"/>
          <w:szCs w:val="12"/>
          <w:color w:val="auto"/>
        </w:rPr>
      </w:pPr>
    </w:p>
    <w:p>
      <w:pPr>
        <w:ind w:left="380" w:hanging="372"/>
        <w:spacing w:after="0" w:line="221" w:lineRule="auto"/>
        <w:tabs>
          <w:tab w:leader="none" w:pos="380" w:val="left"/>
        </w:tabs>
        <w:numPr>
          <w:ilvl w:val="0"/>
          <w:numId w:val="66"/>
        </w:numPr>
        <w:rPr>
          <w:rFonts w:ascii="Arial" w:cs="Arial" w:eastAsia="Arial" w:hAnsi="Arial"/>
          <w:sz w:val="12"/>
          <w:szCs w:val="12"/>
          <w:color w:val="auto"/>
        </w:rPr>
      </w:pPr>
      <w:r>
        <w:rPr>
          <w:rFonts w:ascii="Arial" w:cs="Arial" w:eastAsia="Arial" w:hAnsi="Arial"/>
          <w:sz w:val="14"/>
          <w:szCs w:val="14"/>
          <w:color w:val="auto"/>
        </w:rPr>
        <w:t>Includes PIK.</w:t>
      </w:r>
    </w:p>
    <w:p>
      <w:pPr>
        <w:ind w:left="380" w:hanging="372"/>
        <w:spacing w:after="0" w:line="221" w:lineRule="auto"/>
        <w:tabs>
          <w:tab w:leader="none" w:pos="380" w:val="left"/>
        </w:tabs>
        <w:numPr>
          <w:ilvl w:val="0"/>
          <w:numId w:val="66"/>
        </w:numPr>
        <w:rPr>
          <w:rFonts w:ascii="Arial" w:cs="Arial" w:eastAsia="Arial" w:hAnsi="Arial"/>
          <w:sz w:val="12"/>
          <w:szCs w:val="12"/>
          <w:color w:val="auto"/>
        </w:rPr>
      </w:pPr>
      <w:r>
        <w:rPr>
          <w:rFonts w:ascii="Arial" w:cs="Arial" w:eastAsia="Arial" w:hAnsi="Arial"/>
          <w:sz w:val="14"/>
          <w:szCs w:val="14"/>
          <w:color w:val="auto"/>
        </w:rPr>
        <w:t>Became a controlled affiliate during the three months ended March 31, 2018.</w:t>
      </w:r>
    </w:p>
    <w:p>
      <w:pPr>
        <w:ind w:left="380" w:hanging="372"/>
        <w:spacing w:after="0"/>
        <w:tabs>
          <w:tab w:leader="none" w:pos="380" w:val="left"/>
        </w:tabs>
        <w:numPr>
          <w:ilvl w:val="0"/>
          <w:numId w:val="66"/>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March 31, 2018.</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gridSpan w:val="4"/>
          </w:tcPr>
          <w:p>
            <w:pPr>
              <w:ind w:left="120"/>
              <w:spacing w:after="0"/>
              <w:rPr>
                <w:sz w:val="20"/>
                <w:szCs w:val="20"/>
                <w:color w:val="auto"/>
              </w:rPr>
            </w:pPr>
            <w:r>
              <w:rPr>
                <w:rFonts w:ascii="Arial" w:cs="Arial" w:eastAsia="Arial" w:hAnsi="Arial"/>
                <w:sz w:val="14"/>
                <w:szCs w:val="14"/>
                <w:b w:val="1"/>
                <w:bCs w:val="1"/>
                <w:color w:val="auto"/>
                <w:w w:val="93"/>
              </w:rPr>
              <w:t>Years Ended September 30,</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5"/>
        </w:trPr>
        <w:tc>
          <w:tcPr>
            <w:tcW w:w="6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64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CFF"/>
            </w:tcBorders>
          </w:tcPr>
          <w:p>
            <w:pPr>
              <w:spacing w:after="0"/>
              <w:rPr>
                <w:sz w:val="13"/>
                <w:szCs w:val="13"/>
                <w:color w:val="auto"/>
              </w:rPr>
            </w:pPr>
          </w:p>
        </w:tc>
        <w:tc>
          <w:tcPr>
            <w:tcW w:w="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CFF"/>
            </w:tcBorders>
          </w:tcPr>
          <w:p>
            <w:pPr>
              <w:spacing w:after="0"/>
              <w:rPr>
                <w:sz w:val="13"/>
                <w:szCs w:val="13"/>
                <w:color w:val="auto"/>
              </w:rPr>
            </w:pPr>
          </w:p>
        </w:tc>
      </w:tr>
      <w:tr>
        <w:trPr>
          <w:trHeight w:val="155"/>
        </w:trPr>
        <w:tc>
          <w:tcPr>
            <w:tcW w:w="64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in net assets resulting from operations</w:t>
            </w: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47,713,462</w:t>
            </w:r>
          </w:p>
        </w:tc>
        <w:tc>
          <w:tcPr>
            <w:tcW w:w="28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61,711,501</w:t>
            </w:r>
          </w:p>
        </w:tc>
        <w:tc>
          <w:tcPr>
            <w:tcW w:w="2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18,736,706</w:t>
            </w:r>
          </w:p>
        </w:tc>
        <w:tc>
          <w:tcPr>
            <w:tcW w:w="120" w:type="dxa"/>
            <w:vAlign w:val="bottom"/>
            <w:shd w:val="clear" w:color="auto" w:fill="CCECFF"/>
          </w:tcPr>
          <w:p>
            <w:pPr>
              <w:spacing w:after="0"/>
              <w:rPr>
                <w:sz w:val="13"/>
                <w:szCs w:val="13"/>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70,686,354</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71,060,836</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71,621,530</w:t>
            </w:r>
          </w:p>
        </w:tc>
        <w:tc>
          <w:tcPr>
            <w:tcW w:w="120" w:type="dxa"/>
            <w:vAlign w:val="bottom"/>
          </w:tcPr>
          <w:p>
            <w:pPr>
              <w:spacing w:after="0"/>
              <w:rPr>
                <w:sz w:val="14"/>
                <w:szCs w:val="14"/>
                <w:color w:val="auto"/>
              </w:rPr>
            </w:pPr>
          </w:p>
        </w:tc>
      </w:tr>
      <w:tr>
        <w:trPr>
          <w:trHeight w:val="162"/>
        </w:trPr>
        <w:tc>
          <w:tcPr>
            <w:tcW w:w="646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300" w:type="dxa"/>
            <w:vAlign w:val="bottom"/>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0.68</w:t>
            </w:r>
          </w:p>
        </w:tc>
        <w:tc>
          <w:tcPr>
            <w:tcW w:w="580" w:type="dxa"/>
            <w:vAlign w:val="bottom"/>
            <w:gridSpan w:val="2"/>
            <w:shd w:val="clear" w:color="auto" w:fill="CCEC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0.87</w:t>
            </w:r>
          </w:p>
        </w:tc>
        <w:tc>
          <w:tcPr>
            <w:tcW w:w="200" w:type="dxa"/>
            <w:vAlign w:val="bottom"/>
            <w:shd w:val="clear" w:color="auto" w:fill="CCECFF"/>
          </w:tcPr>
          <w:p>
            <w:pPr>
              <w:spacing w:after="0"/>
              <w:rPr>
                <w:sz w:val="14"/>
                <w:szCs w:val="14"/>
                <w:color w:val="auto"/>
              </w:rPr>
            </w:pPr>
          </w:p>
        </w:tc>
        <w:tc>
          <w:tcPr>
            <w:tcW w:w="36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CFF"/>
          </w:tcPr>
          <w:p>
            <w:pPr>
              <w:spacing w:after="0"/>
              <w:rPr>
                <w:sz w:val="14"/>
                <w:szCs w:val="14"/>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TAXES AND DISTRIBUTIONS</w:t>
      </w:r>
    </w:p>
    <w:p>
      <w:pPr>
        <w:spacing w:after="0" w:line="140"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04" w:lineRule="exact"/>
        <w:rPr>
          <w:sz w:val="20"/>
          <w:szCs w:val="20"/>
          <w:color w:val="auto"/>
        </w:rPr>
      </w:pPr>
    </w:p>
    <w:p>
      <w:pPr>
        <w:ind w:right="440" w:firstLine="438"/>
        <w:spacing w:after="0" w:line="253" w:lineRule="auto"/>
        <w:rPr>
          <w:sz w:val="20"/>
          <w:szCs w:val="20"/>
          <w:color w:val="auto"/>
        </w:rPr>
      </w:pPr>
      <w:r>
        <w:rPr>
          <w:rFonts w:ascii="Arial" w:cs="Arial" w:eastAsia="Arial" w:hAnsi="Arial"/>
          <w:sz w:val="14"/>
          <w:szCs w:val="14"/>
          <w:color w:val="auto"/>
        </w:rPr>
        <w:t>As of September 30, 2018 and 2017, the cost of investments for federal income tax purposes was $1,240.6 million and $1,206.4 million, respectively, resulting in a gross unrealized appreciation of $37.7 million and $67.0 million, respectively, and depreciation of $146.1 million and $119.9 million, respectively.</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amounts were reclassified for tax purposes: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w w:val="92"/>
              </w:rPr>
              <w:t>Years Ended September 30,</w:t>
            </w: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4320" w:type="dxa"/>
            <w:vAlign w:val="bottom"/>
            <w:tcBorders>
              <w:bottom w:val="single" w:sz="8" w:color="CCECFF"/>
            </w:tcBorders>
          </w:tcPr>
          <w:p>
            <w:pPr>
              <w:spacing w:after="0"/>
              <w:rPr>
                <w:sz w:val="13"/>
                <w:szCs w:val="13"/>
                <w:color w:val="auto"/>
              </w:rPr>
            </w:pPr>
          </w:p>
        </w:tc>
        <w:tc>
          <w:tcPr>
            <w:tcW w:w="880" w:type="dxa"/>
            <w:vAlign w:val="bottom"/>
            <w:tcBorders>
              <w:bottom w:val="single" w:sz="8" w:color="CCECFF"/>
            </w:tcBorders>
          </w:tcPr>
          <w:p>
            <w:pPr>
              <w:spacing w:after="0"/>
              <w:rPr>
                <w:sz w:val="13"/>
                <w:szCs w:val="13"/>
                <w:color w:val="auto"/>
              </w:rPr>
            </w:pPr>
          </w:p>
        </w:tc>
        <w:tc>
          <w:tcPr>
            <w:tcW w:w="11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CEC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88"/>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C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8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43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Decrease in paid-in capital</w:t>
            </w:r>
          </w:p>
        </w:tc>
        <w:tc>
          <w:tcPr>
            <w:tcW w:w="880" w:type="dxa"/>
            <w:vAlign w:val="bottom"/>
            <w:shd w:val="clear" w:color="auto" w:fill="CCECFF"/>
          </w:tcPr>
          <w:p>
            <w:pPr>
              <w:spacing w:after="0"/>
              <w:rPr>
                <w:sz w:val="13"/>
                <w:szCs w:val="13"/>
                <w:color w:val="auto"/>
              </w:rPr>
            </w:pPr>
          </w:p>
        </w:tc>
        <w:tc>
          <w:tcPr>
            <w:tcW w:w="1180" w:type="dxa"/>
            <w:vAlign w:val="bottom"/>
            <w:shd w:val="clear" w:color="auto" w:fill="CCECFF"/>
          </w:tcPr>
          <w:p>
            <w:pPr>
              <w:jc w:val="right"/>
              <w:ind w:right="102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shd w:val="clear" w:color="auto" w:fill="CCECFF"/>
          </w:tcPr>
          <w:p>
            <w:pPr>
              <w:spacing w:after="0"/>
              <w:rPr>
                <w:sz w:val="13"/>
                <w:szCs w:val="13"/>
                <w:color w:val="auto"/>
              </w:rPr>
            </w:pPr>
          </w:p>
        </w:tc>
        <w:tc>
          <w:tcPr>
            <w:tcW w:w="400" w:type="dxa"/>
            <w:vAlign w:val="bottom"/>
            <w:shd w:val="clear" w:color="auto" w:fill="CCECFF"/>
          </w:tcPr>
          <w:p>
            <w:pPr>
              <w:jc w:val="right"/>
              <w:ind w:right="2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(1,245,892)</w:t>
            </w:r>
          </w:p>
        </w:tc>
        <w:tc>
          <w:tcPr>
            <w:tcW w:w="300" w:type="dxa"/>
            <w:vAlign w:val="bottom"/>
            <w:shd w:val="clear" w:color="auto" w:fill="CCECFF"/>
          </w:tcPr>
          <w:p>
            <w:pPr>
              <w:spacing w:after="0"/>
              <w:rPr>
                <w:sz w:val="13"/>
                <w:szCs w:val="13"/>
                <w:color w:val="auto"/>
              </w:rPr>
            </w:pPr>
          </w:p>
        </w:tc>
        <w:tc>
          <w:tcPr>
            <w:tcW w:w="400" w:type="dxa"/>
            <w:vAlign w:val="bottom"/>
            <w:shd w:val="clear" w:color="auto" w:fill="CCECFF"/>
          </w:tcPr>
          <w:p>
            <w:pPr>
              <w:jc w:val="right"/>
              <w:ind w:right="2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(2,548,967)</w:t>
            </w:r>
          </w:p>
        </w:tc>
        <w:tc>
          <w:tcPr>
            <w:tcW w:w="10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Increase (decrease) in accumulated net realized gain</w:t>
            </w: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54,520</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(799,498)</w:t>
            </w:r>
          </w:p>
        </w:tc>
        <w:tc>
          <w:tcPr>
            <w:tcW w:w="400" w:type="dxa"/>
            <w:vAlign w:val="bottom"/>
          </w:tcPr>
          <w:p>
            <w:pPr>
              <w:spacing w:after="0"/>
              <w:rPr>
                <w:sz w:val="14"/>
                <w:szCs w:val="14"/>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4"/>
                <w:szCs w:val="14"/>
                <w:color w:val="auto"/>
              </w:rPr>
              <w:t>(1,449,411)</w:t>
            </w:r>
          </w:p>
        </w:tc>
        <w:tc>
          <w:tcPr>
            <w:tcW w:w="20" w:type="dxa"/>
            <w:vAlign w:val="bottom"/>
          </w:tcPr>
          <w:p>
            <w:pPr>
              <w:spacing w:after="0"/>
              <w:rPr>
                <w:sz w:val="14"/>
                <w:szCs w:val="14"/>
                <w:color w:val="auto"/>
              </w:rPr>
            </w:pPr>
          </w:p>
        </w:tc>
      </w:tr>
      <w:tr>
        <w:trPr>
          <w:trHeight w:val="162"/>
        </w:trPr>
        <w:tc>
          <w:tcPr>
            <w:tcW w:w="4320" w:type="dxa"/>
            <w:vAlign w:val="bottom"/>
            <w:shd w:val="clear" w:color="auto" w:fill="CCECFF"/>
          </w:tcPr>
          <w:p>
            <w:pPr>
              <w:spacing w:after="0"/>
              <w:rPr>
                <w:sz w:val="20"/>
                <w:szCs w:val="20"/>
                <w:color w:val="auto"/>
              </w:rPr>
            </w:pPr>
            <w:r>
              <w:rPr>
                <w:rFonts w:ascii="Arial" w:cs="Arial" w:eastAsia="Arial" w:hAnsi="Arial"/>
                <w:sz w:val="14"/>
                <w:szCs w:val="14"/>
                <w:color w:val="auto"/>
              </w:rPr>
              <w:t>(Decrease) increase in undistributed net investment income</w:t>
            </w:r>
          </w:p>
        </w:tc>
        <w:tc>
          <w:tcPr>
            <w:tcW w:w="88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(54,520)</w:t>
            </w:r>
          </w:p>
        </w:tc>
        <w:tc>
          <w:tcPr>
            <w:tcW w:w="40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2,045,390</w:t>
            </w:r>
          </w:p>
        </w:tc>
        <w:tc>
          <w:tcPr>
            <w:tcW w:w="30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3,998,378</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677"/>
        </w:trPr>
        <w:tc>
          <w:tcPr>
            <w:tcW w:w="4320" w:type="dxa"/>
            <w:vAlign w:val="bottom"/>
          </w:tcPr>
          <w:p>
            <w:pPr>
              <w:spacing w:after="0"/>
              <w:rPr>
                <w:sz w:val="24"/>
                <w:szCs w:val="24"/>
                <w:color w:val="auto"/>
              </w:rPr>
            </w:pPr>
          </w:p>
        </w:tc>
        <w:tc>
          <w:tcPr>
            <w:tcW w:w="2060" w:type="dxa"/>
            <w:vAlign w:val="bottom"/>
            <w:gridSpan w:val="2"/>
          </w:tcPr>
          <w:p>
            <w:pPr>
              <w:jc w:val="right"/>
              <w:ind w:right="608"/>
              <w:spacing w:after="0"/>
              <w:rPr>
                <w:sz w:val="20"/>
                <w:szCs w:val="20"/>
                <w:color w:val="auto"/>
              </w:rPr>
            </w:pPr>
            <w:r>
              <w:rPr>
                <w:rFonts w:ascii="Arial" w:cs="Arial" w:eastAsia="Arial" w:hAnsi="Arial"/>
                <w:sz w:val="14"/>
                <w:szCs w:val="14"/>
                <w:color w:val="auto"/>
              </w:rPr>
              <w:t>65</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3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7" w:name="page68"/>
    <w:bookmarkEnd w:id="6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60" w:type="dxa"/>
            <w:vAlign w:val="bottom"/>
            <w:gridSpan w:val="4"/>
          </w:tcPr>
          <w:p>
            <w:pPr>
              <w:ind w:left="440"/>
              <w:spacing w:after="0"/>
              <w:rPr>
                <w:sz w:val="20"/>
                <w:szCs w:val="20"/>
                <w:color w:val="auto"/>
              </w:rPr>
            </w:pPr>
            <w:r>
              <w:rPr>
                <w:rFonts w:ascii="Arial" w:cs="Arial" w:eastAsia="Arial" w:hAnsi="Arial"/>
                <w:sz w:val="14"/>
                <w:szCs w:val="14"/>
                <w:color w:val="auto"/>
              </w:rPr>
              <w:t>The following reconciles net increase (decrease) in net assets resulting from operations to taxable income:</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3"/>
        </w:trPr>
        <w:tc>
          <w:tcPr>
            <w:tcW w:w="5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5"/>
              </w:rPr>
              <w:t>Years Ended September 30,</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586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CFF"/>
            </w:tcBorders>
          </w:tcPr>
          <w:p>
            <w:pPr>
              <w:spacing w:after="0"/>
              <w:rPr>
                <w:sz w:val="13"/>
                <w:szCs w:val="13"/>
                <w:color w:val="auto"/>
              </w:rPr>
            </w:pPr>
          </w:p>
        </w:tc>
      </w:tr>
      <w:tr>
        <w:trPr>
          <w:trHeight w:val="156"/>
        </w:trPr>
        <w:tc>
          <w:tcPr>
            <w:tcW w:w="58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Net increase in net assets resulting from operations</w:t>
            </w:r>
          </w:p>
        </w:tc>
        <w:tc>
          <w:tcPr>
            <w:tcW w:w="360" w:type="dxa"/>
            <w:vAlign w:val="bottom"/>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47,713,462</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80" w:type="dxa"/>
            <w:vAlign w:val="bottom"/>
            <w:shd w:val="clear" w:color="auto" w:fill="CCECFF"/>
          </w:tcPr>
          <w:p>
            <w:pPr>
              <w:jc w:val="right"/>
              <w:ind w:right="46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61,711,501</w:t>
            </w: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18,736,706</w:t>
            </w:r>
          </w:p>
        </w:tc>
        <w:tc>
          <w:tcPr>
            <w:tcW w:w="100" w:type="dxa"/>
            <w:vAlign w:val="bottom"/>
            <w:shd w:val="clear" w:color="auto" w:fill="CCECFF"/>
          </w:tcPr>
          <w:p>
            <w:pPr>
              <w:spacing w:after="0"/>
              <w:rPr>
                <w:sz w:val="13"/>
                <w:szCs w:val="13"/>
                <w:color w:val="auto"/>
              </w:rPr>
            </w:pPr>
          </w:p>
        </w:tc>
      </w:tr>
      <w:tr>
        <w:trPr>
          <w:trHeight w:val="162"/>
        </w:trPr>
        <w:tc>
          <w:tcPr>
            <w:tcW w:w="5860" w:type="dxa"/>
            <w:vAlign w:val="bottom"/>
          </w:tcPr>
          <w:p>
            <w:pPr>
              <w:spacing w:after="0"/>
              <w:rPr>
                <w:sz w:val="20"/>
                <w:szCs w:val="20"/>
                <w:color w:val="auto"/>
              </w:rPr>
            </w:pPr>
            <w:r>
              <w:rPr>
                <w:rFonts w:ascii="Arial" w:cs="Arial" w:eastAsia="Arial" w:hAnsi="Arial"/>
                <w:sz w:val="14"/>
                <w:szCs w:val="14"/>
                <w:color w:val="auto"/>
              </w:rPr>
              <w:t>Net realized (gain) loss on investments</w:t>
            </w: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(45,856,206)</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31,027,037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80,530,707</w:t>
            </w:r>
          </w:p>
        </w:tc>
        <w:tc>
          <w:tcPr>
            <w:tcW w:w="100" w:type="dxa"/>
            <w:vAlign w:val="bottom"/>
          </w:tcPr>
          <w:p>
            <w:pPr>
              <w:spacing w:after="0"/>
              <w:rPr>
                <w:sz w:val="14"/>
                <w:szCs w:val="14"/>
                <w:color w:val="auto"/>
              </w:rPr>
            </w:pPr>
          </w:p>
        </w:tc>
      </w:tr>
      <w:tr>
        <w:trPr>
          <w:trHeight w:val="162"/>
        </w:trPr>
        <w:tc>
          <w:tcPr>
            <w:tcW w:w="586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depreciation (appreciation) on investments and debt</w:t>
            </w:r>
          </w:p>
        </w:tc>
        <w:tc>
          <w:tcPr>
            <w:tcW w:w="36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51,476,896</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58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(36,300,227)</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(28,652,631)</w:t>
            </w:r>
          </w:p>
        </w:tc>
      </w:tr>
      <w:tr>
        <w:trPr>
          <w:trHeight w:val="162"/>
        </w:trPr>
        <w:tc>
          <w:tcPr>
            <w:tcW w:w="5860" w:type="dxa"/>
            <w:vAlign w:val="bottom"/>
          </w:tcPr>
          <w:p>
            <w:pPr>
              <w:spacing w:after="0"/>
              <w:rPr>
                <w:sz w:val="20"/>
                <w:szCs w:val="20"/>
                <w:color w:val="auto"/>
              </w:rPr>
            </w:pPr>
            <w:r>
              <w:rPr>
                <w:rFonts w:ascii="Arial" w:cs="Arial" w:eastAsia="Arial" w:hAnsi="Arial"/>
                <w:sz w:val="14"/>
                <w:szCs w:val="14"/>
                <w:color w:val="auto"/>
              </w:rPr>
              <w:t>Other book-to-tax differences</w:t>
            </w:r>
          </w:p>
        </w:tc>
        <w:tc>
          <w:tcPr>
            <w:tcW w:w="36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(722,661)</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(6,838,039)</w:t>
            </w:r>
          </w:p>
        </w:tc>
        <w:tc>
          <w:tcPr>
            <w:tcW w:w="36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(1,438,839)</w:t>
            </w:r>
          </w:p>
        </w:tc>
      </w:tr>
      <w:tr>
        <w:trPr>
          <w:trHeight w:val="162"/>
        </w:trPr>
        <w:tc>
          <w:tcPr>
            <w:tcW w:w="5860" w:type="dxa"/>
            <w:vAlign w:val="bottom"/>
            <w:shd w:val="clear" w:color="auto" w:fill="CCECFF"/>
          </w:tcPr>
          <w:p>
            <w:pPr>
              <w:spacing w:after="0"/>
              <w:rPr>
                <w:sz w:val="20"/>
                <w:szCs w:val="20"/>
                <w:color w:val="auto"/>
              </w:rPr>
            </w:pPr>
            <w:r>
              <w:rPr>
                <w:rFonts w:ascii="Arial" w:cs="Arial" w:eastAsia="Arial" w:hAnsi="Arial"/>
                <w:sz w:val="14"/>
                <w:szCs w:val="14"/>
                <w:color w:val="auto"/>
              </w:rPr>
              <w:t>Other non-deductible expenses</w:t>
            </w:r>
          </w:p>
        </w:tc>
        <w:tc>
          <w:tcPr>
            <w:tcW w:w="36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343,083</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5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3,026,409</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3,648,098</w:t>
            </w:r>
          </w:p>
        </w:tc>
        <w:tc>
          <w:tcPr>
            <w:tcW w:w="100" w:type="dxa"/>
            <w:vAlign w:val="bottom"/>
            <w:shd w:val="clear" w:color="auto" w:fill="CCECFF"/>
          </w:tcPr>
          <w:p>
            <w:pPr>
              <w:spacing w:after="0"/>
              <w:rPr>
                <w:sz w:val="14"/>
                <w:szCs w:val="14"/>
                <w:color w:val="auto"/>
              </w:rPr>
            </w:pPr>
          </w:p>
        </w:tc>
      </w:tr>
      <w:tr>
        <w:trPr>
          <w:trHeight w:val="156"/>
        </w:trPr>
        <w:tc>
          <w:tcPr>
            <w:tcW w:w="5860" w:type="dxa"/>
            <w:vAlign w:val="bottom"/>
          </w:tcPr>
          <w:p>
            <w:pPr>
              <w:spacing w:after="0" w:line="155" w:lineRule="exact"/>
              <w:rPr>
                <w:sz w:val="20"/>
                <w:szCs w:val="20"/>
                <w:color w:val="auto"/>
              </w:rPr>
            </w:pPr>
            <w:r>
              <w:rPr>
                <w:rFonts w:ascii="Arial" w:cs="Arial" w:eastAsia="Arial" w:hAnsi="Arial"/>
                <w:sz w:val="14"/>
                <w:szCs w:val="14"/>
                <w:color w:val="auto"/>
              </w:rPr>
              <w:t>Taxable income before dividends paid deduction</w:t>
            </w: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52,954,574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bottom w:val="single" w:sz="8" w:color="auto"/>
            </w:tcBorders>
          </w:tcPr>
          <w:p>
            <w:pPr>
              <w:jc w:val="right"/>
              <w:ind w:right="46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52,626,681</w:t>
            </w:r>
          </w:p>
        </w:tc>
        <w:tc>
          <w:tcPr>
            <w:tcW w:w="280" w:type="dxa"/>
            <w:vAlign w:val="bottom"/>
          </w:tcPr>
          <w:p>
            <w:pPr>
              <w:spacing w:after="0"/>
              <w:rPr>
                <w:sz w:val="13"/>
                <w:szCs w:val="13"/>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72,824,041</w:t>
            </w:r>
          </w:p>
        </w:tc>
        <w:tc>
          <w:tcPr>
            <w:tcW w:w="100" w:type="dxa"/>
            <w:vAlign w:val="bottom"/>
          </w:tcPr>
          <w:p>
            <w:pPr>
              <w:spacing w:after="0"/>
              <w:rPr>
                <w:sz w:val="13"/>
                <w:szCs w:val="13"/>
                <w:color w:val="auto"/>
              </w:rPr>
            </w:pPr>
          </w:p>
        </w:tc>
      </w:tr>
      <w:tr>
        <w:trPr>
          <w:trHeight w:val="20"/>
        </w:trPr>
        <w:tc>
          <w:tcPr>
            <w:tcW w:w="586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2"/>
        </w:trPr>
        <w:tc>
          <w:tcPr>
            <w:tcW w:w="8300" w:type="dxa"/>
            <w:vAlign w:val="bottom"/>
            <w:gridSpan w:val="6"/>
          </w:tcPr>
          <w:p>
            <w:pPr>
              <w:ind w:left="440"/>
              <w:spacing w:after="0"/>
              <w:rPr>
                <w:sz w:val="20"/>
                <w:szCs w:val="20"/>
                <w:color w:val="auto"/>
              </w:rPr>
            </w:pPr>
            <w:r>
              <w:rPr>
                <w:rFonts w:ascii="Arial" w:cs="Arial" w:eastAsia="Arial" w:hAnsi="Arial"/>
                <w:sz w:val="14"/>
                <w:szCs w:val="14"/>
                <w:color w:val="auto"/>
                <w:w w:val="93"/>
              </w:rPr>
              <w:t>The components of undistributed taxable income on a tax basis and reconciliation to accumulated deficit on a book basis are as follows:</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3"/>
              </w:rPr>
              <w:t>As of September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6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CFF"/>
            </w:tcBorders>
          </w:tcPr>
          <w:p>
            <w:pPr>
              <w:spacing w:after="0"/>
              <w:rPr>
                <w:sz w:val="13"/>
                <w:szCs w:val="13"/>
                <w:color w:val="auto"/>
              </w:rPr>
            </w:pPr>
          </w:p>
        </w:tc>
      </w:tr>
      <w:tr>
        <w:trPr>
          <w:trHeight w:val="156"/>
        </w:trPr>
        <w:tc>
          <w:tcPr>
            <w:tcW w:w="66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Undistributed net investment income – tax basis</w:t>
            </w: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20,714,977</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18,388,023</w:t>
            </w: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31,137,312</w:t>
            </w:r>
          </w:p>
        </w:tc>
        <w:tc>
          <w:tcPr>
            <w:tcW w:w="100" w:type="dxa"/>
            <w:vAlign w:val="bottom"/>
            <w:shd w:val="clear" w:color="auto" w:fill="CCECFF"/>
          </w:tcPr>
          <w:p>
            <w:pPr>
              <w:spacing w:after="0"/>
              <w:rPr>
                <w:sz w:val="13"/>
                <w:szCs w:val="13"/>
                <w:color w:val="auto"/>
              </w:rPr>
            </w:pPr>
          </w:p>
        </w:tc>
      </w:tr>
      <w:tr>
        <w:trPr>
          <w:trHeight w:val="162"/>
        </w:trPr>
        <w:tc>
          <w:tcPr>
            <w:tcW w:w="6660" w:type="dxa"/>
            <w:vAlign w:val="bottom"/>
          </w:tcPr>
          <w:p>
            <w:pPr>
              <w:spacing w:after="0"/>
              <w:rPr>
                <w:sz w:val="20"/>
                <w:szCs w:val="20"/>
                <w:color w:val="auto"/>
              </w:rPr>
            </w:pPr>
            <w:r>
              <w:rPr>
                <w:rFonts w:ascii="Arial" w:cs="Arial" w:eastAsia="Arial" w:hAnsi="Arial"/>
                <w:sz w:val="14"/>
                <w:szCs w:val="14"/>
                <w:color w:val="auto"/>
              </w:rPr>
              <w:t>Realized loss carried forward</w:t>
            </w:r>
          </w:p>
        </w:tc>
        <w:tc>
          <w:tcPr>
            <w:tcW w:w="3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(68,819,477)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(113,198,158)</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(81,242,318)</w:t>
            </w:r>
          </w:p>
        </w:tc>
      </w:tr>
      <w:tr>
        <w:trPr>
          <w:trHeight w:val="162"/>
        </w:trPr>
        <w:tc>
          <w:tcPr>
            <w:tcW w:w="6660" w:type="dxa"/>
            <w:vAlign w:val="bottom"/>
            <w:shd w:val="clear" w:color="auto" w:fill="CCECFF"/>
          </w:tcPr>
          <w:p>
            <w:pPr>
              <w:spacing w:after="0"/>
              <w:rPr>
                <w:sz w:val="20"/>
                <w:szCs w:val="20"/>
                <w:color w:val="auto"/>
              </w:rPr>
            </w:pPr>
            <w:r>
              <w:rPr>
                <w:rFonts w:ascii="Arial" w:cs="Arial" w:eastAsia="Arial" w:hAnsi="Arial"/>
                <w:sz w:val="14"/>
                <w:szCs w:val="14"/>
                <w:color w:val="auto"/>
              </w:rPr>
              <w:t>Distributions payable and other book to tax differences</w:t>
            </w:r>
          </w:p>
        </w:tc>
        <w:tc>
          <w:tcPr>
            <w:tcW w:w="30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(16,579,769)</w:t>
            </w:r>
          </w:p>
        </w:tc>
        <w:tc>
          <w:tcPr>
            <w:tcW w:w="1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(18,455,025)</w:t>
            </w: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(31,547,434)</w:t>
            </w:r>
          </w:p>
        </w:tc>
      </w:tr>
      <w:tr>
        <w:trPr>
          <w:trHeight w:val="162"/>
        </w:trPr>
        <w:tc>
          <w:tcPr>
            <w:tcW w:w="6660" w:type="dxa"/>
            <w:vAlign w:val="bottom"/>
          </w:tcPr>
          <w:p>
            <w:pPr>
              <w:spacing w:after="0"/>
              <w:rPr>
                <w:sz w:val="20"/>
                <w:szCs w:val="20"/>
                <w:color w:val="auto"/>
              </w:rPr>
            </w:pPr>
            <w:r>
              <w:rPr>
                <w:rFonts w:ascii="Arial" w:cs="Arial" w:eastAsia="Arial" w:hAnsi="Arial"/>
                <w:sz w:val="14"/>
                <w:szCs w:val="14"/>
                <w:color w:val="auto"/>
              </w:rPr>
              <w:t>Net unrealized depreciation of investments and debt</w:t>
            </w:r>
          </w:p>
        </w:tc>
        <w:tc>
          <w:tcPr>
            <w:tcW w:w="3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(110,212,110)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(58,735,214)</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(95,035,441)</w:t>
            </w:r>
          </w:p>
        </w:tc>
      </w:tr>
      <w:tr>
        <w:trPr>
          <w:trHeight w:val="155"/>
        </w:trPr>
        <w:tc>
          <w:tcPr>
            <w:tcW w:w="66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accumulated deficit – book basis</w:t>
            </w: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(174,896,379)</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(172,000,374)</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(176,687,881)</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80" w:type="dxa"/>
            <w:vAlign w:val="bottom"/>
          </w:tcPr>
          <w:p>
            <w:pPr>
              <w:ind w:left="440"/>
              <w:spacing w:after="0"/>
              <w:rPr>
                <w:sz w:val="20"/>
                <w:szCs w:val="20"/>
                <w:color w:val="auto"/>
              </w:rPr>
            </w:pPr>
            <w:r>
              <w:rPr>
                <w:rFonts w:ascii="Arial" w:cs="Arial" w:eastAsia="Arial" w:hAnsi="Arial"/>
                <w:sz w:val="14"/>
                <w:szCs w:val="14"/>
                <w:color w:val="auto"/>
              </w:rPr>
              <w:t>The tax characteristics of distributions declared are as follows:</w:t>
            </w: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3"/>
        </w:trPr>
        <w:tc>
          <w:tcPr>
            <w:tcW w:w="54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Years Ended September 30,</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5480" w:type="dxa"/>
            <w:vAlign w:val="bottom"/>
            <w:tcBorders>
              <w:bottom w:val="single" w:sz="8" w:color="CCECFF"/>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3"/>
                <w:szCs w:val="13"/>
                <w:color w:val="auto"/>
              </w:rPr>
            </w:pPr>
          </w:p>
        </w:tc>
        <w:tc>
          <w:tcPr>
            <w:tcW w:w="300" w:type="dxa"/>
            <w:vAlign w:val="bottom"/>
            <w:tcBorders>
              <w:bottom w:val="single" w:sz="8" w:color="CCEC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4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CFF"/>
            </w:tcBorders>
          </w:tcPr>
          <w:p>
            <w:pPr>
              <w:spacing w:after="0"/>
              <w:rPr>
                <w:sz w:val="13"/>
                <w:szCs w:val="13"/>
                <w:color w:val="auto"/>
              </w:rPr>
            </w:pPr>
          </w:p>
        </w:tc>
      </w:tr>
      <w:tr>
        <w:trPr>
          <w:trHeight w:val="156"/>
        </w:trPr>
        <w:tc>
          <w:tcPr>
            <w:tcW w:w="54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Ordinary income (including short-term gains, if any)</w:t>
            </w:r>
          </w:p>
        </w:tc>
        <w:tc>
          <w:tcPr>
            <w:tcW w:w="1000" w:type="dxa"/>
            <w:vAlign w:val="bottom"/>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w w:val="91"/>
              </w:rPr>
              <w:t>50,609,467</w:t>
            </w:r>
          </w:p>
        </w:tc>
        <w:tc>
          <w:tcPr>
            <w:tcW w:w="30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13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58,269,886</w:t>
            </w:r>
          </w:p>
        </w:tc>
        <w:tc>
          <w:tcPr>
            <w:tcW w:w="3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360" w:type="dxa"/>
            <w:vAlign w:val="bottom"/>
            <w:shd w:val="clear" w:color="auto" w:fill="CCECFF"/>
          </w:tcPr>
          <w:p>
            <w:pPr>
              <w:jc w:val="right"/>
              <w:ind w:right="24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58,068,894</w:t>
            </w:r>
          </w:p>
        </w:tc>
        <w:tc>
          <w:tcPr>
            <w:tcW w:w="100" w:type="dxa"/>
            <w:vAlign w:val="bottom"/>
            <w:shd w:val="clear" w:color="auto" w:fill="CCECFF"/>
          </w:tcPr>
          <w:p>
            <w:pPr>
              <w:spacing w:after="0"/>
              <w:rPr>
                <w:sz w:val="13"/>
                <w:szCs w:val="13"/>
                <w:color w:val="auto"/>
              </w:rPr>
            </w:pPr>
          </w:p>
        </w:tc>
      </w:tr>
      <w:tr>
        <w:trPr>
          <w:trHeight w:val="162"/>
        </w:trPr>
        <w:tc>
          <w:tcPr>
            <w:tcW w:w="5480" w:type="dxa"/>
            <w:vAlign w:val="bottom"/>
          </w:tcPr>
          <w:p>
            <w:pPr>
              <w:spacing w:after="0"/>
              <w:rPr>
                <w:sz w:val="20"/>
                <w:szCs w:val="20"/>
                <w:color w:val="auto"/>
              </w:rPr>
            </w:pPr>
            <w:r>
              <w:rPr>
                <w:rFonts w:ascii="Arial" w:cs="Arial" w:eastAsia="Arial" w:hAnsi="Arial"/>
                <w:sz w:val="14"/>
                <w:szCs w:val="14"/>
                <w:color w:val="auto"/>
              </w:rPr>
              <w:t>Long-term capital gain</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21,711,007</w:t>
            </w:r>
          </w:p>
        </w:tc>
        <w:tc>
          <w:tcPr>
            <w:tcW w:w="100" w:type="dxa"/>
            <w:vAlign w:val="bottom"/>
          </w:tcPr>
          <w:p>
            <w:pPr>
              <w:spacing w:after="0"/>
              <w:rPr>
                <w:sz w:val="14"/>
                <w:szCs w:val="14"/>
                <w:color w:val="auto"/>
              </w:rPr>
            </w:pPr>
          </w:p>
        </w:tc>
      </w:tr>
      <w:tr>
        <w:trPr>
          <w:trHeight w:val="156"/>
        </w:trPr>
        <w:tc>
          <w:tcPr>
            <w:tcW w:w="54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distributions</w:t>
            </w:r>
          </w:p>
        </w:tc>
        <w:tc>
          <w:tcPr>
            <w:tcW w:w="1000" w:type="dxa"/>
            <w:vAlign w:val="bottom"/>
            <w:tcBorders>
              <w:top w:val="single" w:sz="8" w:color="auto"/>
              <w:bottom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1"/>
              </w:rPr>
              <w:t>50,609,467</w:t>
            </w:r>
          </w:p>
        </w:tc>
        <w:tc>
          <w:tcPr>
            <w:tcW w:w="300" w:type="dxa"/>
            <w:vAlign w:val="bottom"/>
            <w:tcBorders>
              <w:top w:val="single" w:sz="8" w:color="CCECFF"/>
            </w:tcBorders>
            <w:shd w:val="clear" w:color="auto" w:fill="CCECFF"/>
          </w:tcPr>
          <w:p>
            <w:pPr>
              <w:spacing w:after="0"/>
              <w:rPr>
                <w:sz w:val="13"/>
                <w:szCs w:val="13"/>
                <w:color w:val="auto"/>
              </w:rPr>
            </w:pPr>
          </w:p>
        </w:tc>
        <w:tc>
          <w:tcPr>
            <w:tcW w:w="380" w:type="dxa"/>
            <w:vAlign w:val="bottom"/>
            <w:tcBorders>
              <w:top w:val="single" w:sz="8" w:color="auto"/>
              <w:bottom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58,269,886</w:t>
            </w:r>
          </w:p>
        </w:tc>
        <w:tc>
          <w:tcPr>
            <w:tcW w:w="30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jc w:val="right"/>
              <w:ind w:right="24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79,779,901</w:t>
            </w:r>
          </w:p>
        </w:tc>
        <w:tc>
          <w:tcPr>
            <w:tcW w:w="100" w:type="dxa"/>
            <w:vAlign w:val="bottom"/>
            <w:tcBorders>
              <w:top w:val="single" w:sz="8" w:color="CCECFF"/>
            </w:tcBorders>
            <w:shd w:val="clear" w:color="auto" w:fill="CCECFF"/>
          </w:tcPr>
          <w:p>
            <w:pPr>
              <w:spacing w:after="0"/>
              <w:rPr>
                <w:sz w:val="13"/>
                <w:szCs w:val="13"/>
                <w:color w:val="auto"/>
              </w:rPr>
            </w:pPr>
          </w:p>
        </w:tc>
      </w:tr>
      <w:tr>
        <w:trPr>
          <w:trHeight w:val="156"/>
        </w:trPr>
        <w:tc>
          <w:tcPr>
            <w:tcW w:w="5480" w:type="dxa"/>
            <w:vAlign w:val="bottom"/>
          </w:tcPr>
          <w:p>
            <w:pPr>
              <w:spacing w:after="0" w:line="155" w:lineRule="exact"/>
              <w:rPr>
                <w:sz w:val="20"/>
                <w:szCs w:val="20"/>
                <w:color w:val="auto"/>
              </w:rPr>
            </w:pPr>
            <w:r>
              <w:rPr>
                <w:rFonts w:ascii="Arial" w:cs="Arial" w:eastAsia="Arial" w:hAnsi="Arial"/>
                <w:sz w:val="14"/>
                <w:szCs w:val="14"/>
                <w:color w:val="auto"/>
              </w:rPr>
              <w:t>Total distributions per share based on weighted average shares</w:t>
            </w:r>
          </w:p>
        </w:tc>
        <w:tc>
          <w:tcPr>
            <w:tcW w:w="1000" w:type="dxa"/>
            <w:vAlign w:val="bottom"/>
            <w:tcBorders>
              <w:bottom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0.72</w:t>
            </w:r>
          </w:p>
        </w:tc>
        <w:tc>
          <w:tcPr>
            <w:tcW w:w="300" w:type="dxa"/>
            <w:vAlign w:val="bottom"/>
          </w:tcPr>
          <w:p>
            <w:pPr>
              <w:spacing w:after="0"/>
              <w:rPr>
                <w:sz w:val="13"/>
                <w:szCs w:val="13"/>
                <w:color w:val="auto"/>
              </w:rPr>
            </w:pPr>
          </w:p>
        </w:tc>
        <w:tc>
          <w:tcPr>
            <w:tcW w:w="3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0.82</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w:t>
            </w:r>
          </w:p>
        </w:tc>
        <w:tc>
          <w:tcPr>
            <w:tcW w:w="100" w:type="dxa"/>
            <w:vAlign w:val="bottom"/>
          </w:tcPr>
          <w:p>
            <w:pPr>
              <w:spacing w:after="0"/>
              <w:rPr>
                <w:sz w:val="13"/>
                <w:szCs w:val="13"/>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CASH AND CASH EQUIVALENTS</w:t>
      </w:r>
    </w:p>
    <w:p>
      <w:pPr>
        <w:spacing w:after="0" w:line="127" w:lineRule="exact"/>
        <w:rPr>
          <w:sz w:val="20"/>
          <w:szCs w:val="20"/>
          <w:color w:val="auto"/>
        </w:rPr>
      </w:pPr>
    </w:p>
    <w:p>
      <w:pPr>
        <w:ind w:right="8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2018 and 2017, cash and cash equivalents consisted of money market funds in the amounts of $19.5 million and $38.2 million at fair value, respectively.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20"/>
                <w:szCs w:val="20"/>
                <w:color w:val="auto"/>
              </w:rPr>
            </w:pPr>
            <w:r>
              <w:rPr>
                <w:rFonts w:ascii="Arial" w:cs="Arial" w:eastAsia="Arial" w:hAnsi="Arial"/>
                <w:sz w:val="14"/>
                <w:szCs w:val="14"/>
                <w:b w:val="1"/>
                <w:bCs w:val="1"/>
                <w:color w:val="auto"/>
              </w:rPr>
              <w:t>10. FINANCIAL HIGHLIGHTS</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5020" w:type="dxa"/>
            <w:vAlign w:val="bottom"/>
          </w:tcPr>
          <w:p>
            <w:pPr>
              <w:ind w:left="440"/>
              <w:spacing w:after="0"/>
              <w:rPr>
                <w:sz w:val="20"/>
                <w:szCs w:val="20"/>
                <w:color w:val="auto"/>
              </w:rPr>
            </w:pPr>
            <w:r>
              <w:rPr>
                <w:rFonts w:ascii="Arial" w:cs="Arial" w:eastAsia="Arial" w:hAnsi="Arial"/>
                <w:sz w:val="14"/>
                <w:szCs w:val="14"/>
                <w:color w:val="auto"/>
              </w:rPr>
              <w:t>Below are the financial highlights for the years ended September 30:</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02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CFF"/>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CFF"/>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0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60" w:type="dxa"/>
            <w:vAlign w:val="bottom"/>
            <w:tcBorders>
              <w:right w:val="single" w:sz="8" w:color="CCECFF"/>
            </w:tcBorders>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Net asset value, beginning of year</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9.10</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9.05</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9.82</w:t>
            </w:r>
          </w:p>
        </w:tc>
        <w:tc>
          <w:tcPr>
            <w:tcW w:w="18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11.03</w:t>
            </w:r>
          </w:p>
        </w:tc>
        <w:tc>
          <w:tcPr>
            <w:tcW w:w="3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10.49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8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0.75</w:t>
            </w:r>
          </w:p>
        </w:tc>
        <w:tc>
          <w:tcPr>
            <w:tcW w:w="260" w:type="dxa"/>
            <w:vAlign w:val="bottom"/>
            <w:tcBorders>
              <w:right w:val="single" w:sz="8" w:color="CCECFF"/>
            </w:tcBorders>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0.79</w:t>
            </w:r>
          </w:p>
        </w:tc>
        <w:tc>
          <w:tcPr>
            <w:tcW w:w="2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0.99</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w:t>
            </w:r>
          </w:p>
        </w:tc>
        <w:tc>
          <w:tcPr>
            <w:tcW w:w="3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 xml:space="preserve">Net realized and unrealized gain (loss) </w:t>
            </w:r>
            <w:r>
              <w:rPr>
                <w:rFonts w:ascii="Arial" w:cs="Arial" w:eastAsia="Arial" w:hAnsi="Arial"/>
                <w:sz w:val="12"/>
                <w:szCs w:val="12"/>
                <w:color w:val="auto"/>
              </w:rPr>
              <w:t>(1)</w:t>
            </w:r>
          </w:p>
        </w:tc>
        <w:tc>
          <w:tcPr>
            <w:tcW w:w="1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(0.07)</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0.08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(0.73)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(1.24)</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0.60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12"/>
                <w:szCs w:val="12"/>
                <w:color w:val="auto"/>
              </w:rPr>
              <w:t>(1)</w:t>
            </w: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0.68</w:t>
            </w:r>
          </w:p>
        </w:tc>
        <w:tc>
          <w:tcPr>
            <w:tcW w:w="260" w:type="dxa"/>
            <w:vAlign w:val="bottom"/>
            <w:tcBorders>
              <w:top w:val="single" w:sz="8" w:color="CCECFF"/>
              <w:right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0.87</w:t>
            </w:r>
          </w:p>
        </w:tc>
        <w:tc>
          <w:tcPr>
            <w:tcW w:w="2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0.26</w:t>
            </w: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(0.14)</w:t>
            </w:r>
          </w:p>
        </w:tc>
        <w:tc>
          <w:tcPr>
            <w:tcW w:w="30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1.66</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shd w:val="clear" w:color="auto" w:fill="CCECFF"/>
          </w:tcPr>
          <w:p>
            <w:pPr>
              <w:ind w:left="80"/>
              <w:spacing w:after="0"/>
              <w:rPr>
                <w:sz w:val="20"/>
                <w:szCs w:val="20"/>
                <w:color w:val="auto"/>
              </w:rPr>
            </w:pPr>
            <w:r>
              <w:rPr>
                <w:rFonts w:ascii="Arial" w:cs="Arial" w:eastAsia="Arial" w:hAnsi="Arial"/>
                <w:sz w:val="14"/>
                <w:szCs w:val="14"/>
                <w:color w:val="auto"/>
              </w:rPr>
              <w:t>Distribution of net investment income</w:t>
            </w:r>
          </w:p>
        </w:tc>
        <w:tc>
          <w:tcPr>
            <w:tcW w:w="180" w:type="dxa"/>
            <w:vAlign w:val="bottom"/>
            <w:shd w:val="clear" w:color="auto" w:fill="CCECFF"/>
          </w:tcPr>
          <w:p>
            <w:pPr>
              <w:spacing w:after="0"/>
              <w:rPr>
                <w:sz w:val="14"/>
                <w:szCs w:val="14"/>
                <w:color w:val="auto"/>
              </w:rPr>
            </w:pPr>
          </w:p>
        </w:tc>
        <w:tc>
          <w:tcPr>
            <w:tcW w:w="1080" w:type="dxa"/>
            <w:vAlign w:val="bottom"/>
            <w:tcBorders>
              <w:right w:val="single" w:sz="8" w:color="CCECFF"/>
            </w:tcBorders>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(0.72)</w:t>
            </w:r>
          </w:p>
        </w:tc>
        <w:tc>
          <w:tcPr>
            <w:tcW w:w="18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(0.82)</w:t>
            </w:r>
          </w:p>
        </w:tc>
        <w:tc>
          <w:tcPr>
            <w:tcW w:w="18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(0.81)</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(1.11)</w:t>
            </w:r>
          </w:p>
        </w:tc>
        <w:tc>
          <w:tcPr>
            <w:tcW w:w="18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62"/>
        </w:trPr>
        <w:tc>
          <w:tcPr>
            <w:tcW w:w="5020" w:type="dxa"/>
            <w:vAlign w:val="bottom"/>
          </w:tcPr>
          <w:p>
            <w:pPr>
              <w:ind w:left="80"/>
              <w:spacing w:after="0"/>
              <w:rPr>
                <w:sz w:val="20"/>
                <w:szCs w:val="20"/>
                <w:color w:val="auto"/>
              </w:rPr>
            </w:pPr>
            <w:r>
              <w:rPr>
                <w:rFonts w:ascii="Arial" w:cs="Arial" w:eastAsia="Arial" w:hAnsi="Arial"/>
                <w:sz w:val="14"/>
                <w:szCs w:val="14"/>
                <w:color w:val="auto"/>
              </w:rPr>
              <w:t>Distribution of realized gains</w:t>
            </w:r>
          </w:p>
        </w:tc>
        <w:tc>
          <w:tcPr>
            <w:tcW w:w="18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(0.30)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0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distributions to stockholders</w:t>
            </w: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(0.72)</w:t>
            </w:r>
          </w:p>
        </w:tc>
        <w:tc>
          <w:tcPr>
            <w:tcW w:w="260" w:type="dxa"/>
            <w:vAlign w:val="bottom"/>
            <w:tcBorders>
              <w:top w:val="single" w:sz="8" w:color="CCECFF"/>
              <w:right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(0.82)</w:t>
            </w:r>
          </w:p>
        </w:tc>
        <w:tc>
          <w:tcPr>
            <w:tcW w:w="2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(1.11)</w:t>
            </w: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(1.11)</w:t>
            </w:r>
          </w:p>
        </w:tc>
        <w:tc>
          <w:tcPr>
            <w:tcW w:w="30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0.05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0.08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0.04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Accretive (dilutive) effect of common stock issuance </w:t>
            </w:r>
            <w:r>
              <w:rPr>
                <w:rFonts w:ascii="Arial" w:cs="Arial" w:eastAsia="Arial" w:hAnsi="Arial"/>
                <w:sz w:val="12"/>
                <w:szCs w:val="12"/>
                <w:color w:val="auto"/>
              </w:rPr>
              <w:t>(1)</w:t>
            </w:r>
          </w:p>
        </w:tc>
        <w:tc>
          <w:tcPr>
            <w:tcW w:w="180" w:type="dxa"/>
            <w:vAlign w:val="bottom"/>
            <w:shd w:val="clear" w:color="auto" w:fill="CCECFF"/>
          </w:tcPr>
          <w:p>
            <w:pPr>
              <w:spacing w:after="0"/>
              <w:rPr>
                <w:sz w:val="14"/>
                <w:szCs w:val="14"/>
                <w:color w:val="auto"/>
              </w:rPr>
            </w:pPr>
          </w:p>
        </w:tc>
        <w:tc>
          <w:tcPr>
            <w:tcW w:w="108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0.03</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Net asset value, end of year</w:t>
            </w: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9.11</w:t>
            </w:r>
          </w:p>
        </w:tc>
        <w:tc>
          <w:tcPr>
            <w:tcW w:w="260" w:type="dxa"/>
            <w:vAlign w:val="bottom"/>
            <w:tcBorders>
              <w:bottom w:val="single" w:sz="8" w:color="CCEC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9.10</w:t>
            </w:r>
          </w:p>
        </w:tc>
        <w:tc>
          <w:tcPr>
            <w:tcW w:w="260" w:type="dxa"/>
            <w:vAlign w:val="bottom"/>
            <w:tcBorders>
              <w:bottom w:val="single" w:sz="8" w:color="CCEC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9.05</w:t>
            </w:r>
          </w:p>
        </w:tc>
        <w:tc>
          <w:tcPr>
            <w:tcW w:w="180" w:type="dxa"/>
            <w:vAlign w:val="bottom"/>
            <w:tcBorders>
              <w:bottom w:val="single" w:sz="8" w:color="CCECFF"/>
            </w:tcBorders>
          </w:tcPr>
          <w:p>
            <w:pPr>
              <w:spacing w:after="0"/>
              <w:rPr>
                <w:sz w:val="17"/>
                <w:szCs w:val="17"/>
                <w:color w:val="auto"/>
              </w:rPr>
            </w:pPr>
          </w:p>
        </w:tc>
        <w:tc>
          <w:tcPr>
            <w:tcW w:w="80" w:type="dxa"/>
            <w:vAlign w:val="bottom"/>
            <w:tcBorders>
              <w:bottom w:val="single" w:sz="8" w:color="CCEC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9.82</w:t>
            </w:r>
          </w:p>
        </w:tc>
        <w:tc>
          <w:tcPr>
            <w:tcW w:w="300" w:type="dxa"/>
            <w:vAlign w:val="bottom"/>
            <w:tcBorders>
              <w:bottom w:val="single" w:sz="8" w:color="CCEC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11.03</w:t>
            </w:r>
          </w:p>
        </w:tc>
        <w:tc>
          <w:tcPr>
            <w:tcW w:w="14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0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Per share market value, end of year</w:t>
            </w:r>
          </w:p>
        </w:tc>
        <w:tc>
          <w:tcPr>
            <w:tcW w:w="180" w:type="dxa"/>
            <w:vAlign w:val="bottom"/>
            <w:tcBorders>
              <w:bottom w:val="single" w:sz="8" w:color="auto"/>
            </w:tcBorders>
            <w:shd w:val="clear" w:color="auto" w:fill="CCECFF"/>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7.46</w:t>
            </w:r>
          </w:p>
        </w:tc>
        <w:tc>
          <w:tcPr>
            <w:tcW w:w="260" w:type="dxa"/>
            <w:vAlign w:val="bottom"/>
            <w:tcBorders>
              <w:bottom w:val="single" w:sz="8" w:color="CCECFF"/>
              <w:right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7.51</w:t>
            </w:r>
          </w:p>
        </w:tc>
        <w:tc>
          <w:tcPr>
            <w:tcW w:w="26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7.52</w:t>
            </w:r>
          </w:p>
        </w:tc>
        <w:tc>
          <w:tcPr>
            <w:tcW w:w="18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6.47</w:t>
            </w:r>
          </w:p>
        </w:tc>
        <w:tc>
          <w:tcPr>
            <w:tcW w:w="30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10.91</w:t>
            </w:r>
          </w:p>
        </w:tc>
        <w:tc>
          <w:tcPr>
            <w:tcW w:w="1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9.70%</w:t>
            </w:r>
          </w:p>
        </w:tc>
        <w:tc>
          <w:tcPr>
            <w:tcW w:w="180" w:type="dxa"/>
            <w:vAlign w:val="bottom"/>
          </w:tcPr>
          <w:p>
            <w:pPr>
              <w:spacing w:after="0"/>
              <w:rPr>
                <w:sz w:val="12"/>
                <w:szCs w:val="12"/>
                <w:color w:val="auto"/>
              </w:rPr>
            </w:pPr>
          </w:p>
        </w:tc>
        <w:tc>
          <w:tcPr>
            <w:tcW w:w="108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10.80%</w:t>
            </w:r>
          </w:p>
        </w:tc>
        <w:tc>
          <w:tcPr>
            <w:tcW w:w="180" w:type="dxa"/>
            <w:vAlign w:val="bottom"/>
          </w:tcPr>
          <w:p>
            <w:pPr>
              <w:spacing w:after="0"/>
              <w:rPr>
                <w:sz w:val="12"/>
                <w:szCs w:val="12"/>
                <w:color w:val="auto"/>
              </w:rPr>
            </w:pPr>
          </w:p>
        </w:tc>
        <w:tc>
          <w:tcPr>
            <w:tcW w:w="100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36.64%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(32.51)%</w:t>
            </w:r>
          </w:p>
        </w:tc>
        <w:tc>
          <w:tcPr>
            <w:tcW w:w="180" w:type="dxa"/>
            <w:vAlign w:val="bottom"/>
          </w:tcPr>
          <w:p>
            <w:pPr>
              <w:spacing w:after="0"/>
              <w:rPr>
                <w:sz w:val="12"/>
                <w:szCs w:val="12"/>
                <w:color w:val="auto"/>
              </w:rPr>
            </w:pPr>
          </w:p>
        </w:tc>
        <w:tc>
          <w:tcPr>
            <w:tcW w:w="9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162"/>
        </w:trPr>
        <w:tc>
          <w:tcPr>
            <w:tcW w:w="502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4"/>
                <w:szCs w:val="14"/>
                <w:color w:val="auto"/>
              </w:rPr>
              <w:t>Shares outstanding at end of year</w:t>
            </w:r>
          </w:p>
        </w:tc>
        <w:tc>
          <w:tcPr>
            <w:tcW w:w="18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69,053,958</w:t>
            </w:r>
          </w:p>
        </w:tc>
        <w:tc>
          <w:tcPr>
            <w:tcW w:w="260" w:type="dxa"/>
            <w:vAlign w:val="bottom"/>
            <w:tcBorders>
              <w:bottom w:val="single" w:sz="8" w:color="CCECFF"/>
              <w:right w:val="single" w:sz="8" w:color="CCECFF"/>
            </w:tcBorders>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71,060,836</w:t>
            </w:r>
          </w:p>
        </w:tc>
        <w:tc>
          <w:tcPr>
            <w:tcW w:w="26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71,060,836</w:t>
            </w:r>
          </w:p>
        </w:tc>
        <w:tc>
          <w:tcPr>
            <w:tcW w:w="180" w:type="dxa"/>
            <w:vAlign w:val="bottom"/>
            <w:tcBorders>
              <w:bottom w:val="single" w:sz="8" w:color="CCECFF"/>
            </w:tcBorders>
            <w:shd w:val="clear" w:color="auto" w:fill="CCECFF"/>
          </w:tcPr>
          <w:p>
            <w:pPr>
              <w:spacing w:after="0"/>
              <w:rPr>
                <w:sz w:val="14"/>
                <w:szCs w:val="14"/>
                <w:color w:val="auto"/>
              </w:rPr>
            </w:pPr>
          </w:p>
        </w:tc>
        <w:tc>
          <w:tcPr>
            <w:tcW w:w="8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72,966,043</w:t>
            </w:r>
          </w:p>
        </w:tc>
        <w:tc>
          <w:tcPr>
            <w:tcW w:w="30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75,092,911</w:t>
            </w:r>
          </w:p>
        </w:tc>
        <w:tc>
          <w:tcPr>
            <w:tcW w:w="1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Ratios / Supplemental Data:</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 (5)</w:t>
            </w:r>
          </w:p>
        </w:tc>
        <w:tc>
          <w:tcPr>
            <w:tcW w:w="180" w:type="dxa"/>
            <w:vAlign w:val="bottom"/>
            <w:shd w:val="clear" w:color="auto" w:fill="CCECFF"/>
          </w:tcPr>
          <w:p>
            <w:pPr>
              <w:spacing w:after="0"/>
              <w:rPr>
                <w:sz w:val="14"/>
                <w:szCs w:val="14"/>
                <w:color w:val="auto"/>
              </w:rPr>
            </w:pPr>
          </w:p>
        </w:tc>
        <w:tc>
          <w:tcPr>
            <w:tcW w:w="1080" w:type="dxa"/>
            <w:vAlign w:val="bottom"/>
            <w:tcBorders>
              <w:right w:val="single" w:sz="8" w:color="CCECFF"/>
            </w:tcBorders>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4.99%</w:t>
            </w:r>
          </w:p>
        </w:tc>
        <w:tc>
          <w:tcPr>
            <w:tcW w:w="18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5.78%</w:t>
            </w:r>
          </w:p>
        </w:tc>
        <w:tc>
          <w:tcPr>
            <w:tcW w:w="18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6.65%</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6.81%</w:t>
            </w:r>
          </w:p>
        </w:tc>
        <w:tc>
          <w:tcPr>
            <w:tcW w:w="18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Ratio of interest and expenses on debt to average net assets</w:t>
            </w: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3.54%</w:t>
            </w: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4.69%</w:t>
            </w:r>
          </w:p>
        </w:tc>
        <w:tc>
          <w:tcPr>
            <w:tcW w:w="18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4.18%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3.39%</w:t>
            </w:r>
          </w:p>
        </w:tc>
        <w:tc>
          <w:tcPr>
            <w:tcW w:w="1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20"/>
        </w:trPr>
        <w:tc>
          <w:tcPr>
            <w:tcW w:w="5020" w:type="dxa"/>
            <w:vAlign w:val="bottom"/>
            <w:vMerge w:val="restart"/>
            <w:shd w:val="clear" w:color="auto" w:fill="CCECFF"/>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Borders>
              <w:right w:val="single" w:sz="8" w:color="CCECFF"/>
            </w:tcBorders>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20" w:type="dxa"/>
            <w:vAlign w:val="bottom"/>
            <w:vMerge w:val="continue"/>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080" w:type="dxa"/>
            <w:vAlign w:val="bottom"/>
            <w:tcBorders>
              <w:right w:val="single" w:sz="8" w:color="CCECFF"/>
            </w:tcBorders>
            <w:gridSpan w:val="2"/>
            <w:shd w:val="clear" w:color="auto" w:fill="CCECFF"/>
          </w:tcPr>
          <w:p>
            <w:pPr>
              <w:jc w:val="right"/>
              <w:ind w:right="140"/>
              <w:spacing w:after="0" w:line="155" w:lineRule="exact"/>
              <w:rPr>
                <w:sz w:val="20"/>
                <w:szCs w:val="20"/>
                <w:color w:val="auto"/>
              </w:rPr>
            </w:pPr>
            <w:r>
              <w:rPr>
                <w:rFonts w:ascii="Arial" w:cs="Arial" w:eastAsia="Arial" w:hAnsi="Arial"/>
                <w:sz w:val="14"/>
                <w:szCs w:val="14"/>
                <w:color w:val="auto"/>
              </w:rPr>
              <w:t>8.53%</w:t>
            </w:r>
          </w:p>
        </w:tc>
        <w:tc>
          <w:tcPr>
            <w:tcW w:w="180" w:type="dxa"/>
            <w:vAlign w:val="bottom"/>
            <w:shd w:val="clear" w:color="auto" w:fill="CCECFF"/>
          </w:tcPr>
          <w:p>
            <w:pPr>
              <w:spacing w:after="0"/>
              <w:rPr>
                <w:sz w:val="13"/>
                <w:szCs w:val="13"/>
                <w:color w:val="auto"/>
              </w:rPr>
            </w:pPr>
          </w:p>
        </w:tc>
        <w:tc>
          <w:tcPr>
            <w:tcW w:w="1080" w:type="dxa"/>
            <w:vAlign w:val="bottom"/>
            <w:gridSpan w:val="2"/>
            <w:shd w:val="clear" w:color="auto" w:fill="CCECFF"/>
          </w:tcPr>
          <w:p>
            <w:pPr>
              <w:jc w:val="right"/>
              <w:ind w:right="140"/>
              <w:spacing w:after="0" w:line="155" w:lineRule="exact"/>
              <w:rPr>
                <w:sz w:val="20"/>
                <w:szCs w:val="20"/>
                <w:color w:val="auto"/>
              </w:rPr>
            </w:pPr>
            <w:r>
              <w:rPr>
                <w:rFonts w:ascii="Arial" w:cs="Arial" w:eastAsia="Arial" w:hAnsi="Arial"/>
                <w:sz w:val="14"/>
                <w:szCs w:val="14"/>
                <w:color w:val="auto"/>
              </w:rPr>
              <w:t>10.47%</w:t>
            </w:r>
          </w:p>
        </w:tc>
        <w:tc>
          <w:tcPr>
            <w:tcW w:w="18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60"/>
              <w:spacing w:after="0" w:line="155" w:lineRule="exact"/>
              <w:rPr>
                <w:sz w:val="20"/>
                <w:szCs w:val="20"/>
                <w:color w:val="auto"/>
              </w:rPr>
            </w:pPr>
            <w:r>
              <w:rPr>
                <w:rFonts w:ascii="Arial" w:cs="Arial" w:eastAsia="Arial" w:hAnsi="Arial"/>
                <w:sz w:val="14"/>
                <w:szCs w:val="14"/>
                <w:color w:val="auto"/>
              </w:rPr>
              <w:t>10.83%</w:t>
            </w: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180"/>
              <w:spacing w:after="0" w:line="155" w:lineRule="exact"/>
              <w:rPr>
                <w:sz w:val="20"/>
                <w:szCs w:val="20"/>
                <w:color w:val="auto"/>
              </w:rPr>
            </w:pPr>
            <w:r>
              <w:rPr>
                <w:rFonts w:ascii="Arial" w:cs="Arial" w:eastAsia="Arial" w:hAnsi="Arial"/>
                <w:sz w:val="14"/>
                <w:szCs w:val="14"/>
                <w:color w:val="auto"/>
              </w:rPr>
              <w:t>10.20%</w:t>
            </w:r>
          </w:p>
        </w:tc>
        <w:tc>
          <w:tcPr>
            <w:tcW w:w="18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Ratio of net investment income to average net assets</w:t>
            </w: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8.28%</w:t>
            </w: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8.67%</w:t>
            </w:r>
          </w:p>
        </w:tc>
        <w:tc>
          <w:tcPr>
            <w:tcW w:w="18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10.70%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10.57%</w:t>
            </w:r>
          </w:p>
        </w:tc>
        <w:tc>
          <w:tcPr>
            <w:tcW w:w="1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9.55%</w:t>
            </w:r>
          </w:p>
        </w:tc>
        <w:tc>
          <w:tcPr>
            <w:tcW w:w="0" w:type="dxa"/>
            <w:vAlign w:val="bottom"/>
          </w:tcPr>
          <w:p>
            <w:pPr>
              <w:spacing w:after="0"/>
              <w:rPr>
                <w:sz w:val="1"/>
                <w:szCs w:val="1"/>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Net assets at end of year</w:t>
            </w: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628,901,895</w:t>
            </w:r>
          </w:p>
        </w:tc>
        <w:tc>
          <w:tcPr>
            <w:tcW w:w="260" w:type="dxa"/>
            <w:vAlign w:val="bottom"/>
            <w:tcBorders>
              <w:right w:val="single" w:sz="8" w:color="CCECFF"/>
            </w:tcBorders>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646,808,471</w:t>
            </w:r>
          </w:p>
        </w:tc>
        <w:tc>
          <w:tcPr>
            <w:tcW w:w="26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643,366,856</w:t>
            </w:r>
          </w:p>
        </w:tc>
        <w:tc>
          <w:tcPr>
            <w:tcW w:w="18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716,590,542</w:t>
            </w:r>
          </w:p>
        </w:tc>
        <w:tc>
          <w:tcPr>
            <w:tcW w:w="30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828,009,949</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(6)</w:t>
            </w: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504,963,762</w:t>
            </w:r>
          </w:p>
        </w:tc>
        <w:tc>
          <w:tcPr>
            <w:tcW w:w="26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605,661,674</w:t>
            </w:r>
          </w:p>
        </w:tc>
        <w:tc>
          <w:tcPr>
            <w:tcW w:w="26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634,769,508</w:t>
            </w:r>
          </w:p>
        </w:tc>
        <w:tc>
          <w:tcPr>
            <w:tcW w:w="18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580,367,750</w:t>
            </w:r>
          </w:p>
        </w:tc>
        <w:tc>
          <w:tcPr>
            <w:tcW w:w="300" w:type="dxa"/>
            <w:vAlign w:val="bottom"/>
            <w:tcBorders>
              <w:bottom w:val="single" w:sz="8" w:color="CCECFF"/>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526,252,068</w:t>
            </w:r>
          </w:p>
        </w:tc>
        <w:tc>
          <w:tcPr>
            <w:tcW w:w="14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(6)</w:t>
            </w:r>
          </w:p>
        </w:tc>
        <w:tc>
          <w:tcPr>
            <w:tcW w:w="180" w:type="dxa"/>
            <w:vAlign w:val="bottom"/>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7.14</w:t>
            </w:r>
          </w:p>
        </w:tc>
        <w:tc>
          <w:tcPr>
            <w:tcW w:w="260" w:type="dxa"/>
            <w:vAlign w:val="bottom"/>
            <w:tcBorders>
              <w:right w:val="single" w:sz="8" w:color="CCECFF"/>
            </w:tcBorders>
            <w:shd w:val="clear" w:color="auto" w:fill="CCECFF"/>
          </w:tcPr>
          <w:p>
            <w:pPr>
              <w:spacing w:after="0"/>
              <w:rPr>
                <w:sz w:val="13"/>
                <w:szCs w:val="13"/>
                <w:color w:val="auto"/>
              </w:rPr>
            </w:pPr>
          </w:p>
        </w:tc>
        <w:tc>
          <w:tcPr>
            <w:tcW w:w="180" w:type="dxa"/>
            <w:vAlign w:val="bottom"/>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8.52</w:t>
            </w:r>
          </w:p>
        </w:tc>
        <w:tc>
          <w:tcPr>
            <w:tcW w:w="260" w:type="dxa"/>
            <w:vAlign w:val="bottom"/>
            <w:shd w:val="clear" w:color="auto" w:fill="CCECFF"/>
          </w:tcPr>
          <w:p>
            <w:pPr>
              <w:spacing w:after="0"/>
              <w:rPr>
                <w:sz w:val="13"/>
                <w:szCs w:val="13"/>
                <w:color w:val="auto"/>
              </w:rPr>
            </w:pPr>
          </w:p>
        </w:tc>
        <w:tc>
          <w:tcPr>
            <w:tcW w:w="180" w:type="dxa"/>
            <w:vAlign w:val="bottom"/>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8.86</w:t>
            </w: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7.76</w:t>
            </w:r>
          </w:p>
        </w:tc>
        <w:tc>
          <w:tcPr>
            <w:tcW w:w="300" w:type="dxa"/>
            <w:vAlign w:val="bottom"/>
            <w:shd w:val="clear" w:color="auto" w:fill="CCECFF"/>
          </w:tcPr>
          <w:p>
            <w:pPr>
              <w:spacing w:after="0"/>
              <w:rPr>
                <w:sz w:val="13"/>
                <w:szCs w:val="13"/>
                <w:color w:val="auto"/>
              </w:rPr>
            </w:pPr>
          </w:p>
        </w:tc>
        <w:tc>
          <w:tcPr>
            <w:tcW w:w="180" w:type="dxa"/>
            <w:vAlign w:val="bottom"/>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7.85</w:t>
            </w: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(7)</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2,912</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2,950</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2,756</w:t>
            </w:r>
          </w:p>
        </w:tc>
        <w:tc>
          <w:tcPr>
            <w:tcW w:w="18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2,569</w:t>
            </w:r>
          </w:p>
        </w:tc>
        <w:tc>
          <w:tcPr>
            <w:tcW w:w="3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3,198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Average market value per unit </w:t>
            </w:r>
            <w:r>
              <w:rPr>
                <w:rFonts w:ascii="Arial" w:cs="Arial" w:eastAsia="Arial" w:hAnsi="Arial"/>
                <w:sz w:val="12"/>
                <w:szCs w:val="12"/>
                <w:color w:val="auto"/>
              </w:rPr>
              <w:t>(8)</w:t>
            </w: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right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24.68</w:t>
            </w:r>
          </w:p>
        </w:tc>
        <w:tc>
          <w:tcPr>
            <w:tcW w:w="18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25.13</w:t>
            </w:r>
          </w:p>
        </w:tc>
        <w:tc>
          <w:tcPr>
            <w:tcW w:w="30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24.51</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2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1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56.51%</w:t>
            </w:r>
          </w:p>
        </w:tc>
        <w:tc>
          <w:tcPr>
            <w:tcW w:w="1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43.60%</w:t>
            </w:r>
          </w:p>
        </w:tc>
        <w:tc>
          <w:tcPr>
            <w:tcW w:w="18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26.50%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30.17%</w:t>
            </w:r>
          </w:p>
        </w:tc>
        <w:tc>
          <w:tcPr>
            <w:tcW w:w="18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50.66%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11144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44" w:lineRule="exact"/>
        <w:rPr>
          <w:sz w:val="20"/>
          <w:szCs w:val="20"/>
          <w:color w:val="auto"/>
        </w:rPr>
      </w:pPr>
    </w:p>
    <w:p>
      <w:pPr>
        <w:ind w:left="380" w:hanging="372"/>
        <w:spacing w:after="0"/>
        <w:tabs>
          <w:tab w:leader="none" w:pos="380" w:val="left"/>
        </w:tabs>
        <w:numPr>
          <w:ilvl w:val="0"/>
          <w:numId w:val="67"/>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13" w:lineRule="exact"/>
        <w:rPr>
          <w:rFonts w:ascii="Arial" w:cs="Arial" w:eastAsia="Arial" w:hAnsi="Arial"/>
          <w:sz w:val="12"/>
          <w:szCs w:val="12"/>
          <w:color w:val="auto"/>
        </w:rPr>
      </w:pPr>
    </w:p>
    <w:p>
      <w:pPr>
        <w:ind w:left="380" w:right="340" w:hanging="372"/>
        <w:spacing w:after="0" w:line="221" w:lineRule="auto"/>
        <w:tabs>
          <w:tab w:leader="none" w:pos="380" w:val="left"/>
        </w:tabs>
        <w:numPr>
          <w:ilvl w:val="0"/>
          <w:numId w:val="67"/>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80" w:hanging="372"/>
        <w:spacing w:after="0" w:line="221" w:lineRule="auto"/>
        <w:tabs>
          <w:tab w:leader="none" w:pos="380" w:val="left"/>
        </w:tabs>
        <w:numPr>
          <w:ilvl w:val="0"/>
          <w:numId w:val="67"/>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ind w:left="380" w:hanging="372"/>
        <w:spacing w:after="0" w:line="221" w:lineRule="auto"/>
        <w:tabs>
          <w:tab w:leader="none" w:pos="380" w:val="left"/>
        </w:tabs>
        <w:numPr>
          <w:ilvl w:val="0"/>
          <w:numId w:val="67"/>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380" w:hanging="372"/>
        <w:spacing w:after="0"/>
        <w:tabs>
          <w:tab w:leader="none" w:pos="380" w:val="left"/>
        </w:tabs>
        <w:numPr>
          <w:ilvl w:val="0"/>
          <w:numId w:val="67"/>
        </w:numPr>
        <w:rPr>
          <w:rFonts w:ascii="Arial" w:cs="Arial" w:eastAsia="Arial" w:hAnsi="Arial"/>
          <w:sz w:val="11"/>
          <w:szCs w:val="11"/>
          <w:color w:val="auto"/>
        </w:rPr>
      </w:pPr>
      <w:r>
        <w:rPr>
          <w:rFonts w:ascii="Arial" w:cs="Arial" w:eastAsia="Arial" w:hAnsi="Arial"/>
          <w:sz w:val="13"/>
          <w:szCs w:val="13"/>
          <w:color w:val="auto"/>
        </w:rPr>
        <w:t>For the years ended September 30, 2018, 2017 and 2016, the ratio of operating expenses to average net assets before the waiver of certain Management Fees to average net assets was</w:t>
      </w:r>
    </w:p>
    <w:p>
      <w:pPr>
        <w:ind w:left="380" w:right="280"/>
        <w:spacing w:after="0" w:line="221" w:lineRule="auto"/>
        <w:rPr>
          <w:rFonts w:ascii="Arial" w:cs="Arial" w:eastAsia="Arial" w:hAnsi="Arial"/>
          <w:sz w:val="11"/>
          <w:szCs w:val="11"/>
          <w:color w:val="auto"/>
        </w:rPr>
      </w:pPr>
      <w:r>
        <w:rPr>
          <w:rFonts w:ascii="Arial" w:cs="Arial" w:eastAsia="Arial" w:hAnsi="Arial"/>
          <w:sz w:val="14"/>
          <w:szCs w:val="14"/>
          <w:color w:val="auto"/>
        </w:rPr>
        <w:t>5.21%, 6.65% and 7.64%, respectively, and the ratio of total expenses to average net assets before the waiver of certain Management Fees to average net assets was 8.75%, 11.33% and 11.82%, respectively.</w:t>
      </w:r>
    </w:p>
    <w:p>
      <w:pPr>
        <w:ind w:left="380" w:hanging="372"/>
        <w:spacing w:after="0" w:line="221" w:lineRule="auto"/>
        <w:tabs>
          <w:tab w:leader="none" w:pos="380" w:val="left"/>
        </w:tabs>
        <w:numPr>
          <w:ilvl w:val="0"/>
          <w:numId w:val="67"/>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ind w:left="380" w:hanging="372"/>
        <w:spacing w:after="0" w:line="221" w:lineRule="auto"/>
        <w:tabs>
          <w:tab w:leader="none" w:pos="380" w:val="left"/>
        </w:tabs>
        <w:numPr>
          <w:ilvl w:val="0"/>
          <w:numId w:val="67"/>
        </w:numPr>
        <w:rPr>
          <w:rFonts w:ascii="Arial" w:cs="Arial" w:eastAsia="Arial" w:hAnsi="Arial"/>
          <w:sz w:val="12"/>
          <w:szCs w:val="12"/>
          <w:color w:val="auto"/>
        </w:rPr>
      </w:pPr>
      <w:r>
        <w:rPr>
          <w:rFonts w:ascii="Arial" w:cs="Arial" w:eastAsia="Arial" w:hAnsi="Arial"/>
          <w:sz w:val="14"/>
          <w:szCs w:val="14"/>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 These amounts exclude SBA debentures from our asset coverage per unit computation pursuant to exemptive relief received from the SEC in June 2011.</w:t>
      </w:r>
    </w:p>
    <w:p>
      <w:pPr>
        <w:ind w:left="380" w:hanging="372"/>
        <w:spacing w:after="0" w:line="237" w:lineRule="auto"/>
        <w:tabs>
          <w:tab w:leader="none" w:pos="380" w:val="left"/>
        </w:tabs>
        <w:numPr>
          <w:ilvl w:val="0"/>
          <w:numId w:val="67"/>
        </w:numPr>
        <w:rPr>
          <w:rFonts w:ascii="Arial" w:cs="Arial" w:eastAsia="Arial" w:hAnsi="Arial"/>
          <w:sz w:val="12"/>
          <w:szCs w:val="12"/>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which were issued in increments of $25 per unit. On June 29, 2017, the 2025 Notes were redeemed in full and no amounts were outstanding as of September 30, 2018.</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DEBT</w:t>
      </w:r>
    </w:p>
    <w:p>
      <w:pPr>
        <w:spacing w:after="0" w:line="140"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The annualized weighted average cost of debt for the years ended September 30, 2018, 2017 and 2016, inclusive of the fee on the undrawn commitment and amendment costs on the Credit Facility, amortized upfront fees on SBA debentures and debt issuance costs, was 4.52%, 5.04% and 4.35%, respectively. As of September 30, 2018, in accordance with the 1940 Act, with certain limited exceptions, we are only allowed to borrow amounts such that we are in compliance with a 200% asset coverage ratio requirement after such borrowing, excluding SBA debentures, pursuant to exemptive relief from the SEC received in June 2011.</w:t>
      </w:r>
    </w:p>
    <w:p>
      <w:pPr>
        <w:spacing w:after="0" w:line="117" w:lineRule="exact"/>
        <w:rPr>
          <w:sz w:val="20"/>
          <w:szCs w:val="20"/>
          <w:color w:val="auto"/>
        </w:rPr>
      </w:pPr>
    </w:p>
    <w:p>
      <w:pPr>
        <w:ind w:right="100" w:firstLine="438"/>
        <w:spacing w:after="0" w:line="277" w:lineRule="auto"/>
        <w:rPr>
          <w:sz w:val="20"/>
          <w:szCs w:val="20"/>
          <w:color w:val="auto"/>
        </w:rPr>
      </w:pPr>
      <w:r>
        <w:rPr>
          <w:rFonts w:ascii="Arial" w:cs="Arial" w:eastAsia="Arial" w:hAnsi="Arial"/>
          <w:sz w:val="12"/>
          <w:szCs w:val="12"/>
          <w:color w:val="auto"/>
        </w:rPr>
        <w:t>On November 13, 2018, our board of directors approved the application of the modified asset coverage requirements set forth in Section 61(a)(2) of the 1940 Act, as amended by the Consolidated Appropriations Act of 2018 (which includes the SBCAA). Our board of directors also authorized the submission of a proposal for stockholders to accelerate the application of the 150% minimum asset coverage ratio to us at the 2019 annual meeting of stockholders. As a result, the asset coverage requirements applicable to us for senior securities will be reduced from 200% to 150%, effective as of November 13, 2019 (or earlier if our stockholders approve the proposal to accelerate the application of the reduced asset coverage requirements to us), subject to compliance with certain disclosure requirements. As of September 30, 2018 and 2017, our asset coverage ratio, as computed in accordance with the 1940 Act, was 291% and 295%,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36" w:lineRule="exact"/>
        <w:rPr>
          <w:sz w:val="20"/>
          <w:szCs w:val="20"/>
          <w:color w:val="auto"/>
        </w:rPr>
      </w:pPr>
    </w:p>
    <w:p>
      <w:pPr>
        <w:ind w:right="40" w:firstLine="438"/>
        <w:spacing w:after="0" w:line="251" w:lineRule="auto"/>
        <w:rPr>
          <w:sz w:val="20"/>
          <w:szCs w:val="20"/>
          <w:color w:val="auto"/>
        </w:rPr>
      </w:pPr>
      <w:r>
        <w:rPr>
          <w:rFonts w:ascii="Arial" w:cs="Arial" w:eastAsia="Arial" w:hAnsi="Arial"/>
          <w:sz w:val="13"/>
          <w:szCs w:val="13"/>
          <w:color w:val="auto"/>
        </w:rPr>
        <w:t>As of September 30, 2018, we had a $445 million multi-currency Credit Facility with certain lenders and SunTrust Bank, acting as administrative agent, and JPMorgan Chase Bank, N.A., acting as syndication agent for the lenders. As of September 30, 2018 and 2017, we had $80.5 million (including a $2.0 million temporary draw) and $79.4 million, respectively, in outstanding borrowings under the Credit Facility. The Credit Facility had a weighted average interest rate of 3.79% and 2.42%, respectively, exclusive of the fee on undrawn commitments of 0.375%, as of September 30, 2018 and 2017. The Credit Facility is a five-year revolving facility with a stated maturity date of May 25, 2022, a one-year term-out period following its fourth year and pricing set at 225 basis points over LIBOR. The Credit Facility is secured by substantially all of our assets excluding assets held by our SBIC Funds.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123" w:lineRule="exact"/>
        <w:rPr>
          <w:sz w:val="20"/>
          <w:szCs w:val="20"/>
          <w:color w:val="auto"/>
        </w:rPr>
      </w:pPr>
    </w:p>
    <w:p>
      <w:pPr>
        <w:ind w:right="100" w:firstLine="438"/>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$30.0 million as of September 30, 2018. We have funded SBIC II with $75.0 million of equity capital and it had SBA debentures outstanding of $150.0 million as of September 30, 2018.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$350.0 million in the aggregate.</w:t>
      </w:r>
    </w:p>
    <w:p>
      <w:pPr>
        <w:spacing w:after="0" w:line="118"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As of September 30, 2018 and 2017, our SBIC Funds had $300.0 million in debt commitments, respectively, of which $180.0 million and $199.0 million was drawn, respectively. As of both September 30, 2018 and 2017, the unamortized fees on the SBA debentures was $4.6 million. The SBA debentures’ upfront fees of 3.43% consist of a commitment fee of 1.00% and an issuance discount of 2.43%, which are being amortized.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ind w:left="440"/>
              <w:spacing w:after="0"/>
              <w:rPr>
                <w:sz w:val="20"/>
                <w:szCs w:val="20"/>
                <w:color w:val="auto"/>
              </w:rPr>
            </w:pPr>
            <w:r>
              <w:rPr>
                <w:rFonts w:ascii="Arial" w:cs="Arial" w:eastAsia="Arial" w:hAnsi="Arial"/>
                <w:sz w:val="14"/>
                <w:szCs w:val="14"/>
                <w:color w:val="auto"/>
              </w:rPr>
              <w:t>Our fixed-rate SBA debentures were as follows:</w:t>
            </w:r>
          </w:p>
        </w:tc>
        <w:tc>
          <w:tcPr>
            <w:tcW w:w="2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72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tcPr>
          <w:p>
            <w:pPr>
              <w:spacing w:after="0"/>
              <w:rPr>
                <w:sz w:val="23"/>
                <w:szCs w:val="23"/>
                <w:color w:val="auto"/>
              </w:rPr>
            </w:pPr>
          </w:p>
        </w:tc>
        <w:tc>
          <w:tcPr>
            <w:tcW w:w="226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40" w:type="dxa"/>
            <w:vAlign w:val="bottom"/>
            <w:vMerge w:val="restart"/>
          </w:tcPr>
          <w:p>
            <w:pPr>
              <w:spacing w:after="0"/>
              <w:rPr>
                <w:sz w:val="23"/>
                <w:szCs w:val="23"/>
                <w:color w:val="auto"/>
              </w:rPr>
            </w:pPr>
          </w:p>
        </w:tc>
        <w:tc>
          <w:tcPr>
            <w:tcW w:w="21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380" w:type="dxa"/>
            <w:vAlign w:val="bottom"/>
            <w:vMerge w:val="restart"/>
          </w:tcPr>
          <w:p>
            <w:pPr>
              <w:spacing w:after="0"/>
              <w:rPr>
                <w:sz w:val="23"/>
                <w:szCs w:val="23"/>
                <w:color w:val="auto"/>
              </w:rPr>
            </w:pPr>
          </w:p>
        </w:tc>
        <w:tc>
          <w:tcPr>
            <w:tcW w:w="180" w:type="dxa"/>
            <w:vAlign w:val="bottom"/>
          </w:tcPr>
          <w:p>
            <w:pPr>
              <w:spacing w:after="0"/>
              <w:rPr>
                <w:sz w:val="23"/>
                <w:szCs w:val="23"/>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 September 30, 2018</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C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Principal Balance</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21, 2011</w:t>
            </w:r>
          </w:p>
        </w:tc>
        <w:tc>
          <w:tcPr>
            <w:tcW w:w="240" w:type="dxa"/>
            <w:vAlign w:val="bottom"/>
            <w:shd w:val="clear" w:color="auto" w:fill="CCECFF"/>
          </w:tcPr>
          <w:p>
            <w:pPr>
              <w:spacing w:after="0"/>
              <w:rPr>
                <w:sz w:val="13"/>
                <w:szCs w:val="13"/>
                <w:color w:val="auto"/>
              </w:rPr>
            </w:pPr>
          </w:p>
        </w:tc>
        <w:tc>
          <w:tcPr>
            <w:tcW w:w="2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1, 2021</w:t>
            </w:r>
          </w:p>
        </w:tc>
        <w:tc>
          <w:tcPr>
            <w:tcW w:w="240" w:type="dxa"/>
            <w:vAlign w:val="bottom"/>
            <w:shd w:val="clear" w:color="auto" w:fill="CCECFF"/>
          </w:tcPr>
          <w:p>
            <w:pPr>
              <w:spacing w:after="0"/>
              <w:rPr>
                <w:sz w:val="13"/>
                <w:szCs w:val="13"/>
                <w:color w:val="auto"/>
              </w:rPr>
            </w:pPr>
          </w:p>
        </w:tc>
        <w:tc>
          <w:tcPr>
            <w:tcW w:w="252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3.35%</w:t>
            </w:r>
          </w:p>
        </w:tc>
        <w:tc>
          <w:tcPr>
            <w:tcW w:w="180" w:type="dxa"/>
            <w:vAlign w:val="bottom"/>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30,000,000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March 23, 2016</w:t>
            </w:r>
          </w:p>
        </w:tc>
        <w:tc>
          <w:tcPr>
            <w:tcW w:w="2740" w:type="dxa"/>
            <w:vAlign w:val="bottom"/>
            <w:gridSpan w:val="3"/>
          </w:tcPr>
          <w:p>
            <w:pPr>
              <w:ind w:left="240"/>
              <w:spacing w:after="0"/>
              <w:rPr>
                <w:sz w:val="20"/>
                <w:szCs w:val="20"/>
                <w:color w:val="auto"/>
              </w:rPr>
            </w:pPr>
            <w:r>
              <w:rPr>
                <w:rFonts w:ascii="Arial" w:cs="Arial" w:eastAsia="Arial" w:hAnsi="Arial"/>
                <w:sz w:val="14"/>
                <w:szCs w:val="14"/>
                <w:color w:val="auto"/>
              </w:rPr>
              <w:t>March 1, 2026</w:t>
            </w:r>
          </w:p>
        </w:tc>
        <w:tc>
          <w:tcPr>
            <w:tcW w:w="2140" w:type="dxa"/>
            <w:vAlign w:val="bottom"/>
          </w:tcPr>
          <w:p>
            <w:pPr>
              <w:ind w:left="1860"/>
              <w:spacing w:after="0"/>
              <w:rPr>
                <w:sz w:val="20"/>
                <w:szCs w:val="20"/>
                <w:color w:val="auto"/>
              </w:rPr>
            </w:pPr>
            <w:r>
              <w:rPr>
                <w:rFonts w:ascii="Arial" w:cs="Arial" w:eastAsia="Arial" w:hAnsi="Arial"/>
                <w:sz w:val="14"/>
                <w:szCs w:val="14"/>
                <w:color w:val="auto"/>
                <w:w w:val="95"/>
              </w:rPr>
              <w:t>2.86</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22,500,000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740" w:type="dxa"/>
            <w:vAlign w:val="bottom"/>
            <w:gridSpan w:val="3"/>
            <w:shd w:val="clear" w:color="auto" w:fill="CCECFF"/>
          </w:tcPr>
          <w:p>
            <w:pPr>
              <w:ind w:left="240"/>
              <w:spacing w:after="0"/>
              <w:rPr>
                <w:sz w:val="20"/>
                <w:szCs w:val="20"/>
                <w:color w:val="auto"/>
              </w:rPr>
            </w:pPr>
            <w:r>
              <w:rPr>
                <w:rFonts w:ascii="Arial" w:cs="Arial" w:eastAsia="Arial" w:hAnsi="Arial"/>
                <w:sz w:val="14"/>
                <w:szCs w:val="14"/>
                <w:color w:val="auto"/>
              </w:rPr>
              <w:t>September 1, 2026</w:t>
            </w:r>
          </w:p>
        </w:tc>
        <w:tc>
          <w:tcPr>
            <w:tcW w:w="214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5"/>
              </w:rPr>
              <w:t>2.41</w:t>
            </w:r>
          </w:p>
        </w:tc>
        <w:tc>
          <w:tcPr>
            <w:tcW w:w="3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September 20, 2017</w:t>
            </w:r>
          </w:p>
        </w:tc>
        <w:tc>
          <w:tcPr>
            <w:tcW w:w="2740" w:type="dxa"/>
            <w:vAlign w:val="bottom"/>
            <w:gridSpan w:val="3"/>
          </w:tcPr>
          <w:p>
            <w:pPr>
              <w:ind w:left="240"/>
              <w:spacing w:after="0"/>
              <w:rPr>
                <w:sz w:val="20"/>
                <w:szCs w:val="20"/>
                <w:color w:val="auto"/>
              </w:rPr>
            </w:pPr>
            <w:r>
              <w:rPr>
                <w:rFonts w:ascii="Arial" w:cs="Arial" w:eastAsia="Arial" w:hAnsi="Arial"/>
                <w:sz w:val="14"/>
                <w:szCs w:val="14"/>
                <w:color w:val="auto"/>
              </w:rPr>
              <w:t>September 1, 2027</w:t>
            </w:r>
          </w:p>
        </w:tc>
        <w:tc>
          <w:tcPr>
            <w:tcW w:w="2140" w:type="dxa"/>
            <w:vAlign w:val="bottom"/>
          </w:tcPr>
          <w:p>
            <w:pPr>
              <w:ind w:left="1860"/>
              <w:spacing w:after="0"/>
              <w:rPr>
                <w:sz w:val="20"/>
                <w:szCs w:val="20"/>
                <w:color w:val="auto"/>
              </w:rPr>
            </w:pPr>
            <w:r>
              <w:rPr>
                <w:rFonts w:ascii="Arial" w:cs="Arial" w:eastAsia="Arial" w:hAnsi="Arial"/>
                <w:sz w:val="14"/>
                <w:szCs w:val="14"/>
                <w:color w:val="auto"/>
                <w:w w:val="95"/>
              </w:rPr>
              <w:t>2.87</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31,500,000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CFF"/>
          </w:tcPr>
          <w:p>
            <w:pPr>
              <w:spacing w:after="0"/>
              <w:rPr>
                <w:sz w:val="20"/>
                <w:szCs w:val="20"/>
                <w:color w:val="auto"/>
              </w:rPr>
            </w:pPr>
            <w:r>
              <w:rPr>
                <w:rFonts w:ascii="Arial" w:cs="Arial" w:eastAsia="Arial" w:hAnsi="Arial"/>
                <w:sz w:val="14"/>
                <w:szCs w:val="14"/>
                <w:color w:val="auto"/>
              </w:rPr>
              <w:t>March 21, 2018</w:t>
            </w:r>
          </w:p>
        </w:tc>
        <w:tc>
          <w:tcPr>
            <w:tcW w:w="2740" w:type="dxa"/>
            <w:vAlign w:val="bottom"/>
            <w:gridSpan w:val="3"/>
            <w:shd w:val="clear" w:color="auto" w:fill="CCECFF"/>
          </w:tcPr>
          <w:p>
            <w:pPr>
              <w:ind w:left="240"/>
              <w:spacing w:after="0"/>
              <w:rPr>
                <w:sz w:val="20"/>
                <w:szCs w:val="20"/>
                <w:color w:val="auto"/>
              </w:rPr>
            </w:pPr>
            <w:r>
              <w:rPr>
                <w:rFonts w:ascii="Arial" w:cs="Arial" w:eastAsia="Arial" w:hAnsi="Arial"/>
                <w:sz w:val="14"/>
                <w:szCs w:val="14"/>
                <w:color w:val="auto"/>
              </w:rPr>
              <w:t>March 1, 2028</w:t>
            </w:r>
          </w:p>
        </w:tc>
        <w:tc>
          <w:tcPr>
            <w:tcW w:w="2140" w:type="dxa"/>
            <w:vAlign w:val="bottom"/>
            <w:tcBorders>
              <w:bottom w:val="single" w:sz="8" w:color="auto"/>
            </w:tcBorders>
            <w:shd w:val="clear" w:color="auto" w:fill="CCECFF"/>
          </w:tcPr>
          <w:p>
            <w:pPr>
              <w:ind w:left="1860"/>
              <w:spacing w:after="0"/>
              <w:rPr>
                <w:sz w:val="20"/>
                <w:szCs w:val="20"/>
                <w:color w:val="auto"/>
              </w:rPr>
            </w:pPr>
            <w:r>
              <w:rPr>
                <w:rFonts w:ascii="Arial" w:cs="Arial" w:eastAsia="Arial" w:hAnsi="Arial"/>
                <w:sz w:val="14"/>
                <w:szCs w:val="14"/>
                <w:color w:val="auto"/>
                <w:w w:val="95"/>
              </w:rPr>
              <w:t>3.53</w:t>
            </w:r>
          </w:p>
        </w:tc>
        <w:tc>
          <w:tcPr>
            <w:tcW w:w="38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1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20" w:type="dxa"/>
            <w:vAlign w:val="bottom"/>
            <w:gridSpan w:val="2"/>
          </w:tcPr>
          <w:p>
            <w:pPr>
              <w:ind w:left="1860"/>
              <w:spacing w:after="0" w:line="155" w:lineRule="exact"/>
              <w:rPr>
                <w:sz w:val="20"/>
                <w:szCs w:val="20"/>
                <w:color w:val="auto"/>
              </w:rPr>
            </w:pPr>
            <w:r>
              <w:rPr>
                <w:rFonts w:ascii="Arial" w:cs="Arial" w:eastAsia="Arial" w:hAnsi="Arial"/>
                <w:sz w:val="14"/>
                <w:szCs w:val="14"/>
                <w:color w:val="auto"/>
              </w:rPr>
              <w:t>3.15%</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960" w:type="dxa"/>
            <w:vAlign w:val="bottom"/>
          </w:tcPr>
          <w:p>
            <w:pPr>
              <w:jc w:val="right"/>
              <w:spacing w:after="0" w:line="155" w:lineRule="exact"/>
              <w:rPr>
                <w:sz w:val="20"/>
                <w:szCs w:val="20"/>
                <w:color w:val="auto"/>
              </w:rPr>
            </w:pPr>
            <w:r>
              <w:rPr>
                <w:rFonts w:ascii="Arial" w:cs="Arial" w:eastAsia="Arial" w:hAnsi="Arial"/>
                <w:sz w:val="14"/>
                <w:szCs w:val="14"/>
                <w:color w:val="auto"/>
              </w:rPr>
              <w:t>180,000,000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72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tcPr>
          <w:p>
            <w:pPr>
              <w:spacing w:after="0"/>
              <w:rPr>
                <w:sz w:val="24"/>
                <w:szCs w:val="24"/>
                <w:color w:val="auto"/>
              </w:rPr>
            </w:pPr>
          </w:p>
        </w:tc>
        <w:tc>
          <w:tcPr>
            <w:tcW w:w="226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40" w:type="dxa"/>
            <w:vAlign w:val="bottom"/>
            <w:vMerge w:val="restart"/>
          </w:tcPr>
          <w:p>
            <w:pPr>
              <w:spacing w:after="0"/>
              <w:rPr>
                <w:sz w:val="24"/>
                <w:szCs w:val="24"/>
                <w:color w:val="auto"/>
              </w:rPr>
            </w:pPr>
          </w:p>
        </w:tc>
        <w:tc>
          <w:tcPr>
            <w:tcW w:w="21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38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 September 30, 2017</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C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Principal Balance</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29, 2011</w:t>
            </w:r>
          </w:p>
        </w:tc>
        <w:tc>
          <w:tcPr>
            <w:tcW w:w="240" w:type="dxa"/>
            <w:vAlign w:val="bottom"/>
            <w:shd w:val="clear" w:color="auto" w:fill="CCECFF"/>
          </w:tcPr>
          <w:p>
            <w:pPr>
              <w:spacing w:after="0"/>
              <w:rPr>
                <w:sz w:val="13"/>
                <w:szCs w:val="13"/>
                <w:color w:val="auto"/>
              </w:rPr>
            </w:pPr>
          </w:p>
        </w:tc>
        <w:tc>
          <w:tcPr>
            <w:tcW w:w="2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2021</w:t>
            </w:r>
          </w:p>
        </w:tc>
        <w:tc>
          <w:tcPr>
            <w:tcW w:w="240" w:type="dxa"/>
            <w:vAlign w:val="bottom"/>
            <w:shd w:val="clear" w:color="auto" w:fill="CCECFF"/>
          </w:tcPr>
          <w:p>
            <w:pPr>
              <w:spacing w:after="0"/>
              <w:rPr>
                <w:sz w:val="13"/>
                <w:szCs w:val="13"/>
                <w:color w:val="auto"/>
              </w:rPr>
            </w:pPr>
          </w:p>
        </w:tc>
        <w:tc>
          <w:tcPr>
            <w:tcW w:w="252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4.37%</w:t>
            </w:r>
          </w:p>
        </w:tc>
        <w:tc>
          <w:tcPr>
            <w:tcW w:w="180" w:type="dxa"/>
            <w:vAlign w:val="bottom"/>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15,000,000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September 21, 2011</w:t>
            </w:r>
          </w:p>
        </w:tc>
        <w:tc>
          <w:tcPr>
            <w:tcW w:w="2740" w:type="dxa"/>
            <w:vAlign w:val="bottom"/>
            <w:gridSpan w:val="3"/>
          </w:tcPr>
          <w:p>
            <w:pPr>
              <w:ind w:left="240"/>
              <w:spacing w:after="0"/>
              <w:rPr>
                <w:sz w:val="20"/>
                <w:szCs w:val="20"/>
                <w:color w:val="auto"/>
              </w:rPr>
            </w:pPr>
            <w:r>
              <w:rPr>
                <w:rFonts w:ascii="Arial" w:cs="Arial" w:eastAsia="Arial" w:hAnsi="Arial"/>
                <w:sz w:val="14"/>
                <w:szCs w:val="14"/>
                <w:color w:val="auto"/>
              </w:rPr>
              <w:t>September 1, 2021</w:t>
            </w:r>
          </w:p>
        </w:tc>
        <w:tc>
          <w:tcPr>
            <w:tcW w:w="2140" w:type="dxa"/>
            <w:vAlign w:val="bottom"/>
          </w:tcPr>
          <w:p>
            <w:pPr>
              <w:ind w:left="1860"/>
              <w:spacing w:after="0"/>
              <w:rPr>
                <w:sz w:val="20"/>
                <w:szCs w:val="20"/>
                <w:color w:val="auto"/>
              </w:rPr>
            </w:pPr>
            <w:r>
              <w:rPr>
                <w:rFonts w:ascii="Arial" w:cs="Arial" w:eastAsia="Arial" w:hAnsi="Arial"/>
                <w:sz w:val="14"/>
                <w:szCs w:val="14"/>
                <w:color w:val="auto"/>
                <w:w w:val="95"/>
              </w:rPr>
              <w:t>3.38</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105,000,000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CFF"/>
          </w:tcPr>
          <w:p>
            <w:pPr>
              <w:spacing w:after="0"/>
              <w:rPr>
                <w:sz w:val="20"/>
                <w:szCs w:val="20"/>
                <w:color w:val="auto"/>
              </w:rPr>
            </w:pPr>
            <w:r>
              <w:rPr>
                <w:rFonts w:ascii="Arial" w:cs="Arial" w:eastAsia="Arial" w:hAnsi="Arial"/>
                <w:sz w:val="14"/>
                <w:szCs w:val="14"/>
                <w:color w:val="auto"/>
              </w:rPr>
              <w:t>March 23, 2016</w:t>
            </w:r>
          </w:p>
        </w:tc>
        <w:tc>
          <w:tcPr>
            <w:tcW w:w="2740" w:type="dxa"/>
            <w:vAlign w:val="bottom"/>
            <w:gridSpan w:val="3"/>
            <w:shd w:val="clear" w:color="auto" w:fill="CCECFF"/>
          </w:tcPr>
          <w:p>
            <w:pPr>
              <w:ind w:left="240"/>
              <w:spacing w:after="0"/>
              <w:rPr>
                <w:sz w:val="20"/>
                <w:szCs w:val="20"/>
                <w:color w:val="auto"/>
              </w:rPr>
            </w:pPr>
            <w:r>
              <w:rPr>
                <w:rFonts w:ascii="Arial" w:cs="Arial" w:eastAsia="Arial" w:hAnsi="Arial"/>
                <w:sz w:val="14"/>
                <w:szCs w:val="14"/>
                <w:color w:val="auto"/>
              </w:rPr>
              <w:t>March 1, 2026</w:t>
            </w:r>
          </w:p>
        </w:tc>
        <w:tc>
          <w:tcPr>
            <w:tcW w:w="2140" w:type="dxa"/>
            <w:vAlign w:val="bottom"/>
            <w:shd w:val="clear" w:color="auto" w:fill="CCECFF"/>
          </w:tcPr>
          <w:p>
            <w:pPr>
              <w:ind w:left="1860"/>
              <w:spacing w:after="0"/>
              <w:rPr>
                <w:sz w:val="20"/>
                <w:szCs w:val="20"/>
                <w:color w:val="auto"/>
              </w:rPr>
            </w:pPr>
            <w:r>
              <w:rPr>
                <w:rFonts w:ascii="Arial" w:cs="Arial" w:eastAsia="Arial" w:hAnsi="Arial"/>
                <w:sz w:val="14"/>
                <w:szCs w:val="14"/>
                <w:color w:val="auto"/>
                <w:w w:val="95"/>
              </w:rPr>
              <w:t>2.86</w:t>
            </w:r>
          </w:p>
        </w:tc>
        <w:tc>
          <w:tcPr>
            <w:tcW w:w="3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22,500,000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September 21, 2016</w:t>
            </w:r>
          </w:p>
        </w:tc>
        <w:tc>
          <w:tcPr>
            <w:tcW w:w="2740" w:type="dxa"/>
            <w:vAlign w:val="bottom"/>
            <w:gridSpan w:val="3"/>
          </w:tcPr>
          <w:p>
            <w:pPr>
              <w:ind w:left="240"/>
              <w:spacing w:after="0"/>
              <w:rPr>
                <w:sz w:val="20"/>
                <w:szCs w:val="20"/>
                <w:color w:val="auto"/>
              </w:rPr>
            </w:pPr>
            <w:r>
              <w:rPr>
                <w:rFonts w:ascii="Arial" w:cs="Arial" w:eastAsia="Arial" w:hAnsi="Arial"/>
                <w:sz w:val="14"/>
                <w:szCs w:val="14"/>
                <w:color w:val="auto"/>
              </w:rPr>
              <w:t>September 1, 2026</w:t>
            </w:r>
          </w:p>
        </w:tc>
        <w:tc>
          <w:tcPr>
            <w:tcW w:w="2140" w:type="dxa"/>
            <w:vAlign w:val="bottom"/>
          </w:tcPr>
          <w:p>
            <w:pPr>
              <w:ind w:left="1860"/>
              <w:spacing w:after="0"/>
              <w:rPr>
                <w:sz w:val="20"/>
                <w:szCs w:val="20"/>
                <w:color w:val="auto"/>
              </w:rPr>
            </w:pPr>
            <w:r>
              <w:rPr>
                <w:rFonts w:ascii="Arial" w:cs="Arial" w:eastAsia="Arial" w:hAnsi="Arial"/>
                <w:sz w:val="14"/>
                <w:szCs w:val="14"/>
                <w:color w:val="auto"/>
                <w:w w:val="95"/>
              </w:rPr>
              <w:t>2.41</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740" w:type="dxa"/>
            <w:vAlign w:val="bottom"/>
            <w:gridSpan w:val="3"/>
            <w:shd w:val="clear" w:color="auto" w:fill="CCECFF"/>
          </w:tcPr>
          <w:p>
            <w:pPr>
              <w:ind w:left="240"/>
              <w:spacing w:after="0"/>
              <w:rPr>
                <w:sz w:val="20"/>
                <w:szCs w:val="20"/>
                <w:color w:val="auto"/>
              </w:rPr>
            </w:pPr>
            <w:r>
              <w:rPr>
                <w:rFonts w:ascii="Arial" w:cs="Arial" w:eastAsia="Arial" w:hAnsi="Arial"/>
                <w:sz w:val="14"/>
                <w:szCs w:val="14"/>
                <w:color w:val="auto"/>
              </w:rPr>
              <w:t>September 1, 2027</w:t>
            </w:r>
          </w:p>
        </w:tc>
        <w:tc>
          <w:tcPr>
            <w:tcW w:w="2140" w:type="dxa"/>
            <w:vAlign w:val="bottom"/>
            <w:tcBorders>
              <w:bottom w:val="single" w:sz="8" w:color="auto"/>
            </w:tcBorders>
            <w:shd w:val="clear" w:color="auto" w:fill="CCECFF"/>
          </w:tcPr>
          <w:p>
            <w:pPr>
              <w:ind w:left="1860"/>
              <w:spacing w:after="0"/>
              <w:rPr>
                <w:sz w:val="20"/>
                <w:szCs w:val="20"/>
                <w:color w:val="auto"/>
              </w:rPr>
            </w:pPr>
            <w:r>
              <w:rPr>
                <w:rFonts w:ascii="Arial" w:cs="Arial" w:eastAsia="Arial" w:hAnsi="Arial"/>
                <w:sz w:val="14"/>
                <w:szCs w:val="14"/>
                <w:color w:val="auto"/>
                <w:w w:val="95"/>
              </w:rPr>
              <w:t>2.87</w:t>
            </w:r>
          </w:p>
        </w:tc>
        <w:tc>
          <w:tcPr>
            <w:tcW w:w="380" w:type="dxa"/>
            <w:vAlign w:val="bottom"/>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spacing w:after="0"/>
              <w:rPr>
                <w:sz w:val="14"/>
                <w:szCs w:val="14"/>
                <w:color w:val="auto"/>
              </w:rPr>
            </w:pPr>
          </w:p>
        </w:tc>
        <w:tc>
          <w:tcPr>
            <w:tcW w:w="1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20" w:type="dxa"/>
            <w:vAlign w:val="bottom"/>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20" w:type="dxa"/>
            <w:vAlign w:val="bottom"/>
            <w:gridSpan w:val="2"/>
          </w:tcPr>
          <w:p>
            <w:pPr>
              <w:ind w:left="1860"/>
              <w:spacing w:after="0" w:line="155" w:lineRule="exact"/>
              <w:rPr>
                <w:sz w:val="20"/>
                <w:szCs w:val="20"/>
                <w:color w:val="auto"/>
              </w:rPr>
            </w:pPr>
            <w:r>
              <w:rPr>
                <w:rFonts w:ascii="Arial" w:cs="Arial" w:eastAsia="Arial" w:hAnsi="Arial"/>
                <w:sz w:val="14"/>
                <w:szCs w:val="14"/>
                <w:color w:val="auto"/>
              </w:rPr>
              <w:t>3.19%</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960" w:type="dxa"/>
            <w:vAlign w:val="bottom"/>
          </w:tcPr>
          <w:p>
            <w:pPr>
              <w:jc w:val="right"/>
              <w:spacing w:after="0" w:line="155" w:lineRule="exact"/>
              <w:rPr>
                <w:sz w:val="20"/>
                <w:szCs w:val="20"/>
                <w:color w:val="auto"/>
              </w:rPr>
            </w:pPr>
            <w:r>
              <w:rPr>
                <w:rFonts w:ascii="Arial" w:cs="Arial" w:eastAsia="Arial" w:hAnsi="Arial"/>
                <w:sz w:val="14"/>
                <w:szCs w:val="14"/>
                <w:color w:val="auto"/>
              </w:rPr>
              <w:t>199,000,000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3455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64" w:lineRule="exact"/>
        <w:rPr>
          <w:sz w:val="20"/>
          <w:szCs w:val="20"/>
          <w:color w:val="auto"/>
        </w:rPr>
      </w:pPr>
    </w:p>
    <w:p>
      <w:pPr>
        <w:ind w:left="380" w:hanging="372"/>
        <w:spacing w:after="0"/>
        <w:tabs>
          <w:tab w:leader="none" w:pos="380" w:val="left"/>
        </w:tabs>
        <w:numPr>
          <w:ilvl w:val="0"/>
          <w:numId w:val="68"/>
        </w:numPr>
        <w:rPr>
          <w:rFonts w:ascii="Arial" w:cs="Arial" w:eastAsia="Arial" w:hAnsi="Arial"/>
          <w:sz w:val="12"/>
          <w:szCs w:val="12"/>
          <w:color w:val="auto"/>
        </w:rPr>
      </w:pPr>
      <w:r>
        <w:rPr>
          <w:rFonts w:ascii="Arial" w:cs="Arial" w:eastAsia="Arial" w:hAnsi="Arial"/>
          <w:sz w:val="14"/>
          <w:szCs w:val="14"/>
          <w:color w:val="auto"/>
        </w:rPr>
        <w:t>Excluding 3.43% of upfront fees.</w:t>
      </w:r>
    </w:p>
    <w:p>
      <w:pPr>
        <w:spacing w:after="0" w:line="136"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136"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As of September 30, 2018 and 2017,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123" w:lineRule="exact"/>
        <w:rPr>
          <w:sz w:val="20"/>
          <w:szCs w:val="20"/>
          <w:color w:val="auto"/>
        </w:rPr>
      </w:pPr>
    </w:p>
    <w:p>
      <w:pPr>
        <w:jc w:val="both"/>
        <w:ind w:right="200" w:firstLine="438"/>
        <w:spacing w:after="0" w:line="233" w:lineRule="auto"/>
        <w:rPr>
          <w:sz w:val="20"/>
          <w:szCs w:val="20"/>
          <w:color w:val="auto"/>
        </w:rPr>
      </w:pPr>
      <w:r>
        <w:rPr>
          <w:rFonts w:ascii="Arial" w:cs="Arial" w:eastAsia="Arial" w:hAnsi="Arial"/>
          <w:sz w:val="14"/>
          <w:szCs w:val="14"/>
          <w:color w:val="auto"/>
        </w:rPr>
        <w:t>On June 29, 2017, the 6.25% notes due 2025, or 2025 Notes, were redeemed in full and no amounts were outstanding as of September 30, 2018 or 2017. Interest on the 2025 Notes was paid quarterly on February 1, May 1, August 1 and November 1, at a rate of 6.25% per year. The 2025 Notes had been scheduled to mature on February 1, 2025. The 2025 Notes were general, unsecured obligations and ranked equal in right of payment with all of our senior unsecured indebtedness. The 2025 Notes were structurally subordinated to our SBA debentures and the assets pledged or secured under our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COMMITMENTS AND CONTINGENCIES</w:t>
      </w:r>
    </w:p>
    <w:p>
      <w:pPr>
        <w:spacing w:after="0" w:line="140"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September 30, 2018 and 2017, we had $60.6 million and $21.6 million, respectively, in commitments to fund investments. For the same periods, there were no letters of credit issued.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UNCONSOLIDATED SIGNIFICANT SUBSIDIARIES</w:t>
      </w:r>
    </w:p>
    <w:p>
      <w:pPr>
        <w:spacing w:after="0" w:line="127"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We must determine which, if any, of our unconsolidated controlled portfolio companies is a "significant subsidiary" within the meaning of Regulation S-X. Superior Digital Displays, LLC became a controlled affiliated investment as of December 31, 2013. We have determined that, as of September 30, 2018, Superior Digital Displays, LLC triggered at least one of the significance tests by 20%. As a result and in accordance with Rule 4-08(g) of Regulation S-K, presented below is summarized unaudited financial information for Superior Digital Displays, LLC as of September 30, 2018 and 2017 as well as for the year ended September 30, 2018, 2017 and 2016. In accordance with rule 3-09(b)(1), the separate audited financial statements of Superior Digital Displays, LLC are being filed herewith, as Exhibit 99.2.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20"/>
                <w:szCs w:val="20"/>
                <w:color w:val="auto"/>
              </w:rPr>
            </w:pPr>
            <w:r>
              <w:rPr>
                <w:rFonts w:ascii="Arial" w:cs="Arial" w:eastAsia="Arial" w:hAnsi="Arial"/>
                <w:sz w:val="14"/>
                <w:szCs w:val="14"/>
                <w:b w:val="1"/>
                <w:bCs w:val="1"/>
                <w:color w:val="auto"/>
              </w:rPr>
              <w:t xml:space="preserve">Balance Sheet </w:t>
            </w:r>
            <w:r>
              <w:rPr>
                <w:rFonts w:ascii="Arial" w:cs="Arial" w:eastAsia="Arial" w:hAnsi="Arial"/>
                <w:sz w:val="12"/>
                <w:szCs w:val="12"/>
                <w:b w:val="1"/>
                <w:bCs w:val="1"/>
                <w:color w:val="auto"/>
              </w:rPr>
              <w:t>(1)</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jc w:val="right"/>
              <w:ind w:right="568"/>
              <w:spacing w:after="0"/>
              <w:rPr>
                <w:sz w:val="20"/>
                <w:szCs w:val="20"/>
                <w:color w:val="auto"/>
              </w:rPr>
            </w:pPr>
            <w:r>
              <w:rPr>
                <w:rFonts w:ascii="Arial" w:cs="Arial" w:eastAsia="Arial" w:hAnsi="Arial"/>
                <w:sz w:val="14"/>
                <w:szCs w:val="14"/>
                <w:b w:val="1"/>
                <w:bCs w:val="1"/>
                <w:color w:val="auto"/>
              </w:rPr>
              <w:t>September 30, 2018</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2"/>
          </w:tcPr>
          <w:p>
            <w:pPr>
              <w:ind w:left="280"/>
              <w:spacing w:after="0"/>
              <w:rPr>
                <w:sz w:val="20"/>
                <w:szCs w:val="20"/>
                <w:color w:val="auto"/>
              </w:rPr>
            </w:pPr>
            <w:r>
              <w:rPr>
                <w:rFonts w:ascii="Arial" w:cs="Arial" w:eastAsia="Arial" w:hAnsi="Arial"/>
                <w:sz w:val="14"/>
                <w:szCs w:val="14"/>
                <w:b w:val="1"/>
                <w:bCs w:val="1"/>
                <w:color w:val="auto"/>
              </w:rPr>
              <w:t>September 30, 2017</w:t>
            </w:r>
          </w:p>
        </w:tc>
      </w:tr>
      <w:tr>
        <w:trPr>
          <w:trHeight w:val="155"/>
        </w:trPr>
        <w:tc>
          <w:tcPr>
            <w:tcW w:w="5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Current assets</w:t>
            </w:r>
          </w:p>
        </w:tc>
        <w:tc>
          <w:tcPr>
            <w:tcW w:w="2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2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1,033.7</w:t>
            </w:r>
          </w:p>
        </w:tc>
        <w:tc>
          <w:tcPr>
            <w:tcW w:w="38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2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712.0</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5560" w:type="dxa"/>
            <w:vAlign w:val="bottom"/>
          </w:tcPr>
          <w:p>
            <w:pPr>
              <w:spacing w:after="0"/>
              <w:rPr>
                <w:sz w:val="20"/>
                <w:szCs w:val="20"/>
                <w:color w:val="auto"/>
              </w:rPr>
            </w:pPr>
            <w:r>
              <w:rPr>
                <w:rFonts w:ascii="Arial" w:cs="Arial" w:eastAsia="Arial" w:hAnsi="Arial"/>
                <w:sz w:val="14"/>
                <w:szCs w:val="14"/>
                <w:color w:val="auto"/>
              </w:rPr>
              <w:t>Noncurrent assets</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6,663.1</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11,744.4</w:t>
            </w:r>
          </w:p>
        </w:tc>
        <w:tc>
          <w:tcPr>
            <w:tcW w:w="120" w:type="dxa"/>
            <w:vAlign w:val="bottom"/>
          </w:tcPr>
          <w:p>
            <w:pPr>
              <w:spacing w:after="0"/>
              <w:rPr>
                <w:sz w:val="14"/>
                <w:szCs w:val="14"/>
                <w:color w:val="auto"/>
              </w:rPr>
            </w:pPr>
          </w:p>
        </w:tc>
      </w:tr>
      <w:tr>
        <w:trPr>
          <w:trHeight w:val="162"/>
        </w:trPr>
        <w:tc>
          <w:tcPr>
            <w:tcW w:w="5560" w:type="dxa"/>
            <w:vAlign w:val="bottom"/>
            <w:shd w:val="clear" w:color="auto" w:fill="CCECFF"/>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1,206.7</w:t>
            </w:r>
          </w:p>
        </w:tc>
        <w:tc>
          <w:tcPr>
            <w:tcW w:w="38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2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1,261.4</w:t>
            </w:r>
          </w:p>
        </w:tc>
        <w:tc>
          <w:tcPr>
            <w:tcW w:w="120" w:type="dxa"/>
            <w:vAlign w:val="bottom"/>
            <w:shd w:val="clear" w:color="auto" w:fill="CCECFF"/>
          </w:tcPr>
          <w:p>
            <w:pPr>
              <w:spacing w:after="0"/>
              <w:rPr>
                <w:sz w:val="14"/>
                <w:szCs w:val="14"/>
                <w:color w:val="auto"/>
              </w:rPr>
            </w:pPr>
          </w:p>
        </w:tc>
      </w:tr>
      <w:tr>
        <w:trPr>
          <w:trHeight w:val="182"/>
        </w:trPr>
        <w:tc>
          <w:tcPr>
            <w:tcW w:w="5560" w:type="dxa"/>
            <w:vAlign w:val="bottom"/>
          </w:tcPr>
          <w:p>
            <w:pPr>
              <w:spacing w:after="0"/>
              <w:rPr>
                <w:sz w:val="20"/>
                <w:szCs w:val="20"/>
                <w:color w:val="auto"/>
              </w:rPr>
            </w:pPr>
            <w:r>
              <w:rPr>
                <w:rFonts w:ascii="Arial" w:cs="Arial" w:eastAsia="Arial" w:hAnsi="Arial"/>
                <w:sz w:val="14"/>
                <w:szCs w:val="14"/>
                <w:color w:val="auto"/>
              </w:rPr>
              <w:t>Noncurrent liabilities</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23,065.9</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28,755.0</w:t>
            </w:r>
          </w:p>
        </w:tc>
        <w:tc>
          <w:tcPr>
            <w:tcW w:w="120" w:type="dxa"/>
            <w:vAlign w:val="bottom"/>
          </w:tcPr>
          <w:p>
            <w:pPr>
              <w:spacing w:after="0"/>
              <w:rPr>
                <w:sz w:val="15"/>
                <w:szCs w:val="15"/>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Ended September 30,</w:t>
            </w: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62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jc w:val="right"/>
              <w:ind w:right="748"/>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jc w:val="right"/>
              <w:ind w:right="768"/>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jc w:val="right"/>
              <w:ind w:right="76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Total revenue</w:t>
            </w:r>
          </w:p>
        </w:tc>
        <w:tc>
          <w:tcPr>
            <w:tcW w:w="22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1,985.7</w:t>
            </w:r>
          </w:p>
        </w:tc>
        <w:tc>
          <w:tcPr>
            <w:tcW w:w="3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1,180.7</w:t>
            </w:r>
          </w:p>
        </w:tc>
        <w:tc>
          <w:tcPr>
            <w:tcW w:w="32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507.8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Total expenses</w:t>
            </w: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11,240.4</w:t>
            </w:r>
          </w:p>
        </w:tc>
        <w:tc>
          <w:tcPr>
            <w:tcW w:w="34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13,666.6</w:t>
            </w:r>
          </w:p>
        </w:tc>
        <w:tc>
          <w:tcPr>
            <w:tcW w:w="320" w:type="dxa"/>
            <w:vAlign w:val="bottom"/>
            <w:tcBorders>
              <w:bottom w:val="single" w:sz="8" w:color="CCEC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13,265.2</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20" w:type="dxa"/>
            <w:vAlign w:val="bottom"/>
            <w:tcBorders>
              <w:bottom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Net loss</w:t>
            </w:r>
          </w:p>
        </w:tc>
        <w:tc>
          <w:tcPr>
            <w:tcW w:w="460" w:type="dxa"/>
            <w:vAlign w:val="bottom"/>
            <w:tcBorders>
              <w:bottom w:val="single" w:sz="8" w:color="auto"/>
            </w:tcBorders>
            <w:shd w:val="clear" w:color="auto" w:fill="CCECFF"/>
          </w:tcPr>
          <w:p>
            <w:pPr>
              <w:spacing w:after="0"/>
              <w:rPr>
                <w:sz w:val="13"/>
                <w:szCs w:val="13"/>
                <w:color w:val="auto"/>
              </w:rPr>
            </w:pP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(9,254.7)</w:t>
            </w:r>
          </w:p>
        </w:tc>
        <w:tc>
          <w:tcPr>
            <w:tcW w:w="3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(12,485.9)</w:t>
            </w:r>
          </w:p>
        </w:tc>
        <w:tc>
          <w:tcPr>
            <w:tcW w:w="320" w:type="dxa"/>
            <w:vAlign w:val="bottom"/>
            <w:tcBorders>
              <w:bottom w:val="single" w:sz="8" w:color="CCECFF"/>
            </w:tcBorders>
            <w:shd w:val="clear" w:color="auto" w:fill="CCECFF"/>
          </w:tcPr>
          <w:p>
            <w:pPr>
              <w:spacing w:after="0"/>
              <w:rPr>
                <w:sz w:val="13"/>
                <w:szCs w:val="13"/>
                <w:color w:val="auto"/>
              </w:rPr>
            </w:pPr>
          </w:p>
        </w:tc>
        <w:tc>
          <w:tcPr>
            <w:tcW w:w="460" w:type="dxa"/>
            <w:vAlign w:val="bottom"/>
            <w:tcBorders>
              <w:bottom w:val="single" w:sz="8" w:color="auto"/>
            </w:tcBorders>
            <w:shd w:val="clear" w:color="auto" w:fill="CCECFF"/>
          </w:tcPr>
          <w:p>
            <w:pPr>
              <w:spacing w:after="0"/>
              <w:rPr>
                <w:sz w:val="13"/>
                <w:szCs w:val="13"/>
                <w:color w:val="auto"/>
              </w:rPr>
            </w:pP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(12,757.4)</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All amounts are in thousands and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STOCK REPURCHASE PROGRAM</w:t>
      </w:r>
    </w:p>
    <w:p>
      <w:pPr>
        <w:spacing w:after="0" w:line="140" w:lineRule="exact"/>
        <w:rPr>
          <w:sz w:val="20"/>
          <w:szCs w:val="20"/>
          <w:color w:val="auto"/>
        </w:rPr>
      </w:pPr>
    </w:p>
    <w:p>
      <w:pPr>
        <w:ind w:right="20" w:firstLine="438"/>
        <w:spacing w:after="0" w:line="251" w:lineRule="auto"/>
        <w:rPr>
          <w:sz w:val="20"/>
          <w:szCs w:val="20"/>
          <w:color w:val="auto"/>
        </w:rPr>
      </w:pPr>
      <w:r>
        <w:rPr>
          <w:rFonts w:ascii="Arial" w:cs="Arial" w:eastAsia="Arial" w:hAnsi="Arial"/>
          <w:sz w:val="13"/>
          <w:szCs w:val="13"/>
          <w:color w:val="auto"/>
        </w:rPr>
        <w:t>On May 9, 2018, we announced a share repurchase program which allows us to repurchase up to $30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For the years ended September 30, 2018, 2017 and 2016, we repurchased 2.0 million, zero and 1.9 million shares of common stock in open market transactions for an aggregate cost (including transaction costs) of $15.0 million, zero and $12.2 million,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SUBSEQUENT EVENTS</w:t>
      </w:r>
    </w:p>
    <w:p>
      <w:pPr>
        <w:spacing w:after="0" w:line="140" w:lineRule="exact"/>
        <w:rPr>
          <w:sz w:val="20"/>
          <w:szCs w:val="20"/>
          <w:color w:val="auto"/>
        </w:rPr>
      </w:pPr>
    </w:p>
    <w:p>
      <w:pPr>
        <w:ind w:right="120" w:firstLine="438"/>
        <w:spacing w:after="0" w:line="290" w:lineRule="auto"/>
        <w:rPr>
          <w:sz w:val="20"/>
          <w:szCs w:val="20"/>
          <w:color w:val="auto"/>
        </w:rPr>
      </w:pPr>
      <w:r>
        <w:rPr>
          <w:rFonts w:ascii="Arial" w:cs="Arial" w:eastAsia="Arial" w:hAnsi="Arial"/>
          <w:sz w:val="13"/>
          <w:szCs w:val="13"/>
          <w:color w:val="auto"/>
        </w:rPr>
        <w:t>On November 13, 2018, our board of directors authorized the Company to redeem $250.0 million outstanding aggregate principal amount of its 2019 Notes with a rate of 4.50% per year due October 1, 2019. The 2019 Notes will be prepaid at 100% of the principal amount, plus accrued and unpaid interest through the prepayment date, as well as a make-whole premium.</w:t>
      </w:r>
    </w:p>
    <w:p>
      <w:pPr>
        <w:spacing w:after="0" w:line="84" w:lineRule="exact"/>
        <w:rPr>
          <w:sz w:val="20"/>
          <w:szCs w:val="20"/>
          <w:color w:val="auto"/>
        </w:rPr>
      </w:pPr>
    </w:p>
    <w:p>
      <w:pPr>
        <w:ind w:right="100" w:firstLine="438"/>
        <w:spacing w:after="0" w:line="277" w:lineRule="auto"/>
        <w:rPr>
          <w:sz w:val="20"/>
          <w:szCs w:val="20"/>
          <w:color w:val="auto"/>
        </w:rPr>
      </w:pPr>
      <w:r>
        <w:rPr>
          <w:rFonts w:ascii="Arial" w:cs="Arial" w:eastAsia="Arial" w:hAnsi="Arial"/>
          <w:sz w:val="12"/>
          <w:szCs w:val="12"/>
          <w:color w:val="auto"/>
        </w:rPr>
        <w:t>On November 13, 2018, our board of directors approved the application of the modified asset coverage requirements set forth in Section 61(a)(2) of the 1940 Act, as amended by the Consolidated Appropriations Act of 2018 (which includes the SBCAA). Our board of directors also authorized the submission of a proposal for stockholders to accelerate the application of the 150% minimum asset coverage ratio to us at the 2019 annual meeting of stockholders. As a result, the asset coverage requirements applicable to us for senior securities will be reduced from 200% to 150%, effective as of November 13, 2019 (or earlier if our stockholders approve the proposal to accelerate the application of the reduced asset coverage requirements to us), subject to compliance with certain disclosure requirements. As of September 30, 2018 and 2017, our asset coverage ratio, as computed in accordance with the 1940 Act, was 291% and 295%, respectively.</w:t>
      </w:r>
    </w:p>
    <w:p>
      <w:pPr>
        <w:spacing w:after="0" w:line="95"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On November 13, 2018, our board of directors approved the reduction of the asset coverage requirement following the Company’s analysis of how the increased leverage flexibility could affect the Company’s strategic priorities and positive long-term value creation for shareholders, as well as an assessment of the associated risks and how they can be managed or mitigated. Our board of directors also approved an amendment to the Investment Advisory Agreement reducing the Investment Advisor’s annual base management fee from 1.50% to 1.00% on gross assets that exceed 200% of the Company’s total net assets as of the immediately preceding quarter-end.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4"/>
          <w:szCs w:val="14"/>
          <w:color w:val="auto"/>
        </w:rPr>
        <w:t>SUPPLEMENTARY DATA</w:t>
      </w:r>
    </w:p>
    <w:p>
      <w:pPr>
        <w:jc w:val="center"/>
        <w:spacing w:after="0" w:line="221" w:lineRule="auto"/>
        <w:rPr>
          <w:sz w:val="20"/>
          <w:szCs w:val="20"/>
          <w:color w:val="auto"/>
        </w:rPr>
      </w:pPr>
      <w:r>
        <w:rPr>
          <w:rFonts w:ascii="Arial" w:cs="Arial" w:eastAsia="Arial" w:hAnsi="Arial"/>
          <w:sz w:val="14"/>
          <w:szCs w:val="14"/>
          <w:color w:val="auto"/>
        </w:rPr>
        <w:t>Selected Quarterly Data (Unaudited)</w:t>
      </w:r>
    </w:p>
    <w:p>
      <w:pPr>
        <w:jc w:val="center"/>
        <w:spacing w:after="0"/>
        <w:rPr>
          <w:sz w:val="20"/>
          <w:szCs w:val="20"/>
          <w:color w:val="auto"/>
        </w:rPr>
      </w:pPr>
      <w:r>
        <w:rPr>
          <w:rFonts w:ascii="Arial" w:cs="Arial" w:eastAsia="Arial" w:hAnsi="Arial"/>
          <w:sz w:val="14"/>
          <w:szCs w:val="14"/>
          <w:color w:val="auto"/>
        </w:rPr>
        <w:t>(dollar amounts in thousands, except per share data)</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3"/>
                <w:szCs w:val="13"/>
                <w:color w:val="auto"/>
              </w:rPr>
            </w:pPr>
          </w:p>
        </w:tc>
        <w:tc>
          <w:tcPr>
            <w:tcW w:w="11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3"/>
                <w:szCs w:val="13"/>
                <w:color w:val="auto"/>
              </w:rPr>
            </w:pPr>
          </w:p>
        </w:tc>
        <w:tc>
          <w:tcPr>
            <w:tcW w:w="102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28"/>
              <w:spacing w:after="0" w:line="155"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3"/>
                <w:szCs w:val="13"/>
                <w:color w:val="auto"/>
              </w:rPr>
            </w:pPr>
          </w:p>
        </w:tc>
      </w:tr>
      <w:tr>
        <w:trPr>
          <w:trHeight w:val="156"/>
        </w:trPr>
        <w:tc>
          <w:tcPr>
            <w:tcW w:w="5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 income</w:t>
            </w: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27,624</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24,760</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27,226</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28,668</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investment income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13,975</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11,776</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13,415</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14,168</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realized and unrealized (loss) gain</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(1,502)</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5,134</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(7,380)</w:t>
            </w: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(1,873)</w:t>
            </w: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increase in net assets resulting from operations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12,473</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16,910</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6,035</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12,295</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increase in net assets resulting from operations per common share *</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0.18</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0.24</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0.08</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0.18</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asset value per share at the end of the quarter</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9.11</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9.09</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9.00</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9.10</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Market value per share at the end of the quarter</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7.46</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7.01</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6.68</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6.91</w:t>
            </w:r>
          </w:p>
        </w:tc>
        <w:tc>
          <w:tcPr>
            <w:tcW w:w="100" w:type="dxa"/>
            <w:vAlign w:val="bottom"/>
            <w:shd w:val="clear" w:color="auto" w:fill="CCECFF"/>
          </w:tcPr>
          <w:p>
            <w:pPr>
              <w:spacing w:after="0"/>
              <w:rPr>
                <w:sz w:val="14"/>
                <w:szCs w:val="1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3"/>
                <w:szCs w:val="13"/>
                <w:color w:val="auto"/>
              </w:rPr>
            </w:pPr>
          </w:p>
        </w:tc>
        <w:tc>
          <w:tcPr>
            <w:tcW w:w="11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3"/>
                <w:szCs w:val="13"/>
                <w:color w:val="auto"/>
              </w:rPr>
            </w:pPr>
          </w:p>
        </w:tc>
        <w:tc>
          <w:tcPr>
            <w:tcW w:w="102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28"/>
              <w:spacing w:after="0" w:line="155"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3"/>
                <w:szCs w:val="13"/>
                <w:color w:val="auto"/>
              </w:rPr>
            </w:pPr>
          </w:p>
        </w:tc>
      </w:tr>
      <w:tr>
        <w:trPr>
          <w:trHeight w:val="156"/>
        </w:trPr>
        <w:tc>
          <w:tcPr>
            <w:tcW w:w="5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 income</w:t>
            </w: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27,866</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31,084</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33,715</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31,869</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investment income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12,768</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12,460</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16,169</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15,041</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realized and unrealized (loss) gain</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(5,344)</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6,319</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(4,709)</w:t>
            </w: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9,008</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increase in net assets resulting from operations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7,424</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18,779</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11,460</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24,049</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increase in net assets resulting from operations per common share *</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0.10</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0.26</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0.16</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0.34</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asset value per share at the end of the quarter</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9.10</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9.18</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9.09</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9.11</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Market value per share at the end of the quarter</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7.51</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7.39</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8.14</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7.66</w:t>
            </w:r>
          </w:p>
        </w:tc>
        <w:tc>
          <w:tcPr>
            <w:tcW w:w="100" w:type="dxa"/>
            <w:vAlign w:val="bottom"/>
            <w:shd w:val="clear" w:color="auto" w:fill="CCECFF"/>
          </w:tcPr>
          <w:p>
            <w:pPr>
              <w:spacing w:after="0"/>
              <w:rPr>
                <w:sz w:val="14"/>
                <w:szCs w:val="1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3"/>
                <w:szCs w:val="13"/>
                <w:color w:val="auto"/>
              </w:rPr>
            </w:pPr>
          </w:p>
        </w:tc>
        <w:tc>
          <w:tcPr>
            <w:tcW w:w="11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3"/>
                <w:szCs w:val="13"/>
                <w:color w:val="auto"/>
              </w:rPr>
            </w:pPr>
          </w:p>
        </w:tc>
        <w:tc>
          <w:tcPr>
            <w:tcW w:w="102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28"/>
              <w:spacing w:after="0" w:line="155"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3"/>
                <w:szCs w:val="13"/>
                <w:color w:val="auto"/>
              </w:rPr>
            </w:pPr>
          </w:p>
        </w:tc>
      </w:tr>
      <w:tr>
        <w:trPr>
          <w:trHeight w:val="156"/>
        </w:trPr>
        <w:tc>
          <w:tcPr>
            <w:tcW w:w="58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 income</w:t>
            </w: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32,160</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35,540</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39,108</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35,263</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investment income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15,157</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17,794</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20,832</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16,832</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realized and unrealized gain (loss)</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12,552</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10,039</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(16,882)</w:t>
            </w: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(57,587)</w:t>
            </w: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increase (decrease) in net assets resulting from operations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27,709</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27,833</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3,950</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(40,755)</w:t>
            </w: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Net increase (decrease) in net assets resulting from operations per common share *</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0.37</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0.39</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0.06</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(0.56)</w:t>
            </w: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asset value per share at the end of the quarter</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9.05</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8.94</w:t>
            </w:r>
          </w:p>
        </w:tc>
        <w:tc>
          <w:tcPr>
            <w:tcW w:w="240" w:type="dxa"/>
            <w:vAlign w:val="bottom"/>
          </w:tcPr>
          <w:p>
            <w:pPr>
              <w:spacing w:after="0"/>
              <w:rPr>
                <w:sz w:val="14"/>
                <w:szCs w:val="14"/>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8.83</w:t>
            </w:r>
          </w:p>
        </w:tc>
        <w:tc>
          <w:tcPr>
            <w:tcW w:w="14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9.02</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Market value per share at the end of the quarter</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7.52</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6.83</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6.06</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6.18</w:t>
            </w:r>
          </w:p>
        </w:tc>
        <w:tc>
          <w:tcPr>
            <w:tcW w:w="100" w:type="dxa"/>
            <w:vAlign w:val="bottom"/>
            <w:shd w:val="clear" w:color="auto" w:fill="CCEC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1144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64" w:lineRule="exact"/>
        <w:rPr>
          <w:sz w:val="20"/>
          <w:szCs w:val="20"/>
          <w:color w:val="auto"/>
        </w:rPr>
      </w:pPr>
    </w:p>
    <w:p>
      <w:pPr>
        <w:ind w:left="380" w:hanging="372"/>
        <w:spacing w:after="0"/>
        <w:tabs>
          <w:tab w:leader="none" w:pos="3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2" w:name="page73"/>
    <w:bookmarkEnd w:id="72"/>
    <w:p>
      <w:pPr>
        <w:spacing w:after="0"/>
        <w:tabs>
          <w:tab w:leader="none" w:pos="98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Evaluation of Disclosure Controls and Procedures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As of September 30, 2018,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Management’s Report on Internal Control Over Financial Reporting</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Management’s Report on Internal Control Over Financial Reporting, which appears on page 45 of this Form 10-K, is incorporated by reference herein.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Changes in Internal Controls Over Financial Reporting</w:t>
      </w:r>
    </w:p>
    <w:p>
      <w:pPr>
        <w:spacing w:after="0" w:line="136"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8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6" w:right="399" w:bottom="1440" w:gutter="0" w:footer="0" w:header="0"/>
        </w:sectPr>
      </w:pPr>
    </w:p>
    <w:bookmarkStart w:id="73" w:name="page74"/>
    <w:bookmarkEnd w:id="73"/>
    <w:p>
      <w:pPr>
        <w:jc w:val="center"/>
        <w:ind w:right="-119"/>
        <w:spacing w:after="0"/>
        <w:rPr>
          <w:sz w:val="20"/>
          <w:szCs w:val="20"/>
          <w:color w:val="auto"/>
        </w:rPr>
      </w:pPr>
      <w:r>
        <w:rPr>
          <w:rFonts w:ascii="Arial" w:cs="Arial" w:eastAsia="Arial" w:hAnsi="Arial"/>
          <w:sz w:val="14"/>
          <w:szCs w:val="14"/>
          <w:b w:val="1"/>
          <w:bCs w:val="1"/>
          <w:color w:val="auto"/>
        </w:rPr>
        <w:t>PART III</w:t>
      </w:r>
    </w:p>
    <w:p>
      <w:pPr>
        <w:spacing w:after="0" w:line="275" w:lineRule="exact"/>
        <w:rPr>
          <w:sz w:val="20"/>
          <w:szCs w:val="20"/>
          <w:color w:val="auto"/>
        </w:rPr>
      </w:pPr>
    </w:p>
    <w:p>
      <w:pPr>
        <w:ind w:firstLine="438"/>
        <w:spacing w:after="0" w:line="238" w:lineRule="auto"/>
        <w:rPr>
          <w:sz w:val="20"/>
          <w:szCs w:val="20"/>
          <w:color w:val="auto"/>
        </w:rPr>
      </w:pPr>
      <w:r>
        <w:rPr>
          <w:rFonts w:ascii="Arial" w:cs="Arial" w:eastAsia="Arial" w:hAnsi="Arial"/>
          <w:sz w:val="14"/>
          <w:szCs w:val="14"/>
          <w:color w:val="auto"/>
        </w:rPr>
        <w:t>We will file a definitive Proxy Statement for our 2019 Annual Meeting of Stockholders with the SEC, pursuant to Regulation 14A, not later than 120 days after the end of our fiscal year. Accordingly, certain information required by Part III has been omitted under General Instruction G (3) to Form 10-K. Only those sections of our definitive Proxy Statement that specifically address the items set forth herein are incorporated by reference.</w:t>
      </w:r>
    </w:p>
    <w:p>
      <w:pPr>
        <w:spacing w:after="0" w:line="11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10 is hereby incorporated by reference from our definitive Proxy Statement relating to our 2019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11 is hereby incorporated by reference from our definitive Proxy Statement relating to our 2019 Annual Meeting of Stockholders, to be filed with the SEC within 120 days following the end of our fiscal year.</w:t>
      </w:r>
    </w:p>
    <w:p>
      <w:pPr>
        <w:spacing w:after="0" w:line="89"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12 is hereby incorporated by reference from our definitive Proxy Statement relating to our 2019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13 is hereby incorporated by reference from our definitive Proxy Statement relating to our 2019 Annual Meeting of Stockholders, to be filed with the SEC within 120 days following the end of our fiscal year.</w:t>
      </w:r>
    </w:p>
    <w:p>
      <w:pPr>
        <w:spacing w:after="0" w:line="10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Principal Accountant Fees and Services</w:t>
      </w:r>
    </w:p>
    <w:p>
      <w:pPr>
        <w:spacing w:after="0" w:line="140" w:lineRule="exact"/>
        <w:rPr>
          <w:sz w:val="20"/>
          <w:szCs w:val="20"/>
          <w:color w:val="auto"/>
        </w:rPr>
      </w:pPr>
    </w:p>
    <w:p>
      <w:pPr>
        <w:ind w:right="120" w:firstLine="438"/>
        <w:spacing w:after="0" w:line="253" w:lineRule="auto"/>
        <w:rPr>
          <w:sz w:val="20"/>
          <w:szCs w:val="20"/>
          <w:color w:val="auto"/>
        </w:rPr>
      </w:pPr>
      <w:r>
        <w:rPr>
          <w:rFonts w:ascii="Arial" w:cs="Arial" w:eastAsia="Arial" w:hAnsi="Arial"/>
          <w:sz w:val="14"/>
          <w:szCs w:val="14"/>
          <w:color w:val="auto"/>
        </w:rPr>
        <w:t>The information required by Item 14 is hereby incorporated by reference from our definitive Proxy Statement relating to our 2019 Annual Meeting of Stockholders, to be filed with the SEC within 120 days following the end of our fiscal year.</w:t>
      </w: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265" w:right="459" w:bottom="1440" w:gutter="0" w:footer="0" w:header="0"/>
        </w:sectPr>
      </w:pPr>
    </w:p>
    <w:bookmarkStart w:id="74" w:name="page75"/>
    <w:bookmarkEnd w:id="74"/>
    <w:p>
      <w:pPr>
        <w:jc w:val="center"/>
        <w:ind w:right="-119"/>
        <w:spacing w:after="0"/>
        <w:rPr>
          <w:sz w:val="20"/>
          <w:szCs w:val="20"/>
          <w:color w:val="auto"/>
        </w:rPr>
      </w:pPr>
      <w:r>
        <w:rPr>
          <w:rFonts w:ascii="Arial" w:cs="Arial" w:eastAsia="Arial" w:hAnsi="Arial"/>
          <w:sz w:val="14"/>
          <w:szCs w:val="14"/>
          <w:b w:val="1"/>
          <w:bCs w:val="1"/>
          <w:color w:val="auto"/>
        </w:rPr>
        <w:t>PART IV</w:t>
      </w:r>
    </w:p>
    <w:p>
      <w:pPr>
        <w:spacing w:after="0" w:line="2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documents are filed as part of this Annual Report:</w:t>
      </w:r>
    </w:p>
    <w:p>
      <w:pPr>
        <w:spacing w:after="0" w:line="123" w:lineRule="exact"/>
        <w:rPr>
          <w:sz w:val="20"/>
          <w:szCs w:val="20"/>
          <w:color w:val="auto"/>
        </w:rPr>
      </w:pPr>
    </w:p>
    <w:p>
      <w:pPr>
        <w:ind w:left="920" w:hanging="359"/>
        <w:spacing w:after="0"/>
        <w:tabs>
          <w:tab w:leader="none" w:pos="9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Financial Statements—Refer to Item 8 starting on page 44.</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Financial Statement Schedules—None.</w:t>
      </w:r>
    </w:p>
    <w:p>
      <w:pPr>
        <w:spacing w:after="0" w:line="136" w:lineRule="exact"/>
        <w:rPr>
          <w:rFonts w:ascii="Arial" w:cs="Arial" w:eastAsia="Arial" w:hAnsi="Arial"/>
          <w:sz w:val="14"/>
          <w:szCs w:val="14"/>
          <w:color w:val="auto"/>
        </w:rPr>
      </w:pPr>
    </w:p>
    <w:p>
      <w:pPr>
        <w:ind w:left="920" w:hanging="359"/>
        <w:spacing w:after="0"/>
        <w:tabs>
          <w:tab w:leader="none" w:pos="9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Exhibits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right"/>
              <w:ind w:right="588"/>
              <w:spacing w:after="0"/>
              <w:rPr>
                <w:sz w:val="20"/>
                <w:szCs w:val="20"/>
                <w:color w:val="auto"/>
              </w:rPr>
            </w:pPr>
            <w:r>
              <w:rPr>
                <w:rFonts w:ascii="Arial" w:cs="Arial" w:eastAsia="Arial" w:hAnsi="Arial"/>
                <w:sz w:val="14"/>
                <w:szCs w:val="14"/>
                <w:color w:val="auto"/>
              </w:rPr>
              <w:t>3.1</w:t>
            </w:r>
          </w:p>
        </w:tc>
        <w:tc>
          <w:tcPr>
            <w:tcW w:w="10220" w:type="dxa"/>
            <w:vAlign w:val="bottom"/>
            <w:gridSpan w:val="20"/>
          </w:tcPr>
          <w:p>
            <w:pPr>
              <w:spacing w:after="0"/>
              <w:rPr>
                <w:rFonts w:ascii="Arial" w:cs="Arial" w:eastAsia="Arial" w:hAnsi="Arial"/>
                <w:sz w:val="14"/>
                <w:szCs w:val="14"/>
                <w:color w:val="0000EE"/>
                <w:w w:val="95"/>
              </w:rPr>
            </w:pPr>
            <w:hyperlink r:id="rId113">
              <w:r>
                <w:rPr>
                  <w:rFonts w:ascii="Arial" w:cs="Arial" w:eastAsia="Arial" w:hAnsi="Arial"/>
                  <w:sz w:val="14"/>
                  <w:szCs w:val="14"/>
                  <w:color w:val="0000EE"/>
                  <w:w w:val="95"/>
                </w:rPr>
                <w:t>Articles of Incorporation (Incorporated by reference to Exhibit 99(a) to the Registrant’s Pre-Effective Amendment No. 3 to the Registration Statement on Form N-2/A (File No.</w:t>
              </w:r>
            </w:hyperlink>
          </w:p>
        </w:tc>
      </w:tr>
      <w:tr>
        <w:trPr>
          <w:trHeight w:val="128"/>
        </w:trPr>
        <w:tc>
          <w:tcPr>
            <w:tcW w:w="920" w:type="dxa"/>
            <w:vAlign w:val="bottom"/>
          </w:tcPr>
          <w:p>
            <w:pPr>
              <w:spacing w:after="0"/>
              <w:rPr>
                <w:sz w:val="11"/>
                <w:szCs w:val="11"/>
                <w:color w:val="auto"/>
              </w:rPr>
            </w:pPr>
          </w:p>
        </w:tc>
        <w:tc>
          <w:tcPr>
            <w:tcW w:w="10120" w:type="dxa"/>
            <w:vAlign w:val="bottom"/>
            <w:tcBorders>
              <w:top w:val="single" w:sz="8" w:color="0000EE"/>
            </w:tcBorders>
            <w:gridSpan w:val="16"/>
          </w:tcPr>
          <w:p>
            <w:pPr>
              <w:spacing w:after="0" w:line="129" w:lineRule="exact"/>
              <w:rPr>
                <w:rFonts w:ascii="Arial" w:cs="Arial" w:eastAsia="Arial" w:hAnsi="Arial"/>
                <w:sz w:val="14"/>
                <w:szCs w:val="14"/>
                <w:color w:val="0000EE"/>
              </w:rPr>
            </w:pPr>
            <w:hyperlink r:id="rId113">
              <w:r>
                <w:rPr>
                  <w:rFonts w:ascii="Arial" w:cs="Arial" w:eastAsia="Arial" w:hAnsi="Arial"/>
                  <w:sz w:val="14"/>
                  <w:szCs w:val="14"/>
                  <w:color w:val="0000EE"/>
                </w:rPr>
                <w:t>333-140092), filed on April 5, 2007).</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rPr>
              <w:t>3.2</w:t>
            </w:r>
          </w:p>
        </w:tc>
        <w:tc>
          <w:tcPr>
            <w:tcW w:w="10220" w:type="dxa"/>
            <w:vAlign w:val="bottom"/>
            <w:gridSpan w:val="20"/>
          </w:tcPr>
          <w:p>
            <w:pPr>
              <w:spacing w:after="0"/>
              <w:rPr>
                <w:rFonts w:ascii="Arial" w:cs="Arial" w:eastAsia="Arial" w:hAnsi="Arial"/>
                <w:sz w:val="14"/>
                <w:szCs w:val="14"/>
                <w:color w:val="0000EE"/>
                <w:w w:val="98"/>
              </w:rPr>
            </w:pPr>
            <w:hyperlink r:id="rId114">
              <w:r>
                <w:rPr>
                  <w:rFonts w:ascii="Arial" w:cs="Arial" w:eastAsia="Arial" w:hAnsi="Arial"/>
                  <w:sz w:val="14"/>
                  <w:szCs w:val="14"/>
                  <w:color w:val="0000EE"/>
                  <w:w w:val="98"/>
                </w:rPr>
                <w:t>Amended and Restated Bylaws of the Registrant (Incorporated by reference to Exhibit 3.1 to the Registrant’s Current Report on Form 8-K (File No. 814-00736), filed on</w:t>
              </w:r>
            </w:hyperlink>
          </w:p>
        </w:tc>
      </w:tr>
      <w:tr>
        <w:trPr>
          <w:trHeight w:val="128"/>
        </w:trPr>
        <w:tc>
          <w:tcPr>
            <w:tcW w:w="920" w:type="dxa"/>
            <w:vAlign w:val="bottom"/>
          </w:tcPr>
          <w:p>
            <w:pPr>
              <w:spacing w:after="0"/>
              <w:rPr>
                <w:sz w:val="11"/>
                <w:szCs w:val="11"/>
                <w:color w:val="auto"/>
              </w:rPr>
            </w:pPr>
          </w:p>
        </w:tc>
        <w:tc>
          <w:tcPr>
            <w:tcW w:w="1140" w:type="dxa"/>
            <w:vAlign w:val="bottom"/>
            <w:tcBorders>
              <w:top w:val="single" w:sz="8" w:color="0000EE"/>
              <w:bottom w:val="single" w:sz="8" w:color="0000EE"/>
            </w:tcBorders>
            <w:gridSpan w:val="2"/>
          </w:tcPr>
          <w:p>
            <w:pPr>
              <w:spacing w:after="0" w:line="129" w:lineRule="exact"/>
              <w:rPr>
                <w:rFonts w:ascii="Arial" w:cs="Arial" w:eastAsia="Arial" w:hAnsi="Arial"/>
                <w:sz w:val="14"/>
                <w:szCs w:val="14"/>
                <w:color w:val="0000EE"/>
                <w:w w:val="90"/>
              </w:rPr>
            </w:pPr>
            <w:hyperlink r:id="rId114">
              <w:r>
                <w:rPr>
                  <w:rFonts w:ascii="Arial" w:cs="Arial" w:eastAsia="Arial" w:hAnsi="Arial"/>
                  <w:sz w:val="14"/>
                  <w:szCs w:val="14"/>
                  <w:color w:val="0000EE"/>
                  <w:w w:val="90"/>
                </w:rPr>
                <w:t>December 2, 2015).</w:t>
              </w:r>
            </w:hyperlink>
          </w:p>
        </w:tc>
        <w:tc>
          <w:tcPr>
            <w:tcW w:w="8600" w:type="dxa"/>
            <w:vAlign w:val="bottom"/>
            <w:tcBorders>
              <w:top w:val="single" w:sz="8" w:color="0000EE"/>
            </w:tcBorders>
            <w:gridSpan w:val="8"/>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06"/>
        </w:trPr>
        <w:tc>
          <w:tcPr>
            <w:tcW w:w="920" w:type="dxa"/>
            <w:vAlign w:val="bottom"/>
          </w:tcPr>
          <w:p>
            <w:pPr>
              <w:jc w:val="right"/>
              <w:ind w:right="588"/>
              <w:spacing w:after="0"/>
              <w:rPr>
                <w:sz w:val="20"/>
                <w:szCs w:val="20"/>
                <w:color w:val="auto"/>
              </w:rPr>
            </w:pPr>
            <w:r>
              <w:rPr>
                <w:rFonts w:ascii="Arial" w:cs="Arial" w:eastAsia="Arial" w:hAnsi="Arial"/>
                <w:sz w:val="14"/>
                <w:szCs w:val="14"/>
                <w:color w:val="auto"/>
              </w:rPr>
              <w:t>4.1</w:t>
            </w:r>
          </w:p>
        </w:tc>
        <w:tc>
          <w:tcPr>
            <w:tcW w:w="10220" w:type="dxa"/>
            <w:vAlign w:val="bottom"/>
            <w:gridSpan w:val="20"/>
          </w:tcPr>
          <w:p>
            <w:pPr>
              <w:spacing w:after="0"/>
              <w:rPr>
                <w:rFonts w:ascii="Arial" w:cs="Arial" w:eastAsia="Arial" w:hAnsi="Arial"/>
                <w:sz w:val="14"/>
                <w:szCs w:val="14"/>
                <w:u w:val="single" w:color="auto"/>
                <w:color w:val="0000EE"/>
                <w:w w:val="95"/>
              </w:rPr>
            </w:pPr>
            <w:hyperlink r:id="rId115">
              <w:r>
                <w:rPr>
                  <w:rFonts w:ascii="Arial" w:cs="Arial" w:eastAsia="Arial" w:hAnsi="Arial"/>
                  <w:sz w:val="14"/>
                  <w:szCs w:val="14"/>
                  <w:u w:val="single" w:color="auto"/>
                  <w:color w:val="0000EE"/>
                  <w:w w:val="95"/>
                </w:rPr>
                <w:t>Form of Share Certificate (Incorporated by reference to Exhibit 99(d)(1) to the Registrant’s Registration Statement on Form N-2 (File No. 333-150033), filed on April 2, 2008).</w:t>
              </w:r>
            </w:hyperlink>
          </w:p>
        </w:tc>
      </w:tr>
      <w:tr>
        <w:trPr>
          <w:trHeight w:val="268"/>
        </w:trPr>
        <w:tc>
          <w:tcPr>
            <w:tcW w:w="920" w:type="dxa"/>
            <w:vAlign w:val="bottom"/>
          </w:tcPr>
          <w:p>
            <w:pPr>
              <w:jc w:val="right"/>
              <w:ind w:right="588"/>
              <w:spacing w:after="0"/>
              <w:rPr>
                <w:sz w:val="20"/>
                <w:szCs w:val="20"/>
                <w:color w:val="auto"/>
              </w:rPr>
            </w:pPr>
            <w:r>
              <w:rPr>
                <w:rFonts w:ascii="Arial" w:cs="Arial" w:eastAsia="Arial" w:hAnsi="Arial"/>
                <w:sz w:val="14"/>
                <w:szCs w:val="14"/>
                <w:color w:val="auto"/>
              </w:rPr>
              <w:t>4.2</w:t>
            </w:r>
          </w:p>
        </w:tc>
        <w:tc>
          <w:tcPr>
            <w:tcW w:w="10220" w:type="dxa"/>
            <w:vAlign w:val="bottom"/>
            <w:gridSpan w:val="20"/>
          </w:tcPr>
          <w:p>
            <w:pPr>
              <w:spacing w:after="0"/>
              <w:rPr>
                <w:rFonts w:ascii="Arial" w:cs="Arial" w:eastAsia="Arial" w:hAnsi="Arial"/>
                <w:sz w:val="14"/>
                <w:szCs w:val="14"/>
                <w:color w:val="0000EE"/>
                <w:w w:val="95"/>
              </w:rPr>
            </w:pPr>
            <w:hyperlink r:id="rId116">
              <w:r>
                <w:rPr>
                  <w:rFonts w:ascii="Arial" w:cs="Arial" w:eastAsia="Arial" w:hAnsi="Arial"/>
                  <w:sz w:val="14"/>
                  <w:szCs w:val="14"/>
                  <w:color w:val="0000EE"/>
                  <w:w w:val="95"/>
                </w:rPr>
                <w:t>Base Indenture, dated as of January 22, 2013, relating to the 6.25% Senior Notes due 2025, between the Registrant and American Stock Transfer &amp; Trust Company, LLC, as</w:t>
              </w:r>
            </w:hyperlink>
          </w:p>
        </w:tc>
      </w:tr>
      <w:tr>
        <w:trPr>
          <w:trHeight w:val="128"/>
        </w:trPr>
        <w:tc>
          <w:tcPr>
            <w:tcW w:w="920" w:type="dxa"/>
            <w:vAlign w:val="bottom"/>
          </w:tcPr>
          <w:p>
            <w:pPr>
              <w:spacing w:after="0"/>
              <w:rPr>
                <w:sz w:val="11"/>
                <w:szCs w:val="11"/>
                <w:color w:val="auto"/>
              </w:rPr>
            </w:pPr>
          </w:p>
        </w:tc>
        <w:tc>
          <w:tcPr>
            <w:tcW w:w="9920" w:type="dxa"/>
            <w:vAlign w:val="bottom"/>
            <w:tcBorders>
              <w:top w:val="single" w:sz="8" w:color="0000EE"/>
              <w:bottom w:val="single" w:sz="8" w:color="0000EE"/>
            </w:tcBorders>
            <w:gridSpan w:val="11"/>
          </w:tcPr>
          <w:p>
            <w:pPr>
              <w:spacing w:after="0" w:line="129" w:lineRule="exact"/>
              <w:rPr>
                <w:rFonts w:ascii="Arial" w:cs="Arial" w:eastAsia="Arial" w:hAnsi="Arial"/>
                <w:sz w:val="14"/>
                <w:szCs w:val="14"/>
                <w:color w:val="0000EE"/>
                <w:w w:val="92"/>
              </w:rPr>
            </w:pPr>
            <w:hyperlink r:id="rId116">
              <w:r>
                <w:rPr>
                  <w:rFonts w:ascii="Arial" w:cs="Arial" w:eastAsia="Arial" w:hAnsi="Arial"/>
                  <w:sz w:val="14"/>
                  <w:szCs w:val="14"/>
                  <w:color w:val="0000EE"/>
                  <w:w w:val="92"/>
                </w:rPr>
                <w:t>trustee (Incorporated by reference to Exhibit 99(d)(8) to the Registrant’s Post-Effective Amendment No.4 to the Registration Statement on Form N-2/A (File No.333-172524),</w:t>
              </w:r>
            </w:hyperlink>
          </w:p>
        </w:tc>
        <w:tc>
          <w:tcPr>
            <w:tcW w:w="120" w:type="dxa"/>
            <w:vAlign w:val="bottom"/>
            <w:tcBorders>
              <w:bottom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920" w:type="dxa"/>
            <w:vAlign w:val="bottom"/>
          </w:tcPr>
          <w:p>
            <w:pPr>
              <w:spacing w:after="0"/>
              <w:rPr>
                <w:sz w:val="11"/>
                <w:szCs w:val="11"/>
                <w:color w:val="auto"/>
              </w:rPr>
            </w:pPr>
          </w:p>
        </w:tc>
        <w:tc>
          <w:tcPr>
            <w:tcW w:w="10040" w:type="dxa"/>
            <w:vAlign w:val="bottom"/>
            <w:gridSpan w:val="12"/>
          </w:tcPr>
          <w:p>
            <w:pPr>
              <w:spacing w:after="0" w:line="129" w:lineRule="exact"/>
              <w:rPr>
                <w:rFonts w:ascii="Arial" w:cs="Arial" w:eastAsia="Arial" w:hAnsi="Arial"/>
                <w:sz w:val="14"/>
                <w:szCs w:val="14"/>
                <w:color w:val="0000EE"/>
              </w:rPr>
            </w:pPr>
            <w:hyperlink r:id="rId116">
              <w:r>
                <w:rPr>
                  <w:rFonts w:ascii="Arial" w:cs="Arial" w:eastAsia="Arial" w:hAnsi="Arial"/>
                  <w:sz w:val="14"/>
                  <w:szCs w:val="14"/>
                  <w:color w:val="0000EE"/>
                </w:rPr>
                <w:t>filed on January 22, 2013).</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rPr>
              <w:t>4.3</w:t>
            </w:r>
          </w:p>
        </w:tc>
        <w:tc>
          <w:tcPr>
            <w:tcW w:w="10220" w:type="dxa"/>
            <w:vAlign w:val="bottom"/>
            <w:gridSpan w:val="20"/>
          </w:tcPr>
          <w:p>
            <w:pPr>
              <w:spacing w:after="0"/>
              <w:rPr>
                <w:rFonts w:ascii="Arial" w:cs="Arial" w:eastAsia="Arial" w:hAnsi="Arial"/>
                <w:sz w:val="14"/>
                <w:szCs w:val="14"/>
                <w:color w:val="0000EE"/>
                <w:w w:val="92"/>
              </w:rPr>
            </w:pPr>
            <w:hyperlink r:id="rId117">
              <w:r>
                <w:rPr>
                  <w:rFonts w:ascii="Arial" w:cs="Arial" w:eastAsia="Arial" w:hAnsi="Arial"/>
                  <w:sz w:val="14"/>
                  <w:szCs w:val="14"/>
                  <w:color w:val="0000EE"/>
                  <w:w w:val="92"/>
                </w:rPr>
                <w:t>Second Supplemental Indenture, dated as of September 23, 2014, relating to the 4.50% Notes due 2019, between the Registrant and American Stock Transfer &amp; Trust Company,</w:t>
              </w:r>
            </w:hyperlink>
          </w:p>
        </w:tc>
      </w:tr>
      <w:tr>
        <w:trPr>
          <w:trHeight w:val="128"/>
        </w:trPr>
        <w:tc>
          <w:tcPr>
            <w:tcW w:w="920" w:type="dxa"/>
            <w:vAlign w:val="bottom"/>
          </w:tcPr>
          <w:p>
            <w:pPr>
              <w:spacing w:after="0"/>
              <w:rPr>
                <w:sz w:val="11"/>
                <w:szCs w:val="11"/>
                <w:color w:val="auto"/>
              </w:rPr>
            </w:pPr>
          </w:p>
        </w:tc>
        <w:tc>
          <w:tcPr>
            <w:tcW w:w="10160" w:type="dxa"/>
            <w:vAlign w:val="bottom"/>
            <w:tcBorders>
              <w:top w:val="single" w:sz="8" w:color="0000EE"/>
              <w:bottom w:val="single" w:sz="8" w:color="0000EE"/>
            </w:tcBorders>
            <w:gridSpan w:val="17"/>
          </w:tcPr>
          <w:p>
            <w:pPr>
              <w:spacing w:after="0" w:line="129" w:lineRule="exact"/>
              <w:rPr>
                <w:rFonts w:ascii="Arial" w:cs="Arial" w:eastAsia="Arial" w:hAnsi="Arial"/>
                <w:sz w:val="14"/>
                <w:szCs w:val="14"/>
                <w:color w:val="0000EE"/>
                <w:w w:val="93"/>
              </w:rPr>
            </w:pPr>
            <w:hyperlink r:id="rId117">
              <w:r>
                <w:rPr>
                  <w:rFonts w:ascii="Arial" w:cs="Arial" w:eastAsia="Arial" w:hAnsi="Arial"/>
                  <w:sz w:val="14"/>
                  <w:szCs w:val="14"/>
                  <w:color w:val="0000EE"/>
                  <w:w w:val="93"/>
                </w:rPr>
                <w:t>LLC, as trustee (Incorporated by reference to Exhibit 99 (d)(11) to the Registrant’s Post-Effective Amendment No. 2 to Form N-2 (File No. 333-192782), filed on September 23,</w:t>
              </w:r>
            </w:hyperlink>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920" w:type="dxa"/>
            <w:vAlign w:val="bottom"/>
          </w:tcPr>
          <w:p>
            <w:pPr>
              <w:spacing w:after="0"/>
              <w:rPr>
                <w:sz w:val="11"/>
                <w:szCs w:val="11"/>
                <w:color w:val="auto"/>
              </w:rPr>
            </w:pPr>
          </w:p>
        </w:tc>
        <w:tc>
          <w:tcPr>
            <w:tcW w:w="320" w:type="dxa"/>
            <w:vAlign w:val="bottom"/>
            <w:tcBorders>
              <w:bottom w:val="single" w:sz="8" w:color="0000EE"/>
            </w:tcBorders>
          </w:tcPr>
          <w:p>
            <w:pPr>
              <w:spacing w:after="0" w:line="129" w:lineRule="exact"/>
              <w:rPr>
                <w:rFonts w:ascii="Arial" w:cs="Arial" w:eastAsia="Arial" w:hAnsi="Arial"/>
                <w:sz w:val="14"/>
                <w:szCs w:val="14"/>
                <w:color w:val="0000EE"/>
                <w:w w:val="85"/>
              </w:rPr>
            </w:pPr>
            <w:hyperlink r:id="rId117">
              <w:r>
                <w:rPr>
                  <w:rFonts w:ascii="Arial" w:cs="Arial" w:eastAsia="Arial" w:hAnsi="Arial"/>
                  <w:sz w:val="14"/>
                  <w:szCs w:val="14"/>
                  <w:color w:val="0000EE"/>
                  <w:w w:val="85"/>
                </w:rPr>
                <w:t>2014.</w:t>
              </w:r>
            </w:hyperlink>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05"/>
        </w:trPr>
        <w:tc>
          <w:tcPr>
            <w:tcW w:w="920" w:type="dxa"/>
            <w:vAlign w:val="bottom"/>
          </w:tcPr>
          <w:p>
            <w:pPr>
              <w:jc w:val="right"/>
              <w:ind w:right="588"/>
              <w:spacing w:after="0"/>
              <w:rPr>
                <w:sz w:val="20"/>
                <w:szCs w:val="20"/>
                <w:color w:val="auto"/>
              </w:rPr>
            </w:pPr>
            <w:r>
              <w:rPr>
                <w:rFonts w:ascii="Arial" w:cs="Arial" w:eastAsia="Arial" w:hAnsi="Arial"/>
                <w:sz w:val="14"/>
                <w:szCs w:val="14"/>
                <w:color w:val="auto"/>
              </w:rPr>
              <w:t>4.4</w:t>
            </w:r>
          </w:p>
        </w:tc>
        <w:tc>
          <w:tcPr>
            <w:tcW w:w="10220" w:type="dxa"/>
            <w:vAlign w:val="bottom"/>
            <w:gridSpan w:val="20"/>
          </w:tcPr>
          <w:p>
            <w:pPr>
              <w:spacing w:after="0"/>
              <w:rPr>
                <w:rFonts w:ascii="Arial" w:cs="Arial" w:eastAsia="Arial" w:hAnsi="Arial"/>
                <w:sz w:val="14"/>
                <w:szCs w:val="14"/>
                <w:u w:val="single" w:color="auto"/>
                <w:color w:val="0000EE"/>
              </w:rPr>
            </w:pPr>
            <w:hyperlink r:id="rId117">
              <w:r>
                <w:rPr>
                  <w:rFonts w:ascii="Arial" w:cs="Arial" w:eastAsia="Arial" w:hAnsi="Arial"/>
                  <w:sz w:val="14"/>
                  <w:szCs w:val="14"/>
                  <w:u w:val="single" w:color="auto"/>
                  <w:color w:val="0000EE"/>
                </w:rPr>
                <w:t>Form of 4.50% Notes due 2019 (included as part of Exhibit 4.3).</w:t>
              </w:r>
            </w:hyperlink>
          </w:p>
        </w:tc>
      </w:tr>
      <w:tr>
        <w:trPr>
          <w:trHeight w:val="268"/>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10.1</w:t>
            </w:r>
          </w:p>
        </w:tc>
        <w:tc>
          <w:tcPr>
            <w:tcW w:w="10220" w:type="dxa"/>
            <w:vAlign w:val="bottom"/>
            <w:gridSpan w:val="20"/>
          </w:tcPr>
          <w:p>
            <w:pPr>
              <w:spacing w:after="0"/>
              <w:rPr>
                <w:rFonts w:ascii="Arial" w:cs="Arial" w:eastAsia="Arial" w:hAnsi="Arial"/>
                <w:sz w:val="14"/>
                <w:szCs w:val="14"/>
                <w:color w:val="0000EE"/>
                <w:w w:val="92"/>
              </w:rPr>
            </w:pPr>
            <w:hyperlink r:id="rId118">
              <w:r>
                <w:rPr>
                  <w:rFonts w:ascii="Arial" w:cs="Arial" w:eastAsia="Arial" w:hAnsi="Arial"/>
                  <w:sz w:val="14"/>
                  <w:szCs w:val="14"/>
                  <w:color w:val="0000EE"/>
                  <w:w w:val="92"/>
                </w:rPr>
                <w:t>First Amended and Restated Investment Advisory Management Agreement between the Registrant and PennantPark Investment Advisers, LLC (Incorporated by reference to the</w:t>
              </w:r>
            </w:hyperlink>
          </w:p>
        </w:tc>
      </w:tr>
      <w:tr>
        <w:trPr>
          <w:trHeight w:val="129"/>
        </w:trPr>
        <w:tc>
          <w:tcPr>
            <w:tcW w:w="920" w:type="dxa"/>
            <w:vAlign w:val="bottom"/>
          </w:tcPr>
          <w:p>
            <w:pPr>
              <w:spacing w:after="0"/>
              <w:rPr>
                <w:sz w:val="11"/>
                <w:szCs w:val="11"/>
                <w:color w:val="auto"/>
              </w:rPr>
            </w:pPr>
          </w:p>
        </w:tc>
        <w:tc>
          <w:tcPr>
            <w:tcW w:w="5440" w:type="dxa"/>
            <w:vAlign w:val="bottom"/>
            <w:tcBorders>
              <w:top w:val="single" w:sz="8" w:color="0000EE"/>
              <w:bottom w:val="single" w:sz="8" w:color="0000EE"/>
            </w:tcBorders>
            <w:gridSpan w:val="6"/>
          </w:tcPr>
          <w:p>
            <w:pPr>
              <w:spacing w:after="0" w:line="129" w:lineRule="exact"/>
              <w:rPr>
                <w:rFonts w:ascii="Arial" w:cs="Arial" w:eastAsia="Arial" w:hAnsi="Arial"/>
                <w:sz w:val="14"/>
                <w:szCs w:val="14"/>
                <w:color w:val="0000EE"/>
                <w:w w:val="94"/>
              </w:rPr>
            </w:pPr>
            <w:hyperlink r:id="rId118">
              <w:r>
                <w:rPr>
                  <w:rFonts w:ascii="Arial" w:cs="Arial" w:eastAsia="Arial" w:hAnsi="Arial"/>
                  <w:sz w:val="14"/>
                  <w:szCs w:val="14"/>
                  <w:color w:val="0000EE"/>
                  <w:w w:val="94"/>
                </w:rPr>
                <w:t>Registrant’s Quarterly Report on Form 10-Q (File No. 814-00736), filed on February 3, 2016).</w:t>
              </w:r>
            </w:hyperlink>
          </w:p>
        </w:tc>
        <w:tc>
          <w:tcPr>
            <w:tcW w:w="4760" w:type="dxa"/>
            <w:vAlign w:val="bottom"/>
            <w:tcBorders>
              <w:top w:val="single" w:sz="8" w:color="0000EE"/>
            </w:tcBorders>
            <w:gridSpan w:val="13"/>
          </w:tcPr>
          <w:p>
            <w:pPr>
              <w:spacing w:after="0"/>
              <w:rPr>
                <w:sz w:val="11"/>
                <w:szCs w:val="11"/>
                <w:color w:val="auto"/>
              </w:rPr>
            </w:pPr>
          </w:p>
        </w:tc>
        <w:tc>
          <w:tcPr>
            <w:tcW w:w="20" w:type="dxa"/>
            <w:vAlign w:val="bottom"/>
          </w:tcPr>
          <w:p>
            <w:pPr>
              <w:spacing w:after="0"/>
              <w:rPr>
                <w:sz w:val="11"/>
                <w:szCs w:val="1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10.2</w:t>
            </w:r>
          </w:p>
        </w:tc>
        <w:tc>
          <w:tcPr>
            <w:tcW w:w="10220" w:type="dxa"/>
            <w:vAlign w:val="bottom"/>
            <w:gridSpan w:val="20"/>
          </w:tcPr>
          <w:p>
            <w:pPr>
              <w:spacing w:after="0"/>
              <w:rPr>
                <w:rFonts w:ascii="Arial" w:cs="Arial" w:eastAsia="Arial" w:hAnsi="Arial"/>
                <w:sz w:val="14"/>
                <w:szCs w:val="14"/>
                <w:color w:val="0000EE"/>
                <w:w w:val="92"/>
              </w:rPr>
            </w:pPr>
            <w:hyperlink r:id="rId119">
              <w:r>
                <w:rPr>
                  <w:rFonts w:ascii="Arial" w:cs="Arial" w:eastAsia="Arial" w:hAnsi="Arial"/>
                  <w:sz w:val="14"/>
                  <w:szCs w:val="14"/>
                  <w:color w:val="0000EE"/>
                  <w:w w:val="92"/>
                </w:rPr>
                <w:t>Second Amended and Restated Investment Advisory Management Agreement, dated as of February 6, 2018, between the Registrant and PennantPark Investment Advisers, LLC</w:t>
              </w:r>
            </w:hyperlink>
          </w:p>
        </w:tc>
      </w:tr>
      <w:tr>
        <w:trPr>
          <w:trHeight w:val="129"/>
        </w:trPr>
        <w:tc>
          <w:tcPr>
            <w:tcW w:w="920" w:type="dxa"/>
            <w:vAlign w:val="bottom"/>
          </w:tcPr>
          <w:p>
            <w:pPr>
              <w:spacing w:after="0"/>
              <w:rPr>
                <w:sz w:val="11"/>
                <w:szCs w:val="11"/>
                <w:color w:val="auto"/>
              </w:rPr>
            </w:pPr>
          </w:p>
        </w:tc>
        <w:tc>
          <w:tcPr>
            <w:tcW w:w="10180" w:type="dxa"/>
            <w:vAlign w:val="bottom"/>
            <w:tcBorders>
              <w:top w:val="single" w:sz="8" w:color="0000EE"/>
            </w:tcBorders>
            <w:gridSpan w:val="18"/>
          </w:tcPr>
          <w:p>
            <w:pPr>
              <w:spacing w:after="0" w:line="129" w:lineRule="exact"/>
              <w:rPr>
                <w:rFonts w:ascii="Arial" w:cs="Arial" w:eastAsia="Arial" w:hAnsi="Arial"/>
                <w:sz w:val="14"/>
                <w:szCs w:val="14"/>
                <w:color w:val="0000EE"/>
              </w:rPr>
            </w:pPr>
            <w:hyperlink r:id="rId119">
              <w:r>
                <w:rPr>
                  <w:rFonts w:ascii="Arial" w:cs="Arial" w:eastAsia="Arial" w:hAnsi="Arial"/>
                  <w:sz w:val="14"/>
                  <w:szCs w:val="14"/>
                  <w:color w:val="0000EE"/>
                </w:rPr>
                <w:t>(Incorporated by reference to Exhibit 10.1 to the Registrant’s Quarterly Report on Form 10-Q (File No. 814-00736), filed on February 7, 2018).</w:t>
              </w:r>
            </w:hyperlink>
          </w:p>
        </w:tc>
        <w:tc>
          <w:tcPr>
            <w:tcW w:w="40" w:type="dxa"/>
            <w:vAlign w:val="bottom"/>
            <w:gridSpan w:val="2"/>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4840" w:type="dxa"/>
            <w:vAlign w:val="bottom"/>
            <w:gridSpan w:val="5"/>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04"/>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10.3</w:t>
            </w:r>
          </w:p>
        </w:tc>
        <w:tc>
          <w:tcPr>
            <w:tcW w:w="10220" w:type="dxa"/>
            <w:vAlign w:val="bottom"/>
            <w:gridSpan w:val="20"/>
          </w:tcPr>
          <w:p>
            <w:pPr>
              <w:spacing w:after="0"/>
              <w:rPr>
                <w:rFonts w:ascii="Arial" w:cs="Arial" w:eastAsia="Arial" w:hAnsi="Arial"/>
                <w:sz w:val="14"/>
                <w:szCs w:val="14"/>
                <w:color w:val="0000EE"/>
                <w:w w:val="95"/>
              </w:rPr>
            </w:pPr>
            <w:hyperlink r:id="rId120">
              <w:r>
                <w:rPr>
                  <w:rFonts w:ascii="Arial" w:cs="Arial" w:eastAsia="Arial" w:hAnsi="Arial"/>
                  <w:sz w:val="14"/>
                  <w:szCs w:val="14"/>
                  <w:color w:val="0000EE"/>
                  <w:w w:val="95"/>
                </w:rPr>
                <w:t>Form of Administration Agreement between the Registrant and PennantPark Investment Administration LLC (Incorporated by reference to Exhibit 99(k)(1) to the Registrant’s</w:t>
              </w:r>
            </w:hyperlink>
          </w:p>
        </w:tc>
      </w:tr>
      <w:tr>
        <w:trPr>
          <w:trHeight w:val="129"/>
        </w:trPr>
        <w:tc>
          <w:tcPr>
            <w:tcW w:w="920" w:type="dxa"/>
            <w:vAlign w:val="bottom"/>
          </w:tcPr>
          <w:p>
            <w:pPr>
              <w:spacing w:after="0"/>
              <w:rPr>
                <w:sz w:val="11"/>
                <w:szCs w:val="11"/>
                <w:color w:val="auto"/>
              </w:rPr>
            </w:pPr>
          </w:p>
        </w:tc>
        <w:tc>
          <w:tcPr>
            <w:tcW w:w="4840" w:type="dxa"/>
            <w:vAlign w:val="bottom"/>
            <w:tcBorders>
              <w:top w:val="single" w:sz="8" w:color="0000EE"/>
              <w:bottom w:val="single" w:sz="8" w:color="0000EE"/>
            </w:tcBorders>
            <w:gridSpan w:val="5"/>
          </w:tcPr>
          <w:p>
            <w:pPr>
              <w:spacing w:after="0" w:line="129" w:lineRule="exact"/>
              <w:rPr>
                <w:rFonts w:ascii="Arial" w:cs="Arial" w:eastAsia="Arial" w:hAnsi="Arial"/>
                <w:sz w:val="14"/>
                <w:szCs w:val="14"/>
                <w:color w:val="0000EE"/>
                <w:w w:val="94"/>
              </w:rPr>
            </w:pPr>
            <w:hyperlink r:id="rId120">
              <w:r>
                <w:rPr>
                  <w:rFonts w:ascii="Arial" w:cs="Arial" w:eastAsia="Arial" w:hAnsi="Arial"/>
                  <w:sz w:val="14"/>
                  <w:szCs w:val="14"/>
                  <w:color w:val="0000EE"/>
                  <w:w w:val="94"/>
                </w:rPr>
                <w:t>Registration Statement on Form N-2 (File No. 333-150033), filed on April 2, 2008).</w:t>
              </w:r>
            </w:hyperlink>
          </w:p>
        </w:tc>
        <w:tc>
          <w:tcPr>
            <w:tcW w:w="5240" w:type="dxa"/>
            <w:vAlign w:val="bottom"/>
            <w:tcBorders>
              <w:top w:val="single" w:sz="8" w:color="0000EE"/>
            </w:tcBorders>
            <w:gridSpan w:val="9"/>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5"/>
          </w:tcPr>
          <w:p>
            <w:pPr>
              <w:spacing w:after="0"/>
              <w:rPr>
                <w:sz w:val="11"/>
                <w:szCs w:val="11"/>
                <w:color w:val="auto"/>
              </w:rPr>
            </w:pPr>
          </w:p>
        </w:tc>
      </w:tr>
      <w:tr>
        <w:trPr>
          <w:trHeight w:val="305"/>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10.4</w:t>
            </w:r>
          </w:p>
        </w:tc>
        <w:tc>
          <w:tcPr>
            <w:tcW w:w="10220" w:type="dxa"/>
            <w:vAlign w:val="bottom"/>
            <w:gridSpan w:val="20"/>
          </w:tcPr>
          <w:p>
            <w:pPr>
              <w:spacing w:after="0"/>
              <w:rPr>
                <w:rFonts w:ascii="Arial" w:cs="Arial" w:eastAsia="Arial" w:hAnsi="Arial"/>
                <w:sz w:val="14"/>
                <w:szCs w:val="14"/>
                <w:u w:val="single" w:color="auto"/>
                <w:color w:val="0000EE"/>
                <w:w w:val="95"/>
              </w:rPr>
            </w:pPr>
            <w:hyperlink r:id="rId121">
              <w:r>
                <w:rPr>
                  <w:rFonts w:ascii="Arial" w:cs="Arial" w:eastAsia="Arial" w:hAnsi="Arial"/>
                  <w:sz w:val="14"/>
                  <w:szCs w:val="14"/>
                  <w:u w:val="single" w:color="auto"/>
                  <w:color w:val="0000EE"/>
                  <w:w w:val="95"/>
                </w:rPr>
                <w:t>Dividend Reinvestment Plan (Incorporated by reference to Exhibit 99(e) to the Registrant’s Registration Statement on Form N-2 (File No. 333-150033), filed on April 2, 2008).</w:t>
              </w:r>
            </w:hyperlink>
          </w:p>
        </w:tc>
      </w:tr>
      <w:tr>
        <w:trPr>
          <w:trHeight w:val="268"/>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10.5</w:t>
            </w:r>
          </w:p>
        </w:tc>
        <w:tc>
          <w:tcPr>
            <w:tcW w:w="10220" w:type="dxa"/>
            <w:vAlign w:val="bottom"/>
            <w:gridSpan w:val="20"/>
          </w:tcPr>
          <w:p>
            <w:pPr>
              <w:spacing w:after="0"/>
              <w:rPr>
                <w:rFonts w:ascii="Arial" w:cs="Arial" w:eastAsia="Arial" w:hAnsi="Arial"/>
                <w:sz w:val="14"/>
                <w:szCs w:val="14"/>
                <w:color w:val="0000EE"/>
                <w:w w:val="97"/>
              </w:rPr>
            </w:pPr>
            <w:hyperlink r:id="rId122">
              <w:r>
                <w:rPr>
                  <w:rFonts w:ascii="Arial" w:cs="Arial" w:eastAsia="Arial" w:hAnsi="Arial"/>
                  <w:sz w:val="14"/>
                  <w:szCs w:val="14"/>
                  <w:color w:val="0000EE"/>
                  <w:w w:val="97"/>
                </w:rPr>
                <w:t>First Omnibus Amendment to Second Amended and Restated Senior Secured Revolving Credit Agreement and Second Amended and Restated Guarantee and Security</w:t>
              </w:r>
            </w:hyperlink>
          </w:p>
        </w:tc>
      </w:tr>
      <w:tr>
        <w:trPr>
          <w:trHeight w:val="20"/>
        </w:trPr>
        <w:tc>
          <w:tcPr>
            <w:tcW w:w="920" w:type="dxa"/>
            <w:vAlign w:val="bottom"/>
          </w:tcPr>
          <w:p>
            <w:pPr>
              <w:spacing w:after="0" w:line="20" w:lineRule="exact"/>
              <w:rPr>
                <w:sz w:val="1"/>
                <w:szCs w:val="1"/>
                <w:color w:val="auto"/>
              </w:rPr>
            </w:pPr>
          </w:p>
        </w:tc>
        <w:tc>
          <w:tcPr>
            <w:tcW w:w="6440" w:type="dxa"/>
            <w:vAlign w:val="bottom"/>
            <w:gridSpan w:val="7"/>
            <w:shd w:val="clear" w:color="auto" w:fill="0000EE"/>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29"/>
        </w:trPr>
        <w:tc>
          <w:tcPr>
            <w:tcW w:w="920" w:type="dxa"/>
            <w:vAlign w:val="bottom"/>
          </w:tcPr>
          <w:p>
            <w:pPr>
              <w:spacing w:after="0"/>
              <w:rPr>
                <w:sz w:val="11"/>
                <w:szCs w:val="11"/>
                <w:color w:val="auto"/>
              </w:rPr>
            </w:pPr>
          </w:p>
        </w:tc>
        <w:tc>
          <w:tcPr>
            <w:tcW w:w="10220" w:type="dxa"/>
            <w:vAlign w:val="bottom"/>
            <w:gridSpan w:val="20"/>
          </w:tcPr>
          <w:p>
            <w:pPr>
              <w:spacing w:after="0" w:line="129" w:lineRule="exact"/>
              <w:rPr>
                <w:rFonts w:ascii="Arial" w:cs="Arial" w:eastAsia="Arial" w:hAnsi="Arial"/>
                <w:sz w:val="14"/>
                <w:szCs w:val="14"/>
                <w:color w:val="0000EE"/>
                <w:w w:val="93"/>
              </w:rPr>
            </w:pPr>
            <w:hyperlink r:id="rId122">
              <w:r>
                <w:rPr>
                  <w:rFonts w:ascii="Arial" w:cs="Arial" w:eastAsia="Arial" w:hAnsi="Arial"/>
                  <w:sz w:val="14"/>
                  <w:szCs w:val="14"/>
                  <w:color w:val="0000EE"/>
                  <w:w w:val="93"/>
                </w:rPr>
                <w:t>Agreement, dated as of May 25, 2017, among the Registrant, the lenders party thereto and SunTrust Bank, as administrative agent for the lenders (Incorporated by reference to</w:t>
              </w:r>
            </w:hyperlink>
          </w:p>
        </w:tc>
      </w:tr>
      <w:tr>
        <w:trPr>
          <w:trHeight w:val="128"/>
        </w:trPr>
        <w:tc>
          <w:tcPr>
            <w:tcW w:w="920" w:type="dxa"/>
            <w:vAlign w:val="bottom"/>
          </w:tcPr>
          <w:p>
            <w:pPr>
              <w:spacing w:after="0"/>
              <w:rPr>
                <w:sz w:val="11"/>
                <w:szCs w:val="11"/>
                <w:color w:val="auto"/>
              </w:rPr>
            </w:pPr>
          </w:p>
        </w:tc>
        <w:tc>
          <w:tcPr>
            <w:tcW w:w="10060" w:type="dxa"/>
            <w:vAlign w:val="bottom"/>
            <w:tcBorders>
              <w:top w:val="single" w:sz="8" w:color="0000EE"/>
            </w:tcBorders>
            <w:gridSpan w:val="13"/>
          </w:tcPr>
          <w:p>
            <w:pPr>
              <w:spacing w:after="0" w:line="129" w:lineRule="exact"/>
              <w:rPr>
                <w:rFonts w:ascii="Arial" w:cs="Arial" w:eastAsia="Arial" w:hAnsi="Arial"/>
                <w:sz w:val="14"/>
                <w:szCs w:val="14"/>
                <w:color w:val="0000EE"/>
              </w:rPr>
            </w:pPr>
            <w:hyperlink r:id="rId122">
              <w:r>
                <w:rPr>
                  <w:rFonts w:ascii="Arial" w:cs="Arial" w:eastAsia="Arial" w:hAnsi="Arial"/>
                  <w:sz w:val="14"/>
                  <w:szCs w:val="14"/>
                  <w:color w:val="0000EE"/>
                </w:rPr>
                <w:t>Exhibit 10.1 to the Registrant’s Quarterly Report on Form 10-Q (File No. 814-00736), filed on August 7, 2017).</w:t>
              </w:r>
            </w:hyperlink>
          </w:p>
        </w:tc>
        <w:tc>
          <w:tcPr>
            <w:tcW w:w="40" w:type="dxa"/>
            <w:vAlign w:val="bottom"/>
            <w:gridSpan w:val="2"/>
          </w:tcPr>
          <w:p>
            <w:pPr>
              <w:spacing w:after="0"/>
              <w:rPr>
                <w:sz w:val="11"/>
                <w:szCs w:val="11"/>
                <w:color w:val="auto"/>
              </w:rPr>
            </w:pPr>
          </w:p>
        </w:tc>
        <w:tc>
          <w:tcPr>
            <w:tcW w:w="120" w:type="dxa"/>
            <w:vAlign w:val="bottom"/>
            <w:gridSpan w:val="5"/>
          </w:tcPr>
          <w:p>
            <w:pPr>
              <w:spacing w:after="0"/>
              <w:rPr>
                <w:sz w:val="11"/>
                <w:szCs w:val="11"/>
                <w:color w:val="auto"/>
              </w:rPr>
            </w:pPr>
          </w:p>
        </w:tc>
      </w:tr>
      <w:tr>
        <w:trPr>
          <w:trHeight w:val="20"/>
        </w:trPr>
        <w:tc>
          <w:tcPr>
            <w:tcW w:w="920" w:type="dxa"/>
            <w:vAlign w:val="bottom"/>
          </w:tcPr>
          <w:p>
            <w:pPr>
              <w:spacing w:after="0" w:line="20" w:lineRule="exact"/>
              <w:rPr>
                <w:sz w:val="1"/>
                <w:szCs w:val="1"/>
                <w:color w:val="auto"/>
              </w:rPr>
            </w:pPr>
          </w:p>
        </w:tc>
        <w:tc>
          <w:tcPr>
            <w:tcW w:w="6440" w:type="dxa"/>
            <w:vAlign w:val="bottom"/>
            <w:gridSpan w:val="7"/>
            <w:shd w:val="clear" w:color="auto" w:fill="0000EE"/>
          </w:tcPr>
          <w:p>
            <w:pPr>
              <w:spacing w:after="0" w:line="20" w:lineRule="exact"/>
              <w:rPr>
                <w:sz w:val="1"/>
                <w:szCs w:val="1"/>
                <w:color w:val="auto"/>
              </w:rPr>
            </w:pPr>
          </w:p>
        </w:tc>
        <w:tc>
          <w:tcPr>
            <w:tcW w:w="3660" w:type="dxa"/>
            <w:vAlign w:val="bottom"/>
            <w:gridSpan w:val="8"/>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77"/>
        </w:trPr>
        <w:tc>
          <w:tcPr>
            <w:tcW w:w="920" w:type="dxa"/>
            <w:vAlign w:val="bottom"/>
          </w:tcPr>
          <w:p>
            <w:pPr>
              <w:jc w:val="right"/>
              <w:ind w:right="588"/>
              <w:spacing w:after="0"/>
              <w:rPr>
                <w:sz w:val="20"/>
                <w:szCs w:val="20"/>
                <w:color w:val="auto"/>
              </w:rPr>
            </w:pPr>
            <w:r>
              <w:rPr>
                <w:rFonts w:ascii="Arial" w:cs="Arial" w:eastAsia="Arial" w:hAnsi="Arial"/>
                <w:sz w:val="14"/>
                <w:szCs w:val="14"/>
                <w:color w:val="auto"/>
                <w:w w:val="87"/>
              </w:rPr>
              <w:t>10.6</w:t>
            </w:r>
          </w:p>
        </w:tc>
        <w:tc>
          <w:tcPr>
            <w:tcW w:w="10220" w:type="dxa"/>
            <w:vAlign w:val="bottom"/>
            <w:gridSpan w:val="20"/>
          </w:tcPr>
          <w:p>
            <w:pPr>
              <w:spacing w:after="0"/>
              <w:rPr>
                <w:rFonts w:ascii="Arial" w:cs="Arial" w:eastAsia="Arial" w:hAnsi="Arial"/>
                <w:sz w:val="14"/>
                <w:szCs w:val="14"/>
                <w:color w:val="0000EE"/>
                <w:w w:val="93"/>
              </w:rPr>
            </w:pPr>
            <w:hyperlink r:id="rId123">
              <w:r>
                <w:rPr>
                  <w:rFonts w:ascii="Arial" w:cs="Arial" w:eastAsia="Arial" w:hAnsi="Arial"/>
                  <w:sz w:val="14"/>
                  <w:szCs w:val="14"/>
                  <w:color w:val="0000EE"/>
                  <w:w w:val="93"/>
                </w:rPr>
                <w:t>Indemnification Agreement, dated as of November 15, 2016, between PennantPark Investment Corporation and each of the directors and officers listed on Schedule A attached</w:t>
              </w:r>
            </w:hyperlink>
          </w:p>
        </w:tc>
      </w:tr>
      <w:tr>
        <w:trPr>
          <w:trHeight w:val="176"/>
        </w:trPr>
        <w:tc>
          <w:tcPr>
            <w:tcW w:w="920" w:type="dxa"/>
            <w:vAlign w:val="bottom"/>
          </w:tcPr>
          <w:p>
            <w:pPr>
              <w:spacing w:after="0"/>
              <w:rPr>
                <w:sz w:val="15"/>
                <w:szCs w:val="15"/>
                <w:color w:val="auto"/>
              </w:rPr>
            </w:pPr>
          </w:p>
        </w:tc>
        <w:tc>
          <w:tcPr>
            <w:tcW w:w="10100" w:type="dxa"/>
            <w:vAlign w:val="bottom"/>
            <w:tcBorders>
              <w:top w:val="single" w:sz="8" w:color="0000EE"/>
            </w:tcBorders>
            <w:gridSpan w:val="15"/>
          </w:tcPr>
          <w:p>
            <w:pPr>
              <w:spacing w:after="0"/>
              <w:rPr>
                <w:rFonts w:ascii="Arial" w:cs="Arial" w:eastAsia="Arial" w:hAnsi="Arial"/>
                <w:sz w:val="14"/>
                <w:szCs w:val="14"/>
                <w:u w:val="single" w:color="auto"/>
                <w:color w:val="0000EE"/>
              </w:rPr>
            </w:pPr>
            <w:hyperlink r:id="rId123">
              <w:r>
                <w:rPr>
                  <w:rFonts w:ascii="Arial" w:cs="Arial" w:eastAsia="Arial" w:hAnsi="Arial"/>
                  <w:sz w:val="14"/>
                  <w:szCs w:val="14"/>
                  <w:u w:val="single" w:color="auto"/>
                  <w:color w:val="0000EE"/>
                </w:rPr>
                <w:t>thereto (Incorporated by reference to Exhibit 10.5 to the Registrant’s Annual Report on Form 10-K (File No. 814-00736) filed on November 21, 2016).</w:t>
              </w:r>
            </w:hyperlink>
          </w:p>
        </w:tc>
        <w:tc>
          <w:tcPr>
            <w:tcW w:w="120" w:type="dxa"/>
            <w:vAlign w:val="bottom"/>
            <w:gridSpan w:val="5"/>
          </w:tcPr>
          <w:p>
            <w:pPr>
              <w:spacing w:after="0"/>
              <w:rPr>
                <w:sz w:val="15"/>
                <w:szCs w:val="15"/>
                <w:color w:val="auto"/>
              </w:rPr>
            </w:pPr>
          </w:p>
        </w:tc>
      </w:tr>
    </w:tbl>
    <w:p>
      <w:pPr>
        <w:spacing w:after="0" w:line="96" w:lineRule="exact"/>
        <w:rPr>
          <w:sz w:val="20"/>
          <w:szCs w:val="20"/>
          <w:color w:val="auto"/>
        </w:rPr>
      </w:pPr>
    </w:p>
    <w:p>
      <w:pPr>
        <w:ind w:left="920" w:hanging="912"/>
        <w:spacing w:after="0"/>
        <w:tabs>
          <w:tab w:leader="none" w:pos="920" w:val="left"/>
        </w:tabs>
        <w:numPr>
          <w:ilvl w:val="0"/>
          <w:numId w:val="71"/>
        </w:numPr>
        <w:rPr>
          <w:rFonts w:ascii="Arial" w:cs="Arial" w:eastAsia="Arial" w:hAnsi="Arial"/>
          <w:sz w:val="14"/>
          <w:szCs w:val="14"/>
          <w:color w:val="0000EE"/>
        </w:rPr>
      </w:pPr>
      <w:hyperlink w:anchor="page67">
        <w:r>
          <w:rPr>
            <w:rFonts w:ascii="Arial" w:cs="Arial" w:eastAsia="Arial" w:hAnsi="Arial"/>
            <w:sz w:val="14"/>
            <w:szCs w:val="14"/>
            <w:u w:val="single" w:color="auto"/>
            <w:color w:val="0000EE"/>
          </w:rPr>
          <w:t>Computation of Per Share Earnings (included in the notes to the audited financial statements contained in this Report)</w:t>
        </w:r>
        <w:r>
          <w:rPr>
            <w:rFonts w:ascii="Arial" w:cs="Arial" w:eastAsia="Arial" w:hAnsi="Arial"/>
            <w:sz w:val="14"/>
            <w:szCs w:val="14"/>
            <w:color w:val="0000EE"/>
          </w:rPr>
          <w:t>.</w:t>
        </w:r>
      </w:hyperlink>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spacing w:after="0"/>
              <w:rPr>
                <w:sz w:val="20"/>
                <w:szCs w:val="20"/>
                <w:color w:val="auto"/>
              </w:rPr>
            </w:pPr>
            <w:r>
              <w:rPr>
                <w:rFonts w:ascii="Arial" w:cs="Arial" w:eastAsia="Arial" w:hAnsi="Arial"/>
                <w:sz w:val="14"/>
                <w:szCs w:val="14"/>
                <w:color w:val="auto"/>
              </w:rPr>
              <w:t>14.1*</w:t>
            </w:r>
          </w:p>
        </w:tc>
        <w:tc>
          <w:tcPr>
            <w:tcW w:w="10460" w:type="dxa"/>
            <w:vAlign w:val="bottom"/>
          </w:tcPr>
          <w:p>
            <w:pPr>
              <w:ind w:left="300"/>
              <w:spacing w:after="0"/>
              <w:rPr>
                <w:rFonts w:ascii="Arial" w:cs="Arial" w:eastAsia="Arial" w:hAnsi="Arial"/>
                <w:sz w:val="14"/>
                <w:szCs w:val="14"/>
                <w:u w:val="single" w:color="auto"/>
                <w:color w:val="0000EE"/>
              </w:rPr>
            </w:pPr>
            <w:hyperlink w:anchor="page77">
              <w:r>
                <w:rPr>
                  <w:rFonts w:ascii="Arial" w:cs="Arial" w:eastAsia="Arial" w:hAnsi="Arial"/>
                  <w:sz w:val="14"/>
                  <w:szCs w:val="14"/>
                  <w:u w:val="single" w:color="auto"/>
                  <w:color w:val="0000EE"/>
                </w:rPr>
                <w:t>Joint Code of Ethics of the Registrant.</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21.1*</w:t>
            </w:r>
          </w:p>
        </w:tc>
        <w:tc>
          <w:tcPr>
            <w:tcW w:w="10460" w:type="dxa"/>
            <w:vAlign w:val="bottom"/>
          </w:tcPr>
          <w:p>
            <w:pPr>
              <w:ind w:left="300"/>
              <w:spacing w:after="0"/>
              <w:rPr>
                <w:rFonts w:ascii="Arial" w:cs="Arial" w:eastAsia="Arial" w:hAnsi="Arial"/>
                <w:sz w:val="14"/>
                <w:szCs w:val="14"/>
                <w:color w:val="0000EE"/>
              </w:rPr>
            </w:pPr>
            <w:hyperlink w:anchor="page83">
              <w:r>
                <w:rPr>
                  <w:rFonts w:ascii="Arial" w:cs="Arial" w:eastAsia="Arial" w:hAnsi="Arial"/>
                  <w:sz w:val="14"/>
                  <w:szCs w:val="14"/>
                  <w:u w:val="single" w:color="auto"/>
                  <w:color w:val="0000EE"/>
                </w:rPr>
                <w:t>Subsidiaries of the Registrant</w:t>
              </w:r>
              <w:r>
                <w:rPr>
                  <w:rFonts w:ascii="Arial" w:cs="Arial" w:eastAsia="Arial" w:hAnsi="Arial"/>
                  <w:sz w:val="14"/>
                  <w:szCs w:val="14"/>
                  <w:color w:val="0000EE"/>
                </w:rPr>
                <w:t>.</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31.1*</w:t>
            </w:r>
          </w:p>
        </w:tc>
        <w:tc>
          <w:tcPr>
            <w:tcW w:w="10460" w:type="dxa"/>
            <w:vAlign w:val="bottom"/>
          </w:tcPr>
          <w:p>
            <w:pPr>
              <w:ind w:left="300"/>
              <w:spacing w:after="0"/>
              <w:rPr>
                <w:rFonts w:ascii="Arial" w:cs="Arial" w:eastAsia="Arial" w:hAnsi="Arial"/>
                <w:sz w:val="14"/>
                <w:szCs w:val="14"/>
                <w:u w:val="single" w:color="auto"/>
                <w:color w:val="0000EE"/>
              </w:rPr>
            </w:pPr>
            <w:hyperlink w:anchor="page84">
              <w:r>
                <w:rPr>
                  <w:rFonts w:ascii="Arial" w:cs="Arial" w:eastAsia="Arial" w:hAnsi="Arial"/>
                  <w:sz w:val="14"/>
                  <w:szCs w:val="14"/>
                  <w:u w:val="single" w:color="auto"/>
                  <w:color w:val="0000EE"/>
                </w:rPr>
                <w:t>Certification of Chief Executive Officer pursuant to Rule 13a-14 of the Securities Exchange Act of 1934, as amended.</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31.2*</w:t>
            </w:r>
          </w:p>
        </w:tc>
        <w:tc>
          <w:tcPr>
            <w:tcW w:w="10460" w:type="dxa"/>
            <w:vAlign w:val="bottom"/>
          </w:tcPr>
          <w:p>
            <w:pPr>
              <w:ind w:left="300"/>
              <w:spacing w:after="0"/>
              <w:rPr>
                <w:rFonts w:ascii="Arial" w:cs="Arial" w:eastAsia="Arial" w:hAnsi="Arial"/>
                <w:sz w:val="14"/>
                <w:szCs w:val="14"/>
                <w:u w:val="single" w:color="auto"/>
                <w:color w:val="0000EE"/>
              </w:rPr>
            </w:pPr>
            <w:hyperlink w:anchor="page85">
              <w:r>
                <w:rPr>
                  <w:rFonts w:ascii="Arial" w:cs="Arial" w:eastAsia="Arial" w:hAnsi="Arial"/>
                  <w:sz w:val="14"/>
                  <w:szCs w:val="14"/>
                  <w:u w:val="single" w:color="auto"/>
                  <w:color w:val="0000EE"/>
                </w:rPr>
                <w:t>Certification of Chief Financial Officer pursuant to Rule 13a-14 of the Securities Exchange Act of 1934, as amended.</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32.1*</w:t>
            </w:r>
          </w:p>
        </w:tc>
        <w:tc>
          <w:tcPr>
            <w:tcW w:w="10460" w:type="dxa"/>
            <w:vAlign w:val="bottom"/>
          </w:tcPr>
          <w:p>
            <w:pPr>
              <w:ind w:left="300"/>
              <w:spacing w:after="0"/>
              <w:rPr>
                <w:rFonts w:ascii="Arial" w:cs="Arial" w:eastAsia="Arial" w:hAnsi="Arial"/>
                <w:sz w:val="14"/>
                <w:szCs w:val="14"/>
                <w:u w:val="single" w:color="auto"/>
                <w:color w:val="0000EE"/>
              </w:rPr>
            </w:pPr>
            <w:hyperlink w:anchor="page86">
              <w:r>
                <w:rPr>
                  <w:rFonts w:ascii="Arial" w:cs="Arial" w:eastAsia="Arial" w:hAnsi="Arial"/>
                  <w:sz w:val="14"/>
                  <w:szCs w:val="14"/>
                  <w:u w:val="single" w:color="auto"/>
                  <w:color w:val="0000EE"/>
                </w:rPr>
                <w:t>Certification of Chief Executive Officer pursuant to section 906 of the Sarbanes-Oxley Act of 2002.</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32.2*</w:t>
            </w:r>
          </w:p>
        </w:tc>
        <w:tc>
          <w:tcPr>
            <w:tcW w:w="10460" w:type="dxa"/>
            <w:vAlign w:val="bottom"/>
          </w:tcPr>
          <w:p>
            <w:pPr>
              <w:ind w:left="300"/>
              <w:spacing w:after="0"/>
              <w:rPr>
                <w:rFonts w:ascii="Arial" w:cs="Arial" w:eastAsia="Arial" w:hAnsi="Arial"/>
                <w:sz w:val="14"/>
                <w:szCs w:val="14"/>
                <w:color w:val="0000EE"/>
              </w:rPr>
            </w:pPr>
            <w:hyperlink w:anchor="page87">
              <w:r>
                <w:rPr>
                  <w:rFonts w:ascii="Arial" w:cs="Arial" w:eastAsia="Arial" w:hAnsi="Arial"/>
                  <w:sz w:val="14"/>
                  <w:szCs w:val="14"/>
                  <w:u w:val="single" w:color="auto"/>
                  <w:color w:val="0000EE"/>
                </w:rPr>
                <w:t>Certification of Chief Financial Officer pursuant to section 906 of the Sarbanes-Oxley Act of 2002</w:t>
              </w:r>
              <w:r>
                <w:rPr>
                  <w:rFonts w:ascii="Arial" w:cs="Arial" w:eastAsia="Arial" w:hAnsi="Arial"/>
                  <w:sz w:val="14"/>
                  <w:szCs w:val="14"/>
                  <w:color w:val="0000EE"/>
                </w:rPr>
                <w:t>.</w:t>
              </w:r>
            </w:hyperlink>
          </w:p>
        </w:tc>
      </w:tr>
      <w:tr>
        <w:trPr>
          <w:trHeight w:val="297"/>
        </w:trPr>
        <w:tc>
          <w:tcPr>
            <w:tcW w:w="620" w:type="dxa"/>
            <w:vAlign w:val="bottom"/>
          </w:tcPr>
          <w:p>
            <w:pPr>
              <w:spacing w:after="0"/>
              <w:rPr>
                <w:sz w:val="20"/>
                <w:szCs w:val="20"/>
                <w:color w:val="auto"/>
              </w:rPr>
            </w:pPr>
            <w:r>
              <w:rPr>
                <w:rFonts w:ascii="Arial" w:cs="Arial" w:eastAsia="Arial" w:hAnsi="Arial"/>
                <w:sz w:val="14"/>
                <w:szCs w:val="14"/>
                <w:color w:val="auto"/>
              </w:rPr>
              <w:t>99.1</w:t>
            </w:r>
          </w:p>
        </w:tc>
        <w:tc>
          <w:tcPr>
            <w:tcW w:w="10460" w:type="dxa"/>
            <w:vAlign w:val="bottom"/>
          </w:tcPr>
          <w:p>
            <w:pPr>
              <w:ind w:left="300"/>
              <w:spacing w:after="0"/>
              <w:rPr>
                <w:rFonts w:ascii="Arial" w:cs="Arial" w:eastAsia="Arial" w:hAnsi="Arial"/>
                <w:sz w:val="14"/>
                <w:szCs w:val="14"/>
                <w:color w:val="0000EE"/>
                <w:w w:val="94"/>
              </w:rPr>
            </w:pPr>
            <w:hyperlink r:id="rId124">
              <w:r>
                <w:rPr>
                  <w:rFonts w:ascii="Arial" w:cs="Arial" w:eastAsia="Arial" w:hAnsi="Arial"/>
                  <w:sz w:val="14"/>
                  <w:szCs w:val="14"/>
                  <w:u w:val="single" w:color="auto"/>
                  <w:color w:val="0000EE"/>
                  <w:w w:val="94"/>
                </w:rPr>
                <w:t>Privacy Policy of the Registrant (Incorporated by reference to Exhibit 99.1 to the Registrant’s Annual Report on Form 10-K (File No. 814-00736), filed on November 16, 2011)</w:t>
              </w:r>
              <w:r>
                <w:rPr>
                  <w:rFonts w:ascii="Arial" w:cs="Arial" w:eastAsia="Arial" w:hAnsi="Arial"/>
                  <w:sz w:val="14"/>
                  <w:szCs w:val="14"/>
                  <w:color w:val="0000EE"/>
                  <w:w w:val="94"/>
                </w:rPr>
                <w:t>.</w:t>
              </w:r>
            </w:hyperlink>
          </w:p>
        </w:tc>
      </w:tr>
      <w:tr>
        <w:trPr>
          <w:trHeight w:val="310"/>
        </w:trPr>
        <w:tc>
          <w:tcPr>
            <w:tcW w:w="620" w:type="dxa"/>
            <w:vAlign w:val="bottom"/>
          </w:tcPr>
          <w:p>
            <w:pPr>
              <w:spacing w:after="0"/>
              <w:rPr>
                <w:sz w:val="20"/>
                <w:szCs w:val="20"/>
                <w:color w:val="auto"/>
              </w:rPr>
            </w:pPr>
            <w:r>
              <w:rPr>
                <w:rFonts w:ascii="Arial" w:cs="Arial" w:eastAsia="Arial" w:hAnsi="Arial"/>
                <w:sz w:val="14"/>
                <w:szCs w:val="14"/>
                <w:color w:val="auto"/>
              </w:rPr>
              <w:t>99.2*</w:t>
            </w:r>
          </w:p>
        </w:tc>
        <w:tc>
          <w:tcPr>
            <w:tcW w:w="10460" w:type="dxa"/>
            <w:vAlign w:val="bottom"/>
          </w:tcPr>
          <w:p>
            <w:pPr>
              <w:ind w:left="300"/>
              <w:spacing w:after="0"/>
              <w:rPr>
                <w:rFonts w:ascii="Arial" w:cs="Arial" w:eastAsia="Arial" w:hAnsi="Arial"/>
                <w:sz w:val="14"/>
                <w:szCs w:val="14"/>
                <w:u w:val="single" w:color="auto"/>
                <w:color w:val="0000EE"/>
              </w:rPr>
            </w:pPr>
            <w:hyperlink w:anchor="page88">
              <w:r>
                <w:rPr>
                  <w:rFonts w:ascii="Arial" w:cs="Arial" w:eastAsia="Arial" w:hAnsi="Arial"/>
                  <w:sz w:val="14"/>
                  <w:szCs w:val="14"/>
                  <w:u w:val="single" w:color="auto"/>
                  <w:color w:val="0000EE"/>
                </w:rPr>
                <w:t>Audited Consolidated Financial Statements of Superior Digital Displays Holdings, Inc. and Subsidiaries for the Year Ended September 30, 2018.</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19456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149" w:lineRule="exact"/>
        <w:rPr>
          <w:sz w:val="20"/>
          <w:szCs w:val="20"/>
          <w:color w:val="auto"/>
        </w:rPr>
      </w:pPr>
    </w:p>
    <w:p>
      <w:pPr>
        <w:ind w:left="380" w:hanging="372"/>
        <w:spacing w:after="0"/>
        <w:tabs>
          <w:tab w:leader="none" w:pos="3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265" w:right="459" w:bottom="1440" w:gutter="0" w:footer="0" w:header="0"/>
        </w:sectPr>
      </w:pPr>
    </w:p>
    <w:bookmarkStart w:id="75" w:name="page76"/>
    <w:bookmarkEnd w:id="75"/>
    <w:p>
      <w:pPr>
        <w:jc w:val="center"/>
        <w:spacing w:after="0"/>
        <w:rPr>
          <w:sz w:val="20"/>
          <w:szCs w:val="20"/>
          <w:color w:val="auto"/>
        </w:rPr>
      </w:pPr>
      <w:r>
        <w:rPr>
          <w:rFonts w:ascii="Arial" w:cs="Arial" w:eastAsia="Arial" w:hAnsi="Arial"/>
          <w:sz w:val="14"/>
          <w:szCs w:val="14"/>
          <w:b w:val="1"/>
          <w:bCs w:val="1"/>
          <w:color w:val="auto"/>
        </w:rPr>
        <w:t>SIGNATURES</w:t>
      </w:r>
    </w:p>
    <w:p>
      <w:pPr>
        <w:spacing w:after="0" w:line="275" w:lineRule="exact"/>
        <w:rPr>
          <w:sz w:val="20"/>
          <w:szCs w:val="20"/>
          <w:color w:val="auto"/>
        </w:rPr>
      </w:pPr>
    </w:p>
    <w:p>
      <w:pPr>
        <w:ind w:right="500" w:firstLine="438"/>
        <w:spacing w:after="0" w:line="25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November 15, 2018.</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0" w:type="dxa"/>
            <w:vAlign w:val="bottom"/>
          </w:tcPr>
          <w:p>
            <w:pPr>
              <w:spacing w:after="0"/>
              <w:rPr>
                <w:sz w:val="20"/>
                <w:szCs w:val="20"/>
                <w:color w:val="auto"/>
              </w:rPr>
            </w:pPr>
            <w:r>
              <w:rPr>
                <w:rFonts w:ascii="Arial" w:cs="Arial" w:eastAsia="Arial" w:hAnsi="Arial"/>
                <w:sz w:val="14"/>
                <w:szCs w:val="14"/>
                <w:color w:val="auto"/>
              </w:rPr>
              <w:t>By:</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ARTHUR H. PENN</w:t>
            </w:r>
          </w:p>
        </w:tc>
      </w:tr>
      <w:tr>
        <w:trPr>
          <w:trHeight w:val="119"/>
        </w:trPr>
        <w:tc>
          <w:tcPr>
            <w:tcW w:w="740" w:type="dxa"/>
            <w:vAlign w:val="bottom"/>
          </w:tcPr>
          <w:p>
            <w:pPr>
              <w:spacing w:after="0" w:line="119" w:lineRule="exact"/>
              <w:rPr>
                <w:sz w:val="20"/>
                <w:szCs w:val="20"/>
                <w:color w:val="auto"/>
              </w:rPr>
            </w:pPr>
            <w:r>
              <w:rPr>
                <w:rFonts w:ascii="Arial" w:cs="Arial" w:eastAsia="Arial" w:hAnsi="Arial"/>
                <w:sz w:val="13"/>
                <w:szCs w:val="13"/>
                <w:color w:val="auto"/>
              </w:rPr>
              <w:t>Name:</w:t>
            </w:r>
          </w:p>
        </w:tc>
        <w:tc>
          <w:tcPr>
            <w:tcW w:w="3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Arthur H. Penn</w:t>
            </w:r>
          </w:p>
        </w:tc>
      </w:tr>
      <w:tr>
        <w:trPr>
          <w:trHeight w:val="148"/>
        </w:trPr>
        <w:tc>
          <w:tcPr>
            <w:tcW w:w="74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3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Executive Officer and Chairman of the Board of</w:t>
            </w:r>
          </w:p>
        </w:tc>
      </w:tr>
      <w:tr>
        <w:trPr>
          <w:trHeight w:val="186"/>
        </w:trPr>
        <w:tc>
          <w:tcPr>
            <w:tcW w:w="740" w:type="dxa"/>
            <w:vAlign w:val="bottom"/>
          </w:tcPr>
          <w:p>
            <w:pPr>
              <w:spacing w:after="0"/>
              <w:rPr>
                <w:sz w:val="16"/>
                <w:szCs w:val="16"/>
                <w:color w:val="auto"/>
              </w:rPr>
            </w:pP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94"/>
              </w:rPr>
              <w:t>Directors</w:t>
            </w:r>
          </w:p>
        </w:tc>
      </w:tr>
    </w:tbl>
    <w:p>
      <w:pPr>
        <w:spacing w:after="0" w:line="115"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2940" w:type="dxa"/>
            <w:vAlign w:val="bottom"/>
          </w:tcPr>
          <w:p>
            <w:pPr>
              <w:ind w:left="106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4"/>
                <w:szCs w:val="14"/>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Title</w:t>
            </w: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142"/>
        </w:trPr>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/s/</w:t>
            </w:r>
          </w:p>
        </w:tc>
        <w:tc>
          <w:tcPr>
            <w:tcW w:w="29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ARTHUR H. PENN</w:t>
            </w:r>
          </w:p>
        </w:tc>
        <w:tc>
          <w:tcPr>
            <w:tcW w:w="120" w:type="dxa"/>
            <w:vAlign w:val="bottom"/>
          </w:tcPr>
          <w:p>
            <w:pPr>
              <w:spacing w:after="0"/>
              <w:rPr>
                <w:sz w:val="12"/>
                <w:szCs w:val="12"/>
                <w:color w:val="auto"/>
              </w:rPr>
            </w:pPr>
          </w:p>
        </w:tc>
        <w:tc>
          <w:tcPr>
            <w:tcW w:w="5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Chief Executive Officer and Chairman of the Board of Directors</w:t>
            </w:r>
          </w:p>
        </w:tc>
        <w:tc>
          <w:tcPr>
            <w:tcW w:w="120" w:type="dxa"/>
            <w:vAlign w:val="bottom"/>
          </w:tcPr>
          <w:p>
            <w:pPr>
              <w:spacing w:after="0"/>
              <w:rPr>
                <w:sz w:val="12"/>
                <w:szCs w:val="12"/>
                <w:color w:val="auto"/>
              </w:rPr>
            </w:pPr>
          </w:p>
        </w:tc>
        <w:tc>
          <w:tcPr>
            <w:tcW w:w="2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November 15, 2018</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Arthur H. Penn</w:t>
            </w:r>
          </w:p>
        </w:tc>
        <w:tc>
          <w:tcPr>
            <w:tcW w:w="120" w:type="dxa"/>
            <w:vAlign w:val="bottom"/>
          </w:tcPr>
          <w:p>
            <w:pPr>
              <w:spacing w:after="0"/>
              <w:rPr>
                <w:sz w:val="15"/>
                <w:szCs w:val="15"/>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(Principal Executive Officer)</w:t>
            </w:r>
          </w:p>
        </w:tc>
        <w:tc>
          <w:tcPr>
            <w:tcW w:w="2800" w:type="dxa"/>
            <w:vAlign w:val="bottom"/>
          </w:tcPr>
          <w:p>
            <w:pPr>
              <w:spacing w:after="0"/>
              <w:rPr>
                <w:sz w:val="15"/>
                <w:szCs w:val="15"/>
                <w:color w:val="auto"/>
              </w:rPr>
            </w:pPr>
          </w:p>
        </w:tc>
      </w:tr>
      <w:tr>
        <w:trPr>
          <w:trHeight w:val="246"/>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AVIV EFRAT</w:t>
            </w:r>
          </w:p>
        </w:tc>
        <w:tc>
          <w:tcPr>
            <w:tcW w:w="120" w:type="dxa"/>
            <w:vAlign w:val="bottom"/>
          </w:tcPr>
          <w:p>
            <w:pPr>
              <w:spacing w:after="0"/>
              <w:rPr>
                <w:sz w:val="21"/>
                <w:szCs w:val="21"/>
                <w:color w:val="auto"/>
              </w:rPr>
            </w:pPr>
          </w:p>
        </w:tc>
        <w:tc>
          <w:tcPr>
            <w:tcW w:w="51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Chief Financial Officer and Treasurer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15, 2018</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Aviv Efrat</w:t>
            </w:r>
          </w:p>
        </w:tc>
        <w:tc>
          <w:tcPr>
            <w:tcW w:w="120" w:type="dxa"/>
            <w:vAlign w:val="bottom"/>
          </w:tcPr>
          <w:p>
            <w:pPr>
              <w:spacing w:after="0"/>
              <w:rPr>
                <w:sz w:val="15"/>
                <w:szCs w:val="15"/>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(Principal Financial and Accounting Officer)</w:t>
            </w:r>
          </w:p>
        </w:tc>
        <w:tc>
          <w:tcPr>
            <w:tcW w:w="2800" w:type="dxa"/>
            <w:vAlign w:val="bottom"/>
          </w:tcPr>
          <w:p>
            <w:pPr>
              <w:spacing w:after="0"/>
              <w:rPr>
                <w:sz w:val="15"/>
                <w:szCs w:val="15"/>
                <w:color w:val="auto"/>
              </w:rPr>
            </w:pPr>
          </w:p>
        </w:tc>
      </w:tr>
      <w:tr>
        <w:trPr>
          <w:trHeight w:val="246"/>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ADAM K. BERNSTEIN</w:t>
            </w:r>
          </w:p>
        </w:tc>
        <w:tc>
          <w:tcPr>
            <w:tcW w:w="120" w:type="dxa"/>
            <w:vAlign w:val="bottom"/>
          </w:tcPr>
          <w:p>
            <w:pPr>
              <w:spacing w:after="0"/>
              <w:rPr>
                <w:sz w:val="21"/>
                <w:szCs w:val="21"/>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15, 2018</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Adam K. Bernstein</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46"/>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JEFFREY FLUG</w:t>
            </w:r>
          </w:p>
        </w:tc>
        <w:tc>
          <w:tcPr>
            <w:tcW w:w="120" w:type="dxa"/>
            <w:vAlign w:val="bottom"/>
          </w:tcPr>
          <w:p>
            <w:pPr>
              <w:spacing w:after="0"/>
              <w:rPr>
                <w:sz w:val="21"/>
                <w:szCs w:val="21"/>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15, 2018</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Jeffrey Flug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46"/>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MARSHALL BROZOST</w:t>
            </w:r>
          </w:p>
        </w:tc>
        <w:tc>
          <w:tcPr>
            <w:tcW w:w="120" w:type="dxa"/>
            <w:vAlign w:val="bottom"/>
          </w:tcPr>
          <w:p>
            <w:pPr>
              <w:spacing w:after="0"/>
              <w:rPr>
                <w:sz w:val="21"/>
                <w:szCs w:val="21"/>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15, 2018</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Marshall Brozost</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46"/>
        </w:trPr>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SAMUEL L. KATZ</w:t>
            </w:r>
          </w:p>
        </w:tc>
        <w:tc>
          <w:tcPr>
            <w:tcW w:w="120" w:type="dxa"/>
            <w:vAlign w:val="bottom"/>
          </w:tcPr>
          <w:p>
            <w:pPr>
              <w:spacing w:after="0"/>
              <w:rPr>
                <w:sz w:val="21"/>
                <w:szCs w:val="21"/>
                <w:color w:val="auto"/>
              </w:rPr>
            </w:pPr>
          </w:p>
        </w:tc>
        <w:tc>
          <w:tcPr>
            <w:tcW w:w="51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Director</w:t>
            </w:r>
          </w:p>
        </w:tc>
        <w:tc>
          <w:tcPr>
            <w:tcW w:w="2800" w:type="dxa"/>
            <w:vAlign w:val="bottom"/>
          </w:tcPr>
          <w:p>
            <w:pPr>
              <w:jc w:val="center"/>
              <w:spacing w:after="0"/>
              <w:rPr>
                <w:sz w:val="20"/>
                <w:szCs w:val="20"/>
                <w:color w:val="auto"/>
              </w:rPr>
            </w:pPr>
            <w:r>
              <w:rPr>
                <w:rFonts w:ascii="Arial" w:cs="Arial" w:eastAsia="Arial" w:hAnsi="Arial"/>
                <w:sz w:val="14"/>
                <w:szCs w:val="14"/>
                <w:color w:val="auto"/>
                <w:w w:val="92"/>
              </w:rPr>
              <w:t>November 15, 2018</w:t>
            </w:r>
          </w:p>
        </w:tc>
      </w:tr>
      <w:tr>
        <w:trPr>
          <w:trHeight w:val="180"/>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Samuel L. Katz</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639"/>
        </w:trPr>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160" w:type="dxa"/>
            <w:vAlign w:val="bottom"/>
            <w:gridSpan w:val="2"/>
          </w:tcPr>
          <w:p>
            <w:pPr>
              <w:jc w:val="right"/>
              <w:ind w:right="254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ectPr>
          <w:pgSz w:w="11900" w:h="16838" w:orient="portrait"/>
          <w:cols w:equalWidth="0" w:num="1">
            <w:col w:w="11240"/>
          </w:cols>
          <w:pgMar w:left="320" w:top="265"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4"/>
          <w:szCs w:val="14"/>
          <w:b w:val="1"/>
          <w:bCs w:val="1"/>
          <w:color w:val="auto"/>
        </w:rPr>
        <w:t>EXHIBIT 14.1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JOINT CODE OF ETHICS</w:t>
      </w:r>
    </w:p>
    <w:p>
      <w:pPr>
        <w:jc w:val="center"/>
        <w:spacing w:after="0" w:line="226" w:lineRule="auto"/>
        <w:rPr>
          <w:sz w:val="20"/>
          <w:szCs w:val="20"/>
          <w:color w:val="auto"/>
        </w:rPr>
      </w:pPr>
      <w:r>
        <w:rPr>
          <w:rFonts w:ascii="Arial" w:cs="Arial" w:eastAsia="Arial" w:hAnsi="Arial"/>
          <w:sz w:val="14"/>
          <w:szCs w:val="14"/>
          <w:b w:val="1"/>
          <w:bCs w:val="1"/>
          <w:color w:val="auto"/>
        </w:rPr>
        <w:t>FOR</w:t>
      </w:r>
    </w:p>
    <w:p>
      <w:pPr>
        <w:jc w:val="center"/>
        <w:spacing w:after="0" w:line="221" w:lineRule="auto"/>
        <w:rPr>
          <w:sz w:val="20"/>
          <w:szCs w:val="20"/>
          <w:color w:val="auto"/>
        </w:rPr>
      </w:pPr>
      <w:r>
        <w:rPr>
          <w:rFonts w:ascii="Arial" w:cs="Arial" w:eastAsia="Arial" w:hAnsi="Arial"/>
          <w:sz w:val="14"/>
          <w:szCs w:val="14"/>
          <w:b w:val="1"/>
          <w:bCs w:val="1"/>
          <w:color w:val="auto"/>
        </w:rPr>
        <w:t>PENNANTPARK INVESTMENT CORPORATION</w:t>
      </w:r>
    </w:p>
    <w:p>
      <w:pPr>
        <w:jc w:val="center"/>
        <w:spacing w:after="0" w:line="222" w:lineRule="auto"/>
        <w:rPr>
          <w:sz w:val="20"/>
          <w:szCs w:val="20"/>
          <w:color w:val="auto"/>
        </w:rPr>
      </w:pPr>
      <w:r>
        <w:rPr>
          <w:rFonts w:ascii="Arial" w:cs="Arial" w:eastAsia="Arial" w:hAnsi="Arial"/>
          <w:sz w:val="14"/>
          <w:szCs w:val="14"/>
          <w:b w:val="1"/>
          <w:bCs w:val="1"/>
          <w:color w:val="auto"/>
        </w:rPr>
        <w:t>PENNANTPARK FLOATING RATE CAPITAL LTD.</w:t>
      </w:r>
    </w:p>
    <w:p>
      <w:pPr>
        <w:jc w:val="center"/>
        <w:spacing w:after="0"/>
        <w:rPr>
          <w:sz w:val="20"/>
          <w:szCs w:val="20"/>
          <w:color w:val="auto"/>
        </w:rPr>
      </w:pPr>
      <w:r>
        <w:rPr>
          <w:rFonts w:ascii="Arial" w:cs="Arial" w:eastAsia="Arial" w:hAnsi="Arial"/>
          <w:sz w:val="14"/>
          <w:szCs w:val="14"/>
          <w:b w:val="1"/>
          <w:bCs w:val="1"/>
          <w:color w:val="auto"/>
        </w:rPr>
        <w:t>PENNANTPARK INVESTMENT ADVISERS, LLC</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 Statement of General Fiduciary Principles</w:t>
      </w:r>
    </w:p>
    <w:p>
      <w:pPr>
        <w:spacing w:after="0" w:line="140" w:lineRule="exact"/>
        <w:rPr>
          <w:sz w:val="20"/>
          <w:szCs w:val="20"/>
          <w:color w:val="auto"/>
        </w:rPr>
      </w:pPr>
    </w:p>
    <w:p>
      <w:pPr>
        <w:ind w:right="40" w:firstLine="496"/>
        <w:spacing w:after="0" w:line="228" w:lineRule="auto"/>
        <w:rPr>
          <w:sz w:val="20"/>
          <w:szCs w:val="20"/>
          <w:color w:val="auto"/>
        </w:rPr>
      </w:pPr>
      <w:r>
        <w:rPr>
          <w:rFonts w:ascii="Arial" w:cs="Arial" w:eastAsia="Arial" w:hAnsi="Arial"/>
          <w:sz w:val="14"/>
          <w:szCs w:val="14"/>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117" w:lineRule="exact"/>
        <w:rPr>
          <w:sz w:val="20"/>
          <w:szCs w:val="20"/>
          <w:color w:val="auto"/>
        </w:rPr>
      </w:pPr>
    </w:p>
    <w:p>
      <w:pPr>
        <w:ind w:right="60" w:firstLine="496"/>
        <w:spacing w:after="0" w:line="251" w:lineRule="auto"/>
        <w:rPr>
          <w:sz w:val="20"/>
          <w:szCs w:val="20"/>
          <w:color w:val="auto"/>
        </w:rPr>
      </w:pPr>
      <w:r>
        <w:rPr>
          <w:rFonts w:ascii="Arial" w:cs="Arial" w:eastAsia="Arial" w:hAnsi="Arial"/>
          <w:sz w:val="13"/>
          <w:szCs w:val="13"/>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96" w:lineRule="exact"/>
        <w:rPr>
          <w:sz w:val="20"/>
          <w:szCs w:val="20"/>
          <w:color w:val="auto"/>
        </w:rPr>
      </w:pPr>
    </w:p>
    <w:p>
      <w:pPr>
        <w:ind w:right="80" w:firstLine="496"/>
        <w:spacing w:after="0" w:line="238" w:lineRule="auto"/>
        <w:rPr>
          <w:sz w:val="20"/>
          <w:szCs w:val="20"/>
          <w:color w:val="auto"/>
        </w:rPr>
      </w:pPr>
      <w:r>
        <w:rPr>
          <w:rFonts w:ascii="Arial" w:cs="Arial" w:eastAsia="Arial" w:hAnsi="Arial"/>
          <w:sz w:val="14"/>
          <w:szCs w:val="14"/>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All Covered Personnel must read and retain this Code.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 Definitions</w:t>
      </w:r>
    </w:p>
    <w:p>
      <w:pPr>
        <w:spacing w:after="0" w:line="127" w:lineRule="exact"/>
        <w:rPr>
          <w:sz w:val="20"/>
          <w:szCs w:val="20"/>
          <w:color w:val="auto"/>
        </w:rPr>
      </w:pPr>
    </w:p>
    <w:p>
      <w:pPr>
        <w:ind w:left="980" w:hanging="486"/>
        <w:spacing w:after="0"/>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“Access Person” means any director, officer, general partner or Advisory Person (as defined below) of the Corporations or the Adviser.</w:t>
      </w:r>
    </w:p>
    <w:p>
      <w:pPr>
        <w:spacing w:after="0" w:line="136" w:lineRule="exact"/>
        <w:rPr>
          <w:rFonts w:ascii="Arial" w:cs="Arial" w:eastAsia="Arial" w:hAnsi="Arial"/>
          <w:sz w:val="14"/>
          <w:szCs w:val="14"/>
          <w:color w:val="auto"/>
        </w:rPr>
      </w:pPr>
    </w:p>
    <w:p>
      <w:pPr>
        <w:ind w:left="980" w:right="40" w:hanging="486"/>
        <w:spacing w:after="0" w:line="231" w:lineRule="auto"/>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116" w:lineRule="exact"/>
        <w:rPr>
          <w:rFonts w:ascii="Arial" w:cs="Arial" w:eastAsia="Arial" w:hAnsi="Arial"/>
          <w:sz w:val="14"/>
          <w:szCs w:val="14"/>
          <w:color w:val="auto"/>
        </w:rPr>
      </w:pPr>
    </w:p>
    <w:p>
      <w:pPr>
        <w:ind w:left="980" w:right="340" w:hanging="486"/>
        <w:spacing w:after="0" w:line="253" w:lineRule="auto"/>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106" w:lineRule="exact"/>
        <w:rPr>
          <w:rFonts w:ascii="Arial" w:cs="Arial" w:eastAsia="Arial" w:hAnsi="Arial"/>
          <w:sz w:val="14"/>
          <w:szCs w:val="14"/>
          <w:color w:val="auto"/>
        </w:rPr>
      </w:pPr>
    </w:p>
    <w:p>
      <w:pPr>
        <w:ind w:left="980" w:right="140" w:hanging="486"/>
        <w:spacing w:after="0" w:line="253" w:lineRule="auto"/>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“Chief Compliance Officer” means the Chief Compliance Officer of the Corporation (who also may serve as the compliance officer of the Adviser and/or one or more affiliates of the Adviser).</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“Control” shall have the same meaning as that set forth in Section 2(a)(9) of the Act.</w:t>
      </w:r>
    </w:p>
    <w:p>
      <w:pPr>
        <w:spacing w:after="0" w:line="136" w:lineRule="exact"/>
        <w:rPr>
          <w:rFonts w:ascii="Arial" w:cs="Arial" w:eastAsia="Arial" w:hAnsi="Arial"/>
          <w:sz w:val="14"/>
          <w:szCs w:val="14"/>
          <w:color w:val="auto"/>
        </w:rPr>
      </w:pPr>
    </w:p>
    <w:p>
      <w:pPr>
        <w:ind w:left="980" w:hanging="486"/>
        <w:spacing w:after="0" w:line="248" w:lineRule="auto"/>
        <w:tabs>
          <w:tab w:leader="none" w:pos="9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112" w:lineRule="exact"/>
        <w:rPr>
          <w:rFonts w:ascii="Arial" w:cs="Arial" w:eastAsia="Arial" w:hAnsi="Arial"/>
          <w:sz w:val="13"/>
          <w:szCs w:val="13"/>
          <w:color w:val="auto"/>
        </w:rPr>
      </w:pPr>
    </w:p>
    <w:p>
      <w:pPr>
        <w:ind w:left="1000" w:right="20"/>
        <w:spacing w:after="0" w:line="227" w:lineRule="auto"/>
        <w:rPr>
          <w:rFonts w:ascii="Arial" w:cs="Arial" w:eastAsia="Arial" w:hAnsi="Arial"/>
          <w:sz w:val="13"/>
          <w:szCs w:val="13"/>
          <w:color w:val="auto"/>
        </w:rPr>
      </w:pPr>
      <w:r>
        <w:rPr>
          <w:rFonts w:ascii="Arial" w:cs="Arial" w:eastAsia="Arial" w:hAnsi="Arial"/>
          <w:sz w:val="14"/>
          <w:szCs w:val="14"/>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118" w:lineRule="exact"/>
        <w:rPr>
          <w:rFonts w:ascii="Arial" w:cs="Arial" w:eastAsia="Arial" w:hAnsi="Arial"/>
          <w:sz w:val="13"/>
          <w:szCs w:val="13"/>
          <w:color w:val="auto"/>
        </w:rPr>
      </w:pPr>
    </w:p>
    <w:p>
      <w:pPr>
        <w:ind w:left="980" w:hanging="486"/>
        <w:spacing w:after="0"/>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“Independent Director” means a director of the Corporation who is not an “interested person” of the Corporation within the meaning of Section 2(a)(19) of the Act.</w:t>
      </w:r>
    </w:p>
    <w:p>
      <w:pPr>
        <w:spacing w:after="0" w:line="136" w:lineRule="exact"/>
        <w:rPr>
          <w:rFonts w:ascii="Arial" w:cs="Arial" w:eastAsia="Arial" w:hAnsi="Arial"/>
          <w:sz w:val="14"/>
          <w:szCs w:val="14"/>
          <w:color w:val="auto"/>
        </w:rPr>
      </w:pPr>
    </w:p>
    <w:p>
      <w:pPr>
        <w:ind w:left="980" w:right="240" w:hanging="486"/>
        <w:spacing w:after="0" w:line="253" w:lineRule="auto"/>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106" w:lineRule="exact"/>
        <w:rPr>
          <w:rFonts w:ascii="Arial" w:cs="Arial" w:eastAsia="Arial" w:hAnsi="Arial"/>
          <w:sz w:val="14"/>
          <w:szCs w:val="14"/>
          <w:color w:val="auto"/>
        </w:rPr>
      </w:pPr>
    </w:p>
    <w:p>
      <w:pPr>
        <w:ind w:left="980" w:right="140" w:hanging="486"/>
        <w:spacing w:after="0" w:line="253" w:lineRule="auto"/>
        <w:tabs>
          <w:tab w:leader="none" w:pos="9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“Limited Offering” means an offering that is exempt from registration under the 1933 Act pursuant to Section 4(2) or Section 4(6) thereof or pursuant to Rule 504, Rule 505, or Rule 506 thereunder.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7" w:name="page78"/>
    <w:bookmarkEnd w:id="77"/>
    <w:p>
      <w:pPr>
        <w:ind w:left="980" w:right="100" w:hanging="486"/>
        <w:spacing w:after="0" w:line="253" w:lineRule="auto"/>
        <w:tabs>
          <w:tab w:leader="none" w:pos="9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“Restricted List” means the “Pipeline” report of potential investments combined with the current holdings of the clients. PennantPark Access Persons are restricted from trading any security on the Restricted List.</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“Security Held or to be Acquired” by the Corporation means: (i) any Covered Security which, within the most recent 15 days: (A) is or has been held by the Corporation; or</w:t>
      </w:r>
    </w:p>
    <w:p>
      <w:pPr>
        <w:spacing w:after="0" w:line="11" w:lineRule="exact"/>
        <w:rPr>
          <w:rFonts w:ascii="Arial" w:cs="Arial" w:eastAsia="Arial" w:hAnsi="Arial"/>
          <w:sz w:val="13"/>
          <w:szCs w:val="13"/>
          <w:color w:val="auto"/>
        </w:rPr>
      </w:pPr>
    </w:p>
    <w:p>
      <w:pPr>
        <w:ind w:left="980" w:right="20"/>
        <w:spacing w:after="0" w:line="237" w:lineRule="auto"/>
        <w:tabs>
          <w:tab w:leader="none" w:pos="1208" w:val="left"/>
        </w:tabs>
        <w:numPr>
          <w:ilvl w:val="1"/>
          <w:numId w:val="74"/>
        </w:numPr>
        <w:rPr>
          <w:rFonts w:ascii="Arial" w:cs="Arial" w:eastAsia="Arial" w:hAnsi="Arial"/>
          <w:sz w:val="14"/>
          <w:szCs w:val="14"/>
          <w:color w:val="auto"/>
        </w:rPr>
      </w:pPr>
      <w:r>
        <w:rPr>
          <w:rFonts w:ascii="Arial" w:cs="Arial" w:eastAsia="Arial" w:hAnsi="Arial"/>
          <w:sz w:val="14"/>
          <w:szCs w:val="14"/>
          <w:color w:val="auto"/>
        </w:rPr>
        <w:t>is being or has been considered by the Corporation or the Adviser for purchase by the Corporation; and (ii) any option to purchase or sell, and any security convertible into or exchangeable for, a Covered Security described in Section II (K)(i).</w:t>
      </w:r>
    </w:p>
    <w:p>
      <w:pPr>
        <w:spacing w:after="0" w:line="115" w:lineRule="exact"/>
        <w:rPr>
          <w:rFonts w:ascii="Arial" w:cs="Arial" w:eastAsia="Arial" w:hAnsi="Arial"/>
          <w:sz w:val="14"/>
          <w:szCs w:val="14"/>
          <w:color w:val="auto"/>
        </w:rPr>
      </w:pPr>
    </w:p>
    <w:p>
      <w:pPr>
        <w:ind w:left="980" w:hanging="486"/>
        <w:spacing w:after="0"/>
        <w:tabs>
          <w:tab w:leader="none" w:pos="9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“17j-1 Organization” means the Corporation or the Adviser, as the context requires.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III Objective and General Prohibitions</w:t>
      </w:r>
    </w:p>
    <w:p>
      <w:pPr>
        <w:spacing w:after="0" w:line="127" w:lineRule="exact"/>
        <w:rPr>
          <w:sz w:val="20"/>
          <w:szCs w:val="20"/>
          <w:color w:val="auto"/>
        </w:rPr>
      </w:pPr>
    </w:p>
    <w:p>
      <w:pPr>
        <w:ind w:right="40" w:firstLine="496"/>
        <w:spacing w:after="0" w:line="238" w:lineRule="auto"/>
        <w:rPr>
          <w:sz w:val="20"/>
          <w:szCs w:val="20"/>
          <w:color w:val="auto"/>
        </w:rPr>
      </w:pPr>
      <w:r>
        <w:rPr>
          <w:rFonts w:ascii="Arial" w:cs="Arial" w:eastAsia="Arial" w:hAnsi="Arial"/>
          <w:sz w:val="14"/>
          <w:szCs w:val="14"/>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115" w:lineRule="exact"/>
        <w:rPr>
          <w:sz w:val="20"/>
          <w:szCs w:val="20"/>
          <w:color w:val="auto"/>
        </w:rPr>
      </w:pPr>
    </w:p>
    <w:p>
      <w:pPr>
        <w:ind w:right="160" w:firstLine="496"/>
        <w:spacing w:after="0" w:line="264" w:lineRule="auto"/>
        <w:rPr>
          <w:sz w:val="20"/>
          <w:szCs w:val="20"/>
          <w:color w:val="auto"/>
        </w:rPr>
      </w:pPr>
      <w:r>
        <w:rPr>
          <w:rFonts w:ascii="Arial" w:cs="Arial" w:eastAsia="Arial" w:hAnsi="Arial"/>
          <w:sz w:val="13"/>
          <w:szCs w:val="13"/>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101" w:lineRule="exact"/>
        <w:rPr>
          <w:sz w:val="20"/>
          <w:szCs w:val="20"/>
          <w:color w:val="auto"/>
        </w:rPr>
      </w:pPr>
    </w:p>
    <w:p>
      <w:pPr>
        <w:ind w:left="980" w:hanging="486"/>
        <w:spacing w:after="0"/>
        <w:tabs>
          <w:tab w:leader="none" w:pos="9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employ any device, scheme or artifice to defraud the Corporation;</w:t>
      </w:r>
    </w:p>
    <w:p>
      <w:pPr>
        <w:spacing w:after="0" w:line="136" w:lineRule="exact"/>
        <w:rPr>
          <w:rFonts w:ascii="Arial" w:cs="Arial" w:eastAsia="Arial" w:hAnsi="Arial"/>
          <w:sz w:val="14"/>
          <w:szCs w:val="14"/>
          <w:color w:val="auto"/>
        </w:rPr>
      </w:pPr>
    </w:p>
    <w:p>
      <w:pPr>
        <w:ind w:left="980" w:right="100" w:hanging="486"/>
        <w:spacing w:after="0" w:line="253" w:lineRule="auto"/>
        <w:tabs>
          <w:tab w:leader="none" w:pos="9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engage in any act, practice or course of business that operates or would operate as a fraud or deceit upon the Corporation; or</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engage in any manipulative practice with respect to the Corporation.</w:t>
      </w:r>
    </w:p>
    <w:p>
      <w:pPr>
        <w:spacing w:after="0" w:line="136" w:lineRule="exact"/>
        <w:rPr>
          <w:sz w:val="20"/>
          <w:szCs w:val="20"/>
          <w:color w:val="auto"/>
        </w:rPr>
      </w:pPr>
    </w:p>
    <w:p>
      <w:pPr>
        <w:ind w:right="900" w:firstLine="496"/>
        <w:spacing w:after="0" w:line="253" w:lineRule="auto"/>
        <w:rPr>
          <w:sz w:val="20"/>
          <w:szCs w:val="20"/>
          <w:color w:val="auto"/>
        </w:rPr>
      </w:pPr>
      <w:r>
        <w:rPr>
          <w:rFonts w:ascii="Arial" w:cs="Arial" w:eastAsia="Arial" w:hAnsi="Arial"/>
          <w:sz w:val="14"/>
          <w:szCs w:val="14"/>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IV Pre-Clearance of Personal Account Transactions; Window Period to Trade PennantPark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-1270</wp:posOffset>
            </wp:positionV>
            <wp:extent cx="228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22860" cy="8890"/>
                    </a:xfrm>
                    <a:prstGeom prst="rect">
                      <a:avLst/>
                    </a:prstGeom>
                    <a:noFill/>
                  </pic:spPr>
                </pic:pic>
              </a:graphicData>
            </a:graphic>
          </wp:anchor>
        </w:drawing>
      </w:r>
    </w:p>
    <w:p>
      <w:pPr>
        <w:spacing w:after="0" w:line="120" w:lineRule="exact"/>
        <w:rPr>
          <w:sz w:val="20"/>
          <w:szCs w:val="20"/>
          <w:color w:val="auto"/>
        </w:rPr>
      </w:pPr>
    </w:p>
    <w:p>
      <w:pPr>
        <w:ind w:right="160" w:firstLine="496"/>
        <w:spacing w:after="0" w:line="255" w:lineRule="auto"/>
        <w:rPr>
          <w:sz w:val="20"/>
          <w:szCs w:val="20"/>
          <w:color w:val="auto"/>
        </w:rPr>
      </w:pPr>
      <w:r>
        <w:rPr>
          <w:rFonts w:ascii="Arial" w:cs="Arial" w:eastAsia="Arial" w:hAnsi="Arial"/>
          <w:sz w:val="13"/>
          <w:szCs w:val="13"/>
          <w:color w:val="auto"/>
        </w:rPr>
        <w:t>Except as noted below, all Access Persons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of Ethics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Any approval given under this paragraph will be provided by email and will remain in effect for 72 hours.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4"/>
          <w:szCs w:val="14"/>
          <w:u w:val="single" w:color="auto"/>
          <w:color w:val="auto"/>
        </w:rPr>
        <w:t>Exceptions to the Pre-Clearance Requirement Policy</w:t>
      </w:r>
      <w:r>
        <w:rPr>
          <w:rFonts w:ascii="Arial" w:cs="Arial" w:eastAsia="Arial" w:hAnsi="Arial"/>
          <w:sz w:val="14"/>
          <w:szCs w:val="14"/>
          <w:color w:val="auto"/>
        </w:rPr>
        <w:t>,</w:t>
      </w:r>
    </w:p>
    <w:p>
      <w:pPr>
        <w:spacing w:after="0" w:line="136" w:lineRule="exact"/>
        <w:rPr>
          <w:sz w:val="20"/>
          <w:szCs w:val="20"/>
          <w:color w:val="auto"/>
        </w:rPr>
      </w:pPr>
    </w:p>
    <w:p>
      <w:pPr>
        <w:ind w:right="80" w:firstLine="496"/>
        <w:spacing w:after="0" w:line="251" w:lineRule="auto"/>
        <w:rPr>
          <w:sz w:val="20"/>
          <w:szCs w:val="20"/>
          <w:color w:val="auto"/>
        </w:rPr>
      </w:pPr>
      <w:r>
        <w:rPr>
          <w:rFonts w:ascii="Arial" w:cs="Arial" w:eastAsia="Arial" w:hAnsi="Arial"/>
          <w:sz w:val="13"/>
          <w:szCs w:val="13"/>
          <w:color w:val="auto"/>
        </w:rPr>
        <w:t>Access Persons will be allowed to trade securities of the Corporations during a “window period” that may be announced following the release of Corporations’ earnings release. If the window is opened for trading, it will begin no earlier than the second business day after a Corporation publicly releases quarterly or annual financial results and extends no later than 30 calendar days after the release of results (29 calendar days in all). Note that the ability of an officer, director or other Access Person to engage in transactions in the securities of a Corporation during a window period is not automatic or absolute because no trades may be made even during a window period by an individual who possesses material, nonpublic information. Further, the window period may not open in a particular quarter, and it may be closed prior to the expiration of 30 days, as events require.</w:t>
      </w:r>
    </w:p>
    <w:p>
      <w:pPr>
        <w:spacing w:after="0" w:line="109" w:lineRule="exact"/>
        <w:rPr>
          <w:sz w:val="20"/>
          <w:szCs w:val="20"/>
          <w:color w:val="auto"/>
        </w:rPr>
      </w:pPr>
    </w:p>
    <w:p>
      <w:pPr>
        <w:ind w:firstLine="496"/>
        <w:spacing w:after="0" w:line="253" w:lineRule="auto"/>
        <w:rPr>
          <w:sz w:val="20"/>
          <w:szCs w:val="20"/>
          <w:color w:val="auto"/>
        </w:rPr>
      </w:pPr>
      <w:r>
        <w:rPr>
          <w:rFonts w:ascii="Arial" w:cs="Arial" w:eastAsia="Arial" w:hAnsi="Arial"/>
          <w:sz w:val="14"/>
          <w:szCs w:val="14"/>
          <w:color w:val="auto"/>
        </w:rPr>
        <w:t>Additionally, Independent Directors are not required to seek preapproval for any transactions other than those which would trigger reporting requirements as set forth in Section VI (C) of this Code below.</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 Prohibited Transactions</w:t>
      </w:r>
    </w:p>
    <w:p>
      <w:pPr>
        <w:spacing w:after="0" w:line="140" w:lineRule="exact"/>
        <w:rPr>
          <w:sz w:val="20"/>
          <w:szCs w:val="20"/>
          <w:color w:val="auto"/>
        </w:rPr>
      </w:pPr>
    </w:p>
    <w:p>
      <w:pPr>
        <w:ind w:left="980" w:right="60" w:hanging="486"/>
        <w:spacing w:after="0" w:line="251" w:lineRule="auto"/>
        <w:tabs>
          <w:tab w:leader="none" w:pos="9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109" w:lineRule="exact"/>
        <w:rPr>
          <w:rFonts w:ascii="Arial" w:cs="Arial" w:eastAsia="Arial" w:hAnsi="Arial"/>
          <w:sz w:val="13"/>
          <w:szCs w:val="13"/>
          <w:color w:val="auto"/>
        </w:rPr>
      </w:pPr>
    </w:p>
    <w:p>
      <w:pPr>
        <w:ind w:left="980" w:right="40" w:hanging="486"/>
        <w:spacing w:after="0" w:line="238" w:lineRule="auto"/>
        <w:tabs>
          <w:tab w:leader="none" w:pos="9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115" w:lineRule="exact"/>
        <w:rPr>
          <w:rFonts w:ascii="Arial" w:cs="Arial" w:eastAsia="Arial" w:hAnsi="Arial"/>
          <w:sz w:val="14"/>
          <w:szCs w:val="14"/>
          <w:color w:val="auto"/>
        </w:rPr>
      </w:pPr>
    </w:p>
    <w:p>
      <w:pPr>
        <w:jc w:val="both"/>
        <w:ind w:left="980" w:hanging="486"/>
        <w:spacing w:after="0" w:line="233" w:lineRule="auto"/>
        <w:tabs>
          <w:tab w:leader="none" w:pos="9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 Reports by Access Persons</w:t>
      </w:r>
    </w:p>
    <w:p>
      <w:pPr>
        <w:spacing w:after="0" w:line="140" w:lineRule="exact"/>
        <w:rPr>
          <w:sz w:val="20"/>
          <w:szCs w:val="20"/>
          <w:color w:val="auto"/>
        </w:rPr>
      </w:pPr>
    </w:p>
    <w:p>
      <w:pPr>
        <w:ind w:left="980" w:hanging="486"/>
        <w:spacing w:after="0"/>
        <w:tabs>
          <w:tab w:leader="none" w:pos="9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Personal Securities Holdings Reports.</w:t>
      </w:r>
    </w:p>
    <w:p>
      <w:pPr>
        <w:spacing w:after="0" w:line="136" w:lineRule="exact"/>
        <w:rPr>
          <w:sz w:val="20"/>
          <w:szCs w:val="20"/>
          <w:color w:val="auto"/>
        </w:rPr>
      </w:pPr>
    </w:p>
    <w:p>
      <w:pPr>
        <w:ind w:right="40" w:firstLine="496"/>
        <w:spacing w:after="0" w:line="253" w:lineRule="auto"/>
        <w:rPr>
          <w:sz w:val="20"/>
          <w:szCs w:val="20"/>
          <w:color w:val="auto"/>
        </w:rPr>
      </w:pPr>
      <w:r>
        <w:rPr>
          <w:rFonts w:ascii="Arial" w:cs="Arial" w:eastAsia="Arial" w:hAnsi="Arial"/>
          <w:sz w:val="14"/>
          <w:szCs w:val="14"/>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78" w:name="page79"/>
    <w:bookmarkEnd w:id="78"/>
    <w:p>
      <w:pPr>
        <w:spacing w:after="0" w:line="233" w:lineRule="auto"/>
        <w:rPr>
          <w:sz w:val="20"/>
          <w:szCs w:val="20"/>
          <w:color w:val="auto"/>
        </w:rPr>
      </w:pPr>
      <w:r>
        <w:rPr>
          <w:rFonts w:ascii="Arial" w:cs="Arial" w:eastAsia="Arial" w:hAnsi="Arial"/>
          <w:sz w:val="14"/>
          <w:szCs w:val="14"/>
          <w:color w:val="auto"/>
        </w:rPr>
        <w:t>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104" w:lineRule="exact"/>
        <w:rPr>
          <w:sz w:val="20"/>
          <w:szCs w:val="20"/>
          <w:color w:val="auto"/>
        </w:rPr>
      </w:pPr>
    </w:p>
    <w:p>
      <w:pPr>
        <w:ind w:left="980" w:hanging="486"/>
        <w:spacing w:after="0"/>
        <w:tabs>
          <w:tab w:leader="none" w:pos="9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Quarterly Transaction Reports.</w:t>
      </w:r>
    </w:p>
    <w:p>
      <w:pPr>
        <w:spacing w:after="0" w:line="136" w:lineRule="exact"/>
        <w:rPr>
          <w:sz w:val="20"/>
          <w:szCs w:val="20"/>
          <w:color w:val="auto"/>
        </w:rPr>
      </w:pPr>
    </w:p>
    <w:p>
      <w:pPr>
        <w:jc w:val="both"/>
        <w:ind w:right="320" w:firstLine="496"/>
        <w:spacing w:after="0" w:line="290" w:lineRule="auto"/>
        <w:rPr>
          <w:sz w:val="20"/>
          <w:szCs w:val="20"/>
          <w:color w:val="auto"/>
        </w:rPr>
      </w:pPr>
      <w:r>
        <w:rPr>
          <w:rFonts w:ascii="Arial" w:cs="Arial" w:eastAsia="Arial" w:hAnsi="Arial"/>
          <w:sz w:val="13"/>
          <w:szCs w:val="13"/>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84" w:lineRule="exact"/>
        <w:rPr>
          <w:sz w:val="20"/>
          <w:szCs w:val="20"/>
          <w:color w:val="auto"/>
        </w:rPr>
      </w:pPr>
    </w:p>
    <w:p>
      <w:pPr>
        <w:ind w:right="160" w:firstLine="496"/>
        <w:spacing w:after="0" w:line="253" w:lineRule="auto"/>
        <w:rPr>
          <w:sz w:val="20"/>
          <w:szCs w:val="20"/>
          <w:color w:val="auto"/>
        </w:rPr>
      </w:pPr>
      <w:r>
        <w:rPr>
          <w:rFonts w:ascii="Arial" w:cs="Arial" w:eastAsia="Arial" w:hAnsi="Arial"/>
          <w:sz w:val="14"/>
          <w:szCs w:val="14"/>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106" w:lineRule="exact"/>
        <w:rPr>
          <w:sz w:val="20"/>
          <w:szCs w:val="20"/>
          <w:color w:val="auto"/>
        </w:rPr>
      </w:pPr>
    </w:p>
    <w:p>
      <w:pPr>
        <w:ind w:left="980" w:hanging="486"/>
        <w:spacing w:after="0"/>
        <w:tabs>
          <w:tab w:leader="none" w:pos="9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Date and nature of the transaction (purchase, sale or any other type of acquisition or disposition);</w:t>
      </w:r>
    </w:p>
    <w:p>
      <w:pPr>
        <w:spacing w:after="0" w:line="136" w:lineRule="exact"/>
        <w:rPr>
          <w:rFonts w:ascii="Arial" w:cs="Arial" w:eastAsia="Arial" w:hAnsi="Arial"/>
          <w:sz w:val="14"/>
          <w:szCs w:val="14"/>
          <w:color w:val="auto"/>
        </w:rPr>
      </w:pPr>
    </w:p>
    <w:p>
      <w:pPr>
        <w:ind w:left="980" w:right="80" w:hanging="486"/>
        <w:spacing w:after="0" w:line="253" w:lineRule="auto"/>
        <w:tabs>
          <w:tab w:leader="none" w:pos="9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Title, interest rate and maturity date (if applicable), number of shares and principal amount of each Covered Security involved and the price of the Covered Security at which the transaction was effected;</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Name of the broker, dealer or bank with or through whom the transaction was effected; and</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date the report is submitted by the Access Person.</w:t>
      </w:r>
    </w:p>
    <w:p>
      <w:pPr>
        <w:spacing w:after="0" w:line="136" w:lineRule="exact"/>
        <w:rPr>
          <w:sz w:val="20"/>
          <w:szCs w:val="20"/>
          <w:color w:val="auto"/>
        </w:rPr>
      </w:pPr>
    </w:p>
    <w:p>
      <w:pPr>
        <w:ind w:left="980" w:hanging="486"/>
        <w:spacing w:after="0"/>
        <w:tabs>
          <w:tab w:leader="none" w:pos="9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Independent Directors.</w:t>
      </w:r>
    </w:p>
    <w:p>
      <w:pPr>
        <w:spacing w:after="0" w:line="136" w:lineRule="exact"/>
        <w:rPr>
          <w:sz w:val="20"/>
          <w:szCs w:val="20"/>
          <w:color w:val="auto"/>
        </w:rPr>
      </w:pPr>
    </w:p>
    <w:p>
      <w:pPr>
        <w:ind w:right="120" w:firstLine="496"/>
        <w:spacing w:after="0" w:line="251" w:lineRule="auto"/>
        <w:rPr>
          <w:sz w:val="20"/>
          <w:szCs w:val="20"/>
          <w:color w:val="auto"/>
        </w:rPr>
      </w:pPr>
      <w:r>
        <w:rPr>
          <w:rFonts w:ascii="Arial" w:cs="Arial" w:eastAsia="Arial" w:hAnsi="Arial"/>
          <w:sz w:val="13"/>
          <w:szCs w:val="13"/>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96" w:lineRule="exact"/>
        <w:rPr>
          <w:sz w:val="20"/>
          <w:szCs w:val="20"/>
          <w:color w:val="auto"/>
        </w:rPr>
      </w:pPr>
    </w:p>
    <w:p>
      <w:pPr>
        <w:ind w:left="980" w:hanging="486"/>
        <w:spacing w:after="0"/>
        <w:tabs>
          <w:tab w:leader="none" w:pos="9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Access Persons of the Adviser.</w:t>
      </w:r>
    </w:p>
    <w:p>
      <w:pPr>
        <w:spacing w:after="0" w:line="136" w:lineRule="exact"/>
        <w:rPr>
          <w:sz w:val="20"/>
          <w:szCs w:val="20"/>
          <w:color w:val="auto"/>
        </w:rPr>
      </w:pPr>
    </w:p>
    <w:p>
      <w:pPr>
        <w:ind w:right="280" w:firstLine="496"/>
        <w:spacing w:after="0" w:line="253" w:lineRule="auto"/>
        <w:rPr>
          <w:sz w:val="20"/>
          <w:szCs w:val="20"/>
          <w:color w:val="auto"/>
        </w:rPr>
      </w:pPr>
      <w:r>
        <w:rPr>
          <w:rFonts w:ascii="Arial" w:cs="Arial" w:eastAsia="Arial" w:hAnsi="Arial"/>
          <w:sz w:val="14"/>
          <w:szCs w:val="14"/>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106" w:lineRule="exact"/>
        <w:rPr>
          <w:sz w:val="20"/>
          <w:szCs w:val="20"/>
          <w:color w:val="auto"/>
        </w:rPr>
      </w:pPr>
    </w:p>
    <w:p>
      <w:pPr>
        <w:jc w:val="center"/>
        <w:ind w:left="500" w:right="7700" w:hanging="6"/>
        <w:spacing w:after="0" w:line="516" w:lineRule="auto"/>
        <w:tabs>
          <w:tab w:leader="none" w:pos="976" w:val="left"/>
        </w:tabs>
        <w:numPr>
          <w:ilvl w:val="0"/>
          <w:numId w:val="82"/>
        </w:numPr>
        <w:rPr>
          <w:rFonts w:ascii="Arial" w:cs="Arial" w:eastAsia="Arial" w:hAnsi="Arial"/>
          <w:sz w:val="12"/>
          <w:szCs w:val="12"/>
          <w:color w:val="auto"/>
        </w:rPr>
      </w:pPr>
      <w:r>
        <w:rPr>
          <w:rFonts w:ascii="Arial" w:cs="Arial" w:eastAsia="Arial" w:hAnsi="Arial"/>
          <w:sz w:val="12"/>
          <w:szCs w:val="12"/>
          <w:color w:val="auto"/>
        </w:rPr>
        <w:t>Brokerage Accounts and Statements. Access Persons, except Independent Directors, shall:</w:t>
      </w:r>
    </w:p>
    <w:p>
      <w:pPr>
        <w:spacing w:after="0" w:line="1" w:lineRule="exact"/>
        <w:rPr>
          <w:sz w:val="20"/>
          <w:szCs w:val="20"/>
          <w:color w:val="auto"/>
        </w:rPr>
      </w:pPr>
    </w:p>
    <w:p>
      <w:pPr>
        <w:jc w:val="both"/>
        <w:ind w:left="980" w:right="40" w:hanging="486"/>
        <w:spacing w:after="0" w:line="238" w:lineRule="auto"/>
        <w:tabs>
          <w:tab w:leader="none" w:pos="9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115" w:lineRule="exact"/>
        <w:rPr>
          <w:rFonts w:ascii="Arial" w:cs="Arial" w:eastAsia="Arial" w:hAnsi="Arial"/>
          <w:sz w:val="14"/>
          <w:szCs w:val="14"/>
          <w:color w:val="auto"/>
        </w:rPr>
      </w:pPr>
    </w:p>
    <w:p>
      <w:pPr>
        <w:ind w:left="980" w:hanging="486"/>
        <w:spacing w:after="0"/>
        <w:tabs>
          <w:tab w:leader="none" w:pos="9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instruct the brokers, dealers or banks with whom they maintain such an account to provide duplicate account statements to the Chief Compliance Officer.</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on an annual basis, certify that they have complied with the requirements of (1) and (2) above.</w:t>
      </w:r>
    </w:p>
    <w:p>
      <w:pPr>
        <w:spacing w:after="0" w:line="136" w:lineRule="exact"/>
        <w:rPr>
          <w:sz w:val="20"/>
          <w:szCs w:val="20"/>
          <w:color w:val="auto"/>
        </w:rPr>
      </w:pPr>
    </w:p>
    <w:p>
      <w:pPr>
        <w:ind w:left="980" w:hanging="486"/>
        <w:spacing w:after="0"/>
        <w:tabs>
          <w:tab w:leader="none" w:pos="9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Form of Reports.</w:t>
      </w:r>
    </w:p>
    <w:p>
      <w:pPr>
        <w:spacing w:after="0" w:line="136" w:lineRule="exact"/>
        <w:rPr>
          <w:sz w:val="20"/>
          <w:szCs w:val="20"/>
          <w:color w:val="auto"/>
        </w:rPr>
      </w:pPr>
    </w:p>
    <w:p>
      <w:pPr>
        <w:ind w:right="60" w:firstLine="496"/>
        <w:spacing w:after="0" w:line="253" w:lineRule="auto"/>
        <w:rPr>
          <w:sz w:val="20"/>
          <w:szCs w:val="20"/>
          <w:color w:val="auto"/>
        </w:rPr>
      </w:pPr>
      <w:r>
        <w:rPr>
          <w:rFonts w:ascii="Arial" w:cs="Arial" w:eastAsia="Arial" w:hAnsi="Arial"/>
          <w:sz w:val="14"/>
          <w:szCs w:val="14"/>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93" w:lineRule="exact"/>
        <w:rPr>
          <w:sz w:val="20"/>
          <w:szCs w:val="20"/>
          <w:color w:val="auto"/>
        </w:rPr>
      </w:pPr>
    </w:p>
    <w:p>
      <w:pPr>
        <w:ind w:left="980" w:hanging="486"/>
        <w:spacing w:after="0"/>
        <w:tabs>
          <w:tab w:leader="none" w:pos="9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Responsibility to Report.</w:t>
      </w:r>
    </w:p>
    <w:p>
      <w:pPr>
        <w:spacing w:after="0" w:line="136" w:lineRule="exact"/>
        <w:rPr>
          <w:sz w:val="20"/>
          <w:szCs w:val="20"/>
          <w:color w:val="auto"/>
        </w:rPr>
      </w:pPr>
    </w:p>
    <w:p>
      <w:pPr>
        <w:jc w:val="both"/>
        <w:ind w:right="40" w:firstLine="496"/>
        <w:spacing w:after="0" w:line="238" w:lineRule="auto"/>
        <w:rPr>
          <w:sz w:val="20"/>
          <w:szCs w:val="20"/>
          <w:color w:val="auto"/>
        </w:rPr>
      </w:pPr>
      <w:r>
        <w:rPr>
          <w:rFonts w:ascii="Arial" w:cs="Arial" w:eastAsia="Arial" w:hAnsi="Arial"/>
          <w:sz w:val="14"/>
          <w:szCs w:val="14"/>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115" w:lineRule="exact"/>
        <w:rPr>
          <w:sz w:val="20"/>
          <w:szCs w:val="20"/>
          <w:color w:val="auto"/>
        </w:rPr>
      </w:pPr>
    </w:p>
    <w:p>
      <w:pPr>
        <w:ind w:left="980" w:hanging="486"/>
        <w:spacing w:after="0"/>
        <w:tabs>
          <w:tab w:leader="none" w:pos="9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Where to File Reports.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All Quarterly Securities Transaction Reports and Personal Securities Holdings Reports must be filed with the Chief Compliance Officer.</w:t>
      </w:r>
    </w:p>
    <w:p>
      <w:pPr>
        <w:spacing w:after="0" w:line="136" w:lineRule="exact"/>
        <w:rPr>
          <w:sz w:val="20"/>
          <w:szCs w:val="20"/>
          <w:color w:val="auto"/>
        </w:rPr>
      </w:pPr>
    </w:p>
    <w:p>
      <w:pPr>
        <w:ind w:left="980" w:hanging="486"/>
        <w:spacing w:after="0"/>
        <w:tabs>
          <w:tab w:leader="none" w:pos="9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Disclaimers.</w:t>
      </w:r>
    </w:p>
    <w:p>
      <w:pPr>
        <w:spacing w:after="0" w:line="136" w:lineRule="exact"/>
        <w:rPr>
          <w:sz w:val="20"/>
          <w:szCs w:val="20"/>
          <w:color w:val="auto"/>
        </w:rPr>
      </w:pPr>
    </w:p>
    <w:p>
      <w:pPr>
        <w:ind w:right="60" w:firstLine="496"/>
        <w:spacing w:after="0" w:line="253" w:lineRule="auto"/>
        <w:rPr>
          <w:sz w:val="20"/>
          <w:szCs w:val="20"/>
          <w:color w:val="auto"/>
        </w:rPr>
      </w:pPr>
      <w:r>
        <w:rPr>
          <w:rFonts w:ascii="Arial" w:cs="Arial" w:eastAsia="Arial" w:hAnsi="Arial"/>
          <w:sz w:val="14"/>
          <w:szCs w:val="14"/>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93" w:lineRule="exact"/>
        <w:rPr>
          <w:sz w:val="20"/>
          <w:szCs w:val="20"/>
          <w:color w:val="auto"/>
        </w:rPr>
      </w:pPr>
    </w:p>
    <w:p>
      <w:pPr>
        <w:ind w:left="980" w:hanging="486"/>
        <w:spacing w:after="0"/>
        <w:tabs>
          <w:tab w:leader="none" w:pos="9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Exceptions from Reporting Requirements.</w:t>
      </w:r>
    </w:p>
    <w:p>
      <w:pPr>
        <w:spacing w:after="0" w:line="136" w:lineRule="exact"/>
        <w:rPr>
          <w:sz w:val="20"/>
          <w:szCs w:val="20"/>
          <w:color w:val="auto"/>
        </w:rPr>
      </w:pPr>
    </w:p>
    <w:p>
      <w:pPr>
        <w:ind w:right="160" w:firstLine="496"/>
        <w:spacing w:after="0" w:line="231" w:lineRule="auto"/>
        <w:rPr>
          <w:sz w:val="20"/>
          <w:szCs w:val="20"/>
          <w:color w:val="auto"/>
        </w:rPr>
      </w:pPr>
      <w:r>
        <w:rPr>
          <w:rFonts w:ascii="Arial" w:cs="Arial" w:eastAsia="Arial" w:hAnsi="Arial"/>
          <w:sz w:val="14"/>
          <w:szCs w:val="14"/>
          <w:color w:val="auto"/>
        </w:rPr>
        <w:t>Reports are not required: (1) with respect to securities held in accounts over which the access person has no direct or indirect influence or control as determined by the CCO in accordance with applicable guidance, a “Third Party Managed Account”; (2) with respect to transactions effected pursuant to an automatic investment plan; or (3) which would duplicate information contained in broker trade confirmations or account statements provided the adviser receives such confirmations or statements within 30 days after the end of the applicable calendar quarter and holds them in its books and records. PennantPark allows, but does not require, Access Persons to direct their brokers to provide duplicate statements and confirmations for this purpose.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9" w:name="page80"/>
    <w:bookmarkEnd w:id="79"/>
    <w:p>
      <w:pPr>
        <w:ind w:left="980" w:hanging="486"/>
        <w:spacing w:after="0"/>
        <w:tabs>
          <w:tab w:leader="none" w:pos="9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Blind Trusts and other Third Party Managed Accounts.</w:t>
      </w:r>
    </w:p>
    <w:p>
      <w:pPr>
        <w:spacing w:after="0" w:line="136" w:lineRule="exact"/>
        <w:rPr>
          <w:sz w:val="20"/>
          <w:szCs w:val="20"/>
          <w:color w:val="auto"/>
        </w:rPr>
      </w:pPr>
    </w:p>
    <w:p>
      <w:pPr>
        <w:ind w:right="100" w:firstLine="496"/>
        <w:spacing w:after="0" w:line="247" w:lineRule="auto"/>
        <w:rPr>
          <w:sz w:val="20"/>
          <w:szCs w:val="20"/>
          <w:color w:val="auto"/>
        </w:rPr>
      </w:pPr>
      <w:r>
        <w:rPr>
          <w:rFonts w:ascii="Arial" w:cs="Arial" w:eastAsia="Arial" w:hAnsi="Arial"/>
          <w:sz w:val="13"/>
          <w:szCs w:val="13"/>
          <w:color w:val="auto"/>
        </w:rPr>
        <w:t>Rule 204A-1(b)(3)(i) provides that an access person is not required “to submit . . . any report [(i.e., initial and annual holdings reports and quarterly transaction reports)] with respect to securities held in accounts over which the access person has no direct or indirect influence or control.” Examples of such accounts include “Blind Trusts” where the access person has no knowledge of specific actions taken by the Trustee with respect to Trust investments and no right to intervene in the trustee’s management. Additionally, accounts with similar features that limit the access person’s involvement, including other types of trusts and accounts managed by an unaffiliated manager with discretionary authority. However, the mere retention of a trustee or manager to advise an access person’s account on a discretionary basis is not, by itself, sufficient to allow for a conclusion that the access person has no direct or indirect influence or control. Rather, under the Guidance, the adviser must make a reasonable determination, based on reasonably designed policies and procedures, whether “the access person actually had direct or indirect influence or control over the trust or account, rather than whether the third-party manager had discretionary or non-discretionary investment authority.”</w:t>
      </w:r>
    </w:p>
    <w:p>
      <w:pPr>
        <w:spacing w:after="0" w:line="98" w:lineRule="exact"/>
        <w:rPr>
          <w:sz w:val="20"/>
          <w:szCs w:val="20"/>
          <w:color w:val="auto"/>
        </w:rPr>
      </w:pPr>
    </w:p>
    <w:p>
      <w:pPr>
        <w:ind w:firstLine="496"/>
        <w:spacing w:after="0" w:line="245" w:lineRule="auto"/>
        <w:rPr>
          <w:sz w:val="20"/>
          <w:szCs w:val="20"/>
          <w:color w:val="auto"/>
        </w:rPr>
      </w:pPr>
      <w:r>
        <w:rPr>
          <w:rFonts w:ascii="Arial" w:cs="Arial" w:eastAsia="Arial" w:hAnsi="Arial"/>
          <w:sz w:val="13"/>
          <w:szCs w:val="13"/>
          <w:color w:val="auto"/>
        </w:rPr>
        <w:t>Access persons who wish to rely on this exception with respect to any account which otherwise would be reportable must register the account with the CCO who will determine, based on relevant facts and circumstances (including the terms of the account), whether the access person has direct or indirect influence or control over the account. An access person would have direct or indirect influence or control over an account where the access person (i) has the ability to suggest or direct purchases or sales; (ii) consults with the trustee or manager as to the particular allocation of investments to be made in the account; or (iii) engages in regular and substantive discussions with the trustee or manager with respect to account holdings. However, the following activities would not preclude the CCO from determining that an account is a Third Party Managed Account: (i) the access person provides information about his or her investment objectives and reasonable restrictions; (ii) the trustee or manager provides summary descriptions or explanations (whether written or oral) regarding account activity to the access person, provided that the access person does not provide suggestions or directions to the trustee or manager; and (iii) the access person is able to make contributions to and withdrawals from the account, provided that the access person may not instruct the trustee or manager as to specific securities or types of securities which should be purchased or liquidated in connection with the contribution or withdrawal.</w:t>
      </w:r>
    </w:p>
    <w:p>
      <w:pPr>
        <w:spacing w:after="0" w:line="116" w:lineRule="exact"/>
        <w:rPr>
          <w:sz w:val="20"/>
          <w:szCs w:val="20"/>
          <w:color w:val="auto"/>
        </w:rPr>
      </w:pPr>
    </w:p>
    <w:p>
      <w:pPr>
        <w:ind w:right="240" w:firstLine="496"/>
        <w:spacing w:after="0" w:line="290" w:lineRule="auto"/>
        <w:rPr>
          <w:sz w:val="20"/>
          <w:szCs w:val="20"/>
          <w:color w:val="auto"/>
        </w:rPr>
      </w:pPr>
      <w:r>
        <w:rPr>
          <w:rFonts w:ascii="Arial" w:cs="Arial" w:eastAsia="Arial" w:hAnsi="Arial"/>
          <w:sz w:val="13"/>
          <w:szCs w:val="13"/>
          <w:color w:val="auto"/>
        </w:rPr>
        <w:t>No account shall be treated as a Third Party Managed Account until the CCO determines and informs the access person that the account meets the relevant requirements. In making a determination that an account meets the requirements to be treated as a Third Party Managed Account, the CCO may consider, as he or she determines relevant under the circumstances:</w:t>
      </w:r>
    </w:p>
    <w:p>
      <w:pPr>
        <w:spacing w:after="0" w:line="84" w:lineRule="exact"/>
        <w:rPr>
          <w:sz w:val="20"/>
          <w:szCs w:val="20"/>
          <w:color w:val="auto"/>
        </w:rPr>
      </w:pPr>
    </w:p>
    <w:p>
      <w:pPr>
        <w:ind w:left="980" w:hanging="486"/>
        <w:spacing w:after="0"/>
        <w:tabs>
          <w:tab w:leader="none" w:pos="9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terms of the account or trust documentation, including the advisory agreement;</w:t>
      </w:r>
    </w:p>
    <w:p>
      <w:pPr>
        <w:spacing w:after="0" w:line="136" w:lineRule="exact"/>
        <w:rPr>
          <w:rFonts w:ascii="Arial" w:cs="Arial" w:eastAsia="Arial" w:hAnsi="Arial"/>
          <w:sz w:val="14"/>
          <w:szCs w:val="14"/>
          <w:color w:val="auto"/>
        </w:rPr>
      </w:pPr>
    </w:p>
    <w:p>
      <w:pPr>
        <w:ind w:left="980" w:right="260" w:hanging="486"/>
        <w:spacing w:after="0" w:line="253" w:lineRule="auto"/>
        <w:tabs>
          <w:tab w:leader="none" w:pos="9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Information obtained from the access person as to the nature of the access person’s relationship with the trustee or manager (e.g., whether the trustee or manager is a friend or relative of the access person; whether the advisory firm is affiliated with PennantPark);</w:t>
      </w:r>
    </w:p>
    <w:p>
      <w:pPr>
        <w:spacing w:after="0" w:line="106" w:lineRule="exact"/>
        <w:rPr>
          <w:rFonts w:ascii="Arial" w:cs="Arial" w:eastAsia="Arial" w:hAnsi="Arial"/>
          <w:sz w:val="14"/>
          <w:szCs w:val="14"/>
          <w:color w:val="auto"/>
        </w:rPr>
      </w:pPr>
    </w:p>
    <w:p>
      <w:pPr>
        <w:ind w:left="980" w:right="160" w:hanging="486"/>
        <w:spacing w:after="0" w:line="253" w:lineRule="auto"/>
        <w:tabs>
          <w:tab w:leader="none" w:pos="9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Specific periodic certifications from the access person, trustee and/or manager, as to the nature of the account and whether the access person has sought to exercise influence or control over the trustee or manager;</w:t>
      </w:r>
    </w:p>
    <w:p>
      <w:pPr>
        <w:spacing w:after="0" w:line="106" w:lineRule="exact"/>
        <w:rPr>
          <w:rFonts w:ascii="Arial" w:cs="Arial" w:eastAsia="Arial" w:hAnsi="Arial"/>
          <w:sz w:val="14"/>
          <w:szCs w:val="14"/>
          <w:color w:val="auto"/>
        </w:rPr>
      </w:pPr>
    </w:p>
    <w:p>
      <w:pPr>
        <w:ind w:left="980" w:right="820" w:hanging="486"/>
        <w:spacing w:after="0" w:line="253" w:lineRule="auto"/>
        <w:tabs>
          <w:tab w:leader="none" w:pos="9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Certification or representation from the access person that he or she has reviewed the Code, including this section defining the exception and describing the relevant determinative factors as to concluding that the access person does not exercise direct or indirect influence or control; and</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Any other information that the CCO believes necessary or appropriate to determine whether the account meets the standards set forth herein.</w:t>
      </w:r>
    </w:p>
    <w:p>
      <w:pPr>
        <w:spacing w:after="0" w:line="136" w:lineRule="exact"/>
        <w:rPr>
          <w:sz w:val="20"/>
          <w:szCs w:val="20"/>
          <w:color w:val="auto"/>
        </w:rPr>
      </w:pPr>
    </w:p>
    <w:p>
      <w:pPr>
        <w:ind w:right="20" w:firstLine="496"/>
        <w:spacing w:after="0" w:line="251" w:lineRule="auto"/>
        <w:rPr>
          <w:sz w:val="20"/>
          <w:szCs w:val="20"/>
          <w:color w:val="auto"/>
        </w:rPr>
      </w:pPr>
      <w:r>
        <w:rPr>
          <w:rFonts w:ascii="Arial" w:cs="Arial" w:eastAsia="Arial" w:hAnsi="Arial"/>
          <w:sz w:val="13"/>
          <w:szCs w:val="13"/>
          <w:color w:val="auto"/>
        </w:rPr>
        <w:t>The CCO will document, in writing, his or her conclusion as to whether the account meets the requirements to be treated as a Third Party Managed Account to rely on the reporting exception and will periodically review such determination with the access person. The CCO may require that the access person (and, where appropriate, the manager/trustee) provide additional or renewed certifications or information about the account. Additionally, the CCO may require that the access person provide reports on a sample basis as to account holdings and/or transactions. The CCO will review any such reports to determine whether transactions in the account would have been inconsistent with this Code absent reliance on the reporting exception. The CCO will keep relevant records to document these reviews and support his or her conclusions as to the status of the relevant account(s).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VII Additional Prohibitions</w:t>
      </w:r>
    </w:p>
    <w:p>
      <w:pPr>
        <w:spacing w:after="0" w:line="140" w:lineRule="exact"/>
        <w:rPr>
          <w:sz w:val="20"/>
          <w:szCs w:val="20"/>
          <w:color w:val="auto"/>
        </w:rPr>
      </w:pPr>
    </w:p>
    <w:p>
      <w:pPr>
        <w:ind w:left="980" w:hanging="486"/>
        <w:spacing w:after="0"/>
        <w:tabs>
          <w:tab w:leader="none" w:pos="9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Confidentiality of the Corporation’s Transactions.</w:t>
      </w:r>
    </w:p>
    <w:p>
      <w:pPr>
        <w:spacing w:after="0" w:line="136" w:lineRule="exact"/>
        <w:rPr>
          <w:sz w:val="20"/>
          <w:szCs w:val="20"/>
          <w:color w:val="auto"/>
        </w:rPr>
      </w:pPr>
    </w:p>
    <w:p>
      <w:pPr>
        <w:ind w:right="320" w:firstLine="496"/>
        <w:spacing w:after="0" w:line="238" w:lineRule="auto"/>
        <w:rPr>
          <w:sz w:val="20"/>
          <w:szCs w:val="20"/>
          <w:color w:val="auto"/>
        </w:rPr>
      </w:pPr>
      <w:r>
        <w:rPr>
          <w:rFonts w:ascii="Arial" w:cs="Arial" w:eastAsia="Arial" w:hAnsi="Arial"/>
          <w:sz w:val="14"/>
          <w:szCs w:val="14"/>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115" w:lineRule="exact"/>
        <w:rPr>
          <w:sz w:val="20"/>
          <w:szCs w:val="20"/>
          <w:color w:val="auto"/>
        </w:rPr>
      </w:pPr>
    </w:p>
    <w:p>
      <w:pPr>
        <w:ind w:left="980" w:hanging="486"/>
        <w:spacing w:after="0"/>
        <w:tabs>
          <w:tab w:leader="none" w:pos="9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Outside Business Activities and Directorships.</w:t>
      </w:r>
    </w:p>
    <w:p>
      <w:pPr>
        <w:spacing w:after="0" w:line="136" w:lineRule="exact"/>
        <w:rPr>
          <w:sz w:val="20"/>
          <w:szCs w:val="20"/>
          <w:color w:val="auto"/>
        </w:rPr>
      </w:pPr>
    </w:p>
    <w:p>
      <w:pPr>
        <w:ind w:right="100" w:firstLine="496"/>
        <w:spacing w:after="0" w:line="238" w:lineRule="auto"/>
        <w:rPr>
          <w:sz w:val="20"/>
          <w:szCs w:val="20"/>
          <w:color w:val="auto"/>
        </w:rPr>
      </w:pPr>
      <w:r>
        <w:rPr>
          <w:rFonts w:ascii="Arial" w:cs="Arial" w:eastAsia="Arial" w:hAnsi="Arial"/>
          <w:sz w:val="14"/>
          <w:szCs w:val="14"/>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102" w:lineRule="exact"/>
        <w:rPr>
          <w:sz w:val="20"/>
          <w:szCs w:val="20"/>
          <w:color w:val="auto"/>
        </w:rPr>
      </w:pPr>
    </w:p>
    <w:p>
      <w:pPr>
        <w:ind w:left="980" w:hanging="486"/>
        <w:spacing w:after="0"/>
        <w:tabs>
          <w:tab w:leader="none" w:pos="9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Gratuities.</w:t>
      </w:r>
    </w:p>
    <w:p>
      <w:pPr>
        <w:spacing w:after="0" w:line="136" w:lineRule="exact"/>
        <w:rPr>
          <w:sz w:val="20"/>
          <w:szCs w:val="20"/>
          <w:color w:val="auto"/>
        </w:rPr>
      </w:pPr>
    </w:p>
    <w:p>
      <w:pPr>
        <w:ind w:right="80" w:firstLine="496"/>
        <w:spacing w:after="0" w:line="253" w:lineRule="auto"/>
        <w:rPr>
          <w:sz w:val="20"/>
          <w:szCs w:val="20"/>
          <w:color w:val="auto"/>
        </w:rPr>
      </w:pPr>
      <w:r>
        <w:rPr>
          <w:rFonts w:ascii="Arial" w:cs="Arial" w:eastAsia="Arial" w:hAnsi="Arial"/>
          <w:sz w:val="14"/>
          <w:szCs w:val="14"/>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color w:val="auto"/>
        </w:rPr>
        <w:t>Section VIII Prohibition Against Insider Trading</w:t>
      </w:r>
    </w:p>
    <w:p>
      <w:pPr>
        <w:spacing w:after="0" w:line="127" w:lineRule="exact"/>
        <w:rPr>
          <w:sz w:val="20"/>
          <w:szCs w:val="20"/>
          <w:color w:val="auto"/>
        </w:rPr>
      </w:pPr>
    </w:p>
    <w:p>
      <w:pPr>
        <w:ind w:firstLine="496"/>
        <w:spacing w:after="0" w:line="251" w:lineRule="auto"/>
        <w:rPr>
          <w:sz w:val="20"/>
          <w:szCs w:val="20"/>
          <w:color w:val="auto"/>
        </w:rPr>
      </w:pPr>
      <w:r>
        <w:rPr>
          <w:rFonts w:ascii="Arial" w:cs="Arial" w:eastAsia="Arial" w:hAnsi="Arial"/>
          <w:sz w:val="13"/>
          <w:szCs w:val="13"/>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109" w:lineRule="exact"/>
        <w:rPr>
          <w:sz w:val="20"/>
          <w:szCs w:val="20"/>
          <w:color w:val="auto"/>
        </w:rPr>
      </w:pPr>
    </w:p>
    <w:p>
      <w:pPr>
        <w:jc w:val="both"/>
        <w:ind w:left="980" w:right="580" w:hanging="486"/>
        <w:spacing w:after="0" w:line="290" w:lineRule="auto"/>
        <w:tabs>
          <w:tab w:leader="none" w:pos="9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84" w:lineRule="exact"/>
        <w:rPr>
          <w:rFonts w:ascii="Arial" w:cs="Arial" w:eastAsia="Arial" w:hAnsi="Arial"/>
          <w:sz w:val="13"/>
          <w:szCs w:val="13"/>
          <w:color w:val="auto"/>
        </w:rPr>
      </w:pPr>
    </w:p>
    <w:p>
      <w:pPr>
        <w:ind w:left="980" w:right="120" w:hanging="486"/>
        <w:spacing w:after="0" w:line="247" w:lineRule="auto"/>
        <w:tabs>
          <w:tab w:leader="none" w:pos="9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111" w:lineRule="exact"/>
        <w:rPr>
          <w:rFonts w:ascii="Arial" w:cs="Arial" w:eastAsia="Arial" w:hAnsi="Arial"/>
          <w:sz w:val="13"/>
          <w:szCs w:val="13"/>
          <w:color w:val="auto"/>
        </w:rPr>
      </w:pPr>
    </w:p>
    <w:p>
      <w:pPr>
        <w:ind w:left="980" w:right="100" w:hanging="486"/>
        <w:spacing w:after="0" w:line="238" w:lineRule="auto"/>
        <w:tabs>
          <w:tab w:leader="none" w:pos="9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or some other publication of general circulation, and after sufficient time has passed so that the information has been disseminated widely.</w:t>
      </w:r>
    </w:p>
    <w:p>
      <w:pPr>
        <w:spacing w:after="0" w:line="115" w:lineRule="exact"/>
        <w:rPr>
          <w:rFonts w:ascii="Arial" w:cs="Arial" w:eastAsia="Arial" w:hAnsi="Arial"/>
          <w:sz w:val="14"/>
          <w:szCs w:val="14"/>
          <w:color w:val="auto"/>
        </w:rPr>
      </w:pPr>
    </w:p>
    <w:p>
      <w:pPr>
        <w:ind w:left="980" w:right="20" w:hanging="486"/>
        <w:spacing w:after="0" w:line="238" w:lineRule="auto"/>
        <w:tabs>
          <w:tab w:leader="none" w:pos="9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spacing w:after="0" w:line="115" w:lineRule="exact"/>
        <w:rPr>
          <w:rFonts w:ascii="Arial" w:cs="Arial" w:eastAsia="Arial" w:hAnsi="Arial"/>
          <w:sz w:val="14"/>
          <w:szCs w:val="14"/>
          <w:color w:val="auto"/>
        </w:rPr>
      </w:pPr>
    </w:p>
    <w:p>
      <w:pPr>
        <w:ind w:left="1480" w:hanging="487"/>
        <w:spacing w:after="0"/>
        <w:tabs>
          <w:tab w:leader="none" w:pos="14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Report the information and proposed trade immediately to the Chief Compliance Officer.</w:t>
      </w:r>
    </w:p>
    <w:p>
      <w:pPr>
        <w:spacing w:after="0" w:line="136" w:lineRule="exact"/>
        <w:rPr>
          <w:rFonts w:ascii="Arial" w:cs="Arial" w:eastAsia="Arial" w:hAnsi="Arial"/>
          <w:sz w:val="14"/>
          <w:szCs w:val="14"/>
          <w:color w:val="auto"/>
        </w:rPr>
      </w:pPr>
    </w:p>
    <w:p>
      <w:pPr>
        <w:ind w:left="1480" w:hanging="487"/>
        <w:spacing w:after="0"/>
        <w:tabs>
          <w:tab w:leader="none" w:pos="14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Do not purchase or sell the securities on behalf of anyone, including Client Accounts.</w:t>
      </w:r>
    </w:p>
    <w:p>
      <w:pPr>
        <w:spacing w:after="0" w:line="136" w:lineRule="exact"/>
        <w:rPr>
          <w:rFonts w:ascii="Arial" w:cs="Arial" w:eastAsia="Arial" w:hAnsi="Arial"/>
          <w:sz w:val="14"/>
          <w:szCs w:val="14"/>
          <w:color w:val="auto"/>
        </w:rPr>
      </w:pPr>
    </w:p>
    <w:p>
      <w:pPr>
        <w:ind w:left="1480" w:hanging="487"/>
        <w:spacing w:after="0"/>
        <w:tabs>
          <w:tab w:leader="none" w:pos="1480" w:val="left"/>
        </w:tabs>
        <w:numPr>
          <w:ilvl w:val="1"/>
          <w:numId w:val="94"/>
        </w:numPr>
        <w:rPr>
          <w:rFonts w:ascii="Arial" w:cs="Arial" w:eastAsia="Arial" w:hAnsi="Arial"/>
          <w:sz w:val="14"/>
          <w:szCs w:val="14"/>
          <w:color w:val="auto"/>
        </w:rPr>
      </w:pPr>
      <w:r>
        <w:rPr>
          <w:rFonts w:ascii="Arial" w:cs="Arial" w:eastAsia="Arial" w:hAnsi="Arial"/>
          <w:sz w:val="14"/>
          <w:szCs w:val="14"/>
          <w:color w:val="auto"/>
        </w:rPr>
        <w:t>Do not communicate the information to any person, other than to the Chief Compliance Officer.</w:t>
      </w:r>
    </w:p>
    <w:p>
      <w:pPr>
        <w:spacing w:after="0" w:line="136" w:lineRule="exact"/>
        <w:rPr>
          <w:sz w:val="20"/>
          <w:szCs w:val="20"/>
          <w:color w:val="auto"/>
        </w:rPr>
      </w:pPr>
    </w:p>
    <w:p>
      <w:pPr>
        <w:jc w:val="both"/>
        <w:ind w:right="160" w:firstLine="496"/>
        <w:spacing w:after="0" w:line="238" w:lineRule="auto"/>
        <w:rPr>
          <w:sz w:val="20"/>
          <w:szCs w:val="20"/>
          <w:color w:val="auto"/>
        </w:rPr>
      </w:pPr>
      <w:r>
        <w:rPr>
          <w:rFonts w:ascii="Arial" w:cs="Arial" w:eastAsia="Arial" w:hAnsi="Arial"/>
          <w:sz w:val="14"/>
          <w:szCs w:val="14"/>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115" w:lineRule="exact"/>
        <w:rPr>
          <w:sz w:val="20"/>
          <w:szCs w:val="20"/>
          <w:color w:val="auto"/>
        </w:rPr>
      </w:pPr>
    </w:p>
    <w:p>
      <w:pPr>
        <w:jc w:val="both"/>
        <w:ind w:left="980" w:right="60" w:hanging="486"/>
        <w:spacing w:after="0" w:line="244" w:lineRule="auto"/>
        <w:tabs>
          <w:tab w:leader="none" w:pos="980" w:val="left"/>
        </w:tabs>
        <w:numPr>
          <w:ilvl w:val="0"/>
          <w:numId w:val="95"/>
        </w:numPr>
        <w:rPr>
          <w:rFonts w:ascii="Arial" w:cs="Arial" w:eastAsia="Arial" w:hAnsi="Arial"/>
          <w:sz w:val="13"/>
          <w:szCs w:val="13"/>
          <w:color w:val="auto"/>
        </w:rPr>
      </w:pPr>
      <w:r>
        <w:rPr>
          <w:rFonts w:ascii="Arial" w:cs="Arial" w:eastAsia="Arial" w:hAnsi="Arial"/>
          <w:sz w:val="13"/>
          <w:szCs w:val="13"/>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w:t>
      </w:r>
    </w:p>
    <w:p>
      <w:pPr>
        <w:spacing w:after="0" w:line="1" w:lineRule="exact"/>
        <w:rPr>
          <w:rFonts w:ascii="Arial" w:cs="Arial" w:eastAsia="Arial" w:hAnsi="Arial"/>
          <w:sz w:val="13"/>
          <w:szCs w:val="13"/>
          <w:color w:val="auto"/>
        </w:rPr>
      </w:pPr>
    </w:p>
    <w:p>
      <w:pPr>
        <w:ind w:left="980" w:right="20"/>
        <w:spacing w:after="0" w:line="229" w:lineRule="auto"/>
        <w:rPr>
          <w:rFonts w:ascii="Arial" w:cs="Arial" w:eastAsia="Arial" w:hAnsi="Arial"/>
          <w:sz w:val="13"/>
          <w:szCs w:val="13"/>
          <w:color w:val="auto"/>
        </w:rPr>
      </w:pPr>
      <w:r>
        <w:rPr>
          <w:rFonts w:ascii="Arial" w:cs="Arial" w:eastAsia="Arial" w:hAnsi="Arial"/>
          <w:sz w:val="14"/>
          <w:szCs w:val="14"/>
          <w:color w:val="auto"/>
        </w:rPr>
        <w:t>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116" w:lineRule="exact"/>
        <w:rPr>
          <w:rFonts w:ascii="Arial" w:cs="Arial" w:eastAsia="Arial" w:hAnsi="Arial"/>
          <w:sz w:val="13"/>
          <w:szCs w:val="13"/>
          <w:color w:val="auto"/>
        </w:rPr>
      </w:pPr>
    </w:p>
    <w:p>
      <w:pPr>
        <w:ind w:left="980" w:right="20" w:hanging="486"/>
        <w:spacing w:after="0" w:line="229" w:lineRule="auto"/>
        <w:tabs>
          <w:tab w:leader="none" w:pos="9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IX Annual Certification</w:t>
      </w:r>
    </w:p>
    <w:p>
      <w:pPr>
        <w:spacing w:after="0" w:line="127" w:lineRule="exact"/>
        <w:rPr>
          <w:sz w:val="20"/>
          <w:szCs w:val="20"/>
          <w:color w:val="auto"/>
        </w:rPr>
      </w:pPr>
    </w:p>
    <w:p>
      <w:pPr>
        <w:ind w:left="980" w:hanging="486"/>
        <w:spacing w:after="0"/>
        <w:tabs>
          <w:tab w:leader="none" w:pos="9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Access Persons.</w:t>
      </w:r>
    </w:p>
    <w:p>
      <w:pPr>
        <w:spacing w:after="0" w:line="136" w:lineRule="exact"/>
        <w:rPr>
          <w:sz w:val="20"/>
          <w:szCs w:val="20"/>
          <w:color w:val="auto"/>
        </w:rPr>
      </w:pPr>
    </w:p>
    <w:p>
      <w:pPr>
        <w:ind w:right="340" w:firstLine="496"/>
        <w:spacing w:after="0" w:line="290" w:lineRule="auto"/>
        <w:rPr>
          <w:sz w:val="20"/>
          <w:szCs w:val="20"/>
          <w:color w:val="auto"/>
        </w:rPr>
      </w:pPr>
      <w:r>
        <w:rPr>
          <w:rFonts w:ascii="Arial" w:cs="Arial" w:eastAsia="Arial" w:hAnsi="Arial"/>
          <w:sz w:val="13"/>
          <w:szCs w:val="13"/>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84" w:lineRule="exact"/>
        <w:rPr>
          <w:sz w:val="20"/>
          <w:szCs w:val="20"/>
          <w:color w:val="auto"/>
        </w:rPr>
      </w:pPr>
    </w:p>
    <w:p>
      <w:pPr>
        <w:ind w:left="980" w:hanging="486"/>
        <w:spacing w:after="0"/>
        <w:tabs>
          <w:tab w:leader="none" w:pos="9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Board Review.</w:t>
      </w:r>
    </w:p>
    <w:p>
      <w:pPr>
        <w:spacing w:after="0" w:line="136" w:lineRule="exact"/>
        <w:rPr>
          <w:sz w:val="20"/>
          <w:szCs w:val="20"/>
          <w:color w:val="auto"/>
        </w:rPr>
      </w:pPr>
    </w:p>
    <w:p>
      <w:pPr>
        <w:ind w:right="200" w:firstLine="496"/>
        <w:spacing w:after="0" w:line="233" w:lineRule="auto"/>
        <w:rPr>
          <w:sz w:val="20"/>
          <w:szCs w:val="20"/>
          <w:color w:val="auto"/>
        </w:rPr>
      </w:pPr>
      <w:r>
        <w:rPr>
          <w:rFonts w:ascii="Arial" w:cs="Arial" w:eastAsia="Arial" w:hAnsi="Arial"/>
          <w:sz w:val="14"/>
          <w:szCs w:val="14"/>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color w:val="auto"/>
        </w:rPr>
        <w:t>Section X Sanctions</w:t>
      </w:r>
    </w:p>
    <w:p>
      <w:pPr>
        <w:spacing w:after="0" w:line="127" w:lineRule="exact"/>
        <w:rPr>
          <w:sz w:val="20"/>
          <w:szCs w:val="20"/>
          <w:color w:val="auto"/>
        </w:rPr>
      </w:pPr>
    </w:p>
    <w:p>
      <w:pPr>
        <w:ind w:right="40" w:firstLine="496"/>
        <w:spacing w:after="0" w:line="251" w:lineRule="auto"/>
        <w:rPr>
          <w:sz w:val="20"/>
          <w:szCs w:val="20"/>
          <w:color w:val="auto"/>
        </w:rPr>
      </w:pPr>
      <w:r>
        <w:rPr>
          <w:rFonts w:ascii="Arial" w:cs="Arial" w:eastAsia="Arial" w:hAnsi="Arial"/>
          <w:sz w:val="13"/>
          <w:szCs w:val="13"/>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XI Administration and Construction</w:t>
      </w:r>
    </w:p>
    <w:p>
      <w:pPr>
        <w:spacing w:after="0" w:line="140" w:lineRule="exact"/>
        <w:rPr>
          <w:sz w:val="20"/>
          <w:szCs w:val="20"/>
          <w:color w:val="auto"/>
        </w:rPr>
      </w:pPr>
    </w:p>
    <w:p>
      <w:pPr>
        <w:ind w:left="980" w:hanging="486"/>
        <w:spacing w:after="0"/>
        <w:tabs>
          <w:tab w:leader="none" w:pos="9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administration of this Code shall be the responsibility of the Chief Compliance Officer.</w:t>
      </w:r>
    </w:p>
    <w:p>
      <w:pPr>
        <w:spacing w:after="0" w:line="136" w:lineRule="exact"/>
        <w:rPr>
          <w:rFonts w:ascii="Arial" w:cs="Arial" w:eastAsia="Arial" w:hAnsi="Arial"/>
          <w:sz w:val="14"/>
          <w:szCs w:val="14"/>
          <w:color w:val="auto"/>
        </w:rPr>
      </w:pPr>
    </w:p>
    <w:p>
      <w:pPr>
        <w:ind w:left="980" w:hanging="486"/>
        <w:spacing w:after="0"/>
        <w:tabs>
          <w:tab w:leader="none" w:pos="9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duties of the Chief Compliance Officer are as follows:</w:t>
      </w:r>
    </w:p>
    <w:p>
      <w:pPr>
        <w:spacing w:after="0" w:line="136" w:lineRule="exact"/>
        <w:rPr>
          <w:sz w:val="20"/>
          <w:szCs w:val="20"/>
          <w:color w:val="auto"/>
        </w:rPr>
      </w:pPr>
    </w:p>
    <w:p>
      <w:pPr>
        <w:jc w:val="both"/>
        <w:ind w:left="980" w:right="20" w:hanging="486"/>
        <w:spacing w:after="0" w:line="238" w:lineRule="auto"/>
        <w:tabs>
          <w:tab w:leader="none" w:pos="9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115" w:lineRule="exact"/>
        <w:rPr>
          <w:rFonts w:ascii="Arial" w:cs="Arial" w:eastAsia="Arial" w:hAnsi="Arial"/>
          <w:sz w:val="14"/>
          <w:szCs w:val="14"/>
          <w:color w:val="auto"/>
        </w:rPr>
      </w:pPr>
    </w:p>
    <w:p>
      <w:pPr>
        <w:ind w:left="980" w:right="460" w:hanging="486"/>
        <w:spacing w:after="0" w:line="253" w:lineRule="auto"/>
        <w:tabs>
          <w:tab w:leader="none" w:pos="9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On an annual basis, providing all Covered Personnel a copy of this Code and informing such persons of their duties and obligations hereunder including any supplemental training that may be required from time to time;</w:t>
      </w:r>
    </w:p>
    <w:p>
      <w:pPr>
        <w:spacing w:after="0" w:line="106" w:lineRule="exact"/>
        <w:rPr>
          <w:rFonts w:ascii="Arial" w:cs="Arial" w:eastAsia="Arial" w:hAnsi="Arial"/>
          <w:sz w:val="14"/>
          <w:szCs w:val="14"/>
          <w:color w:val="auto"/>
        </w:rPr>
      </w:pPr>
    </w:p>
    <w:p>
      <w:pPr>
        <w:ind w:left="980" w:hanging="486"/>
        <w:spacing w:after="0"/>
        <w:tabs>
          <w:tab w:leader="none" w:pos="9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Maintaining or supervising the maintenance of all records and reports required by this Code;</w:t>
      </w:r>
    </w:p>
    <w:p>
      <w:pPr>
        <w:spacing w:after="0" w:line="136" w:lineRule="exact"/>
        <w:rPr>
          <w:rFonts w:ascii="Arial" w:cs="Arial" w:eastAsia="Arial" w:hAnsi="Arial"/>
          <w:sz w:val="14"/>
          <w:szCs w:val="14"/>
          <w:color w:val="auto"/>
        </w:rPr>
      </w:pPr>
    </w:p>
    <w:p>
      <w:pPr>
        <w:ind w:left="980" w:right="640" w:hanging="486"/>
        <w:spacing w:after="0" w:line="253" w:lineRule="auto"/>
        <w:tabs>
          <w:tab w:leader="none" w:pos="9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106" w:lineRule="exact"/>
        <w:rPr>
          <w:rFonts w:ascii="Arial" w:cs="Arial" w:eastAsia="Arial" w:hAnsi="Arial"/>
          <w:sz w:val="14"/>
          <w:szCs w:val="14"/>
          <w:color w:val="auto"/>
        </w:rPr>
      </w:pPr>
    </w:p>
    <w:p>
      <w:pPr>
        <w:ind w:left="980" w:right="80" w:hanging="486"/>
        <w:spacing w:after="0" w:line="253" w:lineRule="auto"/>
        <w:tabs>
          <w:tab w:leader="none" w:pos="9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Issuance either personally or with the assistance of counsel as may be appropriate, of any interpretation of this Code that may appear consistent with the objectives of Rule 17j-1 and this Code;</w:t>
      </w:r>
    </w:p>
    <w:p>
      <w:pPr>
        <w:spacing w:after="0" w:line="106" w:lineRule="exact"/>
        <w:rPr>
          <w:rFonts w:ascii="Arial" w:cs="Arial" w:eastAsia="Arial" w:hAnsi="Arial"/>
          <w:sz w:val="14"/>
          <w:szCs w:val="14"/>
          <w:color w:val="auto"/>
        </w:rPr>
      </w:pPr>
    </w:p>
    <w:p>
      <w:pPr>
        <w:ind w:left="980" w:right="420" w:hanging="486"/>
        <w:spacing w:after="0" w:line="253" w:lineRule="auto"/>
        <w:tabs>
          <w:tab w:leader="none" w:pos="9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Conduct such inspections or investigations as shall reasonably be required to detect and report, with recommendations, any apparent violations of this Code to the board of directors of the Corporation;</w:t>
      </w:r>
    </w:p>
    <w:p>
      <w:pPr>
        <w:spacing w:after="0" w:line="106" w:lineRule="exact"/>
        <w:rPr>
          <w:rFonts w:ascii="Arial" w:cs="Arial" w:eastAsia="Arial" w:hAnsi="Arial"/>
          <w:sz w:val="14"/>
          <w:szCs w:val="14"/>
          <w:color w:val="auto"/>
        </w:rPr>
      </w:pPr>
    </w:p>
    <w:p>
      <w:pPr>
        <w:ind w:left="980" w:hanging="486"/>
        <w:spacing w:after="0" w:line="253" w:lineRule="auto"/>
        <w:tabs>
          <w:tab w:leader="none" w:pos="9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106" w:lineRule="exact"/>
        <w:rPr>
          <w:sz w:val="20"/>
          <w:szCs w:val="20"/>
          <w:color w:val="auto"/>
        </w:rPr>
      </w:pPr>
    </w:p>
    <w:p>
      <w:pPr>
        <w:ind w:left="980" w:right="320" w:hanging="486"/>
        <w:spacing w:after="0" w:line="253" w:lineRule="auto"/>
        <w:tabs>
          <w:tab w:leader="none" w:pos="9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Chief Financial Officer shall maintain and cause to be maintained in an easily accessible place at the principal place of business of the 17j-1 Organization, the following records:</w:t>
      </w:r>
    </w:p>
    <w:p>
      <w:pPr>
        <w:spacing w:after="0" w:line="106" w:lineRule="exact"/>
        <w:rPr>
          <w:sz w:val="20"/>
          <w:szCs w:val="20"/>
          <w:color w:val="auto"/>
        </w:rPr>
      </w:pPr>
    </w:p>
    <w:p>
      <w:pPr>
        <w:ind w:left="980" w:right="20" w:hanging="486"/>
        <w:spacing w:after="0" w:line="253" w:lineRule="auto"/>
        <w:tabs>
          <w:tab w:leader="none" w:pos="9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 copy of all codes of ethics adopted by the Corporation or the Adviser and its affiliates, as the case may be, pursuant to Rule 17j-1 that have been in effect at any time during the past five (5) years;</w:t>
      </w:r>
    </w:p>
    <w:p>
      <w:pPr>
        <w:spacing w:after="0" w:line="106" w:lineRule="exact"/>
        <w:rPr>
          <w:rFonts w:ascii="Arial" w:cs="Arial" w:eastAsia="Arial" w:hAnsi="Arial"/>
          <w:sz w:val="14"/>
          <w:szCs w:val="14"/>
          <w:color w:val="auto"/>
        </w:rPr>
      </w:pPr>
    </w:p>
    <w:p>
      <w:pPr>
        <w:ind w:left="980" w:right="460" w:hanging="486"/>
        <w:spacing w:after="0" w:line="253" w:lineRule="auto"/>
        <w:tabs>
          <w:tab w:leader="none" w:pos="9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 record of each violation of such codes of ethics and of any action taken as a result of such violation for at least five (5) years after the end of the fiscal year in which the violation occurs;</w:t>
      </w:r>
    </w:p>
    <w:p>
      <w:pPr>
        <w:spacing w:after="0" w:line="106" w:lineRule="exact"/>
        <w:rPr>
          <w:rFonts w:ascii="Arial" w:cs="Arial" w:eastAsia="Arial" w:hAnsi="Arial"/>
          <w:sz w:val="14"/>
          <w:szCs w:val="14"/>
          <w:color w:val="auto"/>
        </w:rPr>
      </w:pPr>
    </w:p>
    <w:p>
      <w:pPr>
        <w:ind w:left="980" w:right="260" w:hanging="486"/>
        <w:spacing w:after="0" w:line="253" w:lineRule="auto"/>
        <w:tabs>
          <w:tab w:leader="none" w:pos="9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 copy of each report made by an Access Person for at least two (2) years after the end of the fiscal year in which the report is made, and for an additional three (3) years in a place that need not be easily accessible;</w:t>
      </w:r>
    </w:p>
    <w:p>
      <w:pPr>
        <w:spacing w:after="0" w:line="106" w:lineRule="exact"/>
        <w:rPr>
          <w:rFonts w:ascii="Arial" w:cs="Arial" w:eastAsia="Arial" w:hAnsi="Arial"/>
          <w:sz w:val="14"/>
          <w:szCs w:val="14"/>
          <w:color w:val="auto"/>
        </w:rPr>
      </w:pPr>
    </w:p>
    <w:p>
      <w:pPr>
        <w:ind w:left="980" w:right="100" w:hanging="486"/>
        <w:spacing w:after="0" w:line="253" w:lineRule="auto"/>
        <w:tabs>
          <w:tab w:leader="none" w:pos="9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106" w:lineRule="exact"/>
        <w:rPr>
          <w:rFonts w:ascii="Arial" w:cs="Arial" w:eastAsia="Arial" w:hAnsi="Arial"/>
          <w:sz w:val="14"/>
          <w:szCs w:val="14"/>
          <w:color w:val="auto"/>
        </w:rPr>
      </w:pPr>
    </w:p>
    <w:p>
      <w:pPr>
        <w:ind w:left="980" w:right="40" w:hanging="486"/>
        <w:spacing w:after="0" w:line="253" w:lineRule="auto"/>
        <w:tabs>
          <w:tab w:leader="none" w:pos="9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 list of all persons who are, or within the past five (5) years have been, required to make reports pursuant to the Rule and this Code of Ethics, or who are or were responsible for reviewing such reports;</w:t>
      </w:r>
    </w:p>
    <w:p>
      <w:pPr>
        <w:spacing w:after="0" w:line="106" w:lineRule="exact"/>
        <w:rPr>
          <w:rFonts w:ascii="Arial" w:cs="Arial" w:eastAsia="Arial" w:hAnsi="Arial"/>
          <w:sz w:val="14"/>
          <w:szCs w:val="14"/>
          <w:color w:val="auto"/>
        </w:rPr>
      </w:pPr>
    </w:p>
    <w:p>
      <w:pPr>
        <w:ind w:left="980" w:right="80" w:hanging="486"/>
        <w:spacing w:after="0" w:line="253" w:lineRule="auto"/>
        <w:tabs>
          <w:tab w:leader="none" w:pos="9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 copy of each report required by Section VII (B) for at least two (2) years after the end of the fiscal year in which it is made, and for an additional three (3) years in a place that need not be easily accessible; and</w:t>
      </w:r>
    </w:p>
    <w:p>
      <w:pPr>
        <w:spacing w:after="0" w:line="106" w:lineRule="exact"/>
        <w:rPr>
          <w:rFonts w:ascii="Arial" w:cs="Arial" w:eastAsia="Arial" w:hAnsi="Arial"/>
          <w:sz w:val="14"/>
          <w:szCs w:val="14"/>
          <w:color w:val="auto"/>
        </w:rPr>
      </w:pPr>
    </w:p>
    <w:p>
      <w:pPr>
        <w:ind w:left="980" w:right="40" w:hanging="486"/>
        <w:spacing w:after="0" w:line="253" w:lineRule="auto"/>
        <w:tabs>
          <w:tab w:leader="none" w:pos="98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106" w:lineRule="exact"/>
        <w:rPr>
          <w:sz w:val="20"/>
          <w:szCs w:val="20"/>
          <w:color w:val="auto"/>
        </w:rPr>
      </w:pPr>
    </w:p>
    <w:p>
      <w:pPr>
        <w:ind w:left="980" w:hanging="486"/>
        <w:spacing w:after="0"/>
        <w:tabs>
          <w:tab w:leader="none" w:pos="98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This Code may not be amended or modified except in a written form that is specifically approved by majority vote of the Independent Directors.</w:t>
      </w:r>
    </w:p>
    <w:p>
      <w:pPr>
        <w:spacing w:after="0" w:line="136" w:lineRule="exact"/>
        <w:rPr>
          <w:sz w:val="20"/>
          <w:szCs w:val="20"/>
          <w:color w:val="auto"/>
        </w:rPr>
      </w:pPr>
    </w:p>
    <w:p>
      <w:pPr>
        <w:ind w:right="700" w:firstLine="496"/>
        <w:spacing w:after="0" w:line="253" w:lineRule="auto"/>
        <w:rPr>
          <w:sz w:val="20"/>
          <w:szCs w:val="20"/>
          <w:color w:val="auto"/>
        </w:rPr>
      </w:pPr>
      <w:r>
        <w:rPr>
          <w:rFonts w:ascii="Arial" w:cs="Arial" w:eastAsia="Arial" w:hAnsi="Arial"/>
          <w:sz w:val="14"/>
          <w:szCs w:val="14"/>
          <w:color w:val="auto"/>
        </w:rPr>
        <w:t>This Joint Code of Ethics, originally adopted December 12, 2007, is annually reviewed and approved by the Board of Directors of the Corporation, including a majority of the Independent Directors.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95"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EXHIBIT 21.1</w:t>
            </w:r>
          </w:p>
        </w:tc>
        <w:tc>
          <w:tcPr>
            <w:tcW w:w="0" w:type="dxa"/>
            <w:vAlign w:val="bottom"/>
          </w:tcPr>
          <w:p>
            <w:pPr>
              <w:spacing w:after="0"/>
              <w:rPr>
                <w:sz w:val="1"/>
                <w:szCs w:val="1"/>
                <w:color w:val="auto"/>
              </w:rPr>
            </w:pPr>
          </w:p>
        </w:tc>
      </w:tr>
      <w:tr>
        <w:trPr>
          <w:trHeight w:val="297"/>
        </w:trPr>
        <w:tc>
          <w:tcPr>
            <w:tcW w:w="4260" w:type="dxa"/>
            <w:vAlign w:val="bottom"/>
          </w:tcPr>
          <w:p>
            <w:pPr>
              <w:spacing w:after="0"/>
              <w:rPr>
                <w:sz w:val="24"/>
                <w:szCs w:val="24"/>
                <w:color w:val="auto"/>
              </w:rPr>
            </w:pPr>
          </w:p>
        </w:tc>
        <w:tc>
          <w:tcPr>
            <w:tcW w:w="6800" w:type="dxa"/>
            <w:vAlign w:val="bottom"/>
            <w:gridSpan w:val="4"/>
          </w:tcPr>
          <w:p>
            <w:pPr>
              <w:jc w:val="right"/>
              <w:ind w:right="4520"/>
              <w:spacing w:after="0"/>
              <w:rPr>
                <w:sz w:val="20"/>
                <w:szCs w:val="20"/>
                <w:color w:val="auto"/>
              </w:rPr>
            </w:pPr>
            <w:r>
              <w:rPr>
                <w:rFonts w:ascii="Arial" w:cs="Arial" w:eastAsia="Arial" w:hAnsi="Arial"/>
                <w:sz w:val="14"/>
                <w:szCs w:val="14"/>
                <w:b w:val="1"/>
                <w:bCs w:val="1"/>
                <w:color w:val="auto"/>
              </w:rPr>
              <w:t>Subsidiaries of the Registrant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4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Voting Securities</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4260" w:type="dxa"/>
            <w:vAlign w:val="bottom"/>
            <w:tcBorders>
              <w:bottom w:val="single" w:sz="8" w:color="auto"/>
            </w:tcBorders>
            <w:vMerge w:val="continue"/>
          </w:tcPr>
          <w:p>
            <w:pPr>
              <w:spacing w:after="0"/>
              <w:rPr>
                <w:sz w:val="14"/>
                <w:szCs w:val="14"/>
                <w:color w:val="auto"/>
              </w:rPr>
            </w:pPr>
          </w:p>
        </w:tc>
        <w:tc>
          <w:tcPr>
            <w:tcW w:w="4840" w:type="dxa"/>
            <w:vAlign w:val="bottom"/>
            <w:tcBorders>
              <w:bottom w:val="single" w:sz="8" w:color="auto"/>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Owned Percentage</w:t>
            </w:r>
          </w:p>
        </w:tc>
        <w:tc>
          <w:tcPr>
            <w:tcW w:w="140" w:type="dxa"/>
            <w:vAlign w:val="bottom"/>
            <w:tcBorders>
              <w:bottom w:val="single" w:sz="8" w:color="CCECFF"/>
            </w:tcBorders>
          </w:tcPr>
          <w:p>
            <w:pPr>
              <w:spacing w:after="0"/>
              <w:rPr>
                <w:sz w:val="14"/>
                <w:szCs w:val="14"/>
                <w:color w:val="auto"/>
              </w:rPr>
            </w:pPr>
          </w:p>
        </w:tc>
        <w:tc>
          <w:tcPr>
            <w:tcW w:w="18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shd w:val="clear" w:color="auto" w:fill="CCECFF"/>
          </w:tcPr>
          <w:p>
            <w:pPr>
              <w:spacing w:after="0" w:line="142" w:lineRule="exact"/>
              <w:rPr>
                <w:sz w:val="20"/>
                <w:szCs w:val="20"/>
                <w:color w:val="auto"/>
              </w:rPr>
            </w:pPr>
            <w:r>
              <w:rPr>
                <w:rFonts w:ascii="Arial" w:cs="Arial" w:eastAsia="Arial" w:hAnsi="Arial"/>
                <w:sz w:val="14"/>
                <w:szCs w:val="14"/>
                <w:color w:val="auto"/>
              </w:rPr>
              <w:t>PennantPark SBIC GP, LLC (Delaware)</w:t>
            </w:r>
          </w:p>
        </w:tc>
        <w:tc>
          <w:tcPr>
            <w:tcW w:w="48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840" w:type="dxa"/>
            <w:vAlign w:val="bottom"/>
            <w:gridSpan w:val="2"/>
            <w:shd w:val="clear" w:color="auto" w:fill="CCECFF"/>
          </w:tcPr>
          <w:p>
            <w:pPr>
              <w:jc w:val="right"/>
              <w:ind w:right="20"/>
              <w:spacing w:after="0" w:line="142"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PennantPark SBIC GP II, LLC (Delaware)</w:t>
            </w:r>
          </w:p>
        </w:tc>
        <w:tc>
          <w:tcPr>
            <w:tcW w:w="68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PennantPark SBIC LP (Delaware)</w:t>
            </w:r>
          </w:p>
        </w:tc>
        <w:tc>
          <w:tcPr>
            <w:tcW w:w="6800" w:type="dxa"/>
            <w:vAlign w:val="bottom"/>
            <w:gridSpan w:val="4"/>
            <w:shd w:val="clear" w:color="auto" w:fill="CCEC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Arial" w:cs="Arial" w:eastAsia="Arial" w:hAnsi="Arial"/>
                <w:sz w:val="14"/>
                <w:szCs w:val="14"/>
                <w:color w:val="auto"/>
              </w:rPr>
              <w:t>PennantPark SBIC II LP (Delaware)</w:t>
            </w:r>
          </w:p>
        </w:tc>
        <w:tc>
          <w:tcPr>
            <w:tcW w:w="68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(2)</w:t>
            </w:r>
          </w:p>
        </w:tc>
        <w:tc>
          <w:tcPr>
            <w:tcW w:w="0" w:type="dxa"/>
            <w:vAlign w:val="bottom"/>
          </w:tcPr>
          <w:p>
            <w:pPr>
              <w:spacing w:after="0"/>
              <w:rPr>
                <w:sz w:val="1"/>
                <w:szCs w:val="1"/>
                <w:color w:val="auto"/>
              </w:rPr>
            </w:pPr>
          </w:p>
        </w:tc>
      </w:tr>
      <w:tr>
        <w:trPr>
          <w:trHeight w:val="148"/>
        </w:trPr>
        <w:tc>
          <w:tcPr>
            <w:tcW w:w="426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PNNT Alabama Holdings Inc. (Delaware)</w:t>
            </w:r>
          </w:p>
        </w:tc>
        <w:tc>
          <w:tcPr>
            <w:tcW w:w="6800" w:type="dxa"/>
            <w:vAlign w:val="bottom"/>
            <w:gridSpan w:val="4"/>
            <w:shd w:val="clear" w:color="auto" w:fill="CCEC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PNNT Cascade Environmental Holdings, LLC (Delaware)</w:t>
            </w:r>
          </w:p>
        </w:tc>
        <w:tc>
          <w:tcPr>
            <w:tcW w:w="68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PNNT CI (GALLS) Prime Investment Holdings, LLC (Delaware)</w:t>
            </w:r>
          </w:p>
        </w:tc>
        <w:tc>
          <w:tcPr>
            <w:tcW w:w="6800" w:type="dxa"/>
            <w:vAlign w:val="bottom"/>
            <w:gridSpan w:val="4"/>
            <w:shd w:val="clear" w:color="auto" w:fill="CCEC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PNNT ecoserve, LLC (Delaware)</w:t>
            </w:r>
          </w:p>
        </w:tc>
        <w:tc>
          <w:tcPr>
            <w:tcW w:w="68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PNNT Investment Holdings, LLC (Delaware)</w:t>
            </w:r>
          </w:p>
        </w:tc>
        <w:tc>
          <w:tcPr>
            <w:tcW w:w="6800" w:type="dxa"/>
            <w:vAlign w:val="bottom"/>
            <w:gridSpan w:val="4"/>
            <w:shd w:val="clear" w:color="auto" w:fill="CCEC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PNNT New Gulf Resources, LLC (Delaware)</w:t>
            </w:r>
          </w:p>
        </w:tc>
        <w:tc>
          <w:tcPr>
            <w:tcW w:w="68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AKW Holdings Limited (Delaware)</w:t>
            </w:r>
          </w:p>
        </w:tc>
        <w:tc>
          <w:tcPr>
            <w:tcW w:w="6800" w:type="dxa"/>
            <w:vAlign w:val="bottom"/>
            <w:gridSpan w:val="4"/>
            <w:shd w:val="clear" w:color="auto" w:fill="CCEC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5"/>
              </w:rPr>
              <w:t>(4)</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RAM Energy Holdings LLC (Delaware)</w:t>
            </w:r>
          </w:p>
        </w:tc>
        <w:tc>
          <w:tcPr>
            <w:tcW w:w="68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0" w:type="dxa"/>
            <w:vAlign w:val="bottom"/>
          </w:tcPr>
          <w:p>
            <w:pPr>
              <w:spacing w:after="0"/>
              <w:rPr>
                <w:sz w:val="1"/>
                <w:szCs w:val="1"/>
                <w:color w:val="auto"/>
              </w:rPr>
            </w:pPr>
          </w:p>
        </w:tc>
      </w:tr>
      <w:tr>
        <w:trPr>
          <w:trHeight w:val="148"/>
        </w:trPr>
        <w:tc>
          <w:tcPr>
            <w:tcW w:w="4260" w:type="dxa"/>
            <w:vAlign w:val="bottom"/>
            <w:shd w:val="clear" w:color="auto" w:fill="CCECFF"/>
          </w:tcPr>
          <w:p>
            <w:pPr>
              <w:spacing w:after="0" w:line="149" w:lineRule="exact"/>
              <w:rPr>
                <w:sz w:val="20"/>
                <w:szCs w:val="20"/>
                <w:color w:val="auto"/>
              </w:rPr>
            </w:pPr>
            <w:r>
              <w:rPr>
                <w:rFonts w:ascii="Arial" w:cs="Arial" w:eastAsia="Arial" w:hAnsi="Arial"/>
                <w:sz w:val="14"/>
                <w:szCs w:val="14"/>
                <w:color w:val="auto"/>
              </w:rPr>
              <w:t>Superior Digital Displays, LLC (Delaware)</w:t>
            </w:r>
          </w:p>
        </w:tc>
        <w:tc>
          <w:tcPr>
            <w:tcW w:w="6800" w:type="dxa"/>
            <w:vAlign w:val="bottom"/>
            <w:gridSpan w:val="4"/>
            <w:shd w:val="clear" w:color="auto" w:fill="CCECFF"/>
          </w:tcPr>
          <w:p>
            <w:pPr>
              <w:jc w:val="right"/>
              <w:ind w:right="20"/>
              <w:spacing w:after="0" w:line="149" w:lineRule="exact"/>
              <w:rPr>
                <w:sz w:val="20"/>
                <w:szCs w:val="20"/>
                <w:color w:val="auto"/>
              </w:rPr>
            </w:pPr>
            <w:r>
              <w:rPr>
                <w:rFonts w:ascii="Arial" w:cs="Arial" w:eastAsia="Arial" w:hAnsi="Arial"/>
                <w:sz w:val="14"/>
                <w:szCs w:val="14"/>
                <w:color w:val="auto"/>
              </w:rPr>
              <w:t>98%</w:t>
            </w:r>
          </w:p>
        </w:tc>
        <w:tc>
          <w:tcPr>
            <w:tcW w:w="1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5"/>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1144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09" w:lineRule="exact"/>
        <w:rPr>
          <w:sz w:val="20"/>
          <w:szCs w:val="20"/>
          <w:color w:val="auto"/>
        </w:rPr>
      </w:pPr>
    </w:p>
    <w:p>
      <w:pPr>
        <w:ind w:left="500" w:hanging="492"/>
        <w:spacing w:after="0"/>
        <w:tabs>
          <w:tab w:leader="none" w:pos="50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The entity is directly owned 99% by us and 1% by PennantPark SBIC GP, LLC which is effectively wholly-owned by us.</w:t>
      </w:r>
    </w:p>
    <w:p>
      <w:pPr>
        <w:ind w:left="500" w:hanging="492"/>
        <w:spacing w:after="0" w:line="221" w:lineRule="auto"/>
        <w:tabs>
          <w:tab w:leader="none" w:pos="50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The entity is directly owned 99% by us and 1% by PennantPark SBIC GP II, LLC, which is effectively wholly-owned by us.</w:t>
      </w:r>
    </w:p>
    <w:p>
      <w:pPr>
        <w:ind w:left="500" w:hanging="492"/>
        <w:spacing w:after="0" w:line="221" w:lineRule="auto"/>
        <w:tabs>
          <w:tab w:leader="none" w:pos="50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This entity is not operational.</w:t>
      </w:r>
    </w:p>
    <w:p>
      <w:pPr>
        <w:ind w:left="500" w:hanging="492"/>
        <w:spacing w:after="0"/>
        <w:tabs>
          <w:tab w:leader="none" w:pos="500" w:val="left"/>
        </w:tabs>
        <w:numPr>
          <w:ilvl w:val="0"/>
          <w:numId w:val="103"/>
        </w:numPr>
        <w:rPr>
          <w:rFonts w:ascii="Arial" w:cs="Arial" w:eastAsia="Arial" w:hAnsi="Arial"/>
          <w:sz w:val="12"/>
          <w:szCs w:val="12"/>
          <w:color w:val="auto"/>
        </w:rPr>
      </w:pPr>
      <w:r>
        <w:rPr>
          <w:rFonts w:ascii="Arial" w:cs="Arial" w:eastAsia="Arial" w:hAnsi="Arial"/>
          <w:sz w:val="14"/>
          <w:szCs w:val="14"/>
          <w:color w:val="auto"/>
        </w:rPr>
        <w:t>This is a controlled affiliated investment.</w:t>
      </w:r>
    </w:p>
    <w:p>
      <w:pPr>
        <w:sectPr>
          <w:pgSz w:w="11900" w:h="16838" w:orient="portrait"/>
          <w:cols w:equalWidth="0" w:num="1">
            <w:col w:w="11240"/>
          </w:cols>
          <w:pgMar w:left="320" w:top="118"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4"/>
          <w:szCs w:val="14"/>
          <w:b w:val="1"/>
          <w:bCs w:val="1"/>
          <w:color w:val="auto"/>
        </w:rPr>
        <w:t>EXHIBIT 31.1</w:t>
      </w:r>
    </w:p>
    <w:p>
      <w:pPr>
        <w:spacing w:after="0" w:line="135"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and Chairman of the Board of Directors of PennantPark Investment Corporation, certify that:</w:t>
      </w:r>
    </w:p>
    <w:p>
      <w:pPr>
        <w:spacing w:after="0" w:line="136" w:lineRule="exact"/>
        <w:rPr>
          <w:sz w:val="20"/>
          <w:szCs w:val="20"/>
          <w:color w:val="auto"/>
        </w:rPr>
      </w:pPr>
    </w:p>
    <w:p>
      <w:pPr>
        <w:ind w:left="400" w:hanging="144"/>
        <w:spacing w:after="0"/>
        <w:tabs>
          <w:tab w:leader="none" w:pos="40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Investment Corporation;</w:t>
      </w:r>
    </w:p>
    <w:p>
      <w:pPr>
        <w:spacing w:after="0" w:line="136" w:lineRule="exact"/>
        <w:rPr>
          <w:rFonts w:ascii="Arial" w:cs="Arial" w:eastAsia="Arial" w:hAnsi="Arial"/>
          <w:sz w:val="14"/>
          <w:szCs w:val="14"/>
          <w:color w:val="auto"/>
        </w:rPr>
      </w:pPr>
    </w:p>
    <w:p>
      <w:pPr>
        <w:ind w:left="260" w:right="620" w:hanging="4"/>
        <w:spacing w:after="0" w:line="253" w:lineRule="auto"/>
        <w:tabs>
          <w:tab w:leader="none" w:pos="40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4"/>
          <w:szCs w:val="14"/>
          <w:color w:val="auto"/>
        </w:rPr>
      </w:pPr>
    </w:p>
    <w:p>
      <w:pPr>
        <w:ind w:left="260" w:right="80" w:hanging="4"/>
        <w:spacing w:after="0" w:line="253" w:lineRule="auto"/>
        <w:tabs>
          <w:tab w:leader="none" w:pos="40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260" w:right="280" w:hanging="4"/>
        <w:spacing w:after="0" w:line="253" w:lineRule="auto"/>
        <w:tabs>
          <w:tab w:leader="none" w:pos="40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500" w:right="60" w:firstLine="4"/>
        <w:spacing w:after="0" w:line="335" w:lineRule="auto"/>
        <w:tabs>
          <w:tab w:leader="none" w:pos="648" w:val="left"/>
        </w:tabs>
        <w:numPr>
          <w:ilvl w:val="1"/>
          <w:numId w:val="10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6" w:lineRule="exact"/>
        <w:rPr>
          <w:rFonts w:ascii="Arial" w:cs="Arial" w:eastAsia="Arial" w:hAnsi="Arial"/>
          <w:sz w:val="12"/>
          <w:szCs w:val="12"/>
          <w:color w:val="auto"/>
        </w:rPr>
      </w:pPr>
    </w:p>
    <w:p>
      <w:pPr>
        <w:ind w:left="500" w:right="120" w:firstLine="4"/>
        <w:spacing w:after="0" w:line="290" w:lineRule="auto"/>
        <w:tabs>
          <w:tab w:leader="none" w:pos="656" w:val="left"/>
        </w:tabs>
        <w:numPr>
          <w:ilvl w:val="1"/>
          <w:numId w:val="10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4" w:lineRule="exact"/>
        <w:rPr>
          <w:rFonts w:ascii="Arial" w:cs="Arial" w:eastAsia="Arial" w:hAnsi="Arial"/>
          <w:sz w:val="13"/>
          <w:szCs w:val="13"/>
          <w:color w:val="auto"/>
        </w:rPr>
      </w:pPr>
    </w:p>
    <w:p>
      <w:pPr>
        <w:ind w:left="500" w:right="320" w:firstLine="4"/>
        <w:spacing w:after="0" w:line="253" w:lineRule="auto"/>
        <w:tabs>
          <w:tab w:leader="none" w:pos="648" w:val="left"/>
        </w:tabs>
        <w:numPr>
          <w:ilvl w:val="1"/>
          <w:numId w:val="10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left="500" w:right="300" w:firstLine="4"/>
        <w:spacing w:after="0" w:line="290" w:lineRule="auto"/>
        <w:tabs>
          <w:tab w:leader="none" w:pos="656" w:val="left"/>
        </w:tabs>
        <w:numPr>
          <w:ilvl w:val="1"/>
          <w:numId w:val="10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3"/>
          <w:szCs w:val="13"/>
          <w:color w:val="auto"/>
        </w:rPr>
      </w:pPr>
    </w:p>
    <w:p>
      <w:pPr>
        <w:ind w:left="260" w:right="420" w:hanging="4"/>
        <w:spacing w:after="0" w:line="253" w:lineRule="auto"/>
        <w:tabs>
          <w:tab w:leader="none" w:pos="40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500" w:firstLine="4"/>
        <w:spacing w:after="0" w:line="253" w:lineRule="auto"/>
        <w:tabs>
          <w:tab w:leader="none" w:pos="648" w:val="left"/>
        </w:tabs>
        <w:numPr>
          <w:ilvl w:val="1"/>
          <w:numId w:val="10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660" w:hanging="156"/>
        <w:spacing w:after="0"/>
        <w:tabs>
          <w:tab w:leader="none" w:pos="660" w:val="left"/>
        </w:tabs>
        <w:numPr>
          <w:ilvl w:val="1"/>
          <w:numId w:val="10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15, 2018</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4"/>
                <w:szCs w:val="14"/>
                <w:color w:val="auto"/>
              </w:rPr>
              <w:t>Arthur H. Penn</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3920" w:type="dxa"/>
            <w:vAlign w:val="bottom"/>
          </w:tcPr>
          <w:p>
            <w:pPr>
              <w:ind w:left="180"/>
              <w:spacing w:after="0"/>
              <w:rPr>
                <w:sz w:val="20"/>
                <w:szCs w:val="20"/>
                <w:color w:val="auto"/>
              </w:rPr>
            </w:pPr>
            <w:r>
              <w:rPr>
                <w:rFonts w:ascii="Arial" w:cs="Arial" w:eastAsia="Arial" w:hAnsi="Arial"/>
                <w:sz w:val="14"/>
                <w:szCs w:val="14"/>
                <w:color w:val="auto"/>
              </w:rPr>
              <w:t>Chief Executive Officer</w:t>
            </w:r>
          </w:p>
        </w:tc>
      </w:tr>
    </w:tbl>
    <w:p>
      <w:pPr>
        <w:sectPr>
          <w:pgSz w:w="11900" w:h="16838" w:orient="portrait"/>
          <w:cols w:equalWidth="0" w:num="1">
            <w:col w:w="11240"/>
          </w:cols>
          <w:pgMar w:left="320" w:top="118"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4"/>
          <w:szCs w:val="14"/>
          <w:b w:val="1"/>
          <w:bCs w:val="1"/>
          <w:color w:val="auto"/>
        </w:rPr>
        <w:t>EXHIBIT 31.2</w:t>
      </w:r>
    </w:p>
    <w:p>
      <w:pPr>
        <w:spacing w:after="0" w:line="135"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36" w:lineRule="exact"/>
        <w:rPr>
          <w:sz w:val="20"/>
          <w:szCs w:val="20"/>
          <w:color w:val="auto"/>
        </w:rPr>
      </w:pPr>
    </w:p>
    <w:p>
      <w:pPr>
        <w:ind w:left="400" w:hanging="144"/>
        <w:spacing w:after="0"/>
        <w:tabs>
          <w:tab w:leader="none" w:pos="40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PennantPark Investment Corporation;</w:t>
      </w:r>
    </w:p>
    <w:p>
      <w:pPr>
        <w:spacing w:after="0" w:line="136" w:lineRule="exact"/>
        <w:rPr>
          <w:rFonts w:ascii="Arial" w:cs="Arial" w:eastAsia="Arial" w:hAnsi="Arial"/>
          <w:sz w:val="14"/>
          <w:szCs w:val="14"/>
          <w:color w:val="auto"/>
        </w:rPr>
      </w:pPr>
    </w:p>
    <w:p>
      <w:pPr>
        <w:ind w:left="260" w:right="620" w:hanging="4"/>
        <w:spacing w:after="0" w:line="253" w:lineRule="auto"/>
        <w:tabs>
          <w:tab w:leader="none" w:pos="404" w:val="left"/>
        </w:tabs>
        <w:numPr>
          <w:ilvl w:val="0"/>
          <w:numId w:val="10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4"/>
          <w:szCs w:val="14"/>
          <w:color w:val="auto"/>
        </w:rPr>
      </w:pPr>
    </w:p>
    <w:p>
      <w:pPr>
        <w:ind w:left="260" w:right="80" w:hanging="4"/>
        <w:spacing w:after="0" w:line="253" w:lineRule="auto"/>
        <w:tabs>
          <w:tab w:leader="none" w:pos="404" w:val="left"/>
        </w:tabs>
        <w:numPr>
          <w:ilvl w:val="0"/>
          <w:numId w:val="10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260" w:right="280" w:hanging="4"/>
        <w:spacing w:after="0" w:line="253" w:lineRule="auto"/>
        <w:tabs>
          <w:tab w:leader="none" w:pos="404"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500" w:right="60" w:firstLine="4"/>
        <w:spacing w:after="0" w:line="335" w:lineRule="auto"/>
        <w:tabs>
          <w:tab w:leader="none" w:pos="648" w:val="left"/>
        </w:tabs>
        <w:numPr>
          <w:ilvl w:val="1"/>
          <w:numId w:val="10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6" w:lineRule="exact"/>
        <w:rPr>
          <w:rFonts w:ascii="Arial" w:cs="Arial" w:eastAsia="Arial" w:hAnsi="Arial"/>
          <w:sz w:val="12"/>
          <w:szCs w:val="12"/>
          <w:color w:val="auto"/>
        </w:rPr>
      </w:pPr>
    </w:p>
    <w:p>
      <w:pPr>
        <w:ind w:left="500" w:right="120" w:firstLine="4"/>
        <w:spacing w:after="0" w:line="290" w:lineRule="auto"/>
        <w:tabs>
          <w:tab w:leader="none" w:pos="656" w:val="left"/>
        </w:tabs>
        <w:numPr>
          <w:ilvl w:val="1"/>
          <w:numId w:val="10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4" w:lineRule="exact"/>
        <w:rPr>
          <w:rFonts w:ascii="Arial" w:cs="Arial" w:eastAsia="Arial" w:hAnsi="Arial"/>
          <w:sz w:val="13"/>
          <w:szCs w:val="13"/>
          <w:color w:val="auto"/>
        </w:rPr>
      </w:pPr>
    </w:p>
    <w:p>
      <w:pPr>
        <w:ind w:left="500" w:right="320" w:firstLine="4"/>
        <w:spacing w:after="0" w:line="253" w:lineRule="auto"/>
        <w:tabs>
          <w:tab w:leader="none" w:pos="648" w:val="left"/>
        </w:tabs>
        <w:numPr>
          <w:ilvl w:val="1"/>
          <w:numId w:val="10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left="500" w:right="300" w:firstLine="4"/>
        <w:spacing w:after="0" w:line="290" w:lineRule="auto"/>
        <w:tabs>
          <w:tab w:leader="none" w:pos="656" w:val="left"/>
        </w:tabs>
        <w:numPr>
          <w:ilvl w:val="1"/>
          <w:numId w:val="10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3"/>
          <w:szCs w:val="13"/>
          <w:color w:val="auto"/>
        </w:rPr>
      </w:pPr>
    </w:p>
    <w:p>
      <w:pPr>
        <w:ind w:left="260" w:right="420" w:hanging="4"/>
        <w:spacing w:after="0" w:line="253" w:lineRule="auto"/>
        <w:tabs>
          <w:tab w:leader="none" w:pos="404"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500" w:firstLine="4"/>
        <w:spacing w:after="0" w:line="253" w:lineRule="auto"/>
        <w:tabs>
          <w:tab w:leader="none" w:pos="648" w:val="left"/>
        </w:tabs>
        <w:numPr>
          <w:ilvl w:val="1"/>
          <w:numId w:val="10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660" w:hanging="156"/>
        <w:spacing w:after="0"/>
        <w:tabs>
          <w:tab w:leader="none" w:pos="660" w:val="left"/>
        </w:tabs>
        <w:numPr>
          <w:ilvl w:val="1"/>
          <w:numId w:val="10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15, 2018</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392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4"/>
                <w:szCs w:val="14"/>
                <w:color w:val="auto"/>
              </w:rPr>
              <w:t>Aviv Efrat</w:t>
            </w:r>
          </w:p>
        </w:tc>
      </w:t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3920" w:type="dxa"/>
            <w:vAlign w:val="bottom"/>
          </w:tcPr>
          <w:p>
            <w:pPr>
              <w:ind w:left="18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40"/>
          </w:cols>
          <w:pgMar w:left="320" w:top="118"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4"/>
          <w:szCs w:val="14"/>
          <w:b w:val="1"/>
          <w:bCs w:val="1"/>
          <w:color w:val="auto"/>
        </w:rPr>
        <w:t>EXHIBIT 32.1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11" w:lineRule="exact"/>
        <w:rPr>
          <w:sz w:val="20"/>
          <w:szCs w:val="20"/>
          <w:color w:val="auto"/>
        </w:rPr>
      </w:pPr>
    </w:p>
    <w:p>
      <w:pPr>
        <w:ind w:right="160" w:firstLine="496"/>
        <w:spacing w:after="0" w:line="253" w:lineRule="auto"/>
        <w:rPr>
          <w:sz w:val="20"/>
          <w:szCs w:val="20"/>
          <w:color w:val="auto"/>
        </w:rPr>
      </w:pPr>
      <w:r>
        <w:rPr>
          <w:rFonts w:ascii="Arial" w:cs="Arial" w:eastAsia="Arial" w:hAnsi="Arial"/>
          <w:sz w:val="14"/>
          <w:szCs w:val="14"/>
          <w:color w:val="auto"/>
        </w:rPr>
        <w:t>In connection with the Annual Report on Form 10-K of PennantPark Investment Corporation for the annual period ended September 30, 2018 as filed with the Securities and Exchange Commission on the date hereof (the “Report”), I, Arthur H. Penn, as Chief Executive Officer of the Registrant hereby certify, to the best of my knowledge that:</w:t>
      </w:r>
    </w:p>
    <w:p>
      <w:pPr>
        <w:spacing w:after="0" w:line="106" w:lineRule="exact"/>
        <w:rPr>
          <w:sz w:val="20"/>
          <w:szCs w:val="20"/>
          <w:color w:val="auto"/>
        </w:rPr>
      </w:pPr>
    </w:p>
    <w:p>
      <w:pPr>
        <w:ind w:left="460" w:hanging="204"/>
        <w:spacing w:after="0"/>
        <w:tabs>
          <w:tab w:leader="none" w:pos="4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460" w:hanging="204"/>
        <w:spacing w:after="0"/>
        <w:tabs>
          <w:tab w:leader="none" w:pos="4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4"/>
                <w:szCs w:val="14"/>
                <w:color w:val="auto"/>
              </w:rPr>
              <w:t>Arthur H. Penn</w:t>
            </w:r>
          </w:p>
        </w:tc>
      </w:tr>
      <w:tr>
        <w:trPr>
          <w:trHeight w:val="149"/>
        </w:trPr>
        <w:tc>
          <w:tcPr>
            <w:tcW w:w="48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4000" w:type="dxa"/>
            <w:vAlign w:val="bottom"/>
          </w:tcPr>
          <w:p>
            <w:pPr>
              <w:ind w:left="80"/>
              <w:spacing w:after="0" w:line="149" w:lineRule="exact"/>
              <w:rPr>
                <w:sz w:val="20"/>
                <w:szCs w:val="20"/>
                <w:color w:val="auto"/>
              </w:rPr>
            </w:pPr>
            <w:r>
              <w:rPr>
                <w:rFonts w:ascii="Arial" w:cs="Arial" w:eastAsia="Arial" w:hAnsi="Arial"/>
                <w:sz w:val="14"/>
                <w:szCs w:val="14"/>
                <w:color w:val="auto"/>
              </w:rPr>
              <w:t>Chief Executive Officer</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Date:</w:t>
            </w:r>
          </w:p>
        </w:tc>
        <w:tc>
          <w:tcPr>
            <w:tcW w:w="4000" w:type="dxa"/>
            <w:vAlign w:val="bottom"/>
          </w:tcPr>
          <w:p>
            <w:pPr>
              <w:ind w:left="80"/>
              <w:spacing w:after="0"/>
              <w:rPr>
                <w:sz w:val="20"/>
                <w:szCs w:val="20"/>
                <w:color w:val="auto"/>
              </w:rPr>
            </w:pPr>
            <w:r>
              <w:rPr>
                <w:rFonts w:ascii="Arial" w:cs="Arial" w:eastAsia="Arial" w:hAnsi="Arial"/>
                <w:sz w:val="14"/>
                <w:szCs w:val="14"/>
                <w:color w:val="auto"/>
              </w:rPr>
              <w:t>November 15, 2018</w:t>
            </w:r>
          </w:p>
        </w:tc>
      </w:tr>
    </w:tbl>
    <w:p>
      <w:pPr>
        <w:sectPr>
          <w:pgSz w:w="11900" w:h="16838" w:orient="portrait"/>
          <w:cols w:equalWidth="0" w:num="1">
            <w:col w:w="11240"/>
          </w:cols>
          <w:pgMar w:left="320" w:top="118"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4"/>
          <w:szCs w:val="14"/>
          <w:b w:val="1"/>
          <w:bCs w:val="1"/>
          <w:color w:val="auto"/>
        </w:rPr>
        <w:t>EXHIBIT 32.2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11" w:lineRule="exact"/>
        <w:rPr>
          <w:sz w:val="20"/>
          <w:szCs w:val="20"/>
          <w:color w:val="auto"/>
        </w:rPr>
      </w:pPr>
    </w:p>
    <w:p>
      <w:pPr>
        <w:ind w:right="160" w:firstLine="496"/>
        <w:spacing w:after="0" w:line="253" w:lineRule="auto"/>
        <w:rPr>
          <w:sz w:val="20"/>
          <w:szCs w:val="20"/>
          <w:color w:val="auto"/>
        </w:rPr>
      </w:pPr>
      <w:r>
        <w:rPr>
          <w:rFonts w:ascii="Arial" w:cs="Arial" w:eastAsia="Arial" w:hAnsi="Arial"/>
          <w:sz w:val="14"/>
          <w:szCs w:val="14"/>
          <w:color w:val="auto"/>
        </w:rPr>
        <w:t>In connection with the Annual Report on Form 10-K of PennantPark Investment Corporation for the annual period ended September 30, 2018 as filed with the Securities and Exchange Commission on the date hereof (the “Report”), I, Aviv Efrat, as Chief Financial Officer of the Registrant hereby certify, to the best of my knowledge that:</w:t>
      </w:r>
    </w:p>
    <w:p>
      <w:pPr>
        <w:spacing w:after="0" w:line="106" w:lineRule="exact"/>
        <w:rPr>
          <w:sz w:val="20"/>
          <w:szCs w:val="20"/>
          <w:color w:val="auto"/>
        </w:rPr>
      </w:pPr>
    </w:p>
    <w:p>
      <w:pPr>
        <w:ind w:left="460" w:hanging="204"/>
        <w:spacing w:after="0"/>
        <w:tabs>
          <w:tab w:leader="none" w:pos="4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460" w:hanging="204"/>
        <w:spacing w:after="0"/>
        <w:tabs>
          <w:tab w:leader="none" w:pos="4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Name:</w:t>
            </w:r>
          </w:p>
        </w:tc>
        <w:tc>
          <w:tcPr>
            <w:tcW w:w="400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4"/>
                <w:szCs w:val="14"/>
                <w:color w:val="auto"/>
              </w:rPr>
              <w:t>Aviv Efrat</w:t>
            </w:r>
          </w:p>
        </w:tc>
      </w:tr>
      <w:tr>
        <w:trPr>
          <w:trHeight w:val="149"/>
        </w:trPr>
        <w:tc>
          <w:tcPr>
            <w:tcW w:w="480" w:type="dxa"/>
            <w:vAlign w:val="bottom"/>
          </w:tcPr>
          <w:p>
            <w:pPr>
              <w:spacing w:after="0" w:line="149" w:lineRule="exact"/>
              <w:rPr>
                <w:sz w:val="20"/>
                <w:szCs w:val="20"/>
                <w:color w:val="auto"/>
              </w:rPr>
            </w:pPr>
            <w:r>
              <w:rPr>
                <w:rFonts w:ascii="Arial" w:cs="Arial" w:eastAsia="Arial" w:hAnsi="Arial"/>
                <w:sz w:val="14"/>
                <w:szCs w:val="14"/>
                <w:color w:val="auto"/>
              </w:rPr>
              <w:t>Title:</w:t>
            </w:r>
          </w:p>
        </w:tc>
        <w:tc>
          <w:tcPr>
            <w:tcW w:w="4000" w:type="dxa"/>
            <w:vAlign w:val="bottom"/>
          </w:tcPr>
          <w:p>
            <w:pPr>
              <w:ind w:left="80"/>
              <w:spacing w:after="0" w:line="149" w:lineRule="exact"/>
              <w:rPr>
                <w:sz w:val="20"/>
                <w:szCs w:val="20"/>
                <w:color w:val="auto"/>
              </w:rPr>
            </w:pPr>
            <w:r>
              <w:rPr>
                <w:rFonts w:ascii="Arial" w:cs="Arial" w:eastAsia="Arial" w:hAnsi="Arial"/>
                <w:sz w:val="14"/>
                <w:szCs w:val="14"/>
                <w:color w:val="auto"/>
              </w:rPr>
              <w:t>Chief Financial Officer</w:t>
            </w:r>
          </w:p>
        </w:tc>
      </w:tr>
      <w:tr>
        <w:trPr>
          <w:trHeight w:val="182"/>
        </w:trPr>
        <w:tc>
          <w:tcPr>
            <w:tcW w:w="480" w:type="dxa"/>
            <w:vAlign w:val="bottom"/>
          </w:tcPr>
          <w:p>
            <w:pPr>
              <w:spacing w:after="0"/>
              <w:rPr>
                <w:sz w:val="20"/>
                <w:szCs w:val="20"/>
                <w:color w:val="auto"/>
              </w:rPr>
            </w:pPr>
            <w:r>
              <w:rPr>
                <w:rFonts w:ascii="Arial" w:cs="Arial" w:eastAsia="Arial" w:hAnsi="Arial"/>
                <w:sz w:val="14"/>
                <w:szCs w:val="14"/>
                <w:color w:val="auto"/>
              </w:rPr>
              <w:t>Date:</w:t>
            </w:r>
          </w:p>
        </w:tc>
        <w:tc>
          <w:tcPr>
            <w:tcW w:w="4000" w:type="dxa"/>
            <w:vAlign w:val="bottom"/>
          </w:tcPr>
          <w:p>
            <w:pPr>
              <w:ind w:left="80"/>
              <w:spacing w:after="0"/>
              <w:rPr>
                <w:sz w:val="20"/>
                <w:szCs w:val="20"/>
                <w:color w:val="auto"/>
              </w:rPr>
            </w:pPr>
            <w:r>
              <w:rPr>
                <w:rFonts w:ascii="Arial" w:cs="Arial" w:eastAsia="Arial" w:hAnsi="Arial"/>
                <w:sz w:val="14"/>
                <w:szCs w:val="14"/>
                <w:color w:val="auto"/>
              </w:rPr>
              <w:t>November 15, 2018</w:t>
            </w:r>
          </w:p>
        </w:tc>
      </w:tr>
    </w:tbl>
    <w:p>
      <w:pPr>
        <w:sectPr>
          <w:pgSz w:w="11900" w:h="16838" w:orient="portrait"/>
          <w:cols w:equalWidth="0" w:num="1">
            <w:col w:w="11240"/>
          </w:cols>
          <w:pgMar w:left="320" w:top="118" w:right="339" w:bottom="1440" w:gutter="0" w:footer="0" w:header="0"/>
        </w:sectPr>
      </w:pPr>
    </w:p>
    <w:bookmarkStart w:id="87" w:name="page88"/>
    <w:bookmarkEnd w:id="87"/>
    <w:p>
      <w:pPr>
        <w:ind w:left="902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67945</wp:posOffset>
            </wp:positionV>
            <wp:extent cx="7149465" cy="7783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149465" cy="7783830"/>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88" w:name="page89"/>
    <w:bookmarkEnd w:id="88"/>
    <w:p>
      <w:pPr>
        <w:spacing w:after="0"/>
        <w:rPr>
          <w:sz w:val="20"/>
          <w:szCs w:val="20"/>
          <w:color w:val="auto"/>
        </w:rPr>
      </w:pPr>
      <w:r>
        <w:rPr>
          <w:rFonts w:ascii="Arial" w:cs="Arial" w:eastAsia="Arial" w:hAnsi="Arial"/>
          <w:sz w:val="22"/>
          <w:szCs w:val="22"/>
          <w:b w:val="1"/>
          <w:bCs w:val="1"/>
          <w:color w:val="auto"/>
        </w:rPr>
        <w:t>SUPERIOR DIGITAL DISPLAYS HOLDINGS, INC. AND SUBSIDIARIES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480" w:type="dxa"/>
            <w:vAlign w:val="bottom"/>
          </w:tcPr>
          <w:p>
            <w:pPr>
              <w:spacing w:after="0"/>
              <w:rPr>
                <w:sz w:val="20"/>
                <w:szCs w:val="20"/>
                <w:color w:val="auto"/>
              </w:rPr>
            </w:pPr>
            <w:r>
              <w:rPr>
                <w:rFonts w:ascii="Arial" w:cs="Arial" w:eastAsia="Arial" w:hAnsi="Arial"/>
                <w:sz w:val="18"/>
                <w:szCs w:val="18"/>
                <w:b w:val="1"/>
                <w:bCs w:val="1"/>
                <w:color w:val="auto"/>
              </w:rPr>
              <w:t>Contents</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8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0480" w:type="dxa"/>
            <w:vAlign w:val="bottom"/>
            <w:vMerge w:val="restart"/>
          </w:tcPr>
          <w:p>
            <w:pPr>
              <w:spacing w:after="0"/>
              <w:rPr>
                <w:sz w:val="20"/>
                <w:szCs w:val="20"/>
                <w:color w:val="auto"/>
              </w:rPr>
            </w:pPr>
            <w:r>
              <w:rPr>
                <w:rFonts w:ascii="Arial" w:cs="Arial" w:eastAsia="Arial" w:hAnsi="Arial"/>
                <w:sz w:val="18"/>
                <w:szCs w:val="18"/>
                <w:b w:val="1"/>
                <w:bCs w:val="1"/>
                <w:color w:val="auto"/>
              </w:rPr>
              <w:t>Independent Auditors’ Report</w:t>
            </w:r>
          </w:p>
        </w:tc>
        <w:tc>
          <w:tcPr>
            <w:tcW w:w="760" w:type="dxa"/>
            <w:vAlign w:val="bottom"/>
          </w:tcPr>
          <w:p>
            <w:pPr>
              <w:jc w:val="right"/>
              <w:spacing w:after="0"/>
              <w:rPr>
                <w:sz w:val="20"/>
                <w:szCs w:val="20"/>
                <w:color w:val="auto"/>
              </w:rPr>
            </w:pPr>
            <w:r>
              <w:rPr>
                <w:rFonts w:ascii="Arial" w:cs="Arial" w:eastAsia="Arial" w:hAnsi="Arial"/>
                <w:sz w:val="18"/>
                <w:szCs w:val="18"/>
                <w:color w:val="auto"/>
              </w:rPr>
              <w:t>1 - 2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48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80" w:type="dxa"/>
            <w:vAlign w:val="bottom"/>
          </w:tcPr>
          <w:p>
            <w:pPr>
              <w:ind w:left="340"/>
              <w:spacing w:after="0"/>
              <w:rPr>
                <w:sz w:val="20"/>
                <w:szCs w:val="20"/>
                <w:color w:val="auto"/>
              </w:rPr>
            </w:pPr>
            <w:r>
              <w:rPr>
                <w:rFonts w:ascii="Arial" w:cs="Arial" w:eastAsia="Arial" w:hAnsi="Arial"/>
                <w:sz w:val="18"/>
                <w:szCs w:val="18"/>
                <w:color w:val="auto"/>
              </w:rPr>
              <w:t>Consolidated balance sheet as of September 30, 2018</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80" w:type="dxa"/>
            <w:vAlign w:val="bottom"/>
          </w:tcPr>
          <w:p>
            <w:pPr>
              <w:ind w:left="340"/>
              <w:spacing w:after="0"/>
              <w:rPr>
                <w:sz w:val="20"/>
                <w:szCs w:val="20"/>
                <w:color w:val="auto"/>
              </w:rPr>
            </w:pPr>
            <w:r>
              <w:rPr>
                <w:rFonts w:ascii="Arial" w:cs="Arial" w:eastAsia="Arial" w:hAnsi="Arial"/>
                <w:sz w:val="18"/>
                <w:szCs w:val="18"/>
                <w:color w:val="auto"/>
              </w:rPr>
              <w:t>Consolidated statement of operations for the year ended September 30, 2018</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80" w:type="dxa"/>
            <w:vAlign w:val="bottom"/>
          </w:tcPr>
          <w:p>
            <w:pPr>
              <w:ind w:left="340"/>
              <w:spacing w:after="0"/>
              <w:rPr>
                <w:sz w:val="20"/>
                <w:szCs w:val="20"/>
                <w:color w:val="auto"/>
              </w:rPr>
            </w:pPr>
            <w:r>
              <w:rPr>
                <w:rFonts w:ascii="Arial" w:cs="Arial" w:eastAsia="Arial" w:hAnsi="Arial"/>
                <w:sz w:val="18"/>
                <w:szCs w:val="18"/>
                <w:color w:val="auto"/>
              </w:rPr>
              <w:t>Consolidated statement of stockholders’ deficit for the year ended September 30, 2018</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80" w:type="dxa"/>
            <w:vAlign w:val="bottom"/>
          </w:tcPr>
          <w:p>
            <w:pPr>
              <w:ind w:left="340"/>
              <w:spacing w:after="0"/>
              <w:rPr>
                <w:sz w:val="20"/>
                <w:szCs w:val="20"/>
                <w:color w:val="auto"/>
              </w:rPr>
            </w:pPr>
            <w:r>
              <w:rPr>
                <w:rFonts w:ascii="Arial" w:cs="Arial" w:eastAsia="Arial" w:hAnsi="Arial"/>
                <w:sz w:val="18"/>
                <w:szCs w:val="18"/>
                <w:color w:val="auto"/>
              </w:rPr>
              <w:t>Consolidated statement of cash flows for the year ended September 30, 2018</w:t>
            </w: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80" w:type="dxa"/>
            <w:vAlign w:val="bottom"/>
          </w:tcPr>
          <w:p>
            <w:pPr>
              <w:ind w:left="340"/>
              <w:spacing w:after="0"/>
              <w:rPr>
                <w:sz w:val="20"/>
                <w:szCs w:val="20"/>
                <w:color w:val="auto"/>
              </w:rPr>
            </w:pPr>
            <w:r>
              <w:rPr>
                <w:rFonts w:ascii="Arial" w:cs="Arial" w:eastAsia="Arial" w:hAnsi="Arial"/>
                <w:sz w:val="18"/>
                <w:szCs w:val="18"/>
                <w:color w:val="auto"/>
              </w:rPr>
              <w:t>Notes to the consolidated financial statements</w:t>
            </w:r>
          </w:p>
        </w:tc>
        <w:tc>
          <w:tcPr>
            <w:tcW w:w="760" w:type="dxa"/>
            <w:vAlign w:val="bottom"/>
          </w:tcPr>
          <w:p>
            <w:pPr>
              <w:jc w:val="right"/>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6"/>
        </w:trPr>
        <w:tc>
          <w:tcPr>
            <w:tcW w:w="10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39" w:right="31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302895</wp:posOffset>
            </wp:positionV>
            <wp:extent cx="2040255" cy="3003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2040255" cy="300355"/>
                    </a:xfrm>
                    <a:prstGeom prst="rect">
                      <a:avLst/>
                    </a:prstGeom>
                    <a:noFill/>
                  </pic:spPr>
                </pic:pic>
              </a:graphicData>
            </a:graphic>
          </wp:anchor>
        </w:drawing>
        <w:drawing>
          <wp:anchor simplePos="0" relativeHeight="251657728" behindDoc="1" locked="0" layoutInCell="0" allowOverlap="1">
            <wp:simplePos x="0" y="0"/>
            <wp:positionH relativeFrom="page">
              <wp:posOffset>6080125</wp:posOffset>
            </wp:positionH>
            <wp:positionV relativeFrom="page">
              <wp:posOffset>302895</wp:posOffset>
            </wp:positionV>
            <wp:extent cx="1259840" cy="7715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259840" cy="77152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INDEPENDENT AUDITORS’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w:t>
      </w:r>
    </w:p>
    <w:p>
      <w:pPr>
        <w:spacing w:after="0"/>
        <w:rPr>
          <w:sz w:val="20"/>
          <w:szCs w:val="20"/>
          <w:color w:val="auto"/>
        </w:rPr>
      </w:pPr>
      <w:r>
        <w:rPr>
          <w:rFonts w:ascii="Arial" w:cs="Arial" w:eastAsia="Arial" w:hAnsi="Arial"/>
          <w:sz w:val="18"/>
          <w:szCs w:val="18"/>
          <w:color w:val="auto"/>
        </w:rPr>
        <w:t>Superior Digital Displays Holdings, Inc. and Subsidiaries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Consolidated Financial Statements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audited the accompanying consolidated financial statements of Superior Digital Displays Holdings, Inc. and Subsidiaries (the “Company”), which comprise the consolidated balance sheet as of September 30, 2018, and the related consolidated statements of operations, changes in stockholders’ deficit, and cash flows for the year then ended, and the related notes to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Superior Digital Displays Holdings, Inc. and Subsidiaries as of September 30, 2018, and the consolidated results of their operations and their cash flows for the year then ended in accordance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962025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267970</wp:posOffset>
            </wp:positionV>
            <wp:extent cx="394335" cy="3511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394335" cy="3511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2040255" cy="3003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2040255"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Notes A, D, and G, the Company relies on financing from a related party in order to meet its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911350" cy="3511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191135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829310</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271780</wp:posOffset>
            </wp:positionV>
            <wp:extent cx="394335" cy="3511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394335" cy="3511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1" w:name="page92"/>
    <w:bookmarkEnd w:id="91"/>
    <w:p>
      <w:pPr>
        <w:spacing w:after="0"/>
        <w:rPr>
          <w:sz w:val="20"/>
          <w:szCs w:val="20"/>
          <w:color w:val="auto"/>
        </w:rPr>
      </w:pPr>
      <w:r>
        <w:rPr>
          <w:rFonts w:ascii="Arial" w:cs="Arial" w:eastAsia="Arial" w:hAnsi="Arial"/>
          <w:sz w:val="22"/>
          <w:szCs w:val="22"/>
          <w:b w:val="1"/>
          <w:bCs w:val="1"/>
          <w:color w:val="auto"/>
        </w:rPr>
        <w:t>SUPERIOR DIGITAL DISPLAYS HOLDINGS, INC. AND SUBSIDIARIES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5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381,273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220" w:type="dxa"/>
            <w:vAlign w:val="bottom"/>
          </w:tcPr>
          <w:p>
            <w:pPr>
              <w:ind w:left="500"/>
              <w:spacing w:after="0" w:line="194" w:lineRule="exact"/>
              <w:rPr>
                <w:sz w:val="20"/>
                <w:szCs w:val="20"/>
                <w:color w:val="auto"/>
              </w:rPr>
            </w:pPr>
            <w:r>
              <w:rPr>
                <w:rFonts w:ascii="Arial" w:cs="Arial" w:eastAsia="Arial" w:hAnsi="Arial"/>
                <w:sz w:val="18"/>
                <w:szCs w:val="18"/>
                <w:color w:val="auto"/>
              </w:rPr>
              <w:t>Cash</w:t>
            </w:r>
          </w:p>
        </w:tc>
        <w:tc>
          <w:tcPr>
            <w:tcW w:w="50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500"/>
              <w:spacing w:after="0"/>
              <w:rPr>
                <w:sz w:val="20"/>
                <w:szCs w:val="20"/>
                <w:color w:val="auto"/>
              </w:rPr>
            </w:pPr>
            <w:r>
              <w:rPr>
                <w:rFonts w:ascii="Arial" w:cs="Arial" w:eastAsia="Arial" w:hAnsi="Arial"/>
                <w:sz w:val="18"/>
                <w:szCs w:val="18"/>
                <w:color w:val="auto"/>
              </w:rPr>
              <w:t>Accounts receivable, net</w:t>
            </w:r>
          </w:p>
        </w:tc>
        <w:tc>
          <w:tcPr>
            <w:tcW w:w="50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434,994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500"/>
              <w:spacing w:after="0"/>
              <w:rPr>
                <w:sz w:val="20"/>
                <w:szCs w:val="20"/>
                <w:color w:val="auto"/>
              </w:rPr>
            </w:pPr>
            <w:r>
              <w:rPr>
                <w:rFonts w:ascii="Arial" w:cs="Arial" w:eastAsia="Arial" w:hAnsi="Arial"/>
                <w:sz w:val="18"/>
                <w:szCs w:val="18"/>
                <w:color w:val="auto"/>
              </w:rPr>
              <w:t>Restricted cash</w:t>
            </w:r>
          </w:p>
        </w:tc>
        <w:tc>
          <w:tcPr>
            <w:tcW w:w="50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20,460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922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196,957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9220" w:type="dxa"/>
            <w:vAlign w:val="bottom"/>
          </w:tcPr>
          <w:p>
            <w:pPr>
              <w:ind w:left="740"/>
              <w:spacing w:after="0"/>
              <w:rPr>
                <w:sz w:val="20"/>
                <w:szCs w:val="20"/>
                <w:color w:val="auto"/>
              </w:rPr>
            </w:pPr>
            <w:r>
              <w:rPr>
                <w:rFonts w:ascii="Arial" w:cs="Arial" w:eastAsia="Arial" w:hAnsi="Arial"/>
                <w:sz w:val="18"/>
                <w:szCs w:val="18"/>
                <w:color w:val="auto"/>
              </w:rPr>
              <w:t>Total current assets</w:t>
            </w:r>
          </w:p>
        </w:tc>
        <w:tc>
          <w:tcPr>
            <w:tcW w:w="500" w:type="dxa"/>
            <w:vAlign w:val="bottom"/>
          </w:tcPr>
          <w:p>
            <w:pPr>
              <w:spacing w:after="0"/>
              <w:rPr>
                <w:sz w:val="24"/>
                <w:szCs w:val="24"/>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1,033,684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20" w:type="dxa"/>
            <w:vAlign w:val="bottom"/>
          </w:tcPr>
          <w:p>
            <w:pPr>
              <w:ind w:left="260"/>
              <w:spacing w:after="0"/>
              <w:rPr>
                <w:sz w:val="20"/>
                <w:szCs w:val="20"/>
                <w:color w:val="auto"/>
              </w:rPr>
            </w:pPr>
            <w:r>
              <w:rPr>
                <w:rFonts w:ascii="Arial" w:cs="Arial" w:eastAsia="Arial" w:hAnsi="Arial"/>
                <w:sz w:val="18"/>
                <w:szCs w:val="18"/>
                <w:color w:val="auto"/>
              </w:rPr>
              <w:t>Signs and equipment</w:t>
            </w:r>
          </w:p>
        </w:tc>
        <w:tc>
          <w:tcPr>
            <w:tcW w:w="500" w:type="dxa"/>
            <w:vAlign w:val="bottom"/>
          </w:tcPr>
          <w:p>
            <w:pPr>
              <w:spacing w:after="0"/>
              <w:rPr>
                <w:sz w:val="24"/>
                <w:szCs w:val="24"/>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6,573,860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922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24"/>
                <w:szCs w:val="24"/>
                <w:color w:val="auto"/>
              </w:rPr>
            </w:pPr>
          </w:p>
        </w:tc>
        <w:tc>
          <w:tcPr>
            <w:tcW w:w="15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89,202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220" w:type="dxa"/>
            <w:vAlign w:val="bottom"/>
          </w:tcPr>
          <w:p>
            <w:pPr>
              <w:ind w:left="500"/>
              <w:spacing w:after="0" w:line="203" w:lineRule="exact"/>
              <w:rPr>
                <w:sz w:val="20"/>
                <w:szCs w:val="20"/>
                <w:color w:val="auto"/>
              </w:rPr>
            </w:pPr>
            <w:r>
              <w:rPr>
                <w:rFonts w:ascii="Arial" w:cs="Arial" w:eastAsia="Arial" w:hAnsi="Arial"/>
                <w:sz w:val="18"/>
                <w:szCs w:val="18"/>
                <w:color w:val="auto"/>
              </w:rPr>
              <w:t>Deferred costs, net of accumulated amortization</w:t>
            </w:r>
          </w:p>
        </w:tc>
        <w:tc>
          <w:tcPr>
            <w:tcW w:w="5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9220" w:type="dxa"/>
            <w:vAlign w:val="bottom"/>
          </w:tcPr>
          <w:p>
            <w:pPr>
              <w:ind w:left="740"/>
              <w:spacing w:after="0"/>
              <w:rPr>
                <w:sz w:val="20"/>
                <w:szCs w:val="20"/>
                <w:color w:val="auto"/>
              </w:rPr>
            </w:pPr>
            <w:r>
              <w:rPr>
                <w:rFonts w:ascii="Arial" w:cs="Arial" w:eastAsia="Arial" w:hAnsi="Arial"/>
                <w:sz w:val="18"/>
                <w:szCs w:val="18"/>
                <w:color w:val="auto"/>
              </w:rPr>
              <w:t>Total assets</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7,696,746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2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260"/>
              <w:spacing w:after="0"/>
              <w:rPr>
                <w:sz w:val="20"/>
                <w:szCs w:val="20"/>
                <w:color w:val="auto"/>
              </w:rPr>
            </w:pPr>
            <w:r>
              <w:rPr>
                <w:rFonts w:ascii="Arial" w:cs="Arial" w:eastAsia="Arial" w:hAnsi="Arial"/>
                <w:sz w:val="18"/>
                <w:szCs w:val="18"/>
                <w:color w:val="auto"/>
              </w:rPr>
              <w:t>Current liabilities:</w:t>
            </w: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5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62,595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220" w:type="dxa"/>
            <w:vAlign w:val="bottom"/>
          </w:tcPr>
          <w:p>
            <w:pPr>
              <w:ind w:left="500"/>
              <w:spacing w:after="0" w:line="194" w:lineRule="exact"/>
              <w:rPr>
                <w:sz w:val="20"/>
                <w:szCs w:val="20"/>
                <w:color w:val="auto"/>
              </w:rPr>
            </w:pPr>
            <w:r>
              <w:rPr>
                <w:rFonts w:ascii="Arial" w:cs="Arial" w:eastAsia="Arial" w:hAnsi="Arial"/>
                <w:sz w:val="18"/>
                <w:szCs w:val="18"/>
                <w:color w:val="auto"/>
              </w:rPr>
              <w:t>Accounts payable</w:t>
            </w:r>
          </w:p>
        </w:tc>
        <w:tc>
          <w:tcPr>
            <w:tcW w:w="50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20" w:type="dxa"/>
            <w:vAlign w:val="bottom"/>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1,144,128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9220" w:type="dxa"/>
            <w:vAlign w:val="bottom"/>
          </w:tcPr>
          <w:p>
            <w:pPr>
              <w:ind w:left="740"/>
              <w:spacing w:after="0"/>
              <w:rPr>
                <w:sz w:val="20"/>
                <w:szCs w:val="20"/>
                <w:color w:val="auto"/>
              </w:rPr>
            </w:pPr>
            <w:r>
              <w:rPr>
                <w:rFonts w:ascii="Arial" w:cs="Arial" w:eastAsia="Arial" w:hAnsi="Arial"/>
                <w:sz w:val="18"/>
                <w:szCs w:val="18"/>
                <w:color w:val="auto"/>
              </w:rPr>
              <w:t>Total current liabilities</w:t>
            </w:r>
          </w:p>
        </w:tc>
        <w:tc>
          <w:tcPr>
            <w:tcW w:w="500" w:type="dxa"/>
            <w:vAlign w:val="bottom"/>
          </w:tcPr>
          <w:p>
            <w:pPr>
              <w:spacing w:after="0"/>
              <w:rPr>
                <w:sz w:val="24"/>
                <w:szCs w:val="24"/>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1,206,723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9220" w:type="dxa"/>
            <w:vAlign w:val="bottom"/>
          </w:tcPr>
          <w:p>
            <w:pPr>
              <w:ind w:left="260"/>
              <w:spacing w:after="0"/>
              <w:rPr>
                <w:sz w:val="20"/>
                <w:szCs w:val="20"/>
                <w:color w:val="auto"/>
              </w:rPr>
            </w:pPr>
            <w:r>
              <w:rPr>
                <w:rFonts w:ascii="Arial" w:cs="Arial" w:eastAsia="Arial" w:hAnsi="Arial"/>
                <w:sz w:val="18"/>
                <w:szCs w:val="18"/>
                <w:color w:val="auto"/>
              </w:rPr>
              <w:t>Long-term liabilities:</w:t>
            </w:r>
          </w:p>
        </w:tc>
        <w:tc>
          <w:tcPr>
            <w:tcW w:w="500" w:type="dxa"/>
            <w:vAlign w:val="bottom"/>
          </w:tcPr>
          <w:p>
            <w:pPr>
              <w:spacing w:after="0"/>
              <w:rPr>
                <w:sz w:val="24"/>
                <w:szCs w:val="24"/>
                <w:color w:val="auto"/>
              </w:rPr>
            </w:pPr>
          </w:p>
        </w:tc>
        <w:tc>
          <w:tcPr>
            <w:tcW w:w="15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22,913,696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220" w:type="dxa"/>
            <w:vAlign w:val="bottom"/>
          </w:tcPr>
          <w:p>
            <w:pPr>
              <w:ind w:left="500"/>
              <w:spacing w:after="0" w:line="194" w:lineRule="exact"/>
              <w:rPr>
                <w:sz w:val="20"/>
                <w:szCs w:val="20"/>
                <w:color w:val="auto"/>
              </w:rPr>
            </w:pPr>
            <w:r>
              <w:rPr>
                <w:rFonts w:ascii="Arial" w:cs="Arial" w:eastAsia="Arial" w:hAnsi="Arial"/>
                <w:sz w:val="18"/>
                <w:szCs w:val="18"/>
                <w:color w:val="auto"/>
              </w:rPr>
              <w:t>Related party notes payable, net</w:t>
            </w:r>
          </w:p>
        </w:tc>
        <w:tc>
          <w:tcPr>
            <w:tcW w:w="5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20" w:type="dxa"/>
            <w:vAlign w:val="bottom"/>
          </w:tcPr>
          <w:p>
            <w:pPr>
              <w:ind w:left="500"/>
              <w:spacing w:after="0"/>
              <w:rPr>
                <w:sz w:val="20"/>
                <w:szCs w:val="20"/>
                <w:color w:val="auto"/>
              </w:rPr>
            </w:pPr>
            <w:r>
              <w:rPr>
                <w:rFonts w:ascii="Arial" w:cs="Arial" w:eastAsia="Arial" w:hAnsi="Arial"/>
                <w:sz w:val="18"/>
                <w:szCs w:val="18"/>
                <w:color w:val="auto"/>
              </w:rPr>
              <w:t>Deferred rent</w:t>
            </w:r>
          </w:p>
        </w:tc>
        <w:tc>
          <w:tcPr>
            <w:tcW w:w="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152,250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9220" w:type="dxa"/>
            <w:vAlign w:val="bottom"/>
          </w:tcPr>
          <w:p>
            <w:pPr>
              <w:ind w:left="740"/>
              <w:spacing w:after="0"/>
              <w:rPr>
                <w:sz w:val="20"/>
                <w:szCs w:val="20"/>
                <w:color w:val="auto"/>
              </w:rPr>
            </w:pPr>
            <w:r>
              <w:rPr>
                <w:rFonts w:ascii="Arial" w:cs="Arial" w:eastAsia="Arial" w:hAnsi="Arial"/>
                <w:sz w:val="18"/>
                <w:szCs w:val="18"/>
                <w:color w:val="auto"/>
              </w:rPr>
              <w:t>Total long term liabilities</w:t>
            </w:r>
          </w:p>
        </w:tc>
        <w:tc>
          <w:tcPr>
            <w:tcW w:w="500" w:type="dxa"/>
            <w:vAlign w:val="bottom"/>
          </w:tcPr>
          <w:p>
            <w:pPr>
              <w:spacing w:after="0"/>
              <w:rPr>
                <w:sz w:val="24"/>
                <w:szCs w:val="24"/>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23,065,946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20" w:type="dxa"/>
            <w:vAlign w:val="bottom"/>
          </w:tcPr>
          <w:p>
            <w:pPr>
              <w:spacing w:after="0"/>
              <w:rPr>
                <w:sz w:val="20"/>
                <w:szCs w:val="20"/>
                <w:color w:val="auto"/>
              </w:rPr>
            </w:pPr>
            <w:r>
              <w:rPr>
                <w:rFonts w:ascii="Arial" w:cs="Arial" w:eastAsia="Arial" w:hAnsi="Arial"/>
                <w:sz w:val="18"/>
                <w:szCs w:val="18"/>
                <w:color w:val="auto"/>
              </w:rPr>
              <w:t>Commitments and contingencies (see Note J)</w:t>
            </w: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9220" w:type="dxa"/>
            <w:vAlign w:val="bottom"/>
          </w:tcPr>
          <w:p>
            <w:pPr>
              <w:ind w:left="260"/>
              <w:spacing w:after="0"/>
              <w:rPr>
                <w:sz w:val="20"/>
                <w:szCs w:val="20"/>
                <w:color w:val="auto"/>
              </w:rPr>
            </w:pPr>
            <w:r>
              <w:rPr>
                <w:rFonts w:ascii="Arial" w:cs="Arial" w:eastAsia="Arial" w:hAnsi="Arial"/>
                <w:sz w:val="18"/>
                <w:szCs w:val="18"/>
                <w:color w:val="auto"/>
              </w:rPr>
              <w:t>Stockholders' deficit:</w:t>
            </w:r>
          </w:p>
        </w:tc>
        <w:tc>
          <w:tcPr>
            <w:tcW w:w="500" w:type="dxa"/>
            <w:vAlign w:val="bottom"/>
          </w:tcPr>
          <w:p>
            <w:pPr>
              <w:spacing w:after="0"/>
              <w:rPr>
                <w:sz w:val="24"/>
                <w:szCs w:val="24"/>
                <w:color w:val="auto"/>
              </w:rPr>
            </w:pPr>
          </w:p>
        </w:tc>
        <w:tc>
          <w:tcPr>
            <w:tcW w:w="15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220" w:type="dxa"/>
            <w:vAlign w:val="bottom"/>
          </w:tcPr>
          <w:p>
            <w:pPr>
              <w:ind w:left="500"/>
              <w:spacing w:after="0" w:line="194" w:lineRule="exact"/>
              <w:rPr>
                <w:sz w:val="20"/>
                <w:szCs w:val="20"/>
                <w:color w:val="auto"/>
              </w:rPr>
            </w:pPr>
            <w:r>
              <w:rPr>
                <w:rFonts w:ascii="Arial" w:cs="Arial" w:eastAsia="Arial" w:hAnsi="Arial"/>
                <w:sz w:val="18"/>
                <w:szCs w:val="18"/>
                <w:color w:val="auto"/>
              </w:rPr>
              <w:t>Common stock</w:t>
            </w:r>
          </w:p>
        </w:tc>
        <w:tc>
          <w:tcPr>
            <w:tcW w:w="5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500"/>
              <w:spacing w:after="0"/>
              <w:rPr>
                <w:sz w:val="20"/>
                <w:szCs w:val="20"/>
                <w:color w:val="auto"/>
              </w:rPr>
            </w:pPr>
            <w:r>
              <w:rPr>
                <w:rFonts w:ascii="Arial" w:cs="Arial" w:eastAsia="Arial" w:hAnsi="Arial"/>
                <w:sz w:val="18"/>
                <w:szCs w:val="18"/>
                <w:color w:val="auto"/>
              </w:rPr>
              <w:t>Preferred stock</w:t>
            </w:r>
          </w:p>
        </w:tc>
        <w:tc>
          <w:tcPr>
            <w:tcW w:w="50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8,723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500"/>
              <w:spacing w:after="0"/>
              <w:rPr>
                <w:sz w:val="20"/>
                <w:szCs w:val="20"/>
                <w:color w:val="auto"/>
              </w:rPr>
            </w:pPr>
            <w:r>
              <w:rPr>
                <w:rFonts w:ascii="Arial" w:cs="Arial" w:eastAsia="Arial" w:hAnsi="Arial"/>
                <w:sz w:val="18"/>
                <w:szCs w:val="18"/>
                <w:color w:val="auto"/>
              </w:rPr>
              <w:t>Additional paid-in capital</w:t>
            </w:r>
          </w:p>
        </w:tc>
        <w:tc>
          <w:tcPr>
            <w:tcW w:w="50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31,802,791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9220" w:type="dxa"/>
            <w:vAlign w:val="bottom"/>
          </w:tcPr>
          <w:p>
            <w:pPr>
              <w:ind w:left="500"/>
              <w:spacing w:after="0"/>
              <w:rPr>
                <w:sz w:val="20"/>
                <w:szCs w:val="20"/>
                <w:color w:val="auto"/>
              </w:rPr>
            </w:pPr>
            <w:r>
              <w:rPr>
                <w:rFonts w:ascii="Arial" w:cs="Arial" w:eastAsia="Arial" w:hAnsi="Arial"/>
                <w:sz w:val="18"/>
                <w:szCs w:val="18"/>
                <w:color w:val="auto"/>
              </w:rPr>
              <w:t>Accumulated deficit</w:t>
            </w:r>
          </w:p>
        </w:tc>
        <w:tc>
          <w:tcPr>
            <w:tcW w:w="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(48,387,635)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9220" w:type="dxa"/>
            <w:vAlign w:val="bottom"/>
          </w:tcPr>
          <w:p>
            <w:pPr>
              <w:ind w:left="740"/>
              <w:spacing w:after="0"/>
              <w:rPr>
                <w:sz w:val="20"/>
                <w:szCs w:val="20"/>
                <w:color w:val="auto"/>
              </w:rPr>
            </w:pPr>
            <w:r>
              <w:rPr>
                <w:rFonts w:ascii="Arial" w:cs="Arial" w:eastAsia="Arial" w:hAnsi="Arial"/>
                <w:sz w:val="18"/>
                <w:szCs w:val="18"/>
                <w:color w:val="auto"/>
              </w:rPr>
              <w:t>Total stockholders' deficit</w:t>
            </w: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(16,575,923)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9220" w:type="dxa"/>
            <w:vAlign w:val="bottom"/>
          </w:tcPr>
          <w:p>
            <w:pPr>
              <w:ind w:left="740"/>
              <w:spacing w:after="0"/>
              <w:rPr>
                <w:sz w:val="20"/>
                <w:szCs w:val="20"/>
                <w:color w:val="auto"/>
              </w:rPr>
            </w:pPr>
            <w:r>
              <w:rPr>
                <w:rFonts w:ascii="Arial" w:cs="Arial" w:eastAsia="Arial" w:hAnsi="Arial"/>
                <w:sz w:val="18"/>
                <w:szCs w:val="18"/>
                <w:color w:val="auto"/>
              </w:rPr>
              <w:t>Total liabilites and stockholders' deficit</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7,696,746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9"/>
        </w:trPr>
        <w:tc>
          <w:tcPr>
            <w:tcW w:w="92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314"/>
        </w:trPr>
        <w:tc>
          <w:tcPr>
            <w:tcW w:w="9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5" w:right="319" w:bottom="1440" w:gutter="0" w:footer="0" w:header="0"/>
        </w:sectPr>
      </w:pPr>
    </w:p>
    <w:bookmarkStart w:id="92" w:name="page93"/>
    <w:bookmarkEnd w:id="92"/>
    <w:p>
      <w:pPr>
        <w:spacing w:after="0"/>
        <w:rPr>
          <w:sz w:val="20"/>
          <w:szCs w:val="20"/>
          <w:color w:val="auto"/>
        </w:rPr>
      </w:pPr>
      <w:r>
        <w:rPr>
          <w:rFonts w:ascii="Arial" w:cs="Arial" w:eastAsia="Arial" w:hAnsi="Arial"/>
          <w:sz w:val="22"/>
          <w:szCs w:val="22"/>
          <w:b w:val="1"/>
          <w:bCs w:val="1"/>
          <w:color w:val="auto"/>
        </w:rPr>
        <w:t>SUPERIOR DIGITAL DISPLAYS HOLDINGS, INC. AND SUBSIDIARIES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September 30, 2018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Net revenue</w:t>
            </w: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1,985,715</w:t>
            </w:r>
          </w:p>
        </w:tc>
        <w:tc>
          <w:tcPr>
            <w:tcW w:w="0" w:type="dxa"/>
            <w:vAlign w:val="bottom"/>
          </w:tcPr>
          <w:p>
            <w:pPr>
              <w:spacing w:after="0"/>
              <w:rPr>
                <w:sz w:val="1"/>
                <w:szCs w:val="1"/>
                <w:color w:val="auto"/>
              </w:rPr>
            </w:pPr>
          </w:p>
        </w:tc>
      </w:tr>
      <w:tr>
        <w:trPr>
          <w:trHeight w:val="225"/>
        </w:trPr>
        <w:tc>
          <w:tcPr>
            <w:tcW w:w="9220" w:type="dxa"/>
            <w:vAlign w:val="bottom"/>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7,662,362</w:t>
            </w:r>
          </w:p>
        </w:tc>
        <w:tc>
          <w:tcPr>
            <w:tcW w:w="0" w:type="dxa"/>
            <w:vAlign w:val="bottom"/>
          </w:tcPr>
          <w:p>
            <w:pPr>
              <w:spacing w:after="0"/>
              <w:rPr>
                <w:sz w:val="1"/>
                <w:szCs w:val="1"/>
                <w:color w:val="auto"/>
              </w:rPr>
            </w:pPr>
          </w:p>
        </w:tc>
      </w:tr>
      <w:tr>
        <w:trPr>
          <w:trHeight w:val="439"/>
        </w:trPr>
        <w:tc>
          <w:tcPr>
            <w:tcW w:w="9220" w:type="dxa"/>
            <w:vAlign w:val="bottom"/>
          </w:tcPr>
          <w:p>
            <w:pPr>
              <w:spacing w:after="0"/>
              <w:rPr>
                <w:sz w:val="20"/>
                <w:szCs w:val="20"/>
                <w:color w:val="auto"/>
              </w:rPr>
            </w:pPr>
            <w:r>
              <w:rPr>
                <w:rFonts w:ascii="Arial" w:cs="Arial" w:eastAsia="Arial" w:hAnsi="Arial"/>
                <w:sz w:val="18"/>
                <w:szCs w:val="18"/>
                <w:color w:val="auto"/>
              </w:rPr>
              <w:t>Operating loss</w:t>
            </w:r>
          </w:p>
        </w:tc>
        <w:tc>
          <w:tcPr>
            <w:tcW w:w="5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(5,676,647)</w:t>
            </w:r>
          </w:p>
        </w:tc>
        <w:tc>
          <w:tcPr>
            <w:tcW w:w="0" w:type="dxa"/>
            <w:vAlign w:val="bottom"/>
          </w:tcPr>
          <w:p>
            <w:pPr>
              <w:spacing w:after="0"/>
              <w:rPr>
                <w:sz w:val="1"/>
                <w:szCs w:val="1"/>
                <w:color w:val="auto"/>
              </w:rPr>
            </w:pPr>
          </w:p>
        </w:tc>
      </w:tr>
      <w:tr>
        <w:trPr>
          <w:trHeight w:val="431"/>
        </w:trPr>
        <w:tc>
          <w:tcPr>
            <w:tcW w:w="9220" w:type="dxa"/>
            <w:vAlign w:val="bottom"/>
          </w:tcPr>
          <w:p>
            <w:pPr>
              <w:spacing w:after="0"/>
              <w:rPr>
                <w:sz w:val="20"/>
                <w:szCs w:val="20"/>
                <w:color w:val="auto"/>
              </w:rPr>
            </w:pPr>
            <w:r>
              <w:rPr>
                <w:rFonts w:ascii="Arial" w:cs="Arial" w:eastAsia="Arial" w:hAnsi="Arial"/>
                <w:sz w:val="18"/>
                <w:szCs w:val="18"/>
                <w:b w:val="1"/>
                <w:bCs w:val="1"/>
                <w:color w:val="auto"/>
              </w:rPr>
              <w:t>Other expense, net:</w:t>
            </w:r>
          </w:p>
        </w:tc>
        <w:tc>
          <w:tcPr>
            <w:tcW w:w="560" w:type="dxa"/>
            <w:vAlign w:val="bottom"/>
          </w:tcPr>
          <w:p>
            <w:pPr>
              <w:spacing w:after="0"/>
              <w:rPr>
                <w:sz w:val="24"/>
                <w:szCs w:val="24"/>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(3,577,999)</w:t>
            </w:r>
          </w:p>
        </w:tc>
        <w:tc>
          <w:tcPr>
            <w:tcW w:w="0" w:type="dxa"/>
            <w:vAlign w:val="bottom"/>
          </w:tcPr>
          <w:p>
            <w:pPr>
              <w:spacing w:after="0"/>
              <w:rPr>
                <w:sz w:val="1"/>
                <w:szCs w:val="1"/>
                <w:color w:val="auto"/>
              </w:rPr>
            </w:pPr>
          </w:p>
        </w:tc>
      </w:tr>
      <w:tr>
        <w:trPr>
          <w:trHeight w:val="194"/>
        </w:trPr>
        <w:tc>
          <w:tcPr>
            <w:tcW w:w="9220" w:type="dxa"/>
            <w:vAlign w:val="bottom"/>
          </w:tcPr>
          <w:p>
            <w:pPr>
              <w:ind w:left="260"/>
              <w:spacing w:after="0" w:line="194" w:lineRule="exact"/>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20" w:type="dxa"/>
            <w:vAlign w:val="bottom"/>
          </w:tcPr>
          <w:p>
            <w:pPr>
              <w:ind w:left="260"/>
              <w:spacing w:after="0"/>
              <w:rPr>
                <w:sz w:val="20"/>
                <w:szCs w:val="20"/>
                <w:color w:val="auto"/>
              </w:rPr>
            </w:pPr>
            <w:r>
              <w:rPr>
                <w:rFonts w:ascii="Arial" w:cs="Arial" w:eastAsia="Arial" w:hAnsi="Arial"/>
                <w:sz w:val="18"/>
                <w:szCs w:val="18"/>
                <w:color w:val="auto"/>
              </w:rPr>
              <w:t>Other expense, net</w:t>
            </w:r>
          </w:p>
        </w:tc>
        <w:tc>
          <w:tcPr>
            <w:tcW w:w="5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426"/>
        </w:trPr>
        <w:tc>
          <w:tcPr>
            <w:tcW w:w="9220" w:type="dxa"/>
            <w:vAlign w:val="bottom"/>
          </w:tcPr>
          <w:p>
            <w:pPr>
              <w:ind w:left="500"/>
              <w:spacing w:after="0"/>
              <w:rPr>
                <w:sz w:val="20"/>
                <w:szCs w:val="20"/>
                <w:color w:val="auto"/>
              </w:rPr>
            </w:pPr>
            <w:r>
              <w:rPr>
                <w:rFonts w:ascii="Arial" w:cs="Arial" w:eastAsia="Arial" w:hAnsi="Arial"/>
                <w:sz w:val="18"/>
                <w:szCs w:val="18"/>
                <w:color w:val="auto"/>
              </w:rPr>
              <w:t>Other expense, net</w:t>
            </w:r>
          </w:p>
        </w:tc>
        <w:tc>
          <w:tcPr>
            <w:tcW w:w="5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(3,578,089)</w:t>
            </w:r>
          </w:p>
        </w:tc>
        <w:tc>
          <w:tcPr>
            <w:tcW w:w="0" w:type="dxa"/>
            <w:vAlign w:val="bottom"/>
          </w:tcPr>
          <w:p>
            <w:pPr>
              <w:spacing w:after="0"/>
              <w:rPr>
                <w:sz w:val="1"/>
                <w:szCs w:val="1"/>
                <w:color w:val="auto"/>
              </w:rPr>
            </w:pPr>
          </w:p>
        </w:tc>
      </w:tr>
      <w:tr>
        <w:trPr>
          <w:trHeight w:val="425"/>
        </w:trPr>
        <w:tc>
          <w:tcPr>
            <w:tcW w:w="92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(9,254,736)</w:t>
            </w: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180" w:type="dxa"/>
            <w:vAlign w:val="bottom"/>
          </w:tcPr>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tc>
        <w:tc>
          <w:tcPr>
            <w:tcW w:w="308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313"/>
        </w:trPr>
        <w:tc>
          <w:tcPr>
            <w:tcW w:w="818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5" w:right="319" w:bottom="1440" w:gutter="0" w:footer="0" w:header="0"/>
        </w:sectPr>
      </w:pPr>
    </w:p>
    <w:bookmarkStart w:id="93" w:name="page94"/>
    <w:bookmarkEnd w:id="93"/>
    <w:p>
      <w:pPr>
        <w:spacing w:after="0"/>
        <w:rPr>
          <w:sz w:val="20"/>
          <w:szCs w:val="20"/>
          <w:color w:val="auto"/>
        </w:rPr>
      </w:pPr>
      <w:r>
        <w:rPr>
          <w:rFonts w:ascii="Arial" w:cs="Arial" w:eastAsia="Arial" w:hAnsi="Arial"/>
          <w:sz w:val="22"/>
          <w:szCs w:val="22"/>
          <w:b w:val="1"/>
          <w:bCs w:val="1"/>
          <w:color w:val="auto"/>
        </w:rPr>
        <w:t>SUPERIOR DIGITAL DISPLAYS HOLDINGS, INC. AND SUBSIDIARIES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80" w:type="dxa"/>
            <w:vAlign w:val="bottom"/>
            <w:gridSpan w:val="7"/>
          </w:tcPr>
          <w:p>
            <w:pPr>
              <w:spacing w:after="0"/>
              <w:rPr>
                <w:sz w:val="20"/>
                <w:szCs w:val="20"/>
                <w:color w:val="auto"/>
              </w:rPr>
            </w:pPr>
            <w:r>
              <w:rPr>
                <w:rFonts w:ascii="Arial" w:cs="Arial" w:eastAsia="Arial" w:hAnsi="Arial"/>
                <w:sz w:val="18"/>
                <w:szCs w:val="18"/>
                <w:b w:val="1"/>
                <w:bCs w:val="1"/>
                <w:color w:val="auto"/>
              </w:rPr>
              <w:t>Consolidated Statement of Stockholders’ Deficit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9"/>
          </w:tcPr>
          <w:p>
            <w:pPr>
              <w:ind w:left="80"/>
              <w:spacing w:after="0"/>
              <w:rPr>
                <w:sz w:val="20"/>
                <w:szCs w:val="20"/>
                <w:color w:val="auto"/>
              </w:rPr>
            </w:pPr>
            <w:r>
              <w:rPr>
                <w:rFonts w:ascii="Arial" w:cs="Arial" w:eastAsia="Arial" w:hAnsi="Arial"/>
                <w:sz w:val="18"/>
                <w:szCs w:val="18"/>
                <w:b w:val="1"/>
                <w:bCs w:val="1"/>
                <w:color w:val="auto"/>
              </w:rPr>
              <w:t>Superior Digital Displays Holdings, Inc.</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9"/>
              </w:rPr>
              <w:t>Additional</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Preferred Stock</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172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Common Stock</w:t>
            </w:r>
          </w:p>
        </w:tc>
        <w:tc>
          <w:tcPr>
            <w:tcW w:w="166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Series A</w:t>
            </w:r>
          </w:p>
        </w:tc>
        <w:tc>
          <w:tcPr>
            <w:tcW w:w="80" w:type="dxa"/>
            <w:vAlign w:val="bottom"/>
          </w:tcPr>
          <w:p>
            <w:pPr>
              <w:spacing w:after="0"/>
              <w:rPr>
                <w:sz w:val="18"/>
                <w:szCs w:val="18"/>
                <w:color w:val="auto"/>
              </w:rPr>
            </w:pPr>
          </w:p>
        </w:tc>
        <w:tc>
          <w:tcPr>
            <w:tcW w:w="17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Series B</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Paid-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Accumulated</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8"/>
              </w:rPr>
              <w:t>Stockholders'</w:t>
            </w:r>
          </w:p>
        </w:tc>
        <w:tc>
          <w:tcPr>
            <w:tcW w:w="0" w:type="dxa"/>
            <w:vAlign w:val="bottom"/>
          </w:tcPr>
          <w:p>
            <w:pPr>
              <w:spacing w:after="0"/>
              <w:rPr>
                <w:sz w:val="1"/>
                <w:szCs w:val="1"/>
                <w:color w:val="auto"/>
              </w:rPr>
            </w:pPr>
          </w:p>
        </w:tc>
      </w:tr>
      <w:tr>
        <w:trPr>
          <w:trHeight w:val="209"/>
        </w:trPr>
        <w:tc>
          <w:tcPr>
            <w:tcW w:w="2060" w:type="dxa"/>
            <w:vAlign w:val="bottom"/>
            <w:vMerge w:val="restart"/>
          </w:tcPr>
          <w:p>
            <w:pPr>
              <w:spacing w:after="0"/>
              <w:rPr>
                <w:sz w:val="20"/>
                <w:szCs w:val="20"/>
                <w:color w:val="auto"/>
              </w:rPr>
            </w:pPr>
            <w:r>
              <w:rPr>
                <w:rFonts w:ascii="Arial" w:cs="Arial" w:eastAsia="Arial" w:hAnsi="Arial"/>
                <w:sz w:val="18"/>
                <w:szCs w:val="18"/>
                <w:b w:val="1"/>
                <w:bCs w:val="1"/>
                <w:color w:val="auto"/>
              </w:rPr>
              <w:t>Opening balance -</w:t>
            </w: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18"/>
                <w:szCs w:val="18"/>
                <w:color w:val="auto"/>
              </w:rPr>
            </w:pPr>
          </w:p>
        </w:tc>
        <w:tc>
          <w:tcPr>
            <w:tcW w:w="9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Shares</w:t>
            </w:r>
          </w:p>
        </w:tc>
        <w:tc>
          <w:tcPr>
            <w:tcW w:w="7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18"/>
                <w:szCs w:val="18"/>
                <w:color w:val="auto"/>
              </w:rPr>
            </w:pPr>
          </w:p>
        </w:tc>
        <w:tc>
          <w:tcPr>
            <w:tcW w:w="10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Shares</w:t>
            </w:r>
          </w:p>
        </w:tc>
        <w:tc>
          <w:tcPr>
            <w:tcW w:w="7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in Capital</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Deficit</w:t>
            </w: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rPr>
              <w:t>Deficit</w:t>
            </w:r>
          </w:p>
        </w:tc>
        <w:tc>
          <w:tcPr>
            <w:tcW w:w="0" w:type="dxa"/>
            <w:vAlign w:val="bottom"/>
          </w:tcPr>
          <w:p>
            <w:pPr>
              <w:spacing w:after="0"/>
              <w:rPr>
                <w:sz w:val="1"/>
                <w:szCs w:val="1"/>
                <w:color w:val="auto"/>
              </w:rPr>
            </w:pPr>
          </w:p>
        </w:tc>
      </w:tr>
      <w:tr>
        <w:trPr>
          <w:trHeight w:val="187"/>
        </w:trPr>
        <w:tc>
          <w:tcPr>
            <w:tcW w:w="2060" w:type="dxa"/>
            <w:vAlign w:val="bottom"/>
            <w:vMerge w:val="continue"/>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60" w:type="dxa"/>
            <w:vAlign w:val="bottom"/>
          </w:tcPr>
          <w:p>
            <w:pPr>
              <w:spacing w:after="0"/>
              <w:rPr>
                <w:sz w:val="20"/>
                <w:szCs w:val="20"/>
                <w:color w:val="auto"/>
              </w:rPr>
            </w:pPr>
            <w:r>
              <w:rPr>
                <w:rFonts w:ascii="Arial" w:cs="Arial" w:eastAsia="Arial" w:hAnsi="Arial"/>
                <w:sz w:val="18"/>
                <w:szCs w:val="18"/>
                <w:b w:val="1"/>
                <w:bCs w:val="1"/>
                <w:color w:val="auto"/>
              </w:rPr>
              <w:t>October 1, 2017</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19,793</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37,046</w:t>
            </w:r>
          </w:p>
        </w:tc>
        <w:tc>
          <w:tcPr>
            <w:tcW w:w="10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479,158</w:t>
            </w:r>
          </w:p>
        </w:tc>
        <w:tc>
          <w:tcPr>
            <w:tcW w:w="1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4,792</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21,201,367</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(39,132,899)</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(17,926,172)</w:t>
            </w:r>
          </w:p>
        </w:tc>
        <w:tc>
          <w:tcPr>
            <w:tcW w:w="0" w:type="dxa"/>
            <w:vAlign w:val="bottom"/>
          </w:tcPr>
          <w:p>
            <w:pPr>
              <w:spacing w:after="0"/>
              <w:rPr>
                <w:sz w:val="1"/>
                <w:szCs w:val="1"/>
                <w:color w:val="auto"/>
              </w:rPr>
            </w:pPr>
          </w:p>
        </w:tc>
      </w:tr>
      <w:tr>
        <w:trPr>
          <w:trHeight w:val="418"/>
        </w:trPr>
        <w:tc>
          <w:tcPr>
            <w:tcW w:w="2060" w:type="dxa"/>
            <w:vAlign w:val="bottom"/>
          </w:tcPr>
          <w:p>
            <w:pPr>
              <w:spacing w:after="0"/>
              <w:rPr>
                <w:sz w:val="20"/>
                <w:szCs w:val="20"/>
                <w:color w:val="auto"/>
              </w:rPr>
            </w:pPr>
            <w:r>
              <w:rPr>
                <w:rFonts w:ascii="Arial" w:cs="Arial" w:eastAsia="Arial" w:hAnsi="Arial"/>
                <w:sz w:val="18"/>
                <w:szCs w:val="18"/>
                <w:color w:val="auto"/>
              </w:rPr>
              <w:t>Issuance of preferred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2" w:lineRule="exact"/>
              <w:rPr>
                <w:sz w:val="20"/>
                <w:szCs w:val="20"/>
                <w:color w:val="auto"/>
              </w:rPr>
            </w:pPr>
            <w:r>
              <w:rPr>
                <w:rFonts w:ascii="Arial" w:cs="Arial" w:eastAsia="Arial" w:hAnsi="Arial"/>
                <w:sz w:val="18"/>
                <w:szCs w:val="18"/>
                <w:color w:val="auto"/>
              </w:rPr>
              <w:t>stock - Series B,</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ind w:left="160"/>
              <w:spacing w:after="0" w:line="202" w:lineRule="exact"/>
              <w:rPr>
                <w:sz w:val="20"/>
                <w:szCs w:val="20"/>
                <w:color w:val="auto"/>
              </w:rPr>
            </w:pPr>
            <w:r>
              <w:rPr>
                <w:rFonts w:ascii="Arial" w:cs="Arial" w:eastAsia="Arial" w:hAnsi="Arial"/>
                <w:sz w:val="18"/>
                <w:szCs w:val="18"/>
                <w:color w:val="auto"/>
              </w:rPr>
              <w:t>net of equity issuance</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2" w:lineRule="exact"/>
              <w:rPr>
                <w:sz w:val="20"/>
                <w:szCs w:val="20"/>
                <w:color w:val="auto"/>
              </w:rPr>
            </w:pPr>
            <w:r>
              <w:rPr>
                <w:rFonts w:ascii="Arial" w:cs="Arial" w:eastAsia="Arial" w:hAnsi="Arial"/>
                <w:sz w:val="18"/>
                <w:szCs w:val="18"/>
                <w:color w:val="auto"/>
              </w:rPr>
              <w:t>costs of</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ind w:left="160"/>
              <w:spacing w:after="0" w:line="202" w:lineRule="exact"/>
              <w:rPr>
                <w:sz w:val="20"/>
                <w:szCs w:val="20"/>
                <w:color w:val="auto"/>
              </w:rPr>
            </w:pPr>
            <w:r>
              <w:rPr>
                <w:rFonts w:ascii="Arial" w:cs="Arial" w:eastAsia="Arial" w:hAnsi="Arial"/>
                <w:sz w:val="18"/>
                <w:szCs w:val="18"/>
                <w:color w:val="auto"/>
              </w:rPr>
              <w:t>approximately</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60" w:type="dxa"/>
            <w:vAlign w:val="bottom"/>
          </w:tcPr>
          <w:p>
            <w:pPr>
              <w:spacing w:after="0"/>
              <w:rPr>
                <w:sz w:val="20"/>
                <w:szCs w:val="20"/>
                <w:color w:val="auto"/>
              </w:rPr>
            </w:pPr>
            <w:r>
              <w:rPr>
                <w:rFonts w:ascii="Arial" w:cs="Arial" w:eastAsia="Arial" w:hAnsi="Arial"/>
                <w:sz w:val="18"/>
                <w:szCs w:val="18"/>
                <w:color w:val="auto"/>
              </w:rPr>
              <w:t>$75,000</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356,082</w:t>
            </w:r>
          </w:p>
        </w:tc>
        <w:tc>
          <w:tcPr>
            <w:tcW w:w="1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3,561</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10,601,424</w:t>
            </w:r>
          </w:p>
        </w:tc>
        <w:tc>
          <w:tcPr>
            <w:tcW w:w="1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10,604,985</w:t>
            </w:r>
          </w:p>
        </w:tc>
        <w:tc>
          <w:tcPr>
            <w:tcW w:w="0" w:type="dxa"/>
            <w:vAlign w:val="bottom"/>
          </w:tcPr>
          <w:p>
            <w:pPr>
              <w:spacing w:after="0"/>
              <w:rPr>
                <w:sz w:val="1"/>
                <w:szCs w:val="1"/>
                <w:color w:val="auto"/>
              </w:rPr>
            </w:pPr>
          </w:p>
        </w:tc>
      </w:tr>
      <w:tr>
        <w:trPr>
          <w:trHeight w:val="418"/>
        </w:trPr>
        <w:tc>
          <w:tcPr>
            <w:tcW w:w="206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(9,254,736)</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(9,254,736)</w:t>
            </w:r>
          </w:p>
        </w:tc>
        <w:tc>
          <w:tcPr>
            <w:tcW w:w="0" w:type="dxa"/>
            <w:vAlign w:val="bottom"/>
          </w:tcPr>
          <w:p>
            <w:pPr>
              <w:spacing w:after="0"/>
              <w:rPr>
                <w:sz w:val="1"/>
                <w:szCs w:val="1"/>
                <w:color w:val="auto"/>
              </w:rPr>
            </w:pPr>
          </w:p>
        </w:tc>
      </w:tr>
      <w:tr>
        <w:trPr>
          <w:trHeight w:val="403"/>
        </w:trPr>
        <w:tc>
          <w:tcPr>
            <w:tcW w:w="2060" w:type="dxa"/>
            <w:vAlign w:val="bottom"/>
          </w:tcPr>
          <w:p>
            <w:pPr>
              <w:spacing w:after="0"/>
              <w:rPr>
                <w:sz w:val="20"/>
                <w:szCs w:val="20"/>
                <w:color w:val="auto"/>
              </w:rPr>
            </w:pPr>
            <w:r>
              <w:rPr>
                <w:rFonts w:ascii="Arial" w:cs="Arial" w:eastAsia="Arial" w:hAnsi="Arial"/>
                <w:sz w:val="18"/>
                <w:szCs w:val="18"/>
                <w:b w:val="1"/>
                <w:bCs w:val="1"/>
                <w:color w:val="auto"/>
              </w:rPr>
              <w:t>Closing balance -</w:t>
            </w: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60" w:type="dxa"/>
            <w:vAlign w:val="bottom"/>
          </w:tcPr>
          <w:p>
            <w:pPr>
              <w:spacing w:after="0"/>
              <w:rPr>
                <w:sz w:val="20"/>
                <w:szCs w:val="20"/>
                <w:color w:val="auto"/>
              </w:rPr>
            </w:pPr>
            <w:r>
              <w:rPr>
                <w:rFonts w:ascii="Arial" w:cs="Arial" w:eastAsia="Arial" w:hAnsi="Arial"/>
                <w:sz w:val="18"/>
                <w:szCs w:val="18"/>
                <w:b w:val="1"/>
                <w:bCs w:val="1"/>
                <w:color w:val="auto"/>
              </w:rPr>
              <w:t>September 30, 2018</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19,793</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   198</w:t>
            </w:r>
          </w:p>
        </w:tc>
        <w:tc>
          <w:tcPr>
            <w:tcW w:w="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37,046</w:t>
            </w:r>
          </w:p>
        </w:tc>
        <w:tc>
          <w:tcPr>
            <w:tcW w:w="1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   370</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$ 835,240</w:t>
            </w:r>
          </w:p>
        </w:tc>
        <w:tc>
          <w:tcPr>
            <w:tcW w:w="1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  8,353</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$ 31,802,791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(48,387,635)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(16,575,923)</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180" w:type="dxa"/>
            <w:vAlign w:val="bottom"/>
          </w:tcPr>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tc>
        <w:tc>
          <w:tcPr>
            <w:tcW w:w="30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313"/>
        </w:trPr>
        <w:tc>
          <w:tcPr>
            <w:tcW w:w="818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5" w:right="319" w:bottom="1440" w:gutter="0" w:footer="0" w:header="0"/>
        </w:sectPr>
      </w:pPr>
    </w:p>
    <w:bookmarkStart w:id="94" w:name="page95"/>
    <w:bookmarkEnd w:id="94"/>
    <w:p>
      <w:pPr>
        <w:spacing w:after="0"/>
        <w:rPr>
          <w:sz w:val="20"/>
          <w:szCs w:val="20"/>
          <w:color w:val="auto"/>
        </w:rPr>
      </w:pPr>
      <w:r>
        <w:rPr>
          <w:rFonts w:ascii="Arial" w:cs="Arial" w:eastAsia="Arial" w:hAnsi="Arial"/>
          <w:sz w:val="21"/>
          <w:szCs w:val="21"/>
          <w:b w:val="1"/>
          <w:bCs w:val="1"/>
          <w:color w:val="auto"/>
        </w:rPr>
        <w:t>SUPERIOR DIGITAL DISPLAYS HOLDINGS, INC. AND SUBSIDIARIES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September 30,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Adjustments to reconcile net loss to net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used in operating activities: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rent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of debt issuance costs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of original debt discount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paid in kind</w:t>
      </w:r>
    </w:p>
    <w:p>
      <w:pPr>
        <w:spacing w:after="0" w:line="9" w:lineRule="exact"/>
        <w:rPr>
          <w:sz w:val="20"/>
          <w:szCs w:val="20"/>
          <w:color w:val="auto"/>
        </w:rPr>
      </w:pPr>
    </w:p>
    <w:p>
      <w:pPr>
        <w:jc w:val="right"/>
        <w:ind w:right="6155"/>
        <w:spacing w:after="0"/>
        <w:rPr>
          <w:sz w:val="20"/>
          <w:szCs w:val="20"/>
          <w:color w:val="auto"/>
        </w:rPr>
      </w:pPr>
      <w:r>
        <w:rPr>
          <w:rFonts w:ascii="Arial" w:cs="Arial" w:eastAsia="Arial" w:hAnsi="Arial"/>
          <w:sz w:val="18"/>
          <w:szCs w:val="18"/>
          <w:color w:val="auto"/>
        </w:rPr>
        <w:t>(Increase) decrease in:</w:t>
      </w:r>
    </w:p>
    <w:p>
      <w:pPr>
        <w:spacing w:after="0" w:line="9" w:lineRule="exact"/>
        <w:rPr>
          <w:sz w:val="20"/>
          <w:szCs w:val="20"/>
          <w:color w:val="auto"/>
        </w:rPr>
      </w:pPr>
    </w:p>
    <w:p>
      <w:pPr>
        <w:jc w:val="right"/>
        <w:ind w:right="6135"/>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Prepaid expenses and other current assets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Increase in:</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Accrued expenses</w:t>
      </w:r>
    </w:p>
    <w:p>
      <w:pPr>
        <w:spacing w:after="0" w:line="2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Net cash used in operating activities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Payments for purchases of signs and equipment</w:t>
      </w:r>
    </w:p>
    <w:p>
      <w:pPr>
        <w:spacing w:after="0" w:line="2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Net cash used in investing activities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Proceeds from note payable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Repayment on note payable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Repayment on related party notes payable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Proceeds from issuance of preferred stock</w:t>
      </w:r>
    </w:p>
    <w:p>
      <w:pPr>
        <w:spacing w:after="0" w:line="2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Net cash provided by financing activities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Cash at beginning of year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at end of year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cash paid:</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Mutual release of outstanding payable balance for</w:t>
      </w:r>
    </w:p>
    <w:p>
      <w:pPr>
        <w:ind w:left="400"/>
        <w:spacing w:after="0"/>
        <w:rPr>
          <w:sz w:val="20"/>
          <w:szCs w:val="20"/>
          <w:color w:val="auto"/>
        </w:rPr>
      </w:pPr>
      <w:r>
        <w:rPr>
          <w:rFonts w:ascii="Arial" w:cs="Arial" w:eastAsia="Arial" w:hAnsi="Arial"/>
          <w:sz w:val="18"/>
          <w:szCs w:val="18"/>
          <w:color w:val="auto"/>
        </w:rPr>
        <w:t>purchase of signs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25" w:hanging="1025"/>
        <w:spacing w:after="0"/>
        <w:tabs>
          <w:tab w:leader="none" w:pos="1025"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(9,254,736)</w:t>
      </w:r>
    </w:p>
    <w:p>
      <w:pPr>
        <w:spacing w:after="0" w:line="200" w:lineRule="exact"/>
        <w:rPr>
          <w:sz w:val="20"/>
          <w:szCs w:val="20"/>
          <w:color w:val="auto"/>
        </w:rPr>
      </w:pPr>
    </w:p>
    <w:p>
      <w:pPr>
        <w:spacing w:after="0" w:line="241"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4,082,336</w:t>
      </w:r>
    </w:p>
    <w:p>
      <w:pPr>
        <w:spacing w:after="0" w:line="31"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23,000</w:t>
      </w:r>
    </w:p>
    <w:p>
      <w:pPr>
        <w:spacing w:after="0" w:line="9"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551,773</w:t>
      </w:r>
    </w:p>
    <w:p>
      <w:pPr>
        <w:spacing w:after="0" w:line="9"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541,731</w:t>
      </w:r>
    </w:p>
    <w:p>
      <w:pPr>
        <w:spacing w:after="0" w:line="9"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2,822,470</w:t>
      </w:r>
    </w:p>
    <w:p>
      <w:pPr>
        <w:spacing w:after="0" w:line="203"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(236,715)</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(51,044)</w:t>
      </w:r>
    </w:p>
    <w:p>
      <w:pPr>
        <w:spacing w:after="0" w:line="203" w:lineRule="exact"/>
        <w:rPr>
          <w:sz w:val="20"/>
          <w:szCs w:val="20"/>
          <w:color w:val="auto"/>
        </w:rPr>
      </w:pPr>
    </w:p>
    <w:p>
      <w:pPr>
        <w:ind w:left="1345"/>
        <w:spacing w:after="0"/>
        <w:rPr>
          <w:sz w:val="20"/>
          <w:szCs w:val="20"/>
          <w:color w:val="auto"/>
        </w:rPr>
      </w:pPr>
      <w:r>
        <w:rPr>
          <w:rFonts w:ascii="Arial" w:cs="Arial" w:eastAsia="Arial" w:hAnsi="Arial"/>
          <w:sz w:val="18"/>
          <w:szCs w:val="18"/>
          <w:b w:val="1"/>
          <w:bCs w:val="1"/>
          <w:color w:val="auto"/>
        </w:rPr>
        <w:t>25,002</w:t>
      </w:r>
    </w:p>
    <w:p>
      <w:pPr>
        <w:spacing w:after="0" w:line="31" w:lineRule="exact"/>
        <w:rPr>
          <w:sz w:val="20"/>
          <w:szCs w:val="20"/>
          <w:color w:val="auto"/>
        </w:rPr>
      </w:pPr>
    </w:p>
    <w:p>
      <w:pPr>
        <w:ind w:left="1245"/>
        <w:spacing w:after="0"/>
        <w:rPr>
          <w:sz w:val="20"/>
          <w:szCs w:val="20"/>
          <w:color w:val="auto"/>
        </w:rPr>
      </w:pPr>
      <w:r>
        <w:rPr>
          <w:rFonts w:ascii="Arial" w:cs="Arial" w:eastAsia="Arial" w:hAnsi="Arial"/>
          <w:sz w:val="18"/>
          <w:szCs w:val="18"/>
          <w:b w:val="1"/>
          <w:bCs w:val="1"/>
          <w:color w:val="auto"/>
        </w:rPr>
        <w:t>169,335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2858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97" w:lineRule="exact"/>
        <w:rPr>
          <w:sz w:val="20"/>
          <w:szCs w:val="20"/>
          <w:color w:val="auto"/>
        </w:rPr>
      </w:pPr>
    </w:p>
    <w:p>
      <w:pPr>
        <w:ind w:left="1025"/>
        <w:spacing w:after="0"/>
        <w:rPr>
          <w:sz w:val="20"/>
          <w:szCs w:val="20"/>
          <w:color w:val="auto"/>
        </w:rPr>
      </w:pPr>
      <w:r>
        <w:rPr>
          <w:rFonts w:ascii="Arial" w:cs="Arial" w:eastAsia="Arial" w:hAnsi="Arial"/>
          <w:sz w:val="18"/>
          <w:szCs w:val="18"/>
          <w:b w:val="1"/>
          <w:bCs w:val="1"/>
          <w:color w:val="auto"/>
        </w:rPr>
        <w:t>(1,326,848)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12858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85"/>
        <w:spacing w:after="0"/>
        <w:rPr>
          <w:sz w:val="20"/>
          <w:szCs w:val="20"/>
          <w:color w:val="auto"/>
        </w:rPr>
      </w:pPr>
      <w:r>
        <w:rPr>
          <w:rFonts w:ascii="Arial" w:cs="Arial" w:eastAsia="Arial" w:hAnsi="Arial"/>
          <w:sz w:val="18"/>
          <w:szCs w:val="18"/>
          <w:b w:val="1"/>
          <w:bCs w:val="1"/>
          <w:color w:val="auto"/>
        </w:rPr>
        <w:t>(65,838)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12858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19" w:lineRule="exact"/>
        <w:rPr>
          <w:sz w:val="20"/>
          <w:szCs w:val="20"/>
          <w:color w:val="auto"/>
        </w:rPr>
      </w:pPr>
    </w:p>
    <w:p>
      <w:pPr>
        <w:ind w:left="1285"/>
        <w:spacing w:after="0"/>
        <w:rPr>
          <w:sz w:val="20"/>
          <w:szCs w:val="20"/>
          <w:color w:val="auto"/>
        </w:rPr>
      </w:pPr>
      <w:r>
        <w:rPr>
          <w:rFonts w:ascii="Arial" w:cs="Arial" w:eastAsia="Arial" w:hAnsi="Arial"/>
          <w:sz w:val="18"/>
          <w:szCs w:val="18"/>
          <w:b w:val="1"/>
          <w:bCs w:val="1"/>
          <w:color w:val="auto"/>
        </w:rPr>
        <w:t>(65,838)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12858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245"/>
        <w:spacing w:after="0"/>
        <w:rPr>
          <w:sz w:val="20"/>
          <w:szCs w:val="20"/>
          <w:color w:val="auto"/>
        </w:rPr>
      </w:pPr>
      <w:r>
        <w:rPr>
          <w:rFonts w:ascii="Arial" w:cs="Arial" w:eastAsia="Arial" w:hAnsi="Arial"/>
          <w:sz w:val="18"/>
          <w:szCs w:val="18"/>
          <w:b w:val="1"/>
          <w:bCs w:val="1"/>
          <w:color w:val="auto"/>
        </w:rPr>
        <w:t>182,352</w:t>
      </w:r>
    </w:p>
    <w:p>
      <w:pPr>
        <w:spacing w:after="0" w:line="31" w:lineRule="exact"/>
        <w:rPr>
          <w:sz w:val="20"/>
          <w:szCs w:val="20"/>
          <w:color w:val="auto"/>
        </w:rPr>
      </w:pPr>
    </w:p>
    <w:p>
      <w:pPr>
        <w:ind w:left="1185"/>
        <w:spacing w:after="0"/>
        <w:rPr>
          <w:sz w:val="20"/>
          <w:szCs w:val="20"/>
          <w:color w:val="auto"/>
        </w:rPr>
      </w:pPr>
      <w:r>
        <w:rPr>
          <w:rFonts w:ascii="Arial" w:cs="Arial" w:eastAsia="Arial" w:hAnsi="Arial"/>
          <w:sz w:val="18"/>
          <w:szCs w:val="18"/>
          <w:b w:val="1"/>
          <w:bCs w:val="1"/>
          <w:color w:val="auto"/>
        </w:rPr>
        <w:t>(183,950)</w:t>
      </w:r>
    </w:p>
    <w:p>
      <w:pPr>
        <w:spacing w:after="0" w:line="9" w:lineRule="exact"/>
        <w:rPr>
          <w:sz w:val="20"/>
          <w:szCs w:val="20"/>
          <w:color w:val="auto"/>
        </w:rPr>
      </w:pPr>
    </w:p>
    <w:p>
      <w:pPr>
        <w:ind w:left="1025"/>
        <w:spacing w:after="0"/>
        <w:rPr>
          <w:sz w:val="20"/>
          <w:szCs w:val="20"/>
          <w:color w:val="auto"/>
        </w:rPr>
      </w:pPr>
      <w:r>
        <w:rPr>
          <w:rFonts w:ascii="Arial" w:cs="Arial" w:eastAsia="Arial" w:hAnsi="Arial"/>
          <w:sz w:val="18"/>
          <w:szCs w:val="18"/>
          <w:b w:val="1"/>
          <w:bCs w:val="1"/>
          <w:color w:val="auto"/>
        </w:rPr>
        <w:t>(8,970,000)</w:t>
      </w:r>
    </w:p>
    <w:p>
      <w:pPr>
        <w:spacing w:after="0" w:line="9" w:lineRule="exact"/>
        <w:rPr>
          <w:sz w:val="20"/>
          <w:szCs w:val="20"/>
          <w:color w:val="auto"/>
        </w:rPr>
      </w:pPr>
    </w:p>
    <w:p>
      <w:pPr>
        <w:ind w:left="985"/>
        <w:spacing w:after="0"/>
        <w:rPr>
          <w:sz w:val="20"/>
          <w:szCs w:val="20"/>
          <w:color w:val="auto"/>
        </w:rPr>
      </w:pPr>
      <w:r>
        <w:rPr>
          <w:rFonts w:ascii="Arial" w:cs="Arial" w:eastAsia="Arial" w:hAnsi="Arial"/>
          <w:sz w:val="18"/>
          <w:szCs w:val="18"/>
          <w:b w:val="1"/>
          <w:bCs w:val="1"/>
          <w:color w:val="auto"/>
        </w:rPr>
        <w:t>10,604,985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2858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97" w:lineRule="exact"/>
        <w:rPr>
          <w:sz w:val="20"/>
          <w:szCs w:val="20"/>
          <w:color w:val="auto"/>
        </w:rPr>
      </w:pPr>
    </w:p>
    <w:p>
      <w:pPr>
        <w:ind w:left="1085"/>
        <w:spacing w:after="0"/>
        <w:rPr>
          <w:sz w:val="20"/>
          <w:szCs w:val="20"/>
          <w:color w:val="auto"/>
        </w:rPr>
      </w:pPr>
      <w:r>
        <w:rPr>
          <w:rFonts w:ascii="Arial" w:cs="Arial" w:eastAsia="Arial" w:hAnsi="Arial"/>
          <w:sz w:val="18"/>
          <w:szCs w:val="18"/>
          <w:b w:val="1"/>
          <w:bCs w:val="1"/>
          <w:color w:val="auto"/>
        </w:rPr>
        <w:t>1,633,387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12858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19" w:lineRule="exact"/>
        <w:rPr>
          <w:sz w:val="20"/>
          <w:szCs w:val="20"/>
          <w:color w:val="auto"/>
        </w:rPr>
      </w:pPr>
    </w:p>
    <w:p>
      <w:pPr>
        <w:ind w:left="1245"/>
        <w:spacing w:after="0"/>
        <w:rPr>
          <w:sz w:val="20"/>
          <w:szCs w:val="20"/>
          <w:color w:val="auto"/>
        </w:rPr>
      </w:pPr>
      <w:r>
        <w:rPr>
          <w:rFonts w:ascii="Arial" w:cs="Arial" w:eastAsia="Arial" w:hAnsi="Arial"/>
          <w:sz w:val="18"/>
          <w:szCs w:val="18"/>
          <w:b w:val="1"/>
          <w:bCs w:val="1"/>
          <w:color w:val="auto"/>
        </w:rPr>
        <w:t>240,701</w:t>
      </w:r>
    </w:p>
    <w:p>
      <w:pPr>
        <w:spacing w:after="0" w:line="31" w:lineRule="exact"/>
        <w:rPr>
          <w:sz w:val="20"/>
          <w:szCs w:val="20"/>
          <w:color w:val="auto"/>
        </w:rPr>
      </w:pPr>
    </w:p>
    <w:p>
      <w:pPr>
        <w:ind w:left="1245"/>
        <w:spacing w:after="0"/>
        <w:rPr>
          <w:sz w:val="20"/>
          <w:szCs w:val="20"/>
          <w:color w:val="auto"/>
        </w:rPr>
      </w:pPr>
      <w:r>
        <w:rPr>
          <w:rFonts w:ascii="Arial" w:cs="Arial" w:eastAsia="Arial" w:hAnsi="Arial"/>
          <w:sz w:val="18"/>
          <w:szCs w:val="18"/>
          <w:b w:val="1"/>
          <w:bCs w:val="1"/>
          <w:color w:val="auto"/>
        </w:rPr>
        <w:t>140,572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2858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10" w:lineRule="exact"/>
        <w:rPr>
          <w:sz w:val="20"/>
          <w:szCs w:val="20"/>
          <w:color w:val="auto"/>
        </w:rPr>
      </w:pPr>
    </w:p>
    <w:p>
      <w:pPr>
        <w:ind w:left="1245" w:hanging="1245"/>
        <w:spacing w:after="0"/>
        <w:tabs>
          <w:tab w:leader="none" w:pos="1245"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381,273</w:t>
      </w:r>
    </w:p>
    <w:p>
      <w:pPr>
        <w:spacing w:after="0" w:line="200" w:lineRule="exact"/>
        <w:rPr>
          <w:rFonts w:ascii="Arial" w:cs="Arial" w:eastAsia="Arial" w:hAnsi="Arial"/>
          <w:sz w:val="18"/>
          <w:szCs w:val="18"/>
          <w:b w:val="1"/>
          <w:bCs w:val="1"/>
          <w:color w:val="auto"/>
        </w:rPr>
      </w:pPr>
    </w:p>
    <w:p>
      <w:pPr>
        <w:spacing w:after="0" w:line="281" w:lineRule="exact"/>
        <w:rPr>
          <w:rFonts w:ascii="Arial" w:cs="Arial" w:eastAsia="Arial" w:hAnsi="Arial"/>
          <w:sz w:val="18"/>
          <w:szCs w:val="18"/>
          <w:b w:val="1"/>
          <w:bCs w:val="1"/>
          <w:color w:val="auto"/>
        </w:rPr>
      </w:pPr>
    </w:p>
    <w:p>
      <w:pPr>
        <w:ind w:left="1445" w:hanging="1445"/>
        <w:spacing w:after="0"/>
        <w:tabs>
          <w:tab w:leader="none" w:pos="1445"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5,579</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43" w:lineRule="exact"/>
        <w:rPr>
          <w:rFonts w:ascii="Arial" w:cs="Arial" w:eastAsia="Arial" w:hAnsi="Arial"/>
          <w:sz w:val="18"/>
          <w:szCs w:val="18"/>
          <w:b w:val="1"/>
          <w:bCs w:val="1"/>
          <w:color w:val="auto"/>
        </w:rPr>
      </w:pPr>
    </w:p>
    <w:p>
      <w:pPr>
        <w:ind w:left="1245" w:hanging="1245"/>
        <w:spacing w:after="0"/>
        <w:tabs>
          <w:tab w:leader="none" w:pos="1245"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190,928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-965200</wp:posOffset>
            </wp:positionV>
            <wp:extent cx="12858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-948055</wp:posOffset>
            </wp:positionV>
            <wp:extent cx="12858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2">
            <w:col w:w="8495" w:space="720"/>
            <w:col w:w="2025"/>
          </w:cols>
          <w:pgMar w:left="320" w:top="105" w:right="339" w:bottom="1440" w:gutter="0" w:footer="0" w:header="0"/>
        </w:sectPr>
      </w:pPr>
    </w:p>
    <w:bookmarkStart w:id="95" w:name="page96"/>
    <w:bookmarkEnd w:id="95"/>
    <w:p>
      <w:pPr>
        <w:spacing w:after="0"/>
        <w:rPr>
          <w:sz w:val="20"/>
          <w:szCs w:val="20"/>
          <w:color w:val="auto"/>
        </w:rPr>
      </w:pPr>
      <w:r>
        <w:rPr>
          <w:rFonts w:ascii="Arial" w:cs="Arial" w:eastAsia="Arial" w:hAnsi="Arial"/>
          <w:sz w:val="22"/>
          <w:szCs w:val="22"/>
          <w:b w:val="1"/>
          <w:bCs w:val="1"/>
          <w:color w:val="auto"/>
        </w:rPr>
        <w:t>SUPERIOR DIGITAL DISPLAYS HOLDINGS, INC. AND SUBSIDIARIES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A </w:t>
      </w:r>
      <w:r>
        <w:rPr>
          <w:rFonts w:ascii="Arial" w:cs="Arial" w:eastAsia="Arial" w:hAnsi="Arial"/>
          <w:sz w:val="17"/>
          <w:szCs w:val="17"/>
          <w:b w:val="1"/>
          <w:bCs w:val="1"/>
          <w:color w:val="auto"/>
        </w:rPr>
        <w:t>-</w:t>
      </w:r>
      <w:r>
        <w:rPr>
          <w:rFonts w:ascii="Arial" w:cs="Arial" w:eastAsia="Arial" w:hAnsi="Arial"/>
          <w:sz w:val="22"/>
          <w:szCs w:val="22"/>
          <w:b w:val="1"/>
          <w:bCs w:val="1"/>
          <w:color w:val="auto"/>
        </w:rPr>
        <w:t xml:space="preserve"> O</w:t>
      </w:r>
      <w:r>
        <w:rPr>
          <w:rFonts w:ascii="Arial" w:cs="Arial" w:eastAsia="Arial" w:hAnsi="Arial"/>
          <w:sz w:val="17"/>
          <w:szCs w:val="17"/>
          <w:b w:val="1"/>
          <w:bCs w:val="1"/>
          <w:color w:val="auto"/>
        </w:rPr>
        <w:t>RGANIZATION</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ND</w:t>
      </w:r>
      <w:r>
        <w:rPr>
          <w:rFonts w:ascii="Arial" w:cs="Arial" w:eastAsia="Arial" w:hAnsi="Arial"/>
          <w:sz w:val="22"/>
          <w:szCs w:val="22"/>
          <w:b w:val="1"/>
          <w:bCs w:val="1"/>
          <w:color w:val="auto"/>
        </w:rPr>
        <w:t xml:space="preserve"> </w:t>
      </w:r>
      <w:r>
        <w:rPr>
          <w:rFonts w:ascii="Arial" w:cs="Arial" w:eastAsia="Arial" w:hAnsi="Arial"/>
          <w:sz w:val="19"/>
          <w:szCs w:val="19"/>
          <w:b w:val="1"/>
          <w:bCs w:val="1"/>
          <w:color w:val="auto"/>
        </w:rPr>
        <w:t>N</w:t>
      </w:r>
      <w:r>
        <w:rPr>
          <w:rFonts w:ascii="Arial" w:cs="Arial" w:eastAsia="Arial" w:hAnsi="Arial"/>
          <w:sz w:val="17"/>
          <w:szCs w:val="17"/>
          <w:b w:val="1"/>
          <w:bCs w:val="1"/>
          <w:color w:val="auto"/>
        </w:rPr>
        <w:t>ATURE OF</w:t>
      </w:r>
      <w:r>
        <w:rPr>
          <w:rFonts w:ascii="Arial" w:cs="Arial" w:eastAsia="Arial" w:hAnsi="Arial"/>
          <w:sz w:val="22"/>
          <w:szCs w:val="22"/>
          <w:b w:val="1"/>
          <w:bCs w:val="1"/>
          <w:color w:val="auto"/>
        </w:rPr>
        <w:t xml:space="preserve"> O</w:t>
      </w:r>
      <w:r>
        <w:rPr>
          <w:rFonts w:ascii="Arial" w:cs="Arial" w:eastAsia="Arial" w:hAnsi="Arial"/>
          <w:sz w:val="17"/>
          <w:szCs w:val="17"/>
          <w:b w:val="1"/>
          <w:bCs w:val="1"/>
          <w:color w:val="auto"/>
        </w:rPr>
        <w:t>PERATIONS, AND</w:t>
      </w:r>
      <w:r>
        <w:rPr>
          <w:rFonts w:ascii="Arial" w:cs="Arial" w:eastAsia="Arial" w:hAnsi="Arial"/>
          <w:sz w:val="22"/>
          <w:szCs w:val="22"/>
          <w:b w:val="1"/>
          <w:bCs w:val="1"/>
          <w:color w:val="auto"/>
        </w:rPr>
        <w:t xml:space="preserve"> L</w:t>
      </w:r>
      <w:r>
        <w:rPr>
          <w:rFonts w:ascii="Arial" w:cs="Arial" w:eastAsia="Arial" w:hAnsi="Arial"/>
          <w:sz w:val="17"/>
          <w:szCs w:val="17"/>
          <w:b w:val="1"/>
          <w:bCs w:val="1"/>
          <w:color w:val="auto"/>
        </w:rPr>
        <w:t>IQUIDITY</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Superior Digital Displays Holdings, Inc. (“Holdings”) and its wholly-owned subsidiaries, Superior Digital Displays, LLC (“SDD”) and Sign 5, LLC (“Sign 5”) (collectively, referred to as the “Company”) are focused on developing the outdoor advertising business primarily through operating outdoor digital billboard advertising displays.</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Holdings was incorporated on November 25, 2013 in the state of Delaware. SDD, a limited liability company, was formed in the state of Florida on September 3, 2009. Sign 5, a limited liability company and wholly-owned subsidiary of SDD, was formed in the state of Delaware on September 21, 2012.</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December 30, 2013, the Company entered into a Stockholders’ Agreement with both existing shareholders and new shareholders, as well as a debt financing agreement (see Note D) with one of the new shareholders. In connection therewith, a) the members of SDD exchanged their ownership interests in SDD for 4,950 shares of common stock of Holdings, b) a new shareholder, in exchange for $2,211,000, was issued 4,950 shares in Holdings of which 200 shares were transferred to another entity, and c) Holdings issued 100 shares of common stock to an entity in exchange for financial advisory services. At December 31, 2013, the majority of the Board of Directors of Holdings represented parties that were investors in SDD and Sign 5. Certain decisions require the consent of the shareholder providing the debt financing. As such, although the former owners of SDD were issued 49.5% of Holdings’ common stock, control was not deemed to have changed at the time of formation based on the composition of the Board and the governance structure. Accordingly, the formation of Holdings was treated as a reorganization of SDD, with the investment of the shareholder providing the debt financing being treated as an equity contribution and no change to the carrying value of the assets and liabilities of SDD and Sign 5.</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Through December 31, 2013, the Company had been primarily focused on securing a financing agreement and developing its first digital display, Sign 5 located at 3 Times Square, New York, NY, which entered into startup mode in December 2013. During the year ended December 31, 2014, the Company placed an additional 3 signs, known as the Triple Play and located at 729 Seventh Avenue, New York, NY into operation. During the year ended December 31, 2015, the Company installed 4 additional signs. Three signs, located on 3 Times Square facing west on 42nd Street are known as the Waterfall. The fourth sign, constructed above Sign 5, and in combination with Sign 5, is known as the Crossroads of the World. The construction of the aforementioned signs, which was finalized during May 2016, marks the completion of the initial build out of SDD’s Times Square network.</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year ended September 30, 2018, the Company has net operating losses of approximately $9,255,000 and cash flow deficiencies from operating activities of approximately $1,327,000. Until such time the Company achieves positive cash flows, the Company will be dependent upon its majority stockholder for financial support. The majority stockholder has agreed to provide required financial support through at least December 31, 2019. Refer to Note D and G for additional information regarding the Company’s liquidity and financing arrangements with the majority stockholder.</w:t>
      </w:r>
    </w:p>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During the year ended September 30, 2018, the Company changed its fiscal year end from December 31 to September 30. The accompanying consolidated financial statements represent 12 months of activity through September 30, 2018.</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B </w:t>
      </w:r>
      <w:r>
        <w:rPr>
          <w:rFonts w:ascii="Arial" w:cs="Arial" w:eastAsia="Arial" w:hAnsi="Arial"/>
          <w:sz w:val="17"/>
          <w:szCs w:val="17"/>
          <w:b w:val="1"/>
          <w:bCs w:val="1"/>
          <w:color w:val="auto"/>
        </w:rPr>
        <w:t>-</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IGNIFICANT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OLICIES</w:t>
      </w:r>
    </w:p>
    <w:p>
      <w:pPr>
        <w:spacing w:after="0" w:line="216" w:lineRule="exact"/>
        <w:rPr>
          <w:sz w:val="20"/>
          <w:szCs w:val="20"/>
          <w:color w:val="auto"/>
        </w:rPr>
      </w:pPr>
    </w:p>
    <w:p>
      <w:pPr>
        <w:ind w:left="380" w:hanging="372"/>
        <w:spacing w:after="0"/>
        <w:tabs>
          <w:tab w:leader="none" w:pos="3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33" w:lineRule="exact"/>
        <w:rPr>
          <w:rFonts w:ascii="Arial" w:cs="Arial" w:eastAsia="Arial" w:hAnsi="Arial"/>
          <w:sz w:val="18"/>
          <w:szCs w:val="18"/>
          <w:b w:val="1"/>
          <w:bCs w:val="1"/>
          <w:color w:val="auto"/>
        </w:rPr>
      </w:pPr>
    </w:p>
    <w:p>
      <w:pPr>
        <w:ind w:left="3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include Superior Digital Displays Holdings, Inc., and its wholly-owned subsidiaries, Superior Digital Displays, LLC and Sign 5, LLC. All inter-company transactions and balances have been eliminated in consolidation.</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96" w:name="page97"/>
    <w:bookmarkEnd w:id="96"/>
    <w:p>
      <w:pPr>
        <w:spacing w:after="0"/>
        <w:rPr>
          <w:sz w:val="20"/>
          <w:szCs w:val="20"/>
          <w:color w:val="auto"/>
        </w:rPr>
      </w:pPr>
      <w:r>
        <w:rPr>
          <w:rFonts w:ascii="Arial" w:cs="Arial" w:eastAsia="Arial" w:hAnsi="Arial"/>
          <w:sz w:val="22"/>
          <w:szCs w:val="22"/>
          <w:b w:val="1"/>
          <w:bCs w:val="1"/>
          <w:color w:val="auto"/>
        </w:rPr>
        <w:t>SUPERIOR DIGITAL DISPLAYS HOLDINGS, INC. AND SUBSIDIARIES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B - S</w:t>
      </w:r>
      <w:r>
        <w:rPr>
          <w:rFonts w:ascii="Arial" w:cs="Arial" w:eastAsia="Arial" w:hAnsi="Arial"/>
          <w:sz w:val="14"/>
          <w:szCs w:val="14"/>
          <w:b w:val="1"/>
          <w:bCs w:val="1"/>
          <w:color w:val="auto"/>
        </w:rPr>
        <w:t>IGNIFICANT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OLICIES</w:t>
      </w:r>
      <w:r>
        <w:rPr>
          <w:rFonts w:ascii="Arial" w:cs="Arial" w:eastAsia="Arial" w:hAnsi="Arial"/>
          <w:sz w:val="22"/>
          <w:szCs w:val="22"/>
          <w:b w:val="1"/>
          <w:bCs w:val="1"/>
          <w:color w:val="auto"/>
        </w:rPr>
        <w:t xml:space="preserve"> </w:t>
      </w:r>
      <w:r>
        <w:rPr>
          <w:rFonts w:ascii="Arial" w:cs="Arial" w:eastAsia="Arial" w:hAnsi="Arial"/>
          <w:sz w:val="17"/>
          <w:szCs w:val="17"/>
          <w:b w:val="1"/>
          <w:bCs w:val="1"/>
          <w:color w:val="auto"/>
        </w:rPr>
        <w:t>(CONTINUED)</w:t>
      </w:r>
    </w:p>
    <w:p>
      <w:pPr>
        <w:spacing w:after="0" w:line="216" w:lineRule="exact"/>
        <w:rPr>
          <w:sz w:val="20"/>
          <w:szCs w:val="20"/>
          <w:color w:val="auto"/>
        </w:rPr>
      </w:pPr>
    </w:p>
    <w:p>
      <w:pPr>
        <w:ind w:left="380" w:hanging="372"/>
        <w:spacing w:after="0"/>
        <w:tabs>
          <w:tab w:leader="none" w:pos="3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33" w:lineRule="exact"/>
        <w:rPr>
          <w:rFonts w:ascii="Arial" w:cs="Arial" w:eastAsia="Arial" w:hAnsi="Arial"/>
          <w:sz w:val="18"/>
          <w:szCs w:val="18"/>
          <w:b w:val="1"/>
          <w:bCs w:val="1"/>
          <w:color w:val="auto"/>
        </w:rPr>
      </w:pPr>
    </w:p>
    <w:p>
      <w:pPr>
        <w:jc w:val="both"/>
        <w:ind w:left="3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w:t>
      </w:r>
    </w:p>
    <w:p>
      <w:pPr>
        <w:spacing w:after="0" w:line="182" w:lineRule="exact"/>
        <w:rPr>
          <w:rFonts w:ascii="Arial" w:cs="Arial" w:eastAsia="Arial" w:hAnsi="Arial"/>
          <w:sz w:val="18"/>
          <w:szCs w:val="18"/>
          <w:b w:val="1"/>
          <w:bCs w:val="1"/>
          <w:color w:val="auto"/>
        </w:rPr>
      </w:pPr>
    </w:p>
    <w:p>
      <w:pPr>
        <w:ind w:left="380" w:hanging="372"/>
        <w:spacing w:after="0"/>
        <w:tabs>
          <w:tab w:leader="none" w:pos="3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33"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Company recognizes outdoor advertising revenue on an accrual basis ratably over the term of the contracts.</w:t>
      </w:r>
    </w:p>
    <w:p>
      <w:pPr>
        <w:spacing w:after="0" w:line="189" w:lineRule="exact"/>
        <w:rPr>
          <w:rFonts w:ascii="Arial" w:cs="Arial" w:eastAsia="Arial" w:hAnsi="Arial"/>
          <w:sz w:val="18"/>
          <w:szCs w:val="18"/>
          <w:b w:val="1"/>
          <w:bCs w:val="1"/>
          <w:color w:val="auto"/>
        </w:rPr>
      </w:pPr>
    </w:p>
    <w:p>
      <w:pPr>
        <w:ind w:left="380" w:hanging="372"/>
        <w:spacing w:after="0"/>
        <w:tabs>
          <w:tab w:leader="none" w:pos="3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w:t>
      </w:r>
    </w:p>
    <w:p>
      <w:pPr>
        <w:spacing w:after="0" w:line="233" w:lineRule="exact"/>
        <w:rPr>
          <w:rFonts w:ascii="Arial" w:cs="Arial" w:eastAsia="Arial" w:hAnsi="Arial"/>
          <w:sz w:val="18"/>
          <w:szCs w:val="18"/>
          <w:b w:val="1"/>
          <w:bCs w:val="1"/>
          <w:color w:val="auto"/>
        </w:rPr>
      </w:pPr>
    </w:p>
    <w:p>
      <w:pPr>
        <w:jc w:val="both"/>
        <w:ind w:left="380"/>
        <w:spacing w:after="0"/>
        <w:rPr>
          <w:rFonts w:ascii="Arial" w:cs="Arial" w:eastAsia="Arial" w:hAnsi="Arial"/>
          <w:sz w:val="18"/>
          <w:szCs w:val="18"/>
          <w:b w:val="1"/>
          <w:bCs w:val="1"/>
          <w:color w:val="auto"/>
        </w:rPr>
      </w:pPr>
      <w:r>
        <w:rPr>
          <w:rFonts w:ascii="Arial" w:cs="Arial" w:eastAsia="Arial" w:hAnsi="Arial"/>
          <w:sz w:val="18"/>
          <w:szCs w:val="18"/>
          <w:color w:val="auto"/>
        </w:rPr>
        <w:t>The Company, at times, may maintain cash balances in bank accounts in excess of amounts insured by the Federal Deposit Insurance Corporation (“FDIC”). The Company has not experienced any losses in such accounts as of September 30, 2018, and does not anticipate incurring any such losses in the future.</w:t>
      </w:r>
    </w:p>
    <w:p>
      <w:pPr>
        <w:spacing w:after="0" w:line="180" w:lineRule="exact"/>
        <w:rPr>
          <w:rFonts w:ascii="Arial" w:cs="Arial" w:eastAsia="Arial" w:hAnsi="Arial"/>
          <w:sz w:val="18"/>
          <w:szCs w:val="18"/>
          <w:b w:val="1"/>
          <w:bCs w:val="1"/>
          <w:color w:val="auto"/>
        </w:rPr>
      </w:pPr>
    </w:p>
    <w:p>
      <w:pPr>
        <w:ind w:left="380" w:hanging="372"/>
        <w:spacing w:after="0"/>
        <w:tabs>
          <w:tab w:leader="none" w:pos="3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allowance for doubtful accounts: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Accounts receivable are reported net of an allowance for doubtful accounts. The Company maintains an allowance for estimated losses</w:t>
      </w:r>
    </w:p>
    <w:p>
      <w:pPr>
        <w:jc w:val="both"/>
        <w:ind w:left="380"/>
        <w:spacing w:after="0" w:line="234" w:lineRule="auto"/>
        <w:rPr>
          <w:sz w:val="20"/>
          <w:szCs w:val="20"/>
          <w:color w:val="auto"/>
        </w:rPr>
      </w:pPr>
      <w:r>
        <w:rPr>
          <w:rFonts w:ascii="Arial" w:cs="Arial" w:eastAsia="Arial" w:hAnsi="Arial"/>
          <w:sz w:val="18"/>
          <w:szCs w:val="18"/>
          <w:color w:val="auto"/>
        </w:rPr>
        <w:t>resulting from the inability of customers to make required payments as deemed necessary. The collectability of outstanding customer invoices is continuously assessed. In estimating the allowance,</w:t>
      </w:r>
    </w:p>
    <w:p>
      <w:pPr>
        <w:spacing w:after="0" w:line="1" w:lineRule="exact"/>
        <w:rPr>
          <w:sz w:val="20"/>
          <w:szCs w:val="20"/>
          <w:color w:val="auto"/>
        </w:rPr>
      </w:pPr>
    </w:p>
    <w:p>
      <w:pPr>
        <w:jc w:val="both"/>
        <w:ind w:left="380"/>
        <w:spacing w:after="0" w:line="238" w:lineRule="auto"/>
        <w:rPr>
          <w:sz w:val="20"/>
          <w:szCs w:val="20"/>
          <w:color w:val="auto"/>
        </w:rPr>
      </w:pPr>
      <w:r>
        <w:rPr>
          <w:rFonts w:ascii="Arial" w:cs="Arial" w:eastAsia="Arial" w:hAnsi="Arial"/>
          <w:sz w:val="18"/>
          <w:szCs w:val="18"/>
          <w:color w:val="auto"/>
        </w:rPr>
        <w:t>the Company considers factors such as historical collections, a customer’s credit-worthiness, age of the receivable balance, both individually and in the aggregate, and general economic conditions that may affect a customer’s ability to pay. Actual customer collections could differ from those estimates, requiring additional adjustments to the allowance for doubtful accounts. There was an allowance for doubtful accounts recorded at September 30, 2018 of $8,932.</w:t>
      </w:r>
    </w:p>
    <w:p>
      <w:pPr>
        <w:spacing w:after="0" w:line="183" w:lineRule="exact"/>
        <w:rPr>
          <w:sz w:val="20"/>
          <w:szCs w:val="20"/>
          <w:color w:val="auto"/>
        </w:rPr>
      </w:pPr>
    </w:p>
    <w:p>
      <w:pPr>
        <w:ind w:left="380" w:hanging="372"/>
        <w:spacing w:after="0"/>
        <w:tabs>
          <w:tab w:leader="none" w:pos="3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Signs and equipment:</w:t>
      </w:r>
    </w:p>
    <w:p>
      <w:pPr>
        <w:spacing w:after="0" w:line="233" w:lineRule="exact"/>
        <w:rPr>
          <w:rFonts w:ascii="Arial" w:cs="Arial" w:eastAsia="Arial" w:hAnsi="Arial"/>
          <w:sz w:val="18"/>
          <w:szCs w:val="18"/>
          <w:b w:val="1"/>
          <w:bCs w:val="1"/>
          <w:color w:val="auto"/>
        </w:rPr>
      </w:pPr>
    </w:p>
    <w:p>
      <w:pPr>
        <w:jc w:val="both"/>
        <w:ind w:left="380"/>
        <w:spacing w:after="0"/>
        <w:rPr>
          <w:rFonts w:ascii="Arial" w:cs="Arial" w:eastAsia="Arial" w:hAnsi="Arial"/>
          <w:sz w:val="18"/>
          <w:szCs w:val="18"/>
          <w:b w:val="1"/>
          <w:bCs w:val="1"/>
          <w:color w:val="auto"/>
        </w:rPr>
      </w:pPr>
      <w:r>
        <w:rPr>
          <w:rFonts w:ascii="Arial" w:cs="Arial" w:eastAsia="Arial" w:hAnsi="Arial"/>
          <w:sz w:val="18"/>
          <w:szCs w:val="18"/>
          <w:color w:val="auto"/>
        </w:rPr>
        <w:t>Signs and equipment are stated at cost, less accumulated depreciation. Expenditures for major additions and betterments are capitalized. Maintenance and repairs are charged to operations as incurred. Upon sale or retirement of signs and equipment, the related cost and accumulated depreciation are removed from the accounts and any gain or loss is reflected in operations.</w:t>
      </w:r>
    </w:p>
    <w:p>
      <w:pPr>
        <w:spacing w:after="0" w:line="202" w:lineRule="exact"/>
        <w:rPr>
          <w:rFonts w:ascii="Arial" w:cs="Arial" w:eastAsia="Arial" w:hAnsi="Arial"/>
          <w:sz w:val="18"/>
          <w:szCs w:val="18"/>
          <w:b w:val="1"/>
          <w:bCs w:val="1"/>
          <w:color w:val="auto"/>
        </w:rPr>
      </w:pPr>
    </w:p>
    <w:p>
      <w:pPr>
        <w:jc w:val="both"/>
        <w:ind w:left="3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recoverability of the investment in long-lived assets on an ongoing basis and recognizes any impairment in the year of determination. Long-lived assets were tested for impairment as of September 30, 2018, and in the opinion of management there was no impairment. It is reasonably possible that relevant conditions could change in the near term and necessitate a change in management’s estimate of the recoverability of these assets.</w:t>
      </w:r>
    </w:p>
    <w:p>
      <w:pPr>
        <w:spacing w:after="0" w:line="204" w:lineRule="exact"/>
        <w:rPr>
          <w:rFonts w:ascii="Arial" w:cs="Arial" w:eastAsia="Arial" w:hAnsi="Arial"/>
          <w:sz w:val="18"/>
          <w:szCs w:val="18"/>
          <w:b w:val="1"/>
          <w:bCs w:val="1"/>
          <w:color w:val="auto"/>
        </w:rPr>
      </w:pPr>
    </w:p>
    <w:p>
      <w:pPr>
        <w:jc w:val="both"/>
        <w:ind w:left="380"/>
        <w:spacing w:after="0"/>
        <w:rPr>
          <w:rFonts w:ascii="Arial" w:cs="Arial" w:eastAsia="Arial" w:hAnsi="Arial"/>
          <w:sz w:val="18"/>
          <w:szCs w:val="18"/>
          <w:b w:val="1"/>
          <w:bCs w:val="1"/>
          <w:color w:val="auto"/>
        </w:rPr>
      </w:pPr>
      <w:r>
        <w:rPr>
          <w:rFonts w:ascii="Arial" w:cs="Arial" w:eastAsia="Arial" w:hAnsi="Arial"/>
          <w:sz w:val="18"/>
          <w:szCs w:val="18"/>
          <w:color w:val="auto"/>
        </w:rPr>
        <w:t>Signs and equipment are affixed to the building and become property of the lessor. Depreciation for signs and equipment is calculated using the straight-line method over the lesser of the estimated life of the asset or term of the lease. The Company estimates the signs’ depreciable lives to be 5 years.</w:t>
      </w:r>
    </w:p>
    <w:p>
      <w:pPr>
        <w:spacing w:after="0" w:line="180" w:lineRule="exact"/>
        <w:rPr>
          <w:rFonts w:ascii="Arial" w:cs="Arial" w:eastAsia="Arial" w:hAnsi="Arial"/>
          <w:sz w:val="18"/>
          <w:szCs w:val="18"/>
          <w:b w:val="1"/>
          <w:bCs w:val="1"/>
          <w:color w:val="auto"/>
        </w:rPr>
      </w:pPr>
    </w:p>
    <w:p>
      <w:pPr>
        <w:ind w:left="380" w:hanging="372"/>
        <w:spacing w:after="0"/>
        <w:tabs>
          <w:tab w:leader="none" w:pos="3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233" w:lineRule="exact"/>
        <w:rPr>
          <w:rFonts w:ascii="Arial" w:cs="Arial" w:eastAsia="Arial" w:hAnsi="Arial"/>
          <w:sz w:val="18"/>
          <w:szCs w:val="18"/>
          <w:b w:val="1"/>
          <w:bCs w:val="1"/>
          <w:color w:val="auto"/>
        </w:rPr>
      </w:pPr>
    </w:p>
    <w:p>
      <w:pPr>
        <w:jc w:val="both"/>
        <w:ind w:left="3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Company’s lease agreement, the Company entered into an escrow agreement for construction and installation related costs. The Company disbursed funds to an escrow account for future construction and installation payments. As of September 30, 2018, the landlord held $20,460 in escrow on behalf of the Company to be held and disbursed in accordance with the terms specified in the lease agreement. Funds held in escrow are disbursed upon receipt of a written request submitted by the Company and to be used for the purpose of paying vendors during the term of the escrow agreement. Upon completion of all construction, any unused funds will be returned to the Company upon satisfaction of all outstanding liabilities.</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97" w:name="page98"/>
    <w:bookmarkEnd w:id="97"/>
    <w:p>
      <w:pPr>
        <w:spacing w:after="0"/>
        <w:rPr>
          <w:sz w:val="20"/>
          <w:szCs w:val="20"/>
          <w:color w:val="auto"/>
        </w:rPr>
      </w:pPr>
      <w:r>
        <w:rPr>
          <w:rFonts w:ascii="Arial" w:cs="Arial" w:eastAsia="Arial" w:hAnsi="Arial"/>
          <w:sz w:val="22"/>
          <w:szCs w:val="22"/>
          <w:b w:val="1"/>
          <w:bCs w:val="1"/>
          <w:color w:val="auto"/>
        </w:rPr>
        <w:t>SUPERIOR DIGITAL DISPLAYS HOLDINGS, INC. AND SUBSIDIARIES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B - S</w:t>
      </w:r>
      <w:r>
        <w:rPr>
          <w:rFonts w:ascii="Arial" w:cs="Arial" w:eastAsia="Arial" w:hAnsi="Arial"/>
          <w:sz w:val="14"/>
          <w:szCs w:val="14"/>
          <w:b w:val="1"/>
          <w:bCs w:val="1"/>
          <w:color w:val="auto"/>
        </w:rPr>
        <w:t>IGNIFICANT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OLICIES</w:t>
      </w:r>
      <w:r>
        <w:rPr>
          <w:rFonts w:ascii="Arial" w:cs="Arial" w:eastAsia="Arial" w:hAnsi="Arial"/>
          <w:sz w:val="22"/>
          <w:szCs w:val="22"/>
          <w:b w:val="1"/>
          <w:bCs w:val="1"/>
          <w:color w:val="auto"/>
        </w:rPr>
        <w:t xml:space="preserve"> </w:t>
      </w:r>
      <w:r>
        <w:rPr>
          <w:rFonts w:ascii="Arial" w:cs="Arial" w:eastAsia="Arial" w:hAnsi="Arial"/>
          <w:sz w:val="17"/>
          <w:szCs w:val="17"/>
          <w:b w:val="1"/>
          <w:bCs w:val="1"/>
          <w:color w:val="auto"/>
        </w:rPr>
        <w:t>(CONTINUED)</w:t>
      </w:r>
    </w:p>
    <w:p>
      <w:pPr>
        <w:spacing w:after="0" w:line="216" w:lineRule="exact"/>
        <w:rPr>
          <w:sz w:val="20"/>
          <w:szCs w:val="20"/>
          <w:color w:val="auto"/>
        </w:rPr>
      </w:pPr>
    </w:p>
    <w:p>
      <w:pPr>
        <w:ind w:left="380" w:hanging="372"/>
        <w:spacing w:after="0"/>
        <w:tabs>
          <w:tab w:leader="none" w:pos="3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Debt issuance costs and original issue discount:</w:t>
      </w:r>
    </w:p>
    <w:p>
      <w:pPr>
        <w:spacing w:after="0" w:line="233" w:lineRule="exact"/>
        <w:rPr>
          <w:rFonts w:ascii="Arial" w:cs="Arial" w:eastAsia="Arial" w:hAnsi="Arial"/>
          <w:sz w:val="18"/>
          <w:szCs w:val="18"/>
          <w:b w:val="1"/>
          <w:bCs w:val="1"/>
          <w:color w:val="auto"/>
        </w:rPr>
      </w:pPr>
    </w:p>
    <w:p>
      <w:pPr>
        <w:jc w:val="both"/>
        <w:ind w:left="3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costs associated with obtaining financing have been capitalized and are being amortized over the term of the financing agreement (see Note D) using the effective interest method. Should the maturity of the debt become accelerated then the unamortized costs will be written off. Amortization expense is included in the accompanying consolidated statement of operations as a component of interest expense.</w:t>
      </w:r>
    </w:p>
    <w:p>
      <w:pPr>
        <w:spacing w:after="0" w:line="204" w:lineRule="exact"/>
        <w:rPr>
          <w:rFonts w:ascii="Arial" w:cs="Arial" w:eastAsia="Arial" w:hAnsi="Arial"/>
          <w:sz w:val="18"/>
          <w:szCs w:val="18"/>
          <w:b w:val="1"/>
          <w:bCs w:val="1"/>
          <w:color w:val="auto"/>
        </w:rPr>
      </w:pPr>
    </w:p>
    <w:p>
      <w:pPr>
        <w:jc w:val="both"/>
        <w:ind w:left="3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 xml:space="preserve">Effective January 1, 2014, the Company adopted Financial Accounting Standards Board (“FASB”) Accounting Standards Update (“ASU”) 2015-03, </w:t>
      </w:r>
      <w:r>
        <w:rPr>
          <w:rFonts w:ascii="Arial" w:cs="Arial" w:eastAsia="Arial" w:hAnsi="Arial"/>
          <w:sz w:val="18"/>
          <w:szCs w:val="18"/>
          <w:i w:val="1"/>
          <w:iCs w:val="1"/>
          <w:color w:val="auto"/>
        </w:rPr>
        <w:t>“Interest - Imputation of Interest (Subtopic 835-30): Simplifying the Presentation of Debt Issuance Costs”</w:t>
      </w:r>
      <w:r>
        <w:rPr>
          <w:rFonts w:ascii="Arial" w:cs="Arial" w:eastAsia="Arial" w:hAnsi="Arial"/>
          <w:sz w:val="18"/>
          <w:szCs w:val="18"/>
          <w:color w:val="auto"/>
        </w:rPr>
        <w:t xml:space="preserve"> (“ASU 2015-03”) which requires that debt issuance costs related to a recognized debt liability be presented in the balance sheet as a direct deduction from the carrying amount of that debt liability, consistent with debt discounts.</w:t>
      </w:r>
    </w:p>
    <w:p>
      <w:pPr>
        <w:spacing w:after="0" w:line="204" w:lineRule="exact"/>
        <w:rPr>
          <w:rFonts w:ascii="Arial" w:cs="Arial" w:eastAsia="Arial" w:hAnsi="Arial"/>
          <w:sz w:val="18"/>
          <w:szCs w:val="18"/>
          <w:b w:val="1"/>
          <w:bCs w:val="1"/>
          <w:color w:val="auto"/>
        </w:rPr>
      </w:pPr>
    </w:p>
    <w:p>
      <w:pPr>
        <w:jc w:val="both"/>
        <w:ind w:left="38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The original issue discount on the related party notes payable is being accreted to interest expense over the term of the loan using the effective interest method. The associated financing agreement was executed on December 30, 2013 and the accretion of the original</w:t>
      </w:r>
    </w:p>
    <w:p>
      <w:pPr>
        <w:spacing w:after="0" w:line="1" w:lineRule="exact"/>
        <w:rPr>
          <w:rFonts w:ascii="Arial" w:cs="Arial" w:eastAsia="Arial" w:hAnsi="Arial"/>
          <w:sz w:val="18"/>
          <w:szCs w:val="18"/>
          <w:b w:val="1"/>
          <w:bCs w:val="1"/>
          <w:color w:val="auto"/>
        </w:rPr>
      </w:pPr>
    </w:p>
    <w:p>
      <w:pPr>
        <w:ind w:left="3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issue discount commenced on December 31, 2013. At September 30, 2018, unamortized discount approximated $146,000. Subsequent to year end, the First Lien maturity date was extended to December 31, 2019.</w:t>
      </w:r>
    </w:p>
    <w:p>
      <w:pPr>
        <w:spacing w:after="0" w:line="196" w:lineRule="exact"/>
        <w:rPr>
          <w:rFonts w:ascii="Arial" w:cs="Arial" w:eastAsia="Arial" w:hAnsi="Arial"/>
          <w:sz w:val="18"/>
          <w:szCs w:val="18"/>
          <w:b w:val="1"/>
          <w:bCs w:val="1"/>
          <w:color w:val="auto"/>
        </w:rPr>
      </w:pPr>
    </w:p>
    <w:p>
      <w:pPr>
        <w:ind w:left="380" w:right="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For the year ended September 30, 2018, amortization of debt issuance costs original issue discount approximated $552,000 and $542,000, respectively.</w:t>
      </w:r>
    </w:p>
    <w:p>
      <w:pPr>
        <w:spacing w:after="0" w:line="196"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Future amortization of debt issuance costs and original issue discount approximates as follows: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9"/>
              </w:rPr>
              <w:t>Years Ending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Debt Issuance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Original Issue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5"/>
        </w:trPr>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September 30,</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Costs</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Discount</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438"/>
        </w:trPr>
        <w:tc>
          <w:tcPr>
            <w:tcW w:w="2840" w:type="dxa"/>
            <w:vAlign w:val="bottom"/>
          </w:tcPr>
          <w:p>
            <w:pPr>
              <w:jc w:val="center"/>
              <w:spacing w:after="0"/>
              <w:rPr>
                <w:sz w:val="20"/>
                <w:szCs w:val="20"/>
                <w:color w:val="auto"/>
              </w:rPr>
            </w:pPr>
            <w:r>
              <w:rPr>
                <w:rFonts w:ascii="Arial" w:cs="Arial" w:eastAsia="Arial" w:hAnsi="Arial"/>
                <w:sz w:val="18"/>
                <w:szCs w:val="18"/>
                <w:color w:val="auto"/>
                <w:w w:val="99"/>
              </w:rPr>
              <w:t>2019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118,000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116,000</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234,000</w:t>
            </w:r>
          </w:p>
        </w:tc>
      </w:tr>
      <w:tr>
        <w:trPr>
          <w:trHeight w:val="217"/>
        </w:trPr>
        <w:tc>
          <w:tcPr>
            <w:tcW w:w="284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61,000</w:t>
            </w:r>
          </w:p>
        </w:tc>
      </w:tr>
    </w:tbl>
    <w:p>
      <w:pPr>
        <w:spacing w:after="0" w:line="315" w:lineRule="exact"/>
        <w:rPr>
          <w:sz w:val="20"/>
          <w:szCs w:val="20"/>
          <w:color w:val="auto"/>
        </w:rPr>
      </w:pPr>
    </w:p>
    <w:p>
      <w:pPr>
        <w:ind w:left="380" w:hanging="372"/>
        <w:spacing w:after="0"/>
        <w:tabs>
          <w:tab w:leader="none" w:pos="3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costs:</w:t>
      </w:r>
    </w:p>
    <w:p>
      <w:pPr>
        <w:spacing w:after="0" w:line="233" w:lineRule="exact"/>
        <w:rPr>
          <w:rFonts w:ascii="Arial" w:cs="Arial" w:eastAsia="Arial" w:hAnsi="Arial"/>
          <w:sz w:val="18"/>
          <w:szCs w:val="18"/>
          <w:b w:val="1"/>
          <w:bCs w:val="1"/>
          <w:color w:val="auto"/>
        </w:rPr>
      </w:pPr>
    </w:p>
    <w:p>
      <w:pPr>
        <w:jc w:val="both"/>
        <w:ind w:left="380"/>
        <w:spacing w:after="0"/>
        <w:rPr>
          <w:rFonts w:ascii="Arial" w:cs="Arial" w:eastAsia="Arial" w:hAnsi="Arial"/>
          <w:sz w:val="18"/>
          <w:szCs w:val="18"/>
          <w:b w:val="1"/>
          <w:bCs w:val="1"/>
          <w:color w:val="auto"/>
        </w:rPr>
      </w:pPr>
      <w:r>
        <w:rPr>
          <w:rFonts w:ascii="Arial" w:cs="Arial" w:eastAsia="Arial" w:hAnsi="Arial"/>
          <w:sz w:val="18"/>
          <w:szCs w:val="18"/>
          <w:color w:val="auto"/>
        </w:rPr>
        <w:t>The costs associated with securing certain operating leases have been capitalized and are being amortized over the term of the lease on a straight-line basis. Depreciation and amortization expense is included in the accompanying consolidated statements of operations as a component of operating expenses.</w:t>
      </w:r>
    </w:p>
    <w:p>
      <w:pPr>
        <w:spacing w:after="0" w:line="202"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Deferred costs are approximately as follows at September 30, 2018:</w:t>
      </w:r>
    </w:p>
    <w:p>
      <w:pPr>
        <w:spacing w:after="0" w:line="252" w:lineRule="exact"/>
        <w:rPr>
          <w:sz w:val="20"/>
          <w:szCs w:val="20"/>
          <w:color w:val="auto"/>
        </w:rPr>
      </w:pPr>
    </w:p>
    <w:tbl>
      <w:tblPr>
        <w:tblLayout w:type="fixed"/>
        <w:tblInd w:w="3380" w:type="dxa"/>
        <w:tblCellMar>
          <w:top w:w="0" w:type="dxa"/>
          <w:left w:w="0" w:type="dxa"/>
          <w:bottom w:w="0" w:type="dxa"/>
          <w:right w:w="0" w:type="dxa"/>
        </w:tblCellMar>
      </w:tblP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Deferred costs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350,000</w:t>
            </w:r>
          </w:p>
        </w:tc>
      </w:tr>
      <w:tr>
        <w:trPr>
          <w:trHeight w:val="203"/>
        </w:trPr>
        <w:tc>
          <w:tcPr>
            <w:tcW w:w="3560" w:type="dxa"/>
            <w:vAlign w:val="bottom"/>
          </w:tcPr>
          <w:p>
            <w:pPr>
              <w:spacing w:after="0" w:line="203" w:lineRule="exact"/>
              <w:rPr>
                <w:sz w:val="20"/>
                <w:szCs w:val="20"/>
                <w:color w:val="auto"/>
              </w:rPr>
            </w:pPr>
            <w:r>
              <w:rPr>
                <w:rFonts w:ascii="Arial" w:cs="Arial" w:eastAsia="Arial" w:hAnsi="Arial"/>
                <w:sz w:val="18"/>
                <w:szCs w:val="18"/>
                <w:color w:val="auto"/>
              </w:rPr>
              <w:t>Less: accumulated amortization</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(261,000)</w:t>
            </w:r>
          </w:p>
        </w:tc>
      </w:tr>
      <w:tr>
        <w:trPr>
          <w:trHeight w:val="425"/>
        </w:trPr>
        <w:tc>
          <w:tcPr>
            <w:tcW w:w="3560" w:type="dxa"/>
            <w:vAlign w:val="bottom"/>
          </w:tcPr>
          <w:p>
            <w:pPr>
              <w:spacing w:after="0"/>
              <w:rPr>
                <w:sz w:val="20"/>
                <w:szCs w:val="20"/>
                <w:color w:val="auto"/>
              </w:rPr>
            </w:pPr>
            <w:r>
              <w:rPr>
                <w:rFonts w:ascii="Arial" w:cs="Arial" w:eastAsia="Arial" w:hAnsi="Arial"/>
                <w:sz w:val="18"/>
                <w:szCs w:val="18"/>
                <w:color w:val="auto"/>
              </w:rPr>
              <w:t>Deferred costs, net of</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3"/>
        </w:trPr>
        <w:tc>
          <w:tcPr>
            <w:tcW w:w="3560" w:type="dxa"/>
            <w:vAlign w:val="bottom"/>
          </w:tcPr>
          <w:p>
            <w:pPr>
              <w:ind w:left="160"/>
              <w:spacing w:after="0" w:line="203" w:lineRule="exact"/>
              <w:rPr>
                <w:sz w:val="20"/>
                <w:szCs w:val="20"/>
                <w:color w:val="auto"/>
              </w:rPr>
            </w:pPr>
            <w:r>
              <w:rPr>
                <w:rFonts w:ascii="Arial" w:cs="Arial" w:eastAsia="Arial" w:hAnsi="Arial"/>
                <w:sz w:val="18"/>
                <w:szCs w:val="18"/>
                <w:color w:val="auto"/>
              </w:rPr>
              <w:t>accumulated amortization</w:t>
            </w: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89,000</w:t>
            </w: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Amortization expense for the year ended September 30, 2018 was $35,000.</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98" w:name="page99"/>
    <w:bookmarkEnd w:id="98"/>
    <w:p>
      <w:pPr>
        <w:spacing w:after="0"/>
        <w:rPr>
          <w:sz w:val="20"/>
          <w:szCs w:val="20"/>
          <w:color w:val="auto"/>
        </w:rPr>
      </w:pPr>
      <w:r>
        <w:rPr>
          <w:rFonts w:ascii="Arial" w:cs="Arial" w:eastAsia="Arial" w:hAnsi="Arial"/>
          <w:sz w:val="22"/>
          <w:szCs w:val="22"/>
          <w:b w:val="1"/>
          <w:bCs w:val="1"/>
          <w:color w:val="auto"/>
        </w:rPr>
        <w:t>SUPERIOR DIGITAL DISPLAYS HOLDINGS, INC. AND SUBSIDIARIES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B - S</w:t>
      </w:r>
      <w:r>
        <w:rPr>
          <w:rFonts w:ascii="Arial" w:cs="Arial" w:eastAsia="Arial" w:hAnsi="Arial"/>
          <w:sz w:val="14"/>
          <w:szCs w:val="14"/>
          <w:b w:val="1"/>
          <w:bCs w:val="1"/>
          <w:color w:val="auto"/>
        </w:rPr>
        <w:t>IGNIFICANT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OLICIES</w:t>
      </w:r>
      <w:r>
        <w:rPr>
          <w:rFonts w:ascii="Arial" w:cs="Arial" w:eastAsia="Arial" w:hAnsi="Arial"/>
          <w:sz w:val="22"/>
          <w:szCs w:val="22"/>
          <w:b w:val="1"/>
          <w:bCs w:val="1"/>
          <w:color w:val="auto"/>
        </w:rPr>
        <w:t xml:space="preserve"> </w:t>
      </w:r>
      <w:r>
        <w:rPr>
          <w:rFonts w:ascii="Arial" w:cs="Arial" w:eastAsia="Arial" w:hAnsi="Arial"/>
          <w:sz w:val="17"/>
          <w:szCs w:val="17"/>
          <w:b w:val="1"/>
          <w:bCs w:val="1"/>
          <w:color w:val="auto"/>
        </w:rPr>
        <w:t>(CONTINUED)</w:t>
      </w:r>
    </w:p>
    <w:p>
      <w:pPr>
        <w:spacing w:after="0" w:line="216" w:lineRule="exact"/>
        <w:rPr>
          <w:sz w:val="20"/>
          <w:szCs w:val="20"/>
          <w:color w:val="auto"/>
        </w:rPr>
      </w:pPr>
    </w:p>
    <w:p>
      <w:pPr>
        <w:ind w:left="380" w:hanging="372"/>
        <w:spacing w:after="0"/>
        <w:tabs>
          <w:tab w:leader="none" w:pos="3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costs: (continued)</w:t>
      </w:r>
    </w:p>
    <w:p>
      <w:pPr>
        <w:spacing w:after="0" w:line="233"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Future amortization expense for each of the years ending September 30 is approximately as follows:</w:t>
      </w:r>
    </w:p>
    <w:p>
      <w:pPr>
        <w:spacing w:after="0" w:line="230"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Year Ending</w:t>
      </w:r>
    </w:p>
    <w:p>
      <w:pPr>
        <w:spacing w:after="0" w:line="31"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-1905</wp:posOffset>
            </wp:positionV>
            <wp:extent cx="16027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19" w:lineRule="exact"/>
        <w:rPr>
          <w:sz w:val="20"/>
          <w:szCs w:val="20"/>
          <w:color w:val="auto"/>
        </w:rPr>
      </w:pPr>
    </w:p>
    <w:p>
      <w:pPr>
        <w:ind w:left="4720"/>
        <w:spacing w:after="0"/>
        <w:tabs>
          <w:tab w:leader="none" w:pos="6520" w:val="left"/>
          <w:tab w:leader="none" w:pos="694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35,000</w:t>
      </w:r>
    </w:p>
    <w:p>
      <w:pPr>
        <w:spacing w:after="0" w:line="9" w:lineRule="exact"/>
        <w:rPr>
          <w:sz w:val="20"/>
          <w:szCs w:val="20"/>
          <w:color w:val="auto"/>
        </w:rPr>
      </w:pPr>
    </w:p>
    <w:p>
      <w:pPr>
        <w:ind w:left="4720"/>
        <w:spacing w:after="0"/>
        <w:tabs>
          <w:tab w:leader="none" w:pos="694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35,000</w:t>
      </w:r>
    </w:p>
    <w:p>
      <w:pPr>
        <w:spacing w:after="0" w:line="9" w:lineRule="exact"/>
        <w:rPr>
          <w:sz w:val="20"/>
          <w:szCs w:val="20"/>
          <w:color w:val="auto"/>
        </w:rPr>
      </w:pPr>
    </w:p>
    <w:p>
      <w:pPr>
        <w:ind w:left="4720"/>
        <w:spacing w:after="0"/>
        <w:tabs>
          <w:tab w:leader="none" w:pos="694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19,000</w:t>
      </w:r>
    </w:p>
    <w:p>
      <w:pPr>
        <w:spacing w:after="0" w:line="200" w:lineRule="exact"/>
        <w:rPr>
          <w:sz w:val="20"/>
          <w:szCs w:val="20"/>
          <w:color w:val="auto"/>
        </w:rPr>
      </w:pPr>
    </w:p>
    <w:p>
      <w:pPr>
        <w:spacing w:after="0" w:line="233" w:lineRule="exact"/>
        <w:rPr>
          <w:sz w:val="20"/>
          <w:szCs w:val="20"/>
          <w:color w:val="auto"/>
        </w:rPr>
      </w:pPr>
    </w:p>
    <w:p>
      <w:pPr>
        <w:ind w:left="380" w:hanging="372"/>
        <w:spacing w:after="0"/>
        <w:tabs>
          <w:tab w:leader="none" w:pos="3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3" w:lineRule="exact"/>
        <w:rPr>
          <w:rFonts w:ascii="Arial" w:cs="Arial" w:eastAsia="Arial" w:hAnsi="Arial"/>
          <w:sz w:val="18"/>
          <w:szCs w:val="18"/>
          <w:b w:val="1"/>
          <w:bCs w:val="1"/>
          <w:color w:val="auto"/>
        </w:rPr>
      </w:pPr>
    </w:p>
    <w:p>
      <w:pPr>
        <w:jc w:val="both"/>
        <w:ind w:left="3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Prior to December 30, 2013, SDD and Sign 5 were limited liability companies that had elected to be taxed as partnerships for federal and state income tax purposes. All income or losses were included in the members’ tax returns. On December 30, 2013, members of SDD and Sign 5 transferred their membership interest in SDD and Sign 5 to Holdings in exchange for shares of the Holdings stock. SDD and Sign 5 effectively became single member LLCs and disregarded entities for income tax purposes. All income and losses incurred for the year ended September 30, 2018 were included in Holdings’ tax returns. Holdings is taxed as a C Corporation for federal and state income tax purposes.</w:t>
      </w:r>
    </w:p>
    <w:p>
      <w:pPr>
        <w:spacing w:after="0" w:line="186" w:lineRule="exact"/>
        <w:rPr>
          <w:rFonts w:ascii="Arial" w:cs="Arial" w:eastAsia="Arial" w:hAnsi="Arial"/>
          <w:sz w:val="18"/>
          <w:szCs w:val="18"/>
          <w:b w:val="1"/>
          <w:bCs w:val="1"/>
          <w:color w:val="auto"/>
        </w:rPr>
      </w:pPr>
    </w:p>
    <w:p>
      <w:pPr>
        <w:jc w:val="both"/>
        <w:ind w:left="380"/>
        <w:spacing w:after="0" w:line="255" w:lineRule="auto"/>
        <w:rPr>
          <w:rFonts w:ascii="Arial" w:cs="Arial" w:eastAsia="Arial" w:hAnsi="Arial"/>
          <w:sz w:val="18"/>
          <w:szCs w:val="18"/>
          <w:b w:val="1"/>
          <w:bCs w:val="1"/>
          <w:color w:val="auto"/>
        </w:rPr>
      </w:pPr>
      <w:r>
        <w:rPr>
          <w:rFonts w:ascii="Arial" w:cs="Arial" w:eastAsia="Arial" w:hAnsi="Arial"/>
          <w:sz w:val="17"/>
          <w:szCs w:val="17"/>
          <w:color w:val="auto"/>
        </w:rPr>
        <w:t xml:space="preserve">The Company applies the elements of FASB ASC 740-10 </w:t>
      </w:r>
      <w:r>
        <w:rPr>
          <w:rFonts w:ascii="Arial" w:cs="Arial" w:eastAsia="Arial" w:hAnsi="Arial"/>
          <w:sz w:val="17"/>
          <w:szCs w:val="17"/>
          <w:i w:val="1"/>
          <w:iCs w:val="1"/>
          <w:color w:val="auto"/>
        </w:rPr>
        <w:t>“Income Taxes – Overall”</w:t>
      </w:r>
      <w:r>
        <w:rPr>
          <w:rFonts w:ascii="Arial" w:cs="Arial" w:eastAsia="Arial" w:hAnsi="Arial"/>
          <w:sz w:val="17"/>
          <w:szCs w:val="17"/>
          <w:color w:val="auto"/>
        </w:rPr>
        <w:t xml:space="preserve"> regarding accounting for uncertainty in income taxes. This clarifies the accounting for uncertainty in income taxes recognized in financial statements and required impact of a tax position to be recognized in the financial statements if that position is more likely than not of being sustained by the taxing authority. As of December 31, 2015 the company did not have any unrecognized tax benefits and has not accrued any interest or penalties through 2015. The Company does not expect to have any unrecognized tax benefits within the next twelve months. The Company’s policy is to recognize interest and penalties related to tax matters within the income tax provision. The Company was organized 2013 and began operations in 2014. Tax years beginning in 2013 are generally subject to examination by taxing authorities, although net operating losses from all years are subject to examinations and adjustments for at least three years following the year in which the attributes are used.</w:t>
      </w:r>
    </w:p>
    <w:p>
      <w:pPr>
        <w:spacing w:after="0" w:line="170" w:lineRule="exact"/>
        <w:rPr>
          <w:rFonts w:ascii="Arial" w:cs="Arial" w:eastAsia="Arial" w:hAnsi="Arial"/>
          <w:sz w:val="18"/>
          <w:szCs w:val="18"/>
          <w:b w:val="1"/>
          <w:bCs w:val="1"/>
          <w:color w:val="auto"/>
        </w:rPr>
      </w:pPr>
    </w:p>
    <w:p>
      <w:pPr>
        <w:ind w:left="380" w:hanging="372"/>
        <w:spacing w:after="0"/>
        <w:tabs>
          <w:tab w:leader="none" w:pos="3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33" w:lineRule="exact"/>
        <w:rPr>
          <w:rFonts w:ascii="Arial" w:cs="Arial" w:eastAsia="Arial" w:hAnsi="Arial"/>
          <w:sz w:val="18"/>
          <w:szCs w:val="18"/>
          <w:b w:val="1"/>
          <w:bCs w:val="1"/>
          <w:color w:val="auto"/>
        </w:rPr>
      </w:pPr>
    </w:p>
    <w:p>
      <w:pPr>
        <w:ind w:left="3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Company has evaluated events subsequent to September 30, 2018 through November 13, 2018, the date that these consolidated financial statements were available to be issued.</w:t>
      </w:r>
    </w:p>
    <w:p>
      <w:pPr>
        <w:spacing w:after="0" w:line="174" w:lineRule="exact"/>
        <w:rPr>
          <w:rFonts w:ascii="Arial" w:cs="Arial" w:eastAsia="Arial" w:hAnsi="Arial"/>
          <w:sz w:val="18"/>
          <w:szCs w:val="18"/>
          <w:b w:val="1"/>
          <w:bCs w:val="1"/>
          <w:color w:val="auto"/>
        </w:rPr>
      </w:pPr>
    </w:p>
    <w:p>
      <w:pPr>
        <w:ind w:left="380" w:hanging="372"/>
        <w:spacing w:after="0"/>
        <w:tabs>
          <w:tab w:leader="none" w:pos="3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15" w:lineRule="exact"/>
        <w:rPr>
          <w:rFonts w:ascii="Arial" w:cs="Arial" w:eastAsia="Arial" w:hAnsi="Arial"/>
          <w:sz w:val="18"/>
          <w:szCs w:val="18"/>
          <w:b w:val="1"/>
          <w:bCs w:val="1"/>
          <w:color w:val="auto"/>
        </w:rPr>
      </w:pPr>
    </w:p>
    <w:p>
      <w:pPr>
        <w:jc w:val="both"/>
        <w:ind w:left="380"/>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 xml:space="preserve">In May 2014, the Financial Accounting Standards Board (“FASB”) issued Accounting Standards Codification (“ASC”) 606,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Contracts with Customers,” </w:t>
      </w:r>
      <w:r>
        <w:rPr>
          <w:rFonts w:ascii="Arial" w:cs="Arial" w:eastAsia="Arial" w:hAnsi="Arial"/>
          <w:sz w:val="18"/>
          <w:szCs w:val="18"/>
          <w:color w:val="auto"/>
        </w:rPr>
        <w:t>which requires that an entity recognize the amount of revenue to which it expects to be entitled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promised goods or services to its customers. In order to achieve this core principle, an entity should apply the following steps:</w:t>
      </w:r>
    </w:p>
    <w:p>
      <w:pPr>
        <w:spacing w:after="0" w:line="1" w:lineRule="exact"/>
        <w:rPr>
          <w:rFonts w:ascii="Arial" w:cs="Arial" w:eastAsia="Arial" w:hAnsi="Arial"/>
          <w:sz w:val="18"/>
          <w:szCs w:val="18"/>
          <w:b w:val="1"/>
          <w:bCs w:val="1"/>
          <w:color w:val="auto"/>
        </w:rPr>
      </w:pPr>
    </w:p>
    <w:p>
      <w:pPr>
        <w:ind w:left="660" w:hanging="287"/>
        <w:spacing w:after="0" w:line="234" w:lineRule="auto"/>
        <w:tabs>
          <w:tab w:leader="none" w:pos="6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identify the contract(s) with a customer; (2) identify the performance obligations in the contract; (3) determine the transaction price;</w:t>
      </w:r>
    </w:p>
    <w:p>
      <w:pPr>
        <w:jc w:val="both"/>
        <w:ind w:left="380" w:hanging="7"/>
        <w:spacing w:after="0" w:line="237" w:lineRule="auto"/>
        <w:tabs>
          <w:tab w:leader="none" w:pos="681"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 (5) recognize revenue when (or as) the entity satisfies a performance obligation. This update will replace existing revenue recognition guidance under U.S. GAAP when it becomes effective for annual reporting periods beginning after December 15, 2018, with early adoption permitted as of the original effective date. The updated standard will permit the use of either the retrospective or cumulative effect transition method. The Company is currently evaluating the impact of this update on its consolidated financial statements, which will be effective for the Company for the fiscal year commencing on December 30, 2018.</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99" w:name="page100"/>
    <w:bookmarkEnd w:id="99"/>
    <w:p>
      <w:pPr>
        <w:spacing w:after="0"/>
        <w:rPr>
          <w:sz w:val="20"/>
          <w:szCs w:val="20"/>
          <w:color w:val="auto"/>
        </w:rPr>
      </w:pPr>
      <w:r>
        <w:rPr>
          <w:rFonts w:ascii="Arial" w:cs="Arial" w:eastAsia="Arial" w:hAnsi="Arial"/>
          <w:sz w:val="22"/>
          <w:szCs w:val="22"/>
          <w:b w:val="1"/>
          <w:bCs w:val="1"/>
          <w:color w:val="auto"/>
        </w:rPr>
        <w:t>SUPERIOR DIGITAL DISPLAYS HOLDINGS, INC. AND SUBSIDIARIES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B - S</w:t>
      </w:r>
      <w:r>
        <w:rPr>
          <w:rFonts w:ascii="Arial" w:cs="Arial" w:eastAsia="Arial" w:hAnsi="Arial"/>
          <w:sz w:val="14"/>
          <w:szCs w:val="14"/>
          <w:b w:val="1"/>
          <w:bCs w:val="1"/>
          <w:color w:val="auto"/>
        </w:rPr>
        <w:t>IGNIFICANT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OLICIES</w:t>
      </w:r>
      <w:r>
        <w:rPr>
          <w:rFonts w:ascii="Arial" w:cs="Arial" w:eastAsia="Arial" w:hAnsi="Arial"/>
          <w:sz w:val="22"/>
          <w:szCs w:val="22"/>
          <w:b w:val="1"/>
          <w:bCs w:val="1"/>
          <w:color w:val="auto"/>
        </w:rPr>
        <w:t xml:space="preserve"> </w:t>
      </w:r>
      <w:r>
        <w:rPr>
          <w:rFonts w:ascii="Arial" w:cs="Arial" w:eastAsia="Arial" w:hAnsi="Arial"/>
          <w:sz w:val="17"/>
          <w:szCs w:val="17"/>
          <w:b w:val="1"/>
          <w:bCs w:val="1"/>
          <w:color w:val="auto"/>
        </w:rPr>
        <w:t>(CONTINUED)</w:t>
      </w:r>
    </w:p>
    <w:p>
      <w:pPr>
        <w:spacing w:after="0" w:line="216" w:lineRule="exact"/>
        <w:rPr>
          <w:sz w:val="20"/>
          <w:szCs w:val="20"/>
          <w:color w:val="auto"/>
        </w:rPr>
      </w:pPr>
    </w:p>
    <w:p>
      <w:pPr>
        <w:ind w:left="380" w:hanging="372"/>
        <w:spacing w:after="0"/>
        <w:tabs>
          <w:tab w:leader="none" w:pos="3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(Continued)</w:t>
      </w:r>
    </w:p>
    <w:p>
      <w:pPr>
        <w:spacing w:after="0" w:line="215" w:lineRule="exact"/>
        <w:rPr>
          <w:rFonts w:ascii="Arial" w:cs="Arial" w:eastAsia="Arial" w:hAnsi="Arial"/>
          <w:sz w:val="18"/>
          <w:szCs w:val="18"/>
          <w:b w:val="1"/>
          <w:bCs w:val="1"/>
          <w:color w:val="auto"/>
        </w:rPr>
      </w:pPr>
    </w:p>
    <w:p>
      <w:pPr>
        <w:jc w:val="both"/>
        <w:ind w:left="38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 xml:space="preserve">January of 2016, the FASB issued ASU No. 2016-01, </w:t>
      </w:r>
      <w:r>
        <w:rPr>
          <w:rFonts w:ascii="Arial" w:cs="Arial" w:eastAsia="Arial" w:hAnsi="Arial"/>
          <w:sz w:val="18"/>
          <w:szCs w:val="18"/>
          <w:i w:val="1"/>
          <w:iCs w:val="1"/>
          <w:color w:val="auto"/>
        </w:rPr>
        <w:t>“Financial Instruments - Overall (Subtopic 825-10): Recognition and Measurement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Financial Assets and Financial Liabilities.” </w:t>
      </w:r>
      <w:r>
        <w:rPr>
          <w:rFonts w:ascii="Arial" w:cs="Arial" w:eastAsia="Arial" w:hAnsi="Arial"/>
          <w:sz w:val="18"/>
          <w:szCs w:val="18"/>
          <w:color w:val="auto"/>
        </w:rPr>
        <w:t>ASU 2016-01 generally requires companies to measure investments in 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those accounted for under the equity method, at fair value and recognize any changes in fair value in net income. The new guidance must be applied using a modified-retrospective approach and is effective for periods beginning after December 15, 2018 and early adoption is not permitted. The Company is currently evaluating the impact on the consolidated financial statements.</w:t>
      </w:r>
    </w:p>
    <w:p>
      <w:pPr>
        <w:spacing w:after="0" w:line="184" w:lineRule="exact"/>
        <w:rPr>
          <w:rFonts w:ascii="Arial" w:cs="Arial" w:eastAsia="Arial" w:hAnsi="Arial"/>
          <w:sz w:val="18"/>
          <w:szCs w:val="18"/>
          <w:b w:val="1"/>
          <w:bCs w:val="1"/>
          <w:color w:val="auto"/>
        </w:rPr>
      </w:pPr>
    </w:p>
    <w:p>
      <w:pPr>
        <w:jc w:val="both"/>
        <w:ind w:left="380"/>
        <w:spacing w:after="0"/>
        <w:rPr>
          <w:rFonts w:ascii="Arial" w:cs="Arial" w:eastAsia="Arial" w:hAnsi="Arial"/>
          <w:sz w:val="18"/>
          <w:szCs w:val="18"/>
          <w:b w:val="1"/>
          <w:bCs w:val="1"/>
          <w:color w:val="auto"/>
        </w:rPr>
      </w:pPr>
      <w:r>
        <w:rPr>
          <w:rFonts w:ascii="Arial" w:cs="Arial" w:eastAsia="Arial" w:hAnsi="Arial"/>
          <w:sz w:val="18"/>
          <w:szCs w:val="18"/>
          <w:color w:val="auto"/>
        </w:rPr>
        <w:t xml:space="preserve">In February of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Under ASU 2016-02, an entity will be required to recognize right-of-use assets and lease liabilities on its balance sheet and disclose key information about leasing arrangements. ASU 2016-02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For private companies, ASU 2016-02 is effective for annual reporting periods beginning after December 15, 2019, and interim periods within fiscal years beginning after December 15, 2020. Early adoption is permitted. The Company is in the process of evaluating the future impact of ASU 2016-02 on the consolidated financial statements.</w:t>
      </w:r>
    </w:p>
    <w:p>
      <w:pPr>
        <w:spacing w:after="0" w:line="184" w:lineRule="exact"/>
        <w:rPr>
          <w:rFonts w:ascii="Arial" w:cs="Arial" w:eastAsia="Arial" w:hAnsi="Arial"/>
          <w:sz w:val="18"/>
          <w:szCs w:val="18"/>
          <w:b w:val="1"/>
          <w:bCs w:val="1"/>
          <w:color w:val="auto"/>
        </w:rPr>
      </w:pPr>
    </w:p>
    <w:p>
      <w:pPr>
        <w:jc w:val="both"/>
        <w:ind w:left="38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In June of 2016, the FASB issued ASU No. 2016-13</w:t>
      </w:r>
      <w:r>
        <w:rPr>
          <w:rFonts w:ascii="Arial" w:cs="Arial" w:eastAsia="Arial" w:hAnsi="Arial"/>
          <w:sz w:val="18"/>
          <w:szCs w:val="18"/>
          <w:i w:val="1"/>
          <w:iCs w:val="1"/>
          <w:color w:val="auto"/>
        </w:rPr>
        <w:t>, “Financial Instruments - Credit Losses (Topic 326): Measurement of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 Financial Instruments.” </w:t>
      </w:r>
      <w:r>
        <w:rPr>
          <w:rFonts w:ascii="Arial" w:cs="Arial" w:eastAsia="Arial" w:hAnsi="Arial"/>
          <w:sz w:val="18"/>
          <w:szCs w:val="18"/>
          <w:color w:val="auto"/>
        </w:rPr>
        <w:t>ASU 2016-13 replaces the incurred loss impairment methodology in current GAAP with a methodology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expected credit losses and requires consideration of a broader range of reasonable and supportable information to inform credit loss estimates. The new guidance is effective for fiscal years beginning after December 15, 2020. The Company is in the process of evaluating the future impact of ASU 2016-13 on the consolidated financial statements.</w:t>
      </w:r>
    </w:p>
    <w:p>
      <w:pPr>
        <w:spacing w:after="0" w:line="184" w:lineRule="exact"/>
        <w:rPr>
          <w:rFonts w:ascii="Arial" w:cs="Arial" w:eastAsia="Arial" w:hAnsi="Arial"/>
          <w:sz w:val="18"/>
          <w:szCs w:val="18"/>
          <w:b w:val="1"/>
          <w:bCs w:val="1"/>
          <w:color w:val="auto"/>
        </w:rPr>
      </w:pPr>
    </w:p>
    <w:p>
      <w:pPr>
        <w:jc w:val="both"/>
        <w:ind w:left="380"/>
        <w:spacing w:after="0" w:line="245" w:lineRule="auto"/>
        <w:rPr>
          <w:rFonts w:ascii="Arial" w:cs="Arial" w:eastAsia="Arial" w:hAnsi="Arial"/>
          <w:sz w:val="18"/>
          <w:szCs w:val="18"/>
          <w:b w:val="1"/>
          <w:bCs w:val="1"/>
          <w:color w:val="auto"/>
        </w:rPr>
      </w:pPr>
      <w:r>
        <w:rPr>
          <w:rFonts w:ascii="Arial" w:cs="Arial" w:eastAsia="Arial" w:hAnsi="Arial"/>
          <w:sz w:val="18"/>
          <w:szCs w:val="18"/>
          <w:color w:val="auto"/>
        </w:rPr>
        <w:t xml:space="preserve">In August of 2016, the FASB issued ASU No.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ASU 2016-15 clarifies how certain cash receipts and payments should be presented in the statement of cash flows. The guidance is effective for fiscal years beginning after December 15, 2018 with early adoption permitted. The Company is in the process of evaluating the future impact of ASU 2016-15 on the consolidated financial statements.</w:t>
      </w:r>
    </w:p>
    <w:p>
      <w:pPr>
        <w:spacing w:after="0" w:line="180" w:lineRule="exact"/>
        <w:rPr>
          <w:rFonts w:ascii="Arial" w:cs="Arial" w:eastAsia="Arial" w:hAnsi="Arial"/>
          <w:sz w:val="18"/>
          <w:szCs w:val="18"/>
          <w:b w:val="1"/>
          <w:bCs w:val="1"/>
          <w:color w:val="auto"/>
        </w:rPr>
      </w:pPr>
    </w:p>
    <w:p>
      <w:pPr>
        <w:jc w:val="both"/>
        <w:ind w:left="380"/>
        <w:spacing w:after="0" w:line="245" w:lineRule="auto"/>
        <w:rPr>
          <w:rFonts w:ascii="Arial" w:cs="Arial" w:eastAsia="Arial" w:hAnsi="Arial"/>
          <w:sz w:val="18"/>
          <w:szCs w:val="18"/>
          <w:b w:val="1"/>
          <w:bCs w:val="1"/>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which provides guidance on the presentation of restricted cash or restricted cash equivalents in the statement of cash flows. ASU 2016-18 is effective for fiscal years beginning after December 15, 2018. The Company is in the process of evaluating the future impact of ASU 2016-18 on the consolidated financial statements.</w:t>
      </w:r>
    </w:p>
    <w:p>
      <w:pPr>
        <w:spacing w:after="0" w:line="196"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b w:val="1"/>
          <w:bCs w:val="1"/>
          <w:color w:val="auto"/>
        </w:rPr>
        <w:t>SUPERIOR DIGITAL DISPLAYS HOLDINGS, INC. AND SUBSIDIARIES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680" w:type="dxa"/>
            <w:vAlign w:val="bottom"/>
          </w:tcPr>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C - S</w:t>
            </w:r>
            <w:r>
              <w:rPr>
                <w:rFonts w:ascii="Arial" w:cs="Arial" w:eastAsia="Arial" w:hAnsi="Arial"/>
                <w:sz w:val="14"/>
                <w:szCs w:val="14"/>
                <w:b w:val="1"/>
                <w:bCs w:val="1"/>
                <w:color w:val="auto"/>
              </w:rPr>
              <w:t>IGNS</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QUIPMENT</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22"/>
        </w:trPr>
        <w:tc>
          <w:tcPr>
            <w:tcW w:w="6680" w:type="dxa"/>
            <w:vAlign w:val="bottom"/>
          </w:tcPr>
          <w:p>
            <w:pPr>
              <w:spacing w:after="0"/>
              <w:rPr>
                <w:sz w:val="20"/>
                <w:szCs w:val="20"/>
                <w:color w:val="auto"/>
              </w:rPr>
            </w:pPr>
            <w:r>
              <w:rPr>
                <w:rFonts w:ascii="Arial" w:cs="Arial" w:eastAsia="Arial" w:hAnsi="Arial"/>
                <w:sz w:val="18"/>
                <w:szCs w:val="18"/>
                <w:color w:val="auto"/>
              </w:rPr>
              <w:t>At September 30, 2018, signs and equipment approximated as follows: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8"/>
        </w:trPr>
        <w:tc>
          <w:tcPr>
            <w:tcW w:w="6680" w:type="dxa"/>
            <w:vAlign w:val="bottom"/>
          </w:tcPr>
          <w:p>
            <w:pPr>
              <w:ind w:left="3380"/>
              <w:spacing w:after="0"/>
              <w:rPr>
                <w:sz w:val="20"/>
                <w:szCs w:val="20"/>
                <w:color w:val="auto"/>
              </w:rPr>
            </w:pPr>
            <w:r>
              <w:rPr>
                <w:rFonts w:ascii="Arial" w:cs="Arial" w:eastAsia="Arial" w:hAnsi="Arial"/>
                <w:sz w:val="18"/>
                <w:szCs w:val="18"/>
                <w:color w:val="auto"/>
              </w:rPr>
              <w:t>Signs and equipment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20,050,000</w:t>
            </w:r>
          </w:p>
        </w:tc>
      </w:tr>
      <w:tr>
        <w:trPr>
          <w:trHeight w:val="203"/>
        </w:trPr>
        <w:tc>
          <w:tcPr>
            <w:tcW w:w="6680" w:type="dxa"/>
            <w:vAlign w:val="bottom"/>
          </w:tcPr>
          <w:p>
            <w:pPr>
              <w:ind w:left="3380"/>
              <w:spacing w:after="0" w:line="203" w:lineRule="exact"/>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(13,476,000)</w:t>
            </w:r>
          </w:p>
        </w:tc>
      </w:tr>
      <w:tr>
        <w:trPr>
          <w:trHeight w:val="426"/>
        </w:trPr>
        <w:tc>
          <w:tcPr>
            <w:tcW w:w="6680" w:type="dxa"/>
            <w:vAlign w:val="bottom"/>
          </w:tcPr>
          <w:p>
            <w:pPr>
              <w:ind w:left="3380"/>
              <w:spacing w:after="0"/>
              <w:rPr>
                <w:sz w:val="20"/>
                <w:szCs w:val="20"/>
                <w:color w:val="auto"/>
              </w:rPr>
            </w:pPr>
            <w:r>
              <w:rPr>
                <w:rFonts w:ascii="Arial" w:cs="Arial" w:eastAsia="Arial" w:hAnsi="Arial"/>
                <w:sz w:val="18"/>
                <w:szCs w:val="18"/>
                <w:color w:val="auto"/>
              </w:rPr>
              <w:t>Signs and equipment,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6,574,000</w:t>
            </w:r>
          </w:p>
        </w:tc>
      </w:tr>
      <w:tr>
        <w:trPr>
          <w:trHeight w:val="20"/>
        </w:trPr>
        <w:tc>
          <w:tcPr>
            <w:tcW w:w="6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 ended September 30, 2018 approximated $4,047,000.</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Through December 31, 2013, the Company placed its first digital display, Sign 5, located at 3 Times Square, into startup mode. During the year ended December 31, 2014, the Company placed an additional 3 signs, known as the Triple Play, and located at 729 Seventh Avenue into operation. During the year ended December 31, 2015, the Company installed 4 additional signs. Three signs, located on 3 Times Square facing west on 42</w:t>
      </w:r>
      <w:r>
        <w:rPr>
          <w:rFonts w:ascii="Arial" w:cs="Arial" w:eastAsia="Arial" w:hAnsi="Arial"/>
          <w:sz w:val="15"/>
          <w:szCs w:val="15"/>
          <w:color w:val="auto"/>
        </w:rPr>
        <w:t>nd</w:t>
      </w:r>
      <w:r>
        <w:rPr>
          <w:rFonts w:ascii="Arial" w:cs="Arial" w:eastAsia="Arial" w:hAnsi="Arial"/>
          <w:sz w:val="18"/>
          <w:szCs w:val="18"/>
          <w:color w:val="auto"/>
        </w:rPr>
        <w:t xml:space="preserve"> Street are known as the Waterfall. The fourth sign, constructed above Sign 5, and in combination with Sign 5, is known as the Crossroads of the World. The construction of the aforementioned signs, which was finalized during May 2016, marks the completion of the initial build out of SDD’s Times Square network.</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year ended September 30, 2018, in connection with the execution of a Settlement Agreement and Mutual Release with a supplier of the Company’s signs and equipment, outstanding obligations previously recorded under accounts payable on the accompanying consolidated balance sheet were released in the amount of approximately $191,000.</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D - R</w:t>
      </w:r>
      <w:r>
        <w:rPr>
          <w:rFonts w:ascii="Arial" w:cs="Arial" w:eastAsia="Arial" w:hAnsi="Arial"/>
          <w:sz w:val="14"/>
          <w:szCs w:val="14"/>
          <w:b w:val="1"/>
          <w:bCs w:val="1"/>
          <w:color w:val="auto"/>
        </w:rPr>
        <w:t>ELATED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RANSACTIONS</w:t>
      </w:r>
    </w:p>
    <w:p>
      <w:pPr>
        <w:spacing w:after="0" w:line="216" w:lineRule="exact"/>
        <w:rPr>
          <w:sz w:val="20"/>
          <w:szCs w:val="20"/>
          <w:color w:val="auto"/>
        </w:rPr>
      </w:pPr>
    </w:p>
    <w:p>
      <w:pPr>
        <w:ind w:left="380" w:hanging="372"/>
        <w:spacing w:after="0"/>
        <w:tabs>
          <w:tab w:leader="none" w:pos="3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notes payable:</w:t>
      </w:r>
    </w:p>
    <w:p>
      <w:pPr>
        <w:spacing w:after="0" w:line="233" w:lineRule="exact"/>
        <w:rPr>
          <w:rFonts w:ascii="Arial" w:cs="Arial" w:eastAsia="Arial" w:hAnsi="Arial"/>
          <w:sz w:val="18"/>
          <w:szCs w:val="18"/>
          <w:b w:val="1"/>
          <w:bCs w:val="1"/>
          <w:color w:val="auto"/>
        </w:rPr>
      </w:pPr>
    </w:p>
    <w:p>
      <w:pPr>
        <w:jc w:val="both"/>
        <w:ind w:left="3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On December 30, 2013, the Company entered into a First Lien Credit Agreement (the “First Lien”) with aggregate borrowings of $25,000,000 available for draw through February of 2015. As of February 2015, all available borrowings under the agreement were fully drawn, accruing interest at LIBOR plus 12.5% compounded quarterly, allowing the Company, in its discretion, to pay interest in kind at a rate of LIBOR plus 13%. In June of 2017 and March of 2018, the applicable margin was reduced to 9.00% and 5.50%, respectively, through amendments to the First Lien.</w:t>
      </w:r>
    </w:p>
    <w:p>
      <w:pPr>
        <w:spacing w:after="0" w:line="202" w:lineRule="exact"/>
        <w:rPr>
          <w:rFonts w:ascii="Arial" w:cs="Arial" w:eastAsia="Arial" w:hAnsi="Arial"/>
          <w:sz w:val="18"/>
          <w:szCs w:val="18"/>
          <w:b w:val="1"/>
          <w:bCs w:val="1"/>
          <w:color w:val="auto"/>
        </w:rPr>
      </w:pPr>
    </w:p>
    <w:p>
      <w:pPr>
        <w:jc w:val="both"/>
        <w:ind w:left="3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Principal borrowings were scheduled to be repaid in consecutive quarterly installments, plus accrued interest, consistent with the terms of the agreement commencing June of 2016. The Company executed waivers and amendments to the First Lien, waiving all quarterly covenant violations and delaying required quarterly payments through December 31, 2018. In conjunction with an amendment executed in October of 2018, all quarterly debt covenant requirements were removed from the agreement and all remaining principal and interest is due upon maturity on December 31, 2019.</w:t>
      </w:r>
    </w:p>
    <w:p>
      <w:pPr>
        <w:spacing w:after="0" w:line="202" w:lineRule="exact"/>
        <w:rPr>
          <w:rFonts w:ascii="Arial" w:cs="Arial" w:eastAsia="Arial" w:hAnsi="Arial"/>
          <w:sz w:val="18"/>
          <w:szCs w:val="18"/>
          <w:b w:val="1"/>
          <w:bCs w:val="1"/>
          <w:color w:val="auto"/>
        </w:rPr>
      </w:pPr>
    </w:p>
    <w:p>
      <w:pPr>
        <w:ind w:left="3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In March and June of 2018, the Company utilized proceeds of approximately $6,970,000 and $2,000,000, respectively, from the issuance of Series B Preferred Stock to repay principal and accrued interest on the First Lien.</w:t>
      </w:r>
    </w:p>
    <w:p>
      <w:pPr>
        <w:spacing w:after="0" w:line="196" w:lineRule="exact"/>
        <w:rPr>
          <w:rFonts w:ascii="Arial" w:cs="Arial" w:eastAsia="Arial" w:hAnsi="Arial"/>
          <w:sz w:val="18"/>
          <w:szCs w:val="18"/>
          <w:b w:val="1"/>
          <w:bCs w:val="1"/>
          <w:color w:val="auto"/>
        </w:rPr>
      </w:pPr>
    </w:p>
    <w:p>
      <w:pPr>
        <w:jc w:val="both"/>
        <w:ind w:left="3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Company, at its discretion, may pay interest in kind accrued at the applicable margin on a quarterly basis. During the year ended September 30, 2018, approximately $2,822,000 of interest was paid in kind of which $2,479,000 was expensed during the year ended September 30, 2018. As of September 30, 2018, approximately $460,000 of interest was accrued and included in accrued expenses and other current liabilities on the accompanying consolidated balance sheet.</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b w:val="1"/>
          <w:bCs w:val="1"/>
          <w:color w:val="auto"/>
        </w:rPr>
        <w:t>SUPERIOR DIGITAL DISPLAYS HOLDINGS, INC. AND SUBSIDIARIES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540" w:type="dxa"/>
            <w:vAlign w:val="bottom"/>
          </w:tcPr>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D - R</w:t>
            </w:r>
            <w:r>
              <w:rPr>
                <w:rFonts w:ascii="Arial" w:cs="Arial" w:eastAsia="Arial" w:hAnsi="Arial"/>
                <w:sz w:val="14"/>
                <w:szCs w:val="14"/>
                <w:b w:val="1"/>
                <w:bCs w:val="1"/>
                <w:color w:val="auto"/>
              </w:rPr>
              <w:t>ELATED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22"/>
                <w:szCs w:val="22"/>
                <w:b w:val="1"/>
                <w:bCs w:val="1"/>
                <w:color w:val="auto"/>
              </w:rPr>
              <w:t xml:space="preserve"> </w:t>
            </w:r>
            <w:r>
              <w:rPr>
                <w:rFonts w:ascii="Arial" w:cs="Arial" w:eastAsia="Arial" w:hAnsi="Arial"/>
                <w:sz w:val="17"/>
                <w:szCs w:val="17"/>
                <w:b w:val="1"/>
                <w:bCs w:val="1"/>
                <w:color w:val="auto"/>
              </w:rPr>
              <w:t>(CONTINUED)</w:t>
            </w:r>
          </w:p>
        </w:tc>
        <w:tc>
          <w:tcPr>
            <w:tcW w:w="1180" w:type="dxa"/>
            <w:vAlign w:val="bottom"/>
          </w:tcPr>
          <w:p>
            <w:pPr>
              <w:spacing w:after="0"/>
              <w:rPr>
                <w:sz w:val="24"/>
                <w:szCs w:val="24"/>
                <w:color w:val="auto"/>
              </w:rPr>
            </w:pPr>
          </w:p>
        </w:tc>
      </w:tr>
      <w:tr>
        <w:trPr>
          <w:trHeight w:val="422"/>
        </w:trPr>
        <w:tc>
          <w:tcPr>
            <w:tcW w:w="7540" w:type="dxa"/>
            <w:vAlign w:val="bottom"/>
          </w:tcPr>
          <w:p>
            <w:pPr>
              <w:spacing w:after="0"/>
              <w:rPr>
                <w:sz w:val="20"/>
                <w:szCs w:val="20"/>
                <w:color w:val="auto"/>
              </w:rPr>
            </w:pPr>
            <w:r>
              <w:rPr>
                <w:rFonts w:ascii="Arial" w:cs="Arial" w:eastAsia="Arial" w:hAnsi="Arial"/>
                <w:sz w:val="18"/>
                <w:szCs w:val="18"/>
                <w:b w:val="1"/>
                <w:bCs w:val="1"/>
                <w:color w:val="auto"/>
              </w:rPr>
              <w:t>[1]  Related party notes payable: (continued)</w:t>
            </w:r>
          </w:p>
        </w:tc>
        <w:tc>
          <w:tcPr>
            <w:tcW w:w="1180" w:type="dxa"/>
            <w:vAlign w:val="bottom"/>
          </w:tcPr>
          <w:p>
            <w:pPr>
              <w:spacing w:after="0"/>
              <w:rPr>
                <w:sz w:val="24"/>
                <w:szCs w:val="24"/>
                <w:color w:val="auto"/>
              </w:rPr>
            </w:pPr>
          </w:p>
        </w:tc>
      </w:tr>
      <w:tr>
        <w:trPr>
          <w:trHeight w:val="419"/>
        </w:trPr>
        <w:tc>
          <w:tcPr>
            <w:tcW w:w="7540" w:type="dxa"/>
            <w:vAlign w:val="bottom"/>
          </w:tcPr>
          <w:p>
            <w:pPr>
              <w:ind w:left="380"/>
              <w:spacing w:after="0"/>
              <w:rPr>
                <w:sz w:val="20"/>
                <w:szCs w:val="20"/>
                <w:color w:val="auto"/>
              </w:rPr>
            </w:pPr>
            <w:r>
              <w:rPr>
                <w:rFonts w:ascii="Arial" w:cs="Arial" w:eastAsia="Arial" w:hAnsi="Arial"/>
                <w:sz w:val="18"/>
                <w:szCs w:val="18"/>
                <w:color w:val="auto"/>
              </w:rPr>
              <w:t>Related party notes payable at September 30, 2018 approximated as follows:</w:t>
            </w:r>
          </w:p>
        </w:tc>
        <w:tc>
          <w:tcPr>
            <w:tcW w:w="1180" w:type="dxa"/>
            <w:vAlign w:val="bottom"/>
          </w:tcPr>
          <w:p>
            <w:pPr>
              <w:spacing w:after="0"/>
              <w:rPr>
                <w:sz w:val="24"/>
                <w:szCs w:val="24"/>
                <w:color w:val="auto"/>
              </w:rPr>
            </w:pPr>
          </w:p>
        </w:tc>
      </w:tr>
      <w:tr>
        <w:trPr>
          <w:trHeight w:val="458"/>
        </w:trPr>
        <w:tc>
          <w:tcPr>
            <w:tcW w:w="7540" w:type="dxa"/>
            <w:vAlign w:val="bottom"/>
          </w:tcPr>
          <w:p>
            <w:pPr>
              <w:ind w:left="2540"/>
              <w:spacing w:after="0"/>
              <w:rPr>
                <w:sz w:val="20"/>
                <w:szCs w:val="20"/>
                <w:color w:val="auto"/>
              </w:rPr>
            </w:pPr>
            <w:r>
              <w:rPr>
                <w:rFonts w:ascii="Arial" w:cs="Arial" w:eastAsia="Arial" w:hAnsi="Arial"/>
                <w:sz w:val="18"/>
                <w:szCs w:val="18"/>
                <w:color w:val="auto"/>
              </w:rPr>
              <w:t>Principal borrowings:</w:t>
            </w:r>
          </w:p>
        </w:tc>
        <w:tc>
          <w:tcPr>
            <w:tcW w:w="1180" w:type="dxa"/>
            <w:vAlign w:val="bottom"/>
          </w:tcPr>
          <w:p>
            <w:pPr>
              <w:spacing w:after="0"/>
              <w:rPr>
                <w:sz w:val="24"/>
                <w:szCs w:val="24"/>
                <w:color w:val="auto"/>
              </w:rPr>
            </w:pPr>
          </w:p>
        </w:tc>
      </w:tr>
      <w:tr>
        <w:trPr>
          <w:trHeight w:val="216"/>
        </w:trPr>
        <w:tc>
          <w:tcPr>
            <w:tcW w:w="7540" w:type="dxa"/>
            <w:vAlign w:val="bottom"/>
          </w:tcPr>
          <w:p>
            <w:pPr>
              <w:ind w:left="2780"/>
              <w:spacing w:after="0"/>
              <w:rPr>
                <w:sz w:val="20"/>
                <w:szCs w:val="20"/>
                <w:color w:val="auto"/>
              </w:rPr>
            </w:pPr>
            <w:r>
              <w:rPr>
                <w:rFonts w:ascii="Arial" w:cs="Arial" w:eastAsia="Arial" w:hAnsi="Arial"/>
                <w:sz w:val="18"/>
                <w:szCs w:val="18"/>
                <w:color w:val="auto"/>
              </w:rPr>
              <w:t>First lien</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$ 23,209,000</w:t>
            </w:r>
          </w:p>
        </w:tc>
      </w:tr>
      <w:tr>
        <w:trPr>
          <w:trHeight w:val="216"/>
        </w:trPr>
        <w:tc>
          <w:tcPr>
            <w:tcW w:w="7540" w:type="dxa"/>
            <w:vAlign w:val="bottom"/>
          </w:tcPr>
          <w:p>
            <w:pPr>
              <w:ind w:left="2540"/>
              <w:spacing w:after="0"/>
              <w:rPr>
                <w:sz w:val="20"/>
                <w:szCs w:val="20"/>
                <w:color w:val="auto"/>
              </w:rPr>
            </w:pPr>
            <w:r>
              <w:rPr>
                <w:rFonts w:ascii="Arial" w:cs="Arial" w:eastAsia="Arial" w:hAnsi="Arial"/>
                <w:sz w:val="18"/>
                <w:szCs w:val="18"/>
                <w:color w:val="auto"/>
              </w:rPr>
              <w:t>Less:</w:t>
            </w:r>
          </w:p>
        </w:tc>
        <w:tc>
          <w:tcPr>
            <w:tcW w:w="1180" w:type="dxa"/>
            <w:vAlign w:val="bottom"/>
          </w:tcPr>
          <w:p>
            <w:pPr>
              <w:spacing w:after="0"/>
              <w:rPr>
                <w:sz w:val="18"/>
                <w:szCs w:val="18"/>
                <w:color w:val="auto"/>
              </w:rPr>
            </w:pPr>
          </w:p>
        </w:tc>
      </w:tr>
      <w:tr>
        <w:trPr>
          <w:trHeight w:val="216"/>
        </w:trPr>
        <w:tc>
          <w:tcPr>
            <w:tcW w:w="7540" w:type="dxa"/>
            <w:vAlign w:val="bottom"/>
          </w:tcPr>
          <w:p>
            <w:pPr>
              <w:ind w:left="2780"/>
              <w:spacing w:after="0"/>
              <w:rPr>
                <w:sz w:val="20"/>
                <w:szCs w:val="20"/>
                <w:color w:val="auto"/>
              </w:rPr>
            </w:pPr>
            <w:r>
              <w:rPr>
                <w:rFonts w:ascii="Arial" w:cs="Arial" w:eastAsia="Arial" w:hAnsi="Arial"/>
                <w:sz w:val="18"/>
                <w:szCs w:val="18"/>
                <w:color w:val="auto"/>
              </w:rPr>
              <w:t>Unamortized original issue discount</w:t>
            </w:r>
          </w:p>
        </w:tc>
        <w:tc>
          <w:tcPr>
            <w:tcW w:w="1180" w:type="dxa"/>
            <w:vAlign w:val="bottom"/>
          </w:tcPr>
          <w:p>
            <w:pPr>
              <w:jc w:val="right"/>
              <w:spacing w:after="0"/>
              <w:rPr>
                <w:sz w:val="20"/>
                <w:szCs w:val="20"/>
                <w:color w:val="auto"/>
              </w:rPr>
            </w:pPr>
            <w:r>
              <w:rPr>
                <w:rFonts w:ascii="Arial" w:cs="Arial" w:eastAsia="Arial" w:hAnsi="Arial"/>
                <w:sz w:val="18"/>
                <w:szCs w:val="18"/>
                <w:color w:val="auto"/>
              </w:rPr>
              <w:t>(146,000)</w:t>
            </w:r>
          </w:p>
        </w:tc>
      </w:tr>
      <w:tr>
        <w:trPr>
          <w:trHeight w:val="203"/>
        </w:trPr>
        <w:tc>
          <w:tcPr>
            <w:tcW w:w="7540" w:type="dxa"/>
            <w:vAlign w:val="bottom"/>
          </w:tcPr>
          <w:p>
            <w:pPr>
              <w:ind w:left="2780"/>
              <w:spacing w:after="0" w:line="203" w:lineRule="exact"/>
              <w:rPr>
                <w:sz w:val="20"/>
                <w:szCs w:val="20"/>
                <w:color w:val="auto"/>
              </w:rPr>
            </w:pPr>
            <w:r>
              <w:rPr>
                <w:rFonts w:ascii="Arial" w:cs="Arial" w:eastAsia="Arial" w:hAnsi="Arial"/>
                <w:sz w:val="18"/>
                <w:szCs w:val="18"/>
                <w:color w:val="auto"/>
              </w:rPr>
              <w:t>Unamortized debt issuance costs</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(149,000)</w:t>
            </w:r>
          </w:p>
        </w:tc>
      </w:tr>
      <w:tr>
        <w:trPr>
          <w:trHeight w:val="425"/>
        </w:trPr>
        <w:tc>
          <w:tcPr>
            <w:tcW w:w="7540" w:type="dxa"/>
            <w:vAlign w:val="bottom"/>
          </w:tcPr>
          <w:p>
            <w:pPr>
              <w:ind w:left="2540"/>
              <w:spacing w:after="0"/>
              <w:rPr>
                <w:sz w:val="20"/>
                <w:szCs w:val="20"/>
                <w:color w:val="auto"/>
              </w:rPr>
            </w:pPr>
            <w:r>
              <w:rPr>
                <w:rFonts w:ascii="Arial" w:cs="Arial" w:eastAsia="Arial" w:hAnsi="Arial"/>
                <w:sz w:val="18"/>
                <w:szCs w:val="18"/>
                <w:color w:val="auto"/>
              </w:rPr>
              <w:t>Related party notes payable less unamortized</w:t>
            </w:r>
          </w:p>
        </w:tc>
        <w:tc>
          <w:tcPr>
            <w:tcW w:w="1180" w:type="dxa"/>
            <w:vAlign w:val="bottom"/>
          </w:tcPr>
          <w:p>
            <w:pPr>
              <w:spacing w:after="0"/>
              <w:rPr>
                <w:sz w:val="24"/>
                <w:szCs w:val="24"/>
                <w:color w:val="auto"/>
              </w:rPr>
            </w:pPr>
          </w:p>
        </w:tc>
      </w:tr>
      <w:tr>
        <w:trPr>
          <w:trHeight w:val="217"/>
        </w:trPr>
        <w:tc>
          <w:tcPr>
            <w:tcW w:w="7540" w:type="dxa"/>
            <w:vAlign w:val="bottom"/>
          </w:tcPr>
          <w:p>
            <w:pPr>
              <w:ind w:left="2680"/>
              <w:spacing w:after="0"/>
              <w:rPr>
                <w:sz w:val="20"/>
                <w:szCs w:val="20"/>
                <w:color w:val="auto"/>
              </w:rPr>
            </w:pPr>
            <w:r>
              <w:rPr>
                <w:rFonts w:ascii="Arial" w:cs="Arial" w:eastAsia="Arial" w:hAnsi="Arial"/>
                <w:sz w:val="18"/>
                <w:szCs w:val="18"/>
                <w:color w:val="auto"/>
              </w:rPr>
              <w:t>discount and debt issuance costs</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22,914,000</w:t>
            </w:r>
          </w:p>
        </w:tc>
      </w:tr>
      <w:tr>
        <w:trPr>
          <w:trHeight w:val="418"/>
        </w:trPr>
        <w:tc>
          <w:tcPr>
            <w:tcW w:w="7540" w:type="dxa"/>
            <w:vAlign w:val="bottom"/>
          </w:tcPr>
          <w:p>
            <w:pPr>
              <w:ind w:left="2540"/>
              <w:spacing w:after="0"/>
              <w:rPr>
                <w:sz w:val="20"/>
                <w:szCs w:val="20"/>
                <w:color w:val="auto"/>
              </w:rPr>
            </w:pPr>
            <w:r>
              <w:rPr>
                <w:rFonts w:ascii="Arial" w:cs="Arial" w:eastAsia="Arial" w:hAnsi="Arial"/>
                <w:sz w:val="18"/>
                <w:szCs w:val="18"/>
                <w:color w:val="auto"/>
              </w:rPr>
              <w:t>Less: current portion</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425"/>
        </w:trPr>
        <w:tc>
          <w:tcPr>
            <w:tcW w:w="7540" w:type="dxa"/>
            <w:vAlign w:val="bottom"/>
          </w:tcPr>
          <w:p>
            <w:pPr>
              <w:ind w:left="2540"/>
              <w:spacing w:after="0"/>
              <w:rPr>
                <w:sz w:val="20"/>
                <w:szCs w:val="20"/>
                <w:color w:val="auto"/>
              </w:rPr>
            </w:pPr>
            <w:r>
              <w:rPr>
                <w:rFonts w:ascii="Arial" w:cs="Arial" w:eastAsia="Arial" w:hAnsi="Arial"/>
                <w:sz w:val="18"/>
                <w:szCs w:val="18"/>
                <w:color w:val="auto"/>
              </w:rPr>
              <w:t>Related party notes payable, net of current portion</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$ 22,914,000</w:t>
            </w:r>
          </w:p>
        </w:tc>
      </w:tr>
      <w:tr>
        <w:trPr>
          <w:trHeight w:val="20"/>
        </w:trPr>
        <w:tc>
          <w:tcPr>
            <w:tcW w:w="75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80" w:right="20"/>
        <w:spacing w:after="0" w:line="246" w:lineRule="auto"/>
        <w:rPr>
          <w:sz w:val="20"/>
          <w:szCs w:val="20"/>
          <w:color w:val="auto"/>
        </w:rPr>
      </w:pPr>
      <w:r>
        <w:rPr>
          <w:rFonts w:ascii="Arial" w:cs="Arial" w:eastAsia="Arial" w:hAnsi="Arial"/>
          <w:sz w:val="18"/>
          <w:szCs w:val="18"/>
          <w:color w:val="auto"/>
        </w:rPr>
        <w:t>Based on principal advanced under the First Lien facility, as of September 30, 2018, future principal payments on related party notes payable are approximately as follows:</w:t>
      </w:r>
    </w:p>
    <w:p>
      <w:pPr>
        <w:spacing w:after="0" w:line="215" w:lineRule="exact"/>
        <w:rPr>
          <w:sz w:val="20"/>
          <w:szCs w:val="20"/>
          <w:color w:val="auto"/>
        </w:rPr>
      </w:pPr>
    </w:p>
    <w:p>
      <w:pPr>
        <w:jc w:val="center"/>
        <w:ind w:right="1400"/>
        <w:spacing w:after="0"/>
        <w:rPr>
          <w:sz w:val="20"/>
          <w:szCs w:val="20"/>
          <w:color w:val="auto"/>
        </w:rPr>
      </w:pPr>
      <w:r>
        <w:rPr>
          <w:rFonts w:ascii="Arial" w:cs="Arial" w:eastAsia="Arial" w:hAnsi="Arial"/>
          <w:sz w:val="18"/>
          <w:szCs w:val="18"/>
          <w:b w:val="1"/>
          <w:bCs w:val="1"/>
          <w:color w:val="auto"/>
        </w:rPr>
        <w:t>Year Ending</w:t>
      </w:r>
    </w:p>
    <w:p>
      <w:pPr>
        <w:spacing w:after="0" w:line="18" w:lineRule="exact"/>
        <w:rPr>
          <w:sz w:val="20"/>
          <w:szCs w:val="20"/>
          <w:color w:val="auto"/>
        </w:rPr>
      </w:pPr>
    </w:p>
    <w:p>
      <w:pPr>
        <w:jc w:val="center"/>
        <w:ind w:right="14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-1905</wp:posOffset>
            </wp:positionV>
            <wp:extent cx="16027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32" w:lineRule="exact"/>
        <w:rPr>
          <w:sz w:val="20"/>
          <w:szCs w:val="20"/>
          <w:color w:val="auto"/>
        </w:rPr>
      </w:pPr>
    </w:p>
    <w:p>
      <w:pPr>
        <w:ind w:left="4720"/>
        <w:spacing w:after="0"/>
        <w:tabs>
          <w:tab w:leader="none" w:pos="6280" w:val="left"/>
          <w:tab w:leader="none" w:pos="742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4720"/>
        <w:spacing w:after="0"/>
        <w:tabs>
          <w:tab w:leader="none" w:pos="658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23,209,000</w:t>
      </w:r>
    </w:p>
    <w:p>
      <w:pPr>
        <w:spacing w:after="0" w:line="217" w:lineRule="exact"/>
        <w:rPr>
          <w:sz w:val="20"/>
          <w:szCs w:val="20"/>
          <w:color w:val="auto"/>
        </w:rPr>
      </w:pPr>
    </w:p>
    <w:p>
      <w:pPr>
        <w:ind w:left="380" w:hanging="372"/>
        <w:spacing w:after="0"/>
        <w:tabs>
          <w:tab w:leader="none" w:pos="38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agreement:</w:t>
      </w:r>
    </w:p>
    <w:p>
      <w:pPr>
        <w:spacing w:after="0" w:line="233" w:lineRule="exact"/>
        <w:rPr>
          <w:rFonts w:ascii="Arial" w:cs="Arial" w:eastAsia="Arial" w:hAnsi="Arial"/>
          <w:sz w:val="18"/>
          <w:szCs w:val="18"/>
          <w:b w:val="1"/>
          <w:bCs w:val="1"/>
          <w:color w:val="auto"/>
        </w:rPr>
      </w:pPr>
    </w:p>
    <w:p>
      <w:pPr>
        <w:jc w:val="both"/>
        <w:ind w:left="38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Company entered into an Amended and Restated Management Agreement (the “Agreement”) with a shareholder during the year ended December 31, 2013. This Agreement assigns the right to a monthly fee equal to the total of 1.5% of the Company’s gross revenues generated from each of the five commercial signs to be erected in the Company’s Times Square location. This amended agreement became effective during the first full month for which each sign was installed and operated and expires December 31, 2023. For the year ended September 30, 2018, management expense approximated $16,000 and is recorded under operating expenses on the accompanying consolidated statement of operations. As of September 30, 2018, approximately $25,000 is included under accrued expenses and other current liabilities on the accompanying consolidated balance sheet.</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E - 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AYABLE</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year ended September 30, 2018, the Company entered into an agreement to finance the cost of certain insurance policies. The financing required 10 monthly installments of principal and interest in the amount of $18,905 and had an effective rate of interest of 7.93%. Final payment was made September 4, 2018.</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b w:val="1"/>
          <w:bCs w:val="1"/>
          <w:color w:val="auto"/>
        </w:rPr>
        <w:t>SUPERIOR DIGITAL DISPLAYS HOLDINGS, INC. AND SUBSIDIARIES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140" w:type="dxa"/>
            <w:vAlign w:val="bottom"/>
          </w:tcPr>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F - I</w:t>
            </w:r>
            <w:r>
              <w:rPr>
                <w:rFonts w:ascii="Arial" w:cs="Arial" w:eastAsia="Arial" w:hAnsi="Arial"/>
                <w:sz w:val="14"/>
                <w:szCs w:val="14"/>
                <w:b w:val="1"/>
                <w:bCs w:val="1"/>
                <w:color w:val="auto"/>
              </w:rPr>
              <w:t>NTEREST</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XPENSE</w:t>
            </w:r>
          </w:p>
        </w:tc>
        <w:tc>
          <w:tcPr>
            <w:tcW w:w="1000" w:type="dxa"/>
            <w:vAlign w:val="bottom"/>
          </w:tcPr>
          <w:p>
            <w:pPr>
              <w:spacing w:after="0"/>
              <w:rPr>
                <w:sz w:val="24"/>
                <w:szCs w:val="24"/>
                <w:color w:val="auto"/>
              </w:rPr>
            </w:pPr>
          </w:p>
        </w:tc>
      </w:tr>
      <w:tr>
        <w:trPr>
          <w:trHeight w:val="422"/>
        </w:trPr>
        <w:tc>
          <w:tcPr>
            <w:tcW w:w="7140" w:type="dxa"/>
            <w:vAlign w:val="bottom"/>
          </w:tcPr>
          <w:p>
            <w:pPr>
              <w:spacing w:after="0"/>
              <w:rPr>
                <w:sz w:val="20"/>
                <w:szCs w:val="20"/>
                <w:color w:val="auto"/>
              </w:rPr>
            </w:pPr>
            <w:r>
              <w:rPr>
                <w:rFonts w:ascii="Arial" w:cs="Arial" w:eastAsia="Arial" w:hAnsi="Arial"/>
                <w:sz w:val="18"/>
                <w:szCs w:val="18"/>
                <w:color w:val="auto"/>
              </w:rPr>
              <w:t>Interest expense was as follows for the year ended September 30, 2018:</w:t>
            </w:r>
          </w:p>
        </w:tc>
        <w:tc>
          <w:tcPr>
            <w:tcW w:w="1000" w:type="dxa"/>
            <w:vAlign w:val="bottom"/>
          </w:tcPr>
          <w:p>
            <w:pPr>
              <w:spacing w:after="0"/>
              <w:rPr>
                <w:sz w:val="24"/>
                <w:szCs w:val="24"/>
                <w:color w:val="auto"/>
              </w:rPr>
            </w:pPr>
          </w:p>
        </w:tc>
      </w:tr>
      <w:tr>
        <w:trPr>
          <w:trHeight w:val="458"/>
        </w:trPr>
        <w:tc>
          <w:tcPr>
            <w:tcW w:w="7140" w:type="dxa"/>
            <w:vAlign w:val="bottom"/>
          </w:tcPr>
          <w:p>
            <w:pPr>
              <w:ind w:left="3100"/>
              <w:spacing w:after="0"/>
              <w:rPr>
                <w:sz w:val="20"/>
                <w:szCs w:val="20"/>
                <w:color w:val="auto"/>
              </w:rPr>
            </w:pPr>
            <w:r>
              <w:rPr>
                <w:rFonts w:ascii="Arial" w:cs="Arial" w:eastAsia="Arial" w:hAnsi="Arial"/>
                <w:sz w:val="18"/>
                <w:szCs w:val="18"/>
                <w:color w:val="auto"/>
              </w:rPr>
              <w:t>Related party notes payable</w:t>
            </w:r>
          </w:p>
        </w:tc>
        <w:tc>
          <w:tcPr>
            <w:tcW w:w="1000" w:type="dxa"/>
            <w:vAlign w:val="bottom"/>
          </w:tcPr>
          <w:p>
            <w:pPr>
              <w:jc w:val="right"/>
              <w:spacing w:after="0"/>
              <w:rPr>
                <w:sz w:val="20"/>
                <w:szCs w:val="20"/>
                <w:color w:val="auto"/>
              </w:rPr>
            </w:pPr>
            <w:r>
              <w:rPr>
                <w:rFonts w:ascii="Arial" w:cs="Arial" w:eastAsia="Arial" w:hAnsi="Arial"/>
                <w:sz w:val="18"/>
                <w:szCs w:val="18"/>
                <w:color w:val="auto"/>
                <w:w w:val="94"/>
              </w:rPr>
              <w:t>$ 2,479,000</w:t>
            </w:r>
          </w:p>
        </w:tc>
      </w:tr>
      <w:tr>
        <w:trPr>
          <w:trHeight w:val="216"/>
        </w:trPr>
        <w:tc>
          <w:tcPr>
            <w:tcW w:w="7140" w:type="dxa"/>
            <w:vAlign w:val="bottom"/>
          </w:tcPr>
          <w:p>
            <w:pPr>
              <w:ind w:left="3100"/>
              <w:spacing w:after="0"/>
              <w:rPr>
                <w:sz w:val="20"/>
                <w:szCs w:val="20"/>
                <w:color w:val="auto"/>
              </w:rPr>
            </w:pPr>
            <w:r>
              <w:rPr>
                <w:rFonts w:ascii="Arial" w:cs="Arial" w:eastAsia="Arial" w:hAnsi="Arial"/>
                <w:sz w:val="18"/>
                <w:szCs w:val="18"/>
                <w:color w:val="auto"/>
              </w:rPr>
              <w:t>Original issue discount amortization</w:t>
            </w:r>
          </w:p>
        </w:tc>
        <w:tc>
          <w:tcPr>
            <w:tcW w:w="1000" w:type="dxa"/>
            <w:vAlign w:val="bottom"/>
          </w:tcPr>
          <w:p>
            <w:pPr>
              <w:jc w:val="right"/>
              <w:spacing w:after="0"/>
              <w:rPr>
                <w:sz w:val="20"/>
                <w:szCs w:val="20"/>
                <w:color w:val="auto"/>
              </w:rPr>
            </w:pPr>
            <w:r>
              <w:rPr>
                <w:rFonts w:ascii="Arial" w:cs="Arial" w:eastAsia="Arial" w:hAnsi="Arial"/>
                <w:sz w:val="18"/>
                <w:szCs w:val="18"/>
                <w:color w:val="auto"/>
              </w:rPr>
              <w:t>542,000</w:t>
            </w:r>
          </w:p>
        </w:tc>
      </w:tr>
      <w:tr>
        <w:trPr>
          <w:trHeight w:val="216"/>
        </w:trPr>
        <w:tc>
          <w:tcPr>
            <w:tcW w:w="7140" w:type="dxa"/>
            <w:vAlign w:val="bottom"/>
          </w:tcPr>
          <w:p>
            <w:pPr>
              <w:ind w:left="3100"/>
              <w:spacing w:after="0"/>
              <w:rPr>
                <w:sz w:val="20"/>
                <w:szCs w:val="20"/>
                <w:color w:val="auto"/>
              </w:rPr>
            </w:pPr>
            <w:r>
              <w:rPr>
                <w:rFonts w:ascii="Arial" w:cs="Arial" w:eastAsia="Arial" w:hAnsi="Arial"/>
                <w:sz w:val="18"/>
                <w:szCs w:val="18"/>
                <w:color w:val="auto"/>
              </w:rPr>
              <w:t>Debt issuance costs amortization</w:t>
            </w:r>
          </w:p>
        </w:tc>
        <w:tc>
          <w:tcPr>
            <w:tcW w:w="1000" w:type="dxa"/>
            <w:vAlign w:val="bottom"/>
          </w:tcPr>
          <w:p>
            <w:pPr>
              <w:jc w:val="right"/>
              <w:spacing w:after="0"/>
              <w:rPr>
                <w:sz w:val="20"/>
                <w:szCs w:val="20"/>
                <w:color w:val="auto"/>
              </w:rPr>
            </w:pPr>
            <w:r>
              <w:rPr>
                <w:rFonts w:ascii="Arial" w:cs="Arial" w:eastAsia="Arial" w:hAnsi="Arial"/>
                <w:sz w:val="18"/>
                <w:szCs w:val="18"/>
                <w:color w:val="auto"/>
              </w:rPr>
              <w:t>552,000</w:t>
            </w:r>
          </w:p>
        </w:tc>
      </w:tr>
      <w:tr>
        <w:trPr>
          <w:trHeight w:val="203"/>
        </w:trPr>
        <w:tc>
          <w:tcPr>
            <w:tcW w:w="7140" w:type="dxa"/>
            <w:vAlign w:val="bottom"/>
          </w:tcPr>
          <w:p>
            <w:pPr>
              <w:ind w:left="3100"/>
              <w:spacing w:after="0" w:line="203" w:lineRule="exact"/>
              <w:rPr>
                <w:sz w:val="20"/>
                <w:szCs w:val="20"/>
                <w:color w:val="auto"/>
              </w:rPr>
            </w:pPr>
            <w:r>
              <w:rPr>
                <w:rFonts w:ascii="Arial" w:cs="Arial" w:eastAsia="Arial" w:hAnsi="Arial"/>
                <w:sz w:val="18"/>
                <w:szCs w:val="18"/>
                <w:color w:val="auto"/>
              </w:rPr>
              <w:t>Other, net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5,000</w:t>
            </w:r>
          </w:p>
        </w:tc>
      </w:tr>
      <w:tr>
        <w:trPr>
          <w:trHeight w:val="426"/>
        </w:trPr>
        <w:tc>
          <w:tcPr>
            <w:tcW w:w="714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$ 3,578,000</w:t>
            </w:r>
          </w:p>
        </w:tc>
      </w:tr>
      <w:tr>
        <w:trPr>
          <w:trHeight w:val="20"/>
        </w:trPr>
        <w:tc>
          <w:tcPr>
            <w:tcW w:w="7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G - S</w:t>
      </w:r>
      <w:r>
        <w:rPr>
          <w:rFonts w:ascii="Arial" w:cs="Arial" w:eastAsia="Arial" w:hAnsi="Arial"/>
          <w:sz w:val="14"/>
          <w:szCs w:val="14"/>
          <w:b w:val="1"/>
          <w:bCs w:val="1"/>
          <w:color w:val="auto"/>
        </w:rPr>
        <w:t>TOCKHOLDERS</w:t>
      </w:r>
      <w:r>
        <w:rPr>
          <w:rFonts w:ascii="Arial" w:cs="Arial" w:eastAsia="Arial" w:hAnsi="Arial"/>
          <w:sz w:val="22"/>
          <w:szCs w:val="22"/>
          <w:b w:val="1"/>
          <w:bCs w:val="1"/>
          <w:color w:val="auto"/>
        </w:rPr>
        <w:t>’ D</w:t>
      </w:r>
      <w:r>
        <w:rPr>
          <w:rFonts w:ascii="Arial" w:cs="Arial" w:eastAsia="Arial" w:hAnsi="Arial"/>
          <w:sz w:val="14"/>
          <w:szCs w:val="14"/>
          <w:b w:val="1"/>
          <w:bCs w:val="1"/>
          <w:color w:val="auto"/>
        </w:rPr>
        <w:t>EFICIT</w:t>
      </w:r>
    </w:p>
    <w:p>
      <w:pPr>
        <w:spacing w:after="0" w:line="2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June 12, 2017, the Board approved an amendment to the Certificate of Incorporation of Holdings increasing the number of authorized shares to a total of 678,775 shares of common stock with a par value of $0.01 per share and 648,775 shares of a convertible preferred stock with a par value of $0.01 per share, of which 38,000 are designated as Series A Convertible Preferred Stock and 610,775 shares designated as Series B Convertible Preferred Stock.</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March 15, 2018, the Board approved an amendment to the Certificate of Incorporation of Holdings increasing the number of authorized shares to a total of 1,078,775 shares of common stock with a par value of $0.01 per share and 1,048,775 shares of a convertible preferred stock with a par value of $0.01 per share, of which 38,000 are designated as Series A Preferred Stock and 1,010,775 shares designated as Series B Preferred Stock.</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Series A Convertible Preferred Stock and Series B Convertible Preferred Stock accrue dividends annually at a rate of 15% whether or not declared by the Board and shall be cumulative and compounded annually. There were no dividends declared by the Board for the year ended September 30, 2018. Each share of preferred stock shall be convertible at the option of the holder at any time to pro-rated shares of Common Stock based on original issue price.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On October 2, 2017, 25,076 Series B Convertible Preferred Stock shares were sold for approximately $750,000.</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March and June of 2018, the Company issued 250,762 and 80,244 Series B Convertible Preferred Stock shares, respectively, for approximately $7,500,000 and $ 2,430,000, respectively, for working capital needs and partial repayment of accrued interest and outstanding principal on the Company’s First Lien.</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September 30, 2018, the issued and outstanding common stock represented 2.2%, the issued and outstanding Series A Convertible Preferred Stock represent 4.1% and the Series B Convertible Preferred Stock represented 92.5% of the fully diluted stock of the Company. The remaining 1.2% represents shares reserved for the Management Employee Incentive Program.</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H - M</w:t>
      </w:r>
      <w:r>
        <w:rPr>
          <w:rFonts w:ascii="Arial" w:cs="Arial" w:eastAsia="Arial" w:hAnsi="Arial"/>
          <w:sz w:val="14"/>
          <w:szCs w:val="14"/>
          <w:b w:val="1"/>
          <w:bCs w:val="1"/>
          <w:color w:val="auto"/>
        </w:rPr>
        <w:t>ANAGEMENT</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MPLOYEE</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ROGRAM</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March of 2015, an Equity Incentive Plan was approved by the Board of Directors and existing stockholders. A maximum of 10,030 shares are available under the Equity Incentive Plan. At September 30, 2018, a total of 10,030 shares were reserved under the Equity Incentive Plan. At September 30, 2018, a total of 3,343 shares were vested and issued under the Plan and all remaining shares were forfeited. The purchase of the forfeited shares will be refunded by the Company for a total of $2,500. Such amounts are accrued as of September 30, 2018 on the accompanying consolidated Balance Sheet.</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b w:val="1"/>
          <w:bCs w:val="1"/>
          <w:color w:val="auto"/>
        </w:rPr>
        <w:t>SUPERIOR DIGITAL DISPLAYS HOLDINGS, INC. AND SUBSIDIARIES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I - I</w:t>
      </w:r>
      <w:r>
        <w:rPr>
          <w:rFonts w:ascii="Arial" w:cs="Arial" w:eastAsia="Arial" w:hAnsi="Arial"/>
          <w:sz w:val="14"/>
          <w:szCs w:val="14"/>
          <w:b w:val="1"/>
          <w:bCs w:val="1"/>
          <w:color w:val="auto"/>
        </w:rPr>
        <w:t>NCOME</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AXES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the Company’s deferred tax assets and liabilities at September 30, 2018 are approximately as follows:</w:t>
      </w:r>
    </w:p>
    <w:p>
      <w:pPr>
        <w:spacing w:after="0" w:line="252"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Amortization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(1,080,000)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Deferred rent</w:t>
            </w:r>
          </w:p>
        </w:tc>
        <w:tc>
          <w:tcPr>
            <w:tcW w:w="1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49,000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705,000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72,000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Federal net operating losses</w:t>
            </w:r>
          </w:p>
        </w:tc>
        <w:tc>
          <w:tcPr>
            <w:tcW w:w="1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9,929,000</w:t>
            </w:r>
          </w:p>
        </w:tc>
      </w:tr>
      <w:tr>
        <w:trPr>
          <w:trHeight w:val="203"/>
        </w:trPr>
        <w:tc>
          <w:tcPr>
            <w:tcW w:w="5460" w:type="dxa"/>
            <w:vAlign w:val="bottom"/>
          </w:tcPr>
          <w:p>
            <w:pPr>
              <w:spacing w:after="0" w:line="203" w:lineRule="exact"/>
              <w:rPr>
                <w:sz w:val="20"/>
                <w:szCs w:val="20"/>
                <w:color w:val="auto"/>
              </w:rPr>
            </w:pPr>
            <w:r>
              <w:rPr>
                <w:rFonts w:ascii="Arial" w:cs="Arial" w:eastAsia="Arial" w:hAnsi="Arial"/>
                <w:sz w:val="18"/>
                <w:szCs w:val="18"/>
                <w:color w:val="auto"/>
              </w:rPr>
              <w:t>State net operating losses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5,136,000</w:t>
            </w:r>
          </w:p>
        </w:tc>
      </w:tr>
      <w:tr>
        <w:trPr>
          <w:trHeight w:val="438"/>
        </w:trPr>
        <w:tc>
          <w:tcPr>
            <w:tcW w:w="5460" w:type="dxa"/>
            <w:vAlign w:val="bottom"/>
          </w:tcPr>
          <w:p>
            <w:pPr>
              <w:spacing w:after="0"/>
              <w:rPr>
                <w:sz w:val="20"/>
                <w:szCs w:val="20"/>
                <w:color w:val="auto"/>
              </w:rPr>
            </w:pPr>
            <w:r>
              <w:rPr>
                <w:rFonts w:ascii="Arial" w:cs="Arial" w:eastAsia="Arial" w:hAnsi="Arial"/>
                <w:sz w:val="18"/>
                <w:szCs w:val="18"/>
                <w:color w:val="auto"/>
              </w:rPr>
              <w:t>Total gross deferred tax assets</w:t>
            </w:r>
          </w:p>
        </w:tc>
        <w:tc>
          <w:tcPr>
            <w:tcW w:w="1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14,736,000</w:t>
            </w:r>
          </w:p>
        </w:tc>
      </w:tr>
      <w:tr>
        <w:trPr>
          <w:trHeight w:val="203"/>
        </w:trPr>
        <w:tc>
          <w:tcPr>
            <w:tcW w:w="5460" w:type="dxa"/>
            <w:vAlign w:val="bottom"/>
          </w:tcPr>
          <w:p>
            <w:pPr>
              <w:spacing w:after="0" w:line="203" w:lineRule="exact"/>
              <w:rPr>
                <w:sz w:val="20"/>
                <w:szCs w:val="20"/>
                <w:color w:val="auto"/>
              </w:rPr>
            </w:pPr>
            <w:r>
              <w:rPr>
                <w:rFonts w:ascii="Arial" w:cs="Arial" w:eastAsia="Arial" w:hAnsi="Arial"/>
                <w:sz w:val="18"/>
                <w:szCs w:val="18"/>
                <w:color w:val="auto"/>
              </w:rPr>
              <w:t>Less: valuation allowance</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(14,736,000)</w:t>
            </w:r>
          </w:p>
        </w:tc>
      </w:tr>
      <w:tr>
        <w:trPr>
          <w:trHeight w:val="425"/>
        </w:trPr>
        <w:tc>
          <w:tcPr>
            <w:tcW w:w="54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September 30, 2018, the Company has recorded a full valuation allowance against its net deferred tax assets of approximately $14,736,000. A full valuation allowance has been recorded since, in the judgment of management, these assets are not more likely than not to be realized. The ultimate realization of deferred tax assets is dependent upon the generation of future taxable income during periods in which those temporary differences and carryforwards become deductible or are utilized.</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September 30, 2018, the Company has approximately $47,284,000 and $46,559,000 of federal and state net operating loss carryforwards, respectively. The federal and state net operating loss carryforwards begin to expire in 2034.</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December 22, 2017, H.R. 1 (also, known as the Tax Cuts and Jobs Act (the “Act”)) was signed into law. Among its numerous changes to the Internal Revenue Code, the Act reduces U.S. federal corporate tax rate from 34% to 21% and implemented an interest limitation. As a result, the Company has revalued their deferred tax assets as of December 31, 2017 at the 21% rate. In addition, the interest expense incurred by the Company has been disallowed from the period of January 1, 2018 to September 30, 2018. The interest will be carried forward indefinitely until the Company has enough income to incur the loss.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income tax benefit for the year ended September 30, 2018 differed from the amounts computed by applying the U.S. federal income tax rate of 21% to loss before tax benefit as a result of nondeductible expenses, tax credits generated, utilization of net operating loss carryforwards, and increases in the Company’s valuation allowance.</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J - C</w:t>
      </w:r>
      <w:r>
        <w:rPr>
          <w:rFonts w:ascii="Arial" w:cs="Arial" w:eastAsia="Arial" w:hAnsi="Arial"/>
          <w:sz w:val="14"/>
          <w:szCs w:val="14"/>
          <w:b w:val="1"/>
          <w:bCs w:val="1"/>
          <w:color w:val="auto"/>
        </w:rPr>
        <w:t>OMMITMENTS</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ONTINGENCIES</w:t>
      </w:r>
    </w:p>
    <w:p>
      <w:pPr>
        <w:spacing w:after="0" w:line="216" w:lineRule="exact"/>
        <w:rPr>
          <w:sz w:val="20"/>
          <w:szCs w:val="20"/>
          <w:color w:val="auto"/>
        </w:rPr>
      </w:pPr>
    </w:p>
    <w:p>
      <w:pPr>
        <w:ind w:left="380" w:hanging="372"/>
        <w:spacing w:after="0"/>
        <w:tabs>
          <w:tab w:leader="none" w:pos="3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233" w:lineRule="exact"/>
        <w:rPr>
          <w:rFonts w:ascii="Arial" w:cs="Arial" w:eastAsia="Arial" w:hAnsi="Arial"/>
          <w:sz w:val="18"/>
          <w:szCs w:val="18"/>
          <w:b w:val="1"/>
          <w:bCs w:val="1"/>
          <w:color w:val="auto"/>
        </w:rPr>
      </w:pPr>
    </w:p>
    <w:p>
      <w:pPr>
        <w:jc w:val="both"/>
        <w:ind w:left="380"/>
        <w:spacing w:after="0"/>
        <w:rPr>
          <w:rFonts w:ascii="Arial" w:cs="Arial" w:eastAsia="Arial" w:hAnsi="Arial"/>
          <w:sz w:val="18"/>
          <w:szCs w:val="18"/>
          <w:b w:val="1"/>
          <w:bCs w:val="1"/>
          <w:color w:val="auto"/>
        </w:rPr>
      </w:pPr>
      <w:r>
        <w:rPr>
          <w:rFonts w:ascii="Arial" w:cs="Arial" w:eastAsia="Arial" w:hAnsi="Arial"/>
          <w:sz w:val="18"/>
          <w:szCs w:val="18"/>
          <w:color w:val="auto"/>
        </w:rPr>
        <w:t>The Company entered into a lease agreement during April of 2011, as periodically amended, with respect to certain portions of the exterior of a building suitable for construction of five digital displays. The lease calls for fixed monthly rental payments in the amount of $5,000 per month for a term of 10 years for each active sign location.</w:t>
      </w:r>
    </w:p>
    <w:p>
      <w:pPr>
        <w:spacing w:after="0" w:line="202" w:lineRule="exact"/>
        <w:rPr>
          <w:rFonts w:ascii="Arial" w:cs="Arial" w:eastAsia="Arial" w:hAnsi="Arial"/>
          <w:sz w:val="18"/>
          <w:szCs w:val="18"/>
          <w:b w:val="1"/>
          <w:bCs w:val="1"/>
          <w:color w:val="auto"/>
        </w:rPr>
      </w:pPr>
    </w:p>
    <w:p>
      <w:pPr>
        <w:ind w:left="3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lease has two five-year options to renew. In addition to fixed rent, the Company is required to make percentage rent payments equal to an agreed-upon percentage of the gross revenues generated by each sign area.</w:t>
      </w:r>
    </w:p>
    <w:p>
      <w:pPr>
        <w:spacing w:after="0" w:line="196" w:lineRule="exact"/>
        <w:rPr>
          <w:rFonts w:ascii="Arial" w:cs="Arial" w:eastAsia="Arial" w:hAnsi="Arial"/>
          <w:sz w:val="18"/>
          <w:szCs w:val="18"/>
          <w:b w:val="1"/>
          <w:bCs w:val="1"/>
          <w:color w:val="auto"/>
        </w:rPr>
      </w:pPr>
    </w:p>
    <w:p>
      <w:pPr>
        <w:jc w:val="both"/>
        <w:ind w:left="3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During November of 2012, the lease was amended, segregating sign areas 1 through 4 to a new lease with terms consistent with the original lease. Rent payments per this agreement are $5,000 per month for each active sign area. The Company paid contingent rent based on total revenues generated by Sign 5 equal to 50% of monthly revenue with a minimum monthly guaranteed rent share on Sign 5 equal to $62,500 per month payable to the landlord in addition to the $5,000 per month base rent.</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b w:val="1"/>
          <w:bCs w:val="1"/>
          <w:color w:val="auto"/>
        </w:rPr>
        <w:t>SUPERIOR DIGITAL DISPLAYS HOLDINGS, INC. AND SUBSIDIARIES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2018</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J - C</w:t>
      </w:r>
      <w:r>
        <w:rPr>
          <w:rFonts w:ascii="Arial" w:cs="Arial" w:eastAsia="Arial" w:hAnsi="Arial"/>
          <w:sz w:val="14"/>
          <w:szCs w:val="14"/>
          <w:b w:val="1"/>
          <w:bCs w:val="1"/>
          <w:color w:val="auto"/>
        </w:rPr>
        <w:t>OMMITMENTS</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ONTINGENCIES</w:t>
      </w:r>
      <w:r>
        <w:rPr>
          <w:rFonts w:ascii="Arial" w:cs="Arial" w:eastAsia="Arial" w:hAnsi="Arial"/>
          <w:sz w:val="22"/>
          <w:szCs w:val="22"/>
          <w:b w:val="1"/>
          <w:bCs w:val="1"/>
          <w:color w:val="auto"/>
        </w:rPr>
        <w:t xml:space="preserve"> </w:t>
      </w:r>
      <w:r>
        <w:rPr>
          <w:rFonts w:ascii="Arial" w:cs="Arial" w:eastAsia="Arial" w:hAnsi="Arial"/>
          <w:sz w:val="17"/>
          <w:szCs w:val="17"/>
          <w:b w:val="1"/>
          <w:bCs w:val="1"/>
          <w:color w:val="auto"/>
        </w:rPr>
        <w:t>(CONTINUED)</w:t>
      </w:r>
    </w:p>
    <w:p>
      <w:pPr>
        <w:spacing w:after="0" w:line="211" w:lineRule="exact"/>
        <w:rPr>
          <w:sz w:val="20"/>
          <w:szCs w:val="20"/>
          <w:color w:val="auto"/>
        </w:rPr>
      </w:pPr>
    </w:p>
    <w:p>
      <w:pPr>
        <w:ind w:left="380" w:hanging="372"/>
        <w:spacing w:after="0"/>
        <w:tabs>
          <w:tab w:leader="none" w:pos="380" w:val="left"/>
        </w:tabs>
        <w:numPr>
          <w:ilvl w:val="0"/>
          <w:numId w:val="122"/>
        </w:numPr>
        <w:rPr>
          <w:rFonts w:ascii="Arial" w:cs="Arial" w:eastAsia="Arial" w:hAnsi="Arial"/>
          <w:sz w:val="20"/>
          <w:szCs w:val="20"/>
          <w:b w:val="1"/>
          <w:bCs w:val="1"/>
          <w:color w:val="auto"/>
        </w:rPr>
      </w:pPr>
      <w:r>
        <w:rPr>
          <w:rFonts w:ascii="Arial" w:cs="Arial" w:eastAsia="Arial" w:hAnsi="Arial"/>
          <w:sz w:val="20"/>
          <w:szCs w:val="20"/>
          <w:b w:val="1"/>
          <w:bCs w:val="1"/>
          <w:color w:val="auto"/>
        </w:rPr>
        <w:t>Operating leases: (continued)</w:t>
      </w:r>
    </w:p>
    <w:p>
      <w:pPr>
        <w:spacing w:after="0" w:line="228" w:lineRule="exact"/>
        <w:rPr>
          <w:rFonts w:ascii="Arial" w:cs="Arial" w:eastAsia="Arial" w:hAnsi="Arial"/>
          <w:sz w:val="20"/>
          <w:szCs w:val="20"/>
          <w:b w:val="1"/>
          <w:bCs w:val="1"/>
          <w:color w:val="auto"/>
        </w:rPr>
      </w:pPr>
    </w:p>
    <w:p>
      <w:pPr>
        <w:jc w:val="both"/>
        <w:ind w:left="380"/>
        <w:spacing w:after="0" w:line="238" w:lineRule="auto"/>
        <w:rPr>
          <w:rFonts w:ascii="Arial" w:cs="Arial" w:eastAsia="Arial" w:hAnsi="Arial"/>
          <w:sz w:val="20"/>
          <w:szCs w:val="20"/>
          <w:b w:val="1"/>
          <w:bCs w:val="1"/>
          <w:color w:val="auto"/>
        </w:rPr>
      </w:pPr>
      <w:r>
        <w:rPr>
          <w:rFonts w:ascii="Arial" w:cs="Arial" w:eastAsia="Arial" w:hAnsi="Arial"/>
          <w:sz w:val="18"/>
          <w:szCs w:val="18"/>
          <w:color w:val="auto"/>
        </w:rPr>
        <w:t>Effective May 1, 2017, the leases were amended transferring Sign 4 from the Sign 1 - 4 lease to the Sign 5 lease. This transfer allows the revenue share from Signs 4 and 5 to be applied against the minimum revenue share of $62,500 per month as contingent rent. The Company also has a minimum monthly guaranteed rent share on Signs 1 - 3 equal to 50% of monthly revenue payable to the landlord in addition to the $5,000 per month base rent per sign.</w:t>
      </w:r>
    </w:p>
    <w:p>
      <w:pPr>
        <w:spacing w:after="0" w:line="204" w:lineRule="exact"/>
        <w:rPr>
          <w:rFonts w:ascii="Arial" w:cs="Arial" w:eastAsia="Arial" w:hAnsi="Arial"/>
          <w:sz w:val="20"/>
          <w:szCs w:val="20"/>
          <w:b w:val="1"/>
          <w:bCs w:val="1"/>
          <w:color w:val="auto"/>
        </w:rPr>
      </w:pPr>
    </w:p>
    <w:p>
      <w:pPr>
        <w:jc w:val="both"/>
        <w:ind w:left="380"/>
        <w:spacing w:after="0" w:line="238" w:lineRule="auto"/>
        <w:rPr>
          <w:rFonts w:ascii="Arial" w:cs="Arial" w:eastAsia="Arial" w:hAnsi="Arial"/>
          <w:sz w:val="20"/>
          <w:szCs w:val="20"/>
          <w:b w:val="1"/>
          <w:bCs w:val="1"/>
          <w:color w:val="auto"/>
        </w:rPr>
      </w:pPr>
      <w:r>
        <w:rPr>
          <w:rFonts w:ascii="Arial" w:cs="Arial" w:eastAsia="Arial" w:hAnsi="Arial"/>
          <w:sz w:val="18"/>
          <w:szCs w:val="18"/>
          <w:color w:val="auto"/>
        </w:rPr>
        <w:t>During December of 2012, the Company entered into an additional lease agreement for a second advertising location. The lease commenced on January 1, 2013 and continues for a twenty-year period expiring on December 31, 2032. The lease terms contain one ten-year renewal option. The lease contains escalating rent provisions and certain rent holidays accounted for on a straight-line basis over the term of the lease. In addition to scheduled monthly rental payments, the Company is required to make percentage rental payments equal to the agreed-upon formula contained in the lease agreement.</w:t>
      </w:r>
    </w:p>
    <w:p>
      <w:pPr>
        <w:spacing w:after="0" w:line="202" w:lineRule="exact"/>
        <w:rPr>
          <w:rFonts w:ascii="Arial" w:cs="Arial" w:eastAsia="Arial" w:hAnsi="Arial"/>
          <w:sz w:val="20"/>
          <w:szCs w:val="20"/>
          <w:b w:val="1"/>
          <w:bCs w:val="1"/>
          <w:color w:val="auto"/>
        </w:rPr>
      </w:pPr>
    </w:p>
    <w:p>
      <w:pPr>
        <w:ind w:left="380"/>
        <w:spacing w:after="0" w:line="246" w:lineRule="auto"/>
        <w:rPr>
          <w:rFonts w:ascii="Arial" w:cs="Arial" w:eastAsia="Arial" w:hAnsi="Arial"/>
          <w:sz w:val="20"/>
          <w:szCs w:val="20"/>
          <w:b w:val="1"/>
          <w:bCs w:val="1"/>
          <w:color w:val="auto"/>
        </w:rPr>
      </w:pPr>
      <w:r>
        <w:rPr>
          <w:rFonts w:ascii="Arial" w:cs="Arial" w:eastAsia="Arial" w:hAnsi="Arial"/>
          <w:sz w:val="18"/>
          <w:szCs w:val="18"/>
          <w:color w:val="auto"/>
        </w:rPr>
        <w:t>Future minimum rental payments required under operating leases for sign space that have initial or remaining non-cancelable lease terms in excess of one year and are fixed and determinable as of September 30, 2018 are approximately:</w:t>
      </w:r>
    </w:p>
    <w:p>
      <w:pPr>
        <w:spacing w:after="0" w:line="215" w:lineRule="exact"/>
        <w:rPr>
          <w:sz w:val="20"/>
          <w:szCs w:val="20"/>
          <w:color w:val="auto"/>
        </w:rPr>
      </w:pPr>
    </w:p>
    <w:p>
      <w:pPr>
        <w:jc w:val="center"/>
        <w:ind w:right="1800"/>
        <w:spacing w:after="0"/>
        <w:rPr>
          <w:sz w:val="20"/>
          <w:szCs w:val="20"/>
          <w:color w:val="auto"/>
        </w:rPr>
      </w:pPr>
      <w:r>
        <w:rPr>
          <w:rFonts w:ascii="Arial" w:cs="Arial" w:eastAsia="Arial" w:hAnsi="Arial"/>
          <w:sz w:val="18"/>
          <w:szCs w:val="18"/>
          <w:b w:val="1"/>
          <w:bCs w:val="1"/>
          <w:color w:val="auto"/>
        </w:rPr>
        <w:t>Year Ending</w:t>
      </w:r>
    </w:p>
    <w:p>
      <w:pPr>
        <w:spacing w:after="0" w:line="31" w:lineRule="exact"/>
        <w:rPr>
          <w:sz w:val="20"/>
          <w:szCs w:val="20"/>
          <w:color w:val="auto"/>
        </w:rPr>
      </w:pPr>
    </w:p>
    <w:p>
      <w:pPr>
        <w:jc w:val="center"/>
        <w:ind w:right="18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-1905</wp:posOffset>
            </wp:positionV>
            <wp:extent cx="20745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32" w:lineRule="exact"/>
        <w:rPr>
          <w:sz w:val="20"/>
          <w:szCs w:val="20"/>
          <w:color w:val="auto"/>
        </w:rPr>
      </w:pPr>
    </w:p>
    <w:tbl>
      <w:tblPr>
        <w:tblLayout w:type="fixed"/>
        <w:tblInd w:w="3860" w:type="dxa"/>
        <w:tblCellMar>
          <w:top w:w="0" w:type="dxa"/>
          <w:left w:w="0" w:type="dxa"/>
          <w:bottom w:w="0" w:type="dxa"/>
          <w:right w:w="0" w:type="dxa"/>
        </w:tblCellMar>
      </w:tblPr>
      <w:tr>
        <w:trPr>
          <w:trHeight w:val="216"/>
        </w:trPr>
        <w:tc>
          <w:tcPr>
            <w:tcW w:w="3060" w:type="dxa"/>
            <w:vAlign w:val="bottom"/>
          </w:tcPr>
          <w:p>
            <w:pPr>
              <w:jc w:val="center"/>
              <w:ind w:right="1250"/>
              <w:spacing w:after="0"/>
              <w:rPr>
                <w:sz w:val="20"/>
                <w:szCs w:val="20"/>
                <w:color w:val="auto"/>
              </w:rPr>
            </w:pPr>
            <w:r>
              <w:rPr>
                <w:rFonts w:ascii="Arial" w:cs="Arial" w:eastAsia="Arial" w:hAnsi="Arial"/>
                <w:sz w:val="18"/>
                <w:szCs w:val="18"/>
                <w:color w:val="auto"/>
                <w:w w:val="99"/>
              </w:rPr>
              <w:t>2019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1,290,000</w:t>
            </w:r>
          </w:p>
        </w:tc>
      </w:tr>
      <w:tr>
        <w:trPr>
          <w:trHeight w:val="216"/>
        </w:trPr>
        <w:tc>
          <w:tcPr>
            <w:tcW w:w="3060" w:type="dxa"/>
            <w:vAlign w:val="bottom"/>
          </w:tcPr>
          <w:p>
            <w:pPr>
              <w:jc w:val="center"/>
              <w:ind w:right="1250"/>
              <w:spacing w:after="0"/>
              <w:rPr>
                <w:sz w:val="20"/>
                <w:szCs w:val="20"/>
                <w:color w:val="auto"/>
              </w:rPr>
            </w:pPr>
            <w:r>
              <w:rPr>
                <w:rFonts w:ascii="Arial" w:cs="Arial" w:eastAsia="Arial" w:hAnsi="Arial"/>
                <w:sz w:val="18"/>
                <w:szCs w:val="18"/>
                <w:color w:val="auto"/>
                <w:w w:val="99"/>
              </w:rPr>
              <w:t>2020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1,290,000</w:t>
            </w:r>
          </w:p>
        </w:tc>
      </w:tr>
      <w:tr>
        <w:trPr>
          <w:trHeight w:val="216"/>
        </w:trPr>
        <w:tc>
          <w:tcPr>
            <w:tcW w:w="3060" w:type="dxa"/>
            <w:vAlign w:val="bottom"/>
          </w:tcPr>
          <w:p>
            <w:pPr>
              <w:jc w:val="center"/>
              <w:ind w:right="1250"/>
              <w:spacing w:after="0"/>
              <w:rPr>
                <w:sz w:val="20"/>
                <w:szCs w:val="20"/>
                <w:color w:val="auto"/>
              </w:rPr>
            </w:pPr>
            <w:r>
              <w:rPr>
                <w:rFonts w:ascii="Arial" w:cs="Arial" w:eastAsia="Arial" w:hAnsi="Arial"/>
                <w:sz w:val="18"/>
                <w:szCs w:val="18"/>
                <w:color w:val="auto"/>
                <w:w w:val="99"/>
              </w:rPr>
              <w:t>2021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765,000</w:t>
            </w:r>
          </w:p>
        </w:tc>
      </w:tr>
      <w:tr>
        <w:trPr>
          <w:trHeight w:val="216"/>
        </w:trPr>
        <w:tc>
          <w:tcPr>
            <w:tcW w:w="3060" w:type="dxa"/>
            <w:vAlign w:val="bottom"/>
          </w:tcPr>
          <w:p>
            <w:pPr>
              <w:jc w:val="center"/>
              <w:ind w:right="1250"/>
              <w:spacing w:after="0"/>
              <w:rPr>
                <w:sz w:val="20"/>
                <w:szCs w:val="20"/>
                <w:color w:val="auto"/>
              </w:rPr>
            </w:pPr>
            <w:r>
              <w:rPr>
                <w:rFonts w:ascii="Arial" w:cs="Arial" w:eastAsia="Arial" w:hAnsi="Arial"/>
                <w:sz w:val="18"/>
                <w:szCs w:val="18"/>
                <w:color w:val="auto"/>
                <w:w w:val="99"/>
              </w:rPr>
              <w:t>2022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240,000</w:t>
            </w:r>
          </w:p>
        </w:tc>
      </w:tr>
      <w:tr>
        <w:trPr>
          <w:trHeight w:val="216"/>
        </w:trPr>
        <w:tc>
          <w:tcPr>
            <w:tcW w:w="3060" w:type="dxa"/>
            <w:vAlign w:val="bottom"/>
          </w:tcPr>
          <w:p>
            <w:pPr>
              <w:jc w:val="center"/>
              <w:ind w:right="1250"/>
              <w:spacing w:after="0"/>
              <w:rPr>
                <w:sz w:val="20"/>
                <w:szCs w:val="20"/>
                <w:color w:val="auto"/>
              </w:rPr>
            </w:pPr>
            <w:r>
              <w:rPr>
                <w:rFonts w:ascii="Arial" w:cs="Arial" w:eastAsia="Arial" w:hAnsi="Arial"/>
                <w:sz w:val="18"/>
                <w:szCs w:val="18"/>
                <w:color w:val="auto"/>
                <w:w w:val="99"/>
              </w:rPr>
              <w:t>2023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240,000</w:t>
            </w:r>
          </w:p>
        </w:tc>
      </w:tr>
      <w:tr>
        <w:trPr>
          <w:trHeight w:val="203"/>
        </w:trPr>
        <w:tc>
          <w:tcPr>
            <w:tcW w:w="3060" w:type="dxa"/>
            <w:vAlign w:val="bottom"/>
          </w:tcPr>
          <w:p>
            <w:pPr>
              <w:jc w:val="center"/>
              <w:ind w:right="1230"/>
              <w:spacing w:after="0" w:line="203" w:lineRule="exact"/>
              <w:rPr>
                <w:sz w:val="20"/>
                <w:szCs w:val="20"/>
                <w:color w:val="auto"/>
              </w:rPr>
            </w:pPr>
            <w:r>
              <w:rPr>
                <w:rFonts w:ascii="Arial" w:cs="Arial" w:eastAsia="Arial" w:hAnsi="Arial"/>
                <w:sz w:val="18"/>
                <w:szCs w:val="18"/>
                <w:color w:val="auto"/>
                <w:w w:val="98"/>
              </w:rPr>
              <w:t>Thereafter</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2,664,000</w:t>
            </w:r>
          </w:p>
        </w:tc>
      </w:tr>
      <w:tr>
        <w:trPr>
          <w:trHeight w:val="425"/>
        </w:trPr>
        <w:tc>
          <w:tcPr>
            <w:tcW w:w="3060" w:type="dxa"/>
            <w:vAlign w:val="bottom"/>
          </w:tcPr>
          <w:p>
            <w:pPr>
              <w:jc w:val="center"/>
              <w:ind w:right="1230"/>
              <w:spacing w:after="0"/>
              <w:rPr>
                <w:sz w:val="20"/>
                <w:szCs w:val="20"/>
                <w:color w:val="auto"/>
              </w:rPr>
            </w:pPr>
            <w:r>
              <w:rPr>
                <w:rFonts w:ascii="Arial" w:cs="Arial" w:eastAsia="Arial" w:hAnsi="Arial"/>
                <w:sz w:val="18"/>
                <w:szCs w:val="18"/>
                <w:color w:val="auto"/>
                <w:w w:val="98"/>
              </w:rPr>
              <w:t>Total minimum rentals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6,489,000</w:t>
            </w:r>
          </w:p>
        </w:tc>
      </w:tr>
      <w:tr>
        <w:trPr>
          <w:trHeight w:val="20"/>
        </w:trPr>
        <w:tc>
          <w:tcPr>
            <w:tcW w:w="3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380"/>
        <w:spacing w:after="0" w:line="246" w:lineRule="auto"/>
        <w:rPr>
          <w:sz w:val="20"/>
          <w:szCs w:val="20"/>
          <w:color w:val="auto"/>
        </w:rPr>
      </w:pPr>
      <w:r>
        <w:rPr>
          <w:rFonts w:ascii="Arial" w:cs="Arial" w:eastAsia="Arial" w:hAnsi="Arial"/>
          <w:sz w:val="18"/>
          <w:szCs w:val="18"/>
          <w:color w:val="auto"/>
        </w:rPr>
        <w:t>Rent expense for the year ended September 30, 2018 was approximately $1,590,000 and is included in operating expenses on the accompanying consolidated statement of operations.</w:t>
      </w:r>
    </w:p>
    <w:p>
      <w:pPr>
        <w:spacing w:after="0" w:line="175" w:lineRule="exact"/>
        <w:rPr>
          <w:sz w:val="20"/>
          <w:szCs w:val="20"/>
          <w:color w:val="auto"/>
        </w:rPr>
      </w:pPr>
    </w:p>
    <w:p>
      <w:pPr>
        <w:ind w:left="380" w:hanging="372"/>
        <w:spacing w:after="0"/>
        <w:tabs>
          <w:tab w:leader="none" w:pos="3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agreements:</w:t>
      </w:r>
    </w:p>
    <w:p>
      <w:pPr>
        <w:spacing w:after="0" w:line="233" w:lineRule="exact"/>
        <w:rPr>
          <w:rFonts w:ascii="Arial" w:cs="Arial" w:eastAsia="Arial" w:hAnsi="Arial"/>
          <w:sz w:val="18"/>
          <w:szCs w:val="18"/>
          <w:b w:val="1"/>
          <w:bCs w:val="1"/>
          <w:color w:val="auto"/>
        </w:rPr>
      </w:pPr>
    </w:p>
    <w:p>
      <w:pPr>
        <w:jc w:val="both"/>
        <w:ind w:left="380"/>
        <w:spacing w:after="0"/>
        <w:rPr>
          <w:rFonts w:ascii="Arial" w:cs="Arial" w:eastAsia="Arial" w:hAnsi="Arial"/>
          <w:sz w:val="18"/>
          <w:szCs w:val="18"/>
          <w:b w:val="1"/>
          <w:bCs w:val="1"/>
          <w:color w:val="auto"/>
        </w:rPr>
      </w:pPr>
      <w:r>
        <w:rPr>
          <w:rFonts w:ascii="Arial" w:cs="Arial" w:eastAsia="Arial" w:hAnsi="Arial"/>
          <w:sz w:val="18"/>
          <w:szCs w:val="18"/>
          <w:color w:val="auto"/>
        </w:rPr>
        <w:t>The Company entered into employment agreements with certain executive officers. As applicable, the agreements include an annual compensation amount, sales commissions, and the terms of an annual incentive bonus under the Company’s Management Bonus Plan as further defined in the agreements.</w:t>
      </w:r>
    </w:p>
    <w:p>
      <w:pPr>
        <w:spacing w:after="0" w:line="202" w:lineRule="exact"/>
        <w:rPr>
          <w:rFonts w:ascii="Arial" w:cs="Arial" w:eastAsia="Arial" w:hAnsi="Arial"/>
          <w:sz w:val="18"/>
          <w:szCs w:val="18"/>
          <w:b w:val="1"/>
          <w:bCs w:val="1"/>
          <w:color w:val="auto"/>
        </w:rPr>
      </w:pPr>
    </w:p>
    <w:p>
      <w:pPr>
        <w:ind w:left="38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On January 31, 2017, the Company entered into a separation agreement that calls for continuation of compensation as severance pay for 12 months.</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OTE</w:t>
      </w:r>
      <w:r>
        <w:rPr>
          <w:rFonts w:ascii="Arial" w:cs="Arial" w:eastAsia="Arial" w:hAnsi="Arial"/>
          <w:sz w:val="22"/>
          <w:szCs w:val="22"/>
          <w:b w:val="1"/>
          <w:bCs w:val="1"/>
          <w:color w:val="auto"/>
        </w:rPr>
        <w:t xml:space="preserve"> K - M</w:t>
      </w:r>
      <w:r>
        <w:rPr>
          <w:rFonts w:ascii="Arial" w:cs="Arial" w:eastAsia="Arial" w:hAnsi="Arial"/>
          <w:sz w:val="14"/>
          <w:szCs w:val="14"/>
          <w:b w:val="1"/>
          <w:bCs w:val="1"/>
          <w:color w:val="auto"/>
        </w:rPr>
        <w:t>AJOR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USTOMERS</w:t>
      </w:r>
    </w:p>
    <w:p>
      <w:pPr>
        <w:spacing w:after="0" w:line="23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For the year ended September 30, 2018, two customers accounted for approximately 54% of the Company’s total revenues. These same customers accounted for approximately 43% of accounts receivable as of September 30, 2018.</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16</w:t>
      </w:r>
    </w:p>
    <w:sectPr>
      <w:pgSz w:w="11900" w:h="16838" w:orient="portrait"/>
      <w:cols w:equalWidth="0" w:num="1">
        <w:col w:w="11240"/>
      </w:cols>
      <w:pgMar w:left="320" w:top="1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1)"/>
      <w:numFmt w:val="lowerLetter"/>
      <w:start w:val="1"/>
    </w:lvl>
  </w:abstractNum>
  <w:abstractNum w:abstractNumId="5">
    <w:nsid w:val="5FF87E05"/>
    <w:multiLevelType w:val="hybridMultilevel"/>
    <w:lvl w:ilvl="0">
      <w:lvlJc w:val="left"/>
      <w:lvlText w:val="%1)"/>
      <w:numFmt w:val="lowerLetter"/>
      <w:start w:val="2"/>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1)"/>
      <w:numFmt w:val="lowerLetter"/>
      <w:start w:val="3"/>
    </w:lvl>
  </w:abstractNum>
  <w:abstractNum w:abstractNumId="8">
    <w:nsid w:val="1DBABF00"/>
    <w:multiLevelType w:val="hybridMultilevel"/>
    <w:lvl w:ilvl="0">
      <w:lvlJc w:val="left"/>
      <w:lvlText w:val="%1)"/>
      <w:numFmt w:val="lowerLetter"/>
      <w:start w:val="4"/>
    </w:lvl>
  </w:abstractNum>
  <w:abstractNum w:abstractNumId="9">
    <w:nsid w:val="4AD084E9"/>
    <w:multiLevelType w:val="hybridMultilevel"/>
    <w:lvl w:ilvl="0">
      <w:lvlJc w:val="left"/>
      <w:lvlText w:val="%1)"/>
      <w:numFmt w:val="lowerLetter"/>
      <w:start w:val="1"/>
    </w:lvl>
  </w:abstractNum>
  <w:abstractNum w:abstractNumId="10">
    <w:nsid w:val="1F48EAA1"/>
    <w:multiLevelType w:val="hybridMultilevel"/>
    <w:lvl w:ilvl="0">
      <w:lvlJc w:val="left"/>
      <w:lvlText w:val="%1)"/>
      <w:numFmt w:val="lowerLetter"/>
      <w:start w:val="2"/>
    </w:lvl>
  </w:abstractNum>
  <w:abstractNum w:abstractNumId="11">
    <w:nsid w:val="1381823A"/>
    <w:multiLevelType w:val="hybridMultilevel"/>
    <w:lvl w:ilvl="0">
      <w:lvlJc w:val="left"/>
      <w:lvlText w:val="%1)"/>
      <w:numFmt w:val="lowerLetter"/>
      <w:start w:val="3"/>
    </w:lvl>
  </w:abstractNum>
  <w:abstractNum w:abstractNumId="12">
    <w:nsid w:val="5DB70AE5"/>
    <w:multiLevelType w:val="hybridMultilevel"/>
    <w:lvl w:ilvl="0">
      <w:lvlJc w:val="left"/>
      <w:lvlText w:val="%1)"/>
      <w:numFmt w:val="lowerLetter"/>
      <w:start w:val="4"/>
    </w:lvl>
  </w:abstractNum>
  <w:abstractNum w:abstractNumId="13">
    <w:nsid w:val="100F8FCA"/>
    <w:multiLevelType w:val="hybridMultilevel"/>
    <w:lvl w:ilvl="0">
      <w:lvlJc w:val="left"/>
      <w:lvlText w:val="%1)"/>
      <w:numFmt w:val="lowerLetter"/>
      <w:start w:val="5"/>
    </w:lvl>
  </w:abstractNum>
  <w:abstractNum w:abstractNumId="14">
    <w:nsid w:val="6590700B"/>
    <w:multiLevelType w:val="hybridMultilevel"/>
    <w:lvl w:ilvl="0">
      <w:lvlJc w:val="left"/>
      <w:lvlText w:val="%1)"/>
      <w:numFmt w:val="lowerLetter"/>
      <w:start w:val="6"/>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1)"/>
      <w:numFmt w:val="decimal"/>
      <w:start w:val="4"/>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1)"/>
      <w:numFmt w:val="decimal"/>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lvl w:ilvl="1">
      <w:lvlJc w:val="left"/>
      <w:lvlText w:val="="/>
      <w:numFmt w:val="bullet"/>
      <w:start w:val="1"/>
    </w:lvl>
  </w:abstractNum>
  <w:abstractNum w:abstractNumId="24">
    <w:nsid w:val="5DC79EA8"/>
    <w:multiLevelType w:val="hybridMultilevel"/>
    <w:lvl w:ilvl="0">
      <w:lvlJc w:val="left"/>
      <w:lvlText w:val="(%1)"/>
      <w:numFmt w:val="decimal"/>
      <w:start w:val="1"/>
    </w:lvl>
  </w:abstractNum>
  <w:abstractNum w:abstractNumId="25">
    <w:nsid w:val="540A47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
    <w:nsid w:val="7BD3EE7B"/>
    <w:multiLevelType w:val="hybridMultilevel"/>
    <w:lvl w:ilvl="0">
      <w:lvlJc w:val="left"/>
      <w:lvlText w:val="(%1)"/>
      <w:numFmt w:val="decimal"/>
      <w:start w:val="3"/>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lvl w:ilvl="1">
      <w:lvlJc w:val="left"/>
      <w:lvlText w:val="%2)"/>
      <w:numFmt w:val="decimal"/>
      <w:start w:val="1"/>
    </w:lvl>
  </w:abstractNum>
  <w:abstractNum w:abstractNumId="30">
    <w:nsid w:val="11447B73"/>
    <w:multiLevelType w:val="hybridMultilevel"/>
    <w:lvl w:ilvl="0">
      <w:lvlJc w:val="left"/>
      <w:lvlText w:val="(%1)"/>
      <w:numFmt w:val="decimal"/>
      <w:start w:val="2"/>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1)"/>
      <w:numFmt w:val="decimal"/>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1."/>
      <w:numFmt w:val="decimal"/>
      <w:start w:val="1"/>
    </w:lvl>
    <w:lvl w:ilvl="1">
      <w:lvlJc w:val="left"/>
      <w:lvlText w:val="%2."/>
      <w:numFmt w:val="decimal"/>
      <w:start w:val="2"/>
    </w:lvl>
  </w:abstractNum>
  <w:abstractNum w:abstractNumId="37">
    <w:nsid w:val="4962813B"/>
    <w:multiLevelType w:val="hybridMultilevel"/>
    <w:lvl w:ilvl="0">
      <w:lvlJc w:val="left"/>
      <w:lvlText w:val="%1."/>
      <w:numFmt w:val="decimal"/>
      <w:start w:val="3"/>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1)"/>
      <w:numFmt w:val="decimal"/>
      <w:start w:val="1"/>
    </w:lvl>
  </w:abstractNum>
  <w:abstractNum w:abstractNumId="45">
    <w:nsid w:val="7FB7E0AA"/>
    <w:multiLevelType w:val="hybridMultilevel"/>
    <w:lvl w:ilvl="0">
      <w:lvlJc w:val="left"/>
      <w:lvlText w:val="(%1)"/>
      <w:numFmt w:val="decimal"/>
      <w:start w:val="1"/>
    </w:lvl>
  </w:abstractNum>
  <w:abstractNum w:abstractNumId="46">
    <w:nsid w:val="6EB5BD4"/>
    <w:multiLevelType w:val="hybridMultilevel"/>
    <w:lvl w:ilvl="0">
      <w:lvlJc w:val="left"/>
      <w:lvlText w:val="(%1)"/>
      <w:numFmt w:val="decimal"/>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
      <w:numFmt w:val="bullet"/>
      <w:start w:val="1"/>
    </w:lvl>
  </w:abstractNum>
  <w:abstractNum w:abstractNumId="49">
    <w:nsid w:val="885E1B"/>
    <w:multiLevelType w:val="hybridMultilevel"/>
    <w:lvl w:ilvl="0">
      <w:lvlJc w:val="left"/>
      <w:lvlText w:val="(%1)"/>
      <w:numFmt w:val="decimal"/>
      <w:start w:val="1"/>
    </w:lvl>
  </w:abstractNum>
  <w:abstractNum w:abstractNumId="50">
    <w:nsid w:val="76272110"/>
    <w:multiLevelType w:val="hybridMultilevel"/>
    <w:lvl w:ilvl="0">
      <w:lvlJc w:val="left"/>
      <w:lvlText w:val="%1."/>
      <w:numFmt w:val="decimal"/>
      <w:start w:val="1"/>
    </w:lvl>
  </w:abstractNum>
  <w:abstractNum w:abstractNumId="51">
    <w:nsid w:val="4C04A8AF"/>
    <w:multiLevelType w:val="hybridMultilevel"/>
    <w:lvl w:ilvl="0">
      <w:lvlJc w:val="left"/>
      <w:lvlText w:val="(%1)"/>
      <w:numFmt w:val="decimal"/>
      <w:start w:val="1"/>
    </w:lvl>
  </w:abstractNum>
  <w:abstractNum w:abstractNumId="52">
    <w:nsid w:val="1716703B"/>
    <w:multiLevelType w:val="hybridMultilevel"/>
    <w:lvl w:ilvl="0">
      <w:lvlJc w:val="left"/>
      <w:lvlText w:val="(%1)"/>
      <w:numFmt w:val="decimal"/>
      <w:start w:val="1"/>
    </w:lvl>
  </w:abstractNum>
  <w:abstractNum w:abstractNumId="53">
    <w:nsid w:val="14E17E33"/>
    <w:multiLevelType w:val="hybridMultilevel"/>
    <w:lvl w:ilvl="0">
      <w:lvlJc w:val="left"/>
      <w:lvlText w:val="(%1)"/>
      <w:numFmt w:val="decimal"/>
      <w:start w:val="1"/>
    </w:lvl>
  </w:abstractNum>
  <w:abstractNum w:abstractNumId="54">
    <w:nsid w:val="3222E7CD"/>
    <w:multiLevelType w:val="hybridMultilevel"/>
    <w:lvl w:ilvl="0">
      <w:lvlJc w:val="left"/>
      <w:lvlText w:val="(%1)"/>
      <w:numFmt w:val="lowerLetter"/>
      <w:start w:val="1"/>
    </w:lvl>
  </w:abstractNum>
  <w:abstractNum w:abstractNumId="55">
    <w:nsid w:val="74DE0EE3"/>
    <w:multiLevelType w:val="hybridMultilevel"/>
    <w:lvl w:ilvl="0">
      <w:lvlJc w:val="left"/>
      <w:lvlText w:val="(%1)"/>
      <w:numFmt w:val="decimal"/>
      <w:start w:val="1"/>
    </w:lvl>
  </w:abstractNum>
  <w:abstractNum w:abstractNumId="56">
    <w:nsid w:val="68EBC550"/>
    <w:multiLevelType w:val="hybridMultilevel"/>
    <w:lvl w:ilvl="0">
      <w:lvlJc w:val="left"/>
      <w:lvlText w:val="(%1)"/>
      <w:numFmt w:val="lowerLetter"/>
      <w:start w:val="2"/>
    </w:lvl>
  </w:abstractNum>
  <w:abstractNum w:abstractNumId="57">
    <w:nsid w:val="2DF6D648"/>
    <w:multiLevelType w:val="hybridMultilevel"/>
    <w:lvl w:ilvl="0">
      <w:lvlJc w:val="left"/>
      <w:lvlText w:val="(%1)"/>
      <w:numFmt w:val="lowerLetter"/>
      <w:start w:val="3"/>
    </w:lvl>
  </w:abstractNum>
  <w:abstractNum w:abstractNumId="58">
    <w:nsid w:val="46B7D447"/>
    <w:multiLevelType w:val="hybridMultilevel"/>
    <w:lvl w:ilvl="0">
      <w:lvlJc w:val="left"/>
      <w:lvlText w:val="(%1)"/>
      <w:numFmt w:val="lowerLetter"/>
      <w:start w:val="4"/>
    </w:lvl>
  </w:abstractNum>
  <w:abstractNum w:abstractNumId="59">
    <w:nsid w:val="4A2AC315"/>
    <w:multiLevelType w:val="hybridMultilevel"/>
    <w:lvl w:ilvl="0">
      <w:lvlJc w:val="left"/>
      <w:lvlText w:val="(%1)"/>
      <w:numFmt w:val="lowerLetter"/>
      <w:start w:val="5"/>
    </w:lvl>
  </w:abstractNum>
  <w:abstractNum w:abstractNumId="60">
    <w:nsid w:val="39EE015C"/>
    <w:multiLevelType w:val="hybridMultilevel"/>
    <w:lvl w:ilvl="0">
      <w:lvlJc w:val="left"/>
      <w:lvlText w:val="%1."/>
      <w:numFmt w:val="decimal"/>
      <w:start w:val="1"/>
    </w:lvl>
  </w:abstractNum>
  <w:abstractNum w:abstractNumId="61">
    <w:nsid w:val="57FC4FBB"/>
    <w:multiLevelType w:val="hybridMultilevel"/>
    <w:lvl w:ilvl="0">
      <w:lvlJc w:val="left"/>
      <w:lvlText w:val="(%1)"/>
      <w:numFmt w:val="lowerLetter"/>
      <w:start w:val="6"/>
    </w:lvl>
  </w:abstractNum>
  <w:abstractNum w:abstractNumId="62">
    <w:nsid w:val="CC1016F"/>
    <w:multiLevelType w:val="hybridMultilevel"/>
    <w:lvl w:ilvl="0">
      <w:lvlJc w:val="left"/>
      <w:lvlText w:val="(%1)"/>
      <w:numFmt w:val="lowerLetter"/>
      <w:start w:val="7"/>
    </w:lvl>
  </w:abstractNum>
  <w:abstractNum w:abstractNumId="63">
    <w:nsid w:val="43F18422"/>
    <w:multiLevelType w:val="hybridMultilevel"/>
    <w:lvl w:ilvl="0">
      <w:lvlJc w:val="left"/>
      <w:lvlText w:val="(%1)"/>
      <w:numFmt w:val="decimal"/>
      <w:start w:val="1"/>
    </w:lvl>
  </w:abstractNum>
  <w:abstractNum w:abstractNumId="64">
    <w:nsid w:val="60EF0119"/>
    <w:multiLevelType w:val="hybridMultilevel"/>
    <w:lvl w:ilvl="0">
      <w:lvlJc w:val="left"/>
      <w:lvlText w:val="(%1)"/>
      <w:numFmt w:val="decimal"/>
      <w:start w:val="1"/>
    </w:lvl>
  </w:abstractNum>
  <w:abstractNum w:abstractNumId="65">
    <w:nsid w:val="26F324BA"/>
    <w:multiLevelType w:val="hybridMultilevel"/>
    <w:lvl w:ilvl="0">
      <w:lvlJc w:val="left"/>
      <w:lvlText w:val="(%1)"/>
      <w:numFmt w:val="decimal"/>
      <w:start w:val="1"/>
    </w:lvl>
  </w:abstractNum>
  <w:abstractNum w:abstractNumId="66">
    <w:nsid w:val="7F01579B"/>
    <w:multiLevelType w:val="hybridMultilevel"/>
    <w:lvl w:ilvl="0">
      <w:lvlJc w:val="left"/>
      <w:lvlText w:val="(%1)"/>
      <w:numFmt w:val="decimal"/>
      <w:start w:val="1"/>
    </w:lvl>
  </w:abstractNum>
  <w:abstractNum w:abstractNumId="67">
    <w:nsid w:val="49DA307D"/>
    <w:multiLevelType w:val="hybridMultilevel"/>
    <w:lvl w:ilvl="0">
      <w:lvlJc w:val="left"/>
      <w:lvlText w:val="(%1)"/>
      <w:numFmt w:val="decimal"/>
      <w:start w:val="1"/>
    </w:lvl>
  </w:abstractNum>
  <w:abstractNum w:abstractNumId="68">
    <w:nsid w:val="7055A5F5"/>
    <w:multiLevelType w:val="hybridMultilevel"/>
    <w:lvl w:ilvl="0">
      <w:lvlJc w:val="left"/>
      <w:lvlText w:val="*"/>
      <w:numFmt w:val="bullet"/>
      <w:start w:val="1"/>
    </w:lvl>
  </w:abstractNum>
  <w:abstractNum w:abstractNumId="69">
    <w:nsid w:val="5FB8370B"/>
    <w:multiLevelType w:val="hybridMultilevel"/>
    <w:lvl w:ilvl="0">
      <w:lvlJc w:val="left"/>
      <w:lvlText w:val="(%1)"/>
      <w:numFmt w:val="decimal"/>
      <w:start w:val="1"/>
    </w:lvl>
  </w:abstractNum>
  <w:abstractNum w:abstractNumId="70">
    <w:nsid w:val="50801EE1"/>
    <w:multiLevelType w:val="hybridMultilevel"/>
    <w:lvl w:ilvl="0">
      <w:lvlJc w:val="left"/>
      <w:lvlText w:val="%1"/>
      <w:numFmt w:val="decimal"/>
      <w:start w:val="11"/>
    </w:lvl>
  </w:abstractNum>
  <w:abstractNum w:abstractNumId="71">
    <w:nsid w:val="488AC1A"/>
    <w:multiLevelType w:val="hybridMultilevel"/>
    <w:lvl w:ilvl="0">
      <w:lvlJc w:val="left"/>
      <w:lvlText w:val="*"/>
      <w:numFmt w:val="bullet"/>
      <w:start w:val="1"/>
    </w:lvl>
  </w:abstractNum>
  <w:abstractNum w:abstractNumId="72">
    <w:nsid w:val="5FB8011C"/>
    <w:multiLevelType w:val="hybridMultilevel"/>
    <w:lvl w:ilvl="0">
      <w:lvlJc w:val="left"/>
      <w:lvlText w:val="(%1)"/>
      <w:numFmt w:val="upperLetter"/>
      <w:start w:val="1"/>
    </w:lvl>
  </w:abstractNum>
  <w:abstractNum w:abstractNumId="73">
    <w:nsid w:val="6AA78F7F"/>
    <w:multiLevelType w:val="hybridMultilevel"/>
    <w:lvl w:ilvl="0">
      <w:lvlJc w:val="left"/>
      <w:lvlText w:val="(%1)"/>
      <w:numFmt w:val="upperLetter"/>
      <w:start w:val="10"/>
    </w:lvl>
    <w:lvl w:ilvl="1">
      <w:lvlJc w:val="left"/>
      <w:lvlText w:val="(%2)"/>
      <w:numFmt w:val="upperLetter"/>
      <w:start w:val="2"/>
    </w:lvl>
  </w:abstractNum>
  <w:abstractNum w:abstractNumId="74">
    <w:nsid w:val="7672BD23"/>
    <w:multiLevelType w:val="hybridMultilevel"/>
    <w:lvl w:ilvl="0">
      <w:lvlJc w:val="left"/>
      <w:lvlText w:val="(%1)"/>
      <w:numFmt w:val="lowerRoman"/>
      <w:start w:val="1"/>
    </w:lvl>
  </w:abstractNum>
  <w:abstractNum w:abstractNumId="75">
    <w:nsid w:val="6FC75AF8"/>
    <w:multiLevelType w:val="hybridMultilevel"/>
    <w:lvl w:ilvl="0">
      <w:lvlJc w:val="left"/>
      <w:lvlText w:val="(%1)"/>
      <w:numFmt w:val="upperLetter"/>
      <w:start w:val="1"/>
    </w:lvl>
  </w:abstractNum>
  <w:abstractNum w:abstractNumId="76">
    <w:nsid w:val="6A5F7029"/>
    <w:multiLevelType w:val="hybridMultilevel"/>
    <w:lvl w:ilvl="0">
      <w:lvlJc w:val="left"/>
      <w:lvlText w:val="(%1)"/>
      <w:numFmt w:val="upperLetter"/>
      <w:start w:val="1"/>
    </w:lvl>
  </w:abstractNum>
  <w:abstractNum w:abstractNumId="77">
    <w:nsid w:val="7D5E18F8"/>
    <w:multiLevelType w:val="hybridMultilevel"/>
    <w:lvl w:ilvl="0">
      <w:lvlJc w:val="left"/>
      <w:lvlText w:val="(%1)"/>
      <w:numFmt w:val="upperLetter"/>
      <w:start w:val="2"/>
    </w:lvl>
  </w:abstractNum>
  <w:abstractNum w:abstractNumId="78">
    <w:nsid w:val="5F3534A4"/>
    <w:multiLevelType w:val="hybridMultilevel"/>
    <w:lvl w:ilvl="0">
      <w:lvlJc w:val="left"/>
      <w:lvlText w:val="(%1)"/>
      <w:numFmt w:val="decimal"/>
      <w:start w:val="1"/>
    </w:lvl>
  </w:abstractNum>
  <w:abstractNum w:abstractNumId="79">
    <w:nsid w:val="73A1821B"/>
    <w:multiLevelType w:val="hybridMultilevel"/>
    <w:lvl w:ilvl="0">
      <w:lvlJc w:val="left"/>
      <w:lvlText w:val="(%1)"/>
      <w:numFmt w:val="upperLetter"/>
      <w:start w:val="3"/>
    </w:lvl>
  </w:abstractNum>
  <w:abstractNum w:abstractNumId="80">
    <w:nsid w:val="7DE67713"/>
    <w:multiLevelType w:val="hybridMultilevel"/>
    <w:lvl w:ilvl="0">
      <w:lvlJc w:val="left"/>
      <w:lvlText w:val="(%1)"/>
      <w:numFmt w:val="upperLetter"/>
      <w:start w:val="4"/>
    </w:lvl>
  </w:abstractNum>
  <w:abstractNum w:abstractNumId="81">
    <w:nsid w:val="555C55B5"/>
    <w:multiLevelType w:val="hybridMultilevel"/>
    <w:lvl w:ilvl="0">
      <w:lvlJc w:val="left"/>
      <w:lvlText w:val="(%1)"/>
      <w:numFmt w:val="upperLetter"/>
      <w:start w:val="5"/>
    </w:lvl>
  </w:abstractNum>
  <w:abstractNum w:abstractNumId="82">
    <w:nsid w:val="3FA62ACA"/>
    <w:multiLevelType w:val="hybridMultilevel"/>
    <w:lvl w:ilvl="0">
      <w:lvlJc w:val="left"/>
      <w:lvlText w:val="(%1)"/>
      <w:numFmt w:val="decimal"/>
      <w:start w:val="1"/>
    </w:lvl>
  </w:abstractNum>
  <w:abstractNum w:abstractNumId="83">
    <w:nsid w:val="14FCE74E"/>
    <w:multiLevelType w:val="hybridMultilevel"/>
    <w:lvl w:ilvl="0">
      <w:lvlJc w:val="left"/>
      <w:lvlText w:val="(%1)"/>
      <w:numFmt w:val="upperLetter"/>
      <w:start w:val="6"/>
    </w:lvl>
  </w:abstractNum>
  <w:abstractNum w:abstractNumId="84">
    <w:nsid w:val="6A3DD3E8"/>
    <w:multiLevelType w:val="hybridMultilevel"/>
    <w:lvl w:ilvl="0">
      <w:lvlJc w:val="left"/>
      <w:lvlText w:val="(%1)"/>
      <w:numFmt w:val="upperLetter"/>
      <w:start w:val="7"/>
    </w:lvl>
  </w:abstractNum>
  <w:abstractNum w:abstractNumId="85">
    <w:nsid w:val="71C91298"/>
    <w:multiLevelType w:val="hybridMultilevel"/>
    <w:lvl w:ilvl="0">
      <w:lvlJc w:val="left"/>
      <w:lvlText w:val="(%1)"/>
      <w:numFmt w:val="upperLetter"/>
      <w:start w:val="8"/>
    </w:lvl>
  </w:abstractNum>
  <w:abstractNum w:abstractNumId="86">
    <w:nsid w:val="9DAF632"/>
    <w:multiLevelType w:val="hybridMultilevel"/>
    <w:lvl w:ilvl="0">
      <w:lvlJc w:val="left"/>
      <w:lvlText w:val="(%1)"/>
      <w:numFmt w:val="upperLetter"/>
      <w:start w:val="9"/>
    </w:lvl>
  </w:abstractNum>
  <w:abstractNum w:abstractNumId="87">
    <w:nsid w:val="53299938"/>
    <w:multiLevelType w:val="hybridMultilevel"/>
    <w:lvl w:ilvl="0">
      <w:lvlJc w:val="left"/>
      <w:lvlText w:val="(%1)"/>
      <w:numFmt w:val="upperLetter"/>
      <w:start w:val="10"/>
    </w:lvl>
  </w:abstractNum>
  <w:abstractNum w:abstractNumId="88">
    <w:nsid w:val="1FBFE8E0"/>
    <w:multiLevelType w:val="hybridMultilevel"/>
    <w:lvl w:ilvl="0">
      <w:lvlJc w:val="left"/>
      <w:lvlText w:val="(%1)"/>
      <w:numFmt w:val="upperLetter"/>
      <w:start w:val="11"/>
    </w:lvl>
  </w:abstractNum>
  <w:abstractNum w:abstractNumId="89">
    <w:nsid w:val="5092CA79"/>
    <w:multiLevelType w:val="hybridMultilevel"/>
    <w:lvl w:ilvl="0">
      <w:lvlJc w:val="left"/>
      <w:lvlText w:val="(%1)"/>
      <w:numFmt w:val="decimal"/>
      <w:start w:val="1"/>
    </w:lvl>
  </w:abstractNum>
  <w:abstractNum w:abstractNumId="90">
    <w:nsid w:val="1D545C4D"/>
    <w:multiLevelType w:val="hybridMultilevel"/>
    <w:lvl w:ilvl="0">
      <w:lvlJc w:val="left"/>
      <w:lvlText w:val="(%1)"/>
      <w:numFmt w:val="upperLetter"/>
      <w:start w:val="1"/>
    </w:lvl>
  </w:abstractNum>
  <w:abstractNum w:abstractNumId="91">
    <w:nsid w:val="59ADEA3D"/>
    <w:multiLevelType w:val="hybridMultilevel"/>
    <w:lvl w:ilvl="0">
      <w:lvlJc w:val="left"/>
      <w:lvlText w:val="(%1)"/>
      <w:numFmt w:val="upperLetter"/>
      <w:start w:val="2"/>
    </w:lvl>
  </w:abstractNum>
  <w:abstractNum w:abstractNumId="92">
    <w:nsid w:val="288F1A34"/>
    <w:multiLevelType w:val="hybridMultilevel"/>
    <w:lvl w:ilvl="0">
      <w:lvlJc w:val="left"/>
      <w:lvlText w:val="(%1)"/>
      <w:numFmt w:val="upperLetter"/>
      <w:start w:val="3"/>
    </w:lvl>
  </w:abstractNum>
  <w:abstractNum w:abstractNumId="93">
    <w:nsid w:val="2A155DBC"/>
    <w:multiLevelType w:val="hybridMultilevel"/>
    <w:lvl w:ilvl="0">
      <w:lvlJc w:val="left"/>
      <w:lvlText w:val="(%1)"/>
      <w:numFmt w:val="upperLetter"/>
      <w:start w:val="1"/>
    </w:lvl>
    <w:lvl w:ilvl="1">
      <w:lvlJc w:val="left"/>
      <w:lvlText w:val="(%2)"/>
      <w:numFmt w:val="decimal"/>
      <w:start w:val="1"/>
    </w:lvl>
  </w:abstractNum>
  <w:abstractNum w:abstractNumId="94">
    <w:nsid w:val="1D9F6E5F"/>
    <w:multiLevelType w:val="hybridMultilevel"/>
    <w:lvl w:ilvl="0">
      <w:lvlJc w:val="left"/>
      <w:lvlText w:val="(%1)"/>
      <w:numFmt w:val="upperLetter"/>
      <w:start w:val="5"/>
    </w:lvl>
  </w:abstractNum>
  <w:abstractNum w:abstractNumId="95">
    <w:nsid w:val="97E1B4E"/>
    <w:multiLevelType w:val="hybridMultilevel"/>
    <w:lvl w:ilvl="0">
      <w:lvlJc w:val="left"/>
      <w:lvlText w:val="(%1)"/>
      <w:numFmt w:val="upperLetter"/>
      <w:start w:val="1"/>
    </w:lvl>
  </w:abstractNum>
  <w:abstractNum w:abstractNumId="96">
    <w:nsid w:val="51088277"/>
    <w:multiLevelType w:val="hybridMultilevel"/>
    <w:lvl w:ilvl="0">
      <w:lvlJc w:val="left"/>
      <w:lvlText w:val="(%1)"/>
      <w:numFmt w:val="upperLetter"/>
      <w:start w:val="2"/>
    </w:lvl>
  </w:abstractNum>
  <w:abstractNum w:abstractNumId="97">
    <w:nsid w:val="1CA0C5FA"/>
    <w:multiLevelType w:val="hybridMultilevel"/>
    <w:lvl w:ilvl="0">
      <w:lvlJc w:val="left"/>
      <w:lvlText w:val="(%1)"/>
      <w:numFmt w:val="upperLetter"/>
      <w:start w:val="1"/>
    </w:lvl>
  </w:abstractNum>
  <w:abstractNum w:abstractNumId="98">
    <w:nsid w:val="53584BCB"/>
    <w:multiLevelType w:val="hybridMultilevel"/>
    <w:lvl w:ilvl="0">
      <w:lvlJc w:val="left"/>
      <w:lvlText w:val="(%1)"/>
      <w:numFmt w:val="decimal"/>
      <w:start w:val="1"/>
    </w:lvl>
  </w:abstractNum>
  <w:abstractNum w:abstractNumId="99">
    <w:nsid w:val="415E286C"/>
    <w:multiLevelType w:val="hybridMultilevel"/>
    <w:lvl w:ilvl="0">
      <w:lvlJc w:val="left"/>
      <w:lvlText w:val="(%1)"/>
      <w:numFmt w:val="upperLetter"/>
      <w:start w:val="3"/>
    </w:lvl>
  </w:abstractNum>
  <w:abstractNum w:abstractNumId="100">
    <w:nsid w:val="7C58FD05"/>
    <w:multiLevelType w:val="hybridMultilevel"/>
    <w:lvl w:ilvl="0">
      <w:lvlJc w:val="left"/>
      <w:lvlText w:val="(%1)"/>
      <w:numFmt w:val="decimal"/>
      <w:start w:val="1"/>
    </w:lvl>
  </w:abstractNum>
  <w:abstractNum w:abstractNumId="101">
    <w:nsid w:val="23D86AAC"/>
    <w:multiLevelType w:val="hybridMultilevel"/>
    <w:lvl w:ilvl="0">
      <w:lvlJc w:val="left"/>
      <w:lvlText w:val="(%1)"/>
      <w:numFmt w:val="upperLetter"/>
      <w:start w:val="4"/>
    </w:lvl>
  </w:abstractNum>
  <w:abstractNum w:abstractNumId="102">
    <w:nsid w:val="45E6D486"/>
    <w:multiLevelType w:val="hybridMultilevel"/>
    <w:lvl w:ilvl="0">
      <w:lvlJc w:val="left"/>
      <w:lvlText w:val="(%1)"/>
      <w:numFmt w:val="decimal"/>
      <w:start w:val="1"/>
    </w:lvl>
  </w:abstractNum>
  <w:abstractNum w:abstractNumId="103">
    <w:nsid w:val="5C10FE21"/>
    <w:multiLevelType w:val="hybridMultilevel"/>
    <w:lvl w:ilvl="0">
      <w:lvlJc w:val="left"/>
      <w:lvlText w:val="%1."/>
      <w:numFmt w:val="decimal"/>
      <w:start w:val="1"/>
    </w:lvl>
    <w:lvl w:ilvl="1">
      <w:lvlJc w:val="left"/>
      <w:lvlText w:val="%2)"/>
      <w:numFmt w:val="lowerLetter"/>
      <w:start w:val="1"/>
    </w:lvl>
  </w:abstractNum>
  <w:abstractNum w:abstractNumId="104">
    <w:nsid w:val="E7FFA2B"/>
    <w:multiLevelType w:val="hybridMultilevel"/>
    <w:lvl w:ilvl="0">
      <w:lvlJc w:val="left"/>
      <w:lvlText w:val="%1."/>
      <w:numFmt w:val="decimal"/>
      <w:start w:val="1"/>
    </w:lvl>
    <w:lvl w:ilvl="1">
      <w:lvlJc w:val="left"/>
      <w:lvlText w:val="%2)"/>
      <w:numFmt w:val="lowerLetter"/>
      <w:start w:val="1"/>
    </w:lvl>
  </w:abstractNum>
  <w:abstractNum w:abstractNumId="105">
    <w:nsid w:val="3C5991AA"/>
    <w:multiLevelType w:val="hybridMultilevel"/>
    <w:lvl w:ilvl="0">
      <w:lvlJc w:val="left"/>
      <w:lvlText w:val="(%1)"/>
      <w:numFmt w:val="decimal"/>
      <w:start w:val="1"/>
    </w:lvl>
  </w:abstractNum>
  <w:abstractNum w:abstractNumId="106">
    <w:nsid w:val="4BD8591A"/>
    <w:multiLevelType w:val="hybridMultilevel"/>
    <w:lvl w:ilvl="0">
      <w:lvlJc w:val="left"/>
      <w:lvlText w:val="(%1)"/>
      <w:numFmt w:val="decimal"/>
      <w:start w:val="1"/>
    </w:lvl>
  </w:abstractNum>
  <w:abstractNum w:abstractNumId="107">
    <w:nsid w:val="78DF6A55"/>
    <w:multiLevelType w:val="hybridMultilevel"/>
    <w:lvl w:ilvl="0">
      <w:lvlJc w:val="left"/>
      <w:lvlText w:val="$"/>
      <w:numFmt w:val="bullet"/>
      <w:start w:val="1"/>
    </w:lvl>
  </w:abstractNum>
  <w:abstractNum w:abstractNumId="108">
    <w:nsid w:val="39B7AAA2"/>
    <w:multiLevelType w:val="hybridMultilevel"/>
    <w:lvl w:ilvl="0">
      <w:lvlJc w:val="left"/>
      <w:lvlText w:val="$"/>
      <w:numFmt w:val="bullet"/>
      <w:start w:val="1"/>
    </w:lvl>
  </w:abstractNum>
  <w:abstractNum w:abstractNumId="109">
    <w:nsid w:val="2B0D8DBE"/>
    <w:multiLevelType w:val="hybridMultilevel"/>
    <w:lvl w:ilvl="0">
      <w:lvlJc w:val="left"/>
      <w:lvlText w:val="[%1]"/>
      <w:numFmt w:val="decimal"/>
      <w:start w:val="1"/>
    </w:lvl>
  </w:abstractNum>
  <w:abstractNum w:abstractNumId="110">
    <w:nsid w:val="6C80EC70"/>
    <w:multiLevelType w:val="hybridMultilevel"/>
    <w:lvl w:ilvl="0">
      <w:lvlJc w:val="left"/>
      <w:lvlText w:val="[%1]"/>
      <w:numFmt w:val="decimal"/>
      <w:start w:val="2"/>
    </w:lvl>
  </w:abstractNum>
  <w:abstractNum w:abstractNumId="111">
    <w:nsid w:val="379E21B5"/>
    <w:multiLevelType w:val="hybridMultilevel"/>
    <w:lvl w:ilvl="0">
      <w:lvlJc w:val="left"/>
      <w:lvlText w:val="[%1]"/>
      <w:numFmt w:val="decimal"/>
      <w:start w:val="6"/>
    </w:lvl>
  </w:abstractNum>
  <w:abstractNum w:abstractNumId="112">
    <w:nsid w:val="69E373"/>
    <w:multiLevelType w:val="hybridMultilevel"/>
    <w:lvl w:ilvl="0">
      <w:lvlJc w:val="left"/>
      <w:lvlText w:val="[%1]"/>
      <w:numFmt w:val="decimal"/>
      <w:start w:val="8"/>
    </w:lvl>
  </w:abstractNum>
  <w:abstractNum w:abstractNumId="113">
    <w:nsid w:val="2C27173B"/>
    <w:multiLevelType w:val="hybridMultilevel"/>
    <w:lvl w:ilvl="0">
      <w:lvlJc w:val="left"/>
      <w:lvlText w:val="[%1]"/>
      <w:numFmt w:val="decimal"/>
      <w:start w:val="9"/>
    </w:lvl>
  </w:abstractNum>
  <w:abstractNum w:abstractNumId="114">
    <w:nsid w:val="4C9B0904"/>
    <w:multiLevelType w:val="hybridMultilevel"/>
    <w:lvl w:ilvl="0">
      <w:lvlJc w:val="left"/>
      <w:lvlText w:val="[%1]"/>
      <w:numFmt w:val="decimal"/>
      <w:start w:val="9"/>
    </w:lvl>
  </w:abstractNum>
  <w:abstractNum w:abstractNumId="115">
    <w:nsid w:val="6AA7B75C"/>
    <w:multiLevelType w:val="hybridMultilevel"/>
    <w:lvl w:ilvl="0">
      <w:lvlJc w:val="left"/>
      <w:lvlText w:val="[%1]"/>
      <w:numFmt w:val="decimal"/>
      <w:start w:val="10"/>
    </w:lvl>
    <w:lvl w:ilvl="1">
      <w:lvlJc w:val="left"/>
      <w:lvlText w:val="(%2)"/>
      <w:numFmt w:val="decimal"/>
      <w:start w:val="1"/>
    </w:lvl>
  </w:abstractNum>
  <w:abstractNum w:abstractNumId="116">
    <w:nsid w:val="1DF029D3"/>
    <w:multiLevelType w:val="hybridMultilevel"/>
    <w:lvl w:ilvl="0">
      <w:lvlJc w:val="left"/>
      <w:lvlText w:val="%1"/>
      <w:numFmt w:val="decimal"/>
      <w:start w:val="1"/>
    </w:lvl>
    <w:lvl w:ilvl="1">
      <w:lvlJc w:val="left"/>
      <w:lvlText w:val="(%2)"/>
      <w:numFmt w:val="decimal"/>
      <w:start w:val="4"/>
    </w:lvl>
  </w:abstractNum>
  <w:abstractNum w:abstractNumId="117">
    <w:nsid w:val="5675FF36"/>
    <w:multiLevelType w:val="hybridMultilevel"/>
    <w:lvl w:ilvl="0">
      <w:lvlJc w:val="left"/>
      <w:lvlText w:val="[%1]"/>
      <w:numFmt w:val="decimal"/>
      <w:start w:val="12"/>
    </w:lvl>
  </w:abstractNum>
  <w:abstractNum w:abstractNumId="118">
    <w:nsid w:val="3DD15094"/>
    <w:multiLevelType w:val="hybridMultilevel"/>
    <w:lvl w:ilvl="0">
      <w:lvlJc w:val="left"/>
      <w:lvlText w:val="[%1]"/>
      <w:numFmt w:val="decimal"/>
      <w:start w:val="1"/>
    </w:lvl>
  </w:abstractNum>
  <w:abstractNum w:abstractNumId="119">
    <w:nsid w:val="3DB012B3"/>
    <w:multiLevelType w:val="hybridMultilevel"/>
    <w:lvl w:ilvl="0">
      <w:lvlJc w:val="left"/>
      <w:lvlText w:val="[%1]"/>
      <w:numFmt w:val="decimal"/>
      <w:start w:val="2"/>
    </w:lvl>
  </w:abstractNum>
  <w:abstractNum w:abstractNumId="120">
    <w:nsid w:val="2708C9AF"/>
    <w:multiLevelType w:val="hybridMultilevel"/>
    <w:lvl w:ilvl="0">
      <w:lvlJc w:val="left"/>
      <w:lvlText w:val="[%1]"/>
      <w:numFmt w:val="decimal"/>
      <w:start w:val="1"/>
    </w:lvl>
  </w:abstractNum>
  <w:abstractNum w:abstractNumId="121">
    <w:nsid w:val="5B25ACE2"/>
    <w:multiLevelType w:val="hybridMultilevel"/>
    <w:lvl w:ilvl="0">
      <w:lvlJc w:val="left"/>
      <w:lvlText w:val="[%1]"/>
      <w:numFmt w:val="decimal"/>
      <w:start w:val="1"/>
    </w:lvl>
  </w:abstractNum>
  <w:abstractNum w:abstractNumId="122">
    <w:nsid w:val="175DFCF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jpeg"/><Relationship Id="rId138" Type="http://schemas.openxmlformats.org/officeDocument/2006/relationships/image" Target="media/image119.jpeg"/><Relationship Id="rId139" Type="http://schemas.openxmlformats.org/officeDocument/2006/relationships/image" Target="media/image120.png"/><Relationship Id="rId140" Type="http://schemas.openxmlformats.org/officeDocument/2006/relationships/image" Target="media/image121.jpeg"/><Relationship Id="rId141" Type="http://schemas.openxmlformats.org/officeDocument/2006/relationships/image" Target="media/image122.jpeg"/><Relationship Id="rId142" Type="http://schemas.openxmlformats.org/officeDocument/2006/relationships/image" Target="media/image123.jpeg"/><Relationship Id="rId143" Type="http://schemas.openxmlformats.org/officeDocument/2006/relationships/image" Target="media/image124.png"/><Relationship Id="rId144" Type="http://schemas.openxmlformats.org/officeDocument/2006/relationships/image" Target="media/image125.jpe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13" Type="http://schemas.openxmlformats.org/officeDocument/2006/relationships/hyperlink" Target="http://www.sec.gov/Archives/edgar/data/1383414/000119312507075646/dex99a.htm" TargetMode="External"/><Relationship Id="rId114" Type="http://schemas.openxmlformats.org/officeDocument/2006/relationships/hyperlink" Target="http://www.sec.gov/Archives/edgar/data/1383414/000119312515393210/d59522dex31.htm" TargetMode="External"/><Relationship Id="rId115" Type="http://schemas.openxmlformats.org/officeDocument/2006/relationships/hyperlink" Target="http://www.sec.gov/Archives/edgar/data/1383414/000119312508072557/dex99d1.htm" TargetMode="External"/><Relationship Id="rId116" Type="http://schemas.openxmlformats.org/officeDocument/2006/relationships/hyperlink" Target="http://www.sec.gov/Archives/edgar/data/1383414/000119312513018556/d470556dex99d8.htm" TargetMode="External"/><Relationship Id="rId117" Type="http://schemas.openxmlformats.org/officeDocument/2006/relationships/hyperlink" Target="http://www.sec.gov/Archives/edgar/data/1383414/000119312514349933/d793312dex99d11.htm" TargetMode="External"/><Relationship Id="rId118" Type="http://schemas.openxmlformats.org/officeDocument/2006/relationships/hyperlink" Target="http://www.sec.gov/Archives/edgar/data/1383414/000119312516449258/d40881dex101.htm" TargetMode="External"/><Relationship Id="rId119" Type="http://schemas.openxmlformats.org/officeDocument/2006/relationships/hyperlink" Target="http://www.sec.gov/Archives/edgar/data/1383414/000156459018001515/pnnt-ex101_176.htm" TargetMode="External"/><Relationship Id="rId120" Type="http://schemas.openxmlformats.org/officeDocument/2006/relationships/hyperlink" Target="http://www.sec.gov/Archives/edgar/data/1383414/000119312508072557/dex99k1.htm" TargetMode="External"/><Relationship Id="rId121" Type="http://schemas.openxmlformats.org/officeDocument/2006/relationships/hyperlink" Target="http://www.sec.gov/Archives/edgar/data/1383414/000119312508072557/dex99e.htm" TargetMode="External"/><Relationship Id="rId122" Type="http://schemas.openxmlformats.org/officeDocument/2006/relationships/hyperlink" Target="http://www.sec.gov/Archives/edgar/data/1383414/000156459017015976/pnnt-ex101_12.htm" TargetMode="External"/><Relationship Id="rId123" Type="http://schemas.openxmlformats.org/officeDocument/2006/relationships/hyperlink" Target="http://www.sec.gov/Archives/edgar/data/1383414/000119312516773701/d285279dex105.htm" TargetMode="External"/><Relationship Id="rId124" Type="http://schemas.openxmlformats.org/officeDocument/2006/relationships/hyperlink" Target="http://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2020-05-05T15:19:04Z</dcterms:created>
  <dcterms:modified xsi:type="dcterms:W3CDTF">2020-05-05T15:19:04Z</dcterms:modified>
</cp:coreProperties>
</file>