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7,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February 7, 2024, PennantPark Investment Corporation (the "Company") issued a press release announcing its financial results for the first quarter ended December 31, 2023. A copy of the press release is furnished as Exhibit 99.1 to this report pursuant to Item 2.02 on Form 8-K and Regulation FD.</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on Form 8-K, including Exhibit 99.1 furnished herewith,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ind w:right="9340" w:firstLine="8"/>
        <w:spacing w:after="0" w:line="286" w:lineRule="auto"/>
        <w:tabs>
          <w:tab w:leader="none" w:pos="2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spacing w:after="0" w:line="127" w:lineRule="exact"/>
        <w:rPr>
          <w:rFonts w:ascii="Times New Roman" w:cs="Times New Roman" w:eastAsia="Times New Roman" w:hAnsi="Times New Roman"/>
          <w:sz w:val="18"/>
          <w:szCs w:val="18"/>
          <w:b w:val="1"/>
          <w:bCs w:val="1"/>
          <w:color w:val="auto"/>
        </w:rPr>
      </w:pPr>
    </w:p>
    <w:p>
      <w:pPr>
        <w:ind w:right="8440" w:firstLine="8"/>
        <w:spacing w:after="0" w:line="286" w:lineRule="auto"/>
        <w:tabs>
          <w:tab w:leader="none" w:pos="26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spacing w:after="0" w:line="114" w:lineRule="exact"/>
        <w:rPr>
          <w:rFonts w:ascii="Times New Roman" w:cs="Times New Roman" w:eastAsia="Times New Roman" w:hAnsi="Times New Roman"/>
          <w:sz w:val="18"/>
          <w:szCs w:val="18"/>
          <w:b w:val="1"/>
          <w:bCs w:val="1"/>
          <w:color w:val="auto"/>
        </w:rPr>
      </w:pPr>
    </w:p>
    <w:p>
      <w:pPr>
        <w:ind w:right="8820" w:firstLine="8"/>
        <w:spacing w:after="0" w:line="286" w:lineRule="auto"/>
        <w:tabs>
          <w:tab w:leader="none" w:pos="24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spacing w:after="0" w:line="114"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0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Investment Corporation dated February 7, 2024</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4840" w:type="dxa"/>
            <w:vAlign w:val="bottom"/>
            <w:gridSpan w:val="3"/>
          </w:tcPr>
          <w:p>
            <w:pPr>
              <w:ind w:left="1900"/>
              <w:spacing w:after="0"/>
              <w:rPr>
                <w:sz w:val="20"/>
                <w:szCs w:val="20"/>
                <w:color w:val="auto"/>
              </w:rPr>
            </w:pPr>
            <w:r>
              <w:rPr>
                <w:rFonts w:ascii="Times New Roman" w:cs="Times New Roman" w:eastAsia="Times New Roman" w:hAnsi="Times New Roman"/>
                <w:sz w:val="18"/>
                <w:szCs w:val="18"/>
                <w:b w:val="1"/>
                <w:bCs w:val="1"/>
                <w:color w:val="auto"/>
                <w:w w:val="99"/>
              </w:rPr>
              <w:t>PennantPark Investment Corporation</w:t>
            </w:r>
          </w:p>
        </w:tc>
      </w:tr>
      <w:tr>
        <w:trPr>
          <w:trHeight w:val="68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7, 2024</w:t>
            </w:r>
          </w:p>
        </w:tc>
        <w:tc>
          <w:tcPr>
            <w:tcW w:w="484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480" w:type="dxa"/>
            <w:vAlign w:val="bottom"/>
          </w:tcPr>
          <w:p>
            <w:pPr>
              <w:spacing w:after="0"/>
              <w:rPr>
                <w:sz w:val="20"/>
                <w:szCs w:val="20"/>
                <w:color w:val="auto"/>
              </w:rPr>
            </w:pPr>
          </w:p>
        </w:tc>
      </w:tr>
      <w:tr>
        <w:trPr>
          <w:trHeight w:val="243"/>
        </w:trPr>
        <w:tc>
          <w:tcPr>
            <w:tcW w:w="35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Announces Financial Results for the Quarter Ended December 31, 2023</w:t>
      </w:r>
    </w:p>
    <w:p>
      <w:pPr>
        <w:spacing w:after="0" w:line="210"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MIAMI, Feb. 07, 2024 (GLOBE NEWSWIRE) -- PennantPark Investment Corporation (NYSE: PNNT) announced today its financial results for the first quarter ended December 31, 2023.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HIGHLIGHTS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Quarter ended December 31, 2023 (unaudited)</w:t>
      </w:r>
    </w:p>
    <w:p>
      <w:pPr>
        <w:spacing w:after="0"/>
        <w:rPr>
          <w:sz w:val="20"/>
          <w:szCs w:val="20"/>
          <w:color w:val="auto"/>
        </w:rPr>
      </w:pPr>
      <w:r>
        <w:rPr>
          <w:rFonts w:ascii="Times New Roman" w:cs="Times New Roman" w:eastAsia="Times New Roman" w:hAnsi="Times New Roman"/>
          <w:sz w:val="22"/>
          <w:szCs w:val="22"/>
          <w:color w:val="auto"/>
        </w:rPr>
        <w:t>($ in millions, except per share amounts)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79"/>
        </w:trPr>
        <w:tc>
          <w:tcPr>
            <w:tcW w:w="7400" w:type="dxa"/>
            <w:vAlign w:val="bottom"/>
          </w:tcPr>
          <w:p>
            <w:pPr>
              <w:spacing w:after="0"/>
              <w:rPr>
                <w:sz w:val="20"/>
                <w:szCs w:val="20"/>
                <w:color w:val="auto"/>
              </w:rPr>
            </w:pPr>
            <w:r>
              <w:rPr>
                <w:rFonts w:ascii="Times New Roman" w:cs="Times New Roman" w:eastAsia="Times New Roman" w:hAnsi="Times New Roman"/>
                <w:sz w:val="22"/>
                <w:szCs w:val="22"/>
                <w:color w:val="auto"/>
              </w:rPr>
              <w:t>Assets and Liabilities:</w:t>
            </w:r>
          </w:p>
        </w:tc>
        <w:tc>
          <w:tcPr>
            <w:tcW w:w="25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5"/>
        </w:trPr>
        <w:tc>
          <w:tcPr>
            <w:tcW w:w="7400" w:type="dxa"/>
            <w:vAlign w:val="bottom"/>
          </w:tcPr>
          <w:p>
            <w:pPr>
              <w:ind w:left="200"/>
              <w:spacing w:after="0" w:line="314" w:lineRule="exact"/>
              <w:rPr>
                <w:sz w:val="20"/>
                <w:szCs w:val="20"/>
                <w:color w:val="auto"/>
              </w:rPr>
            </w:pPr>
            <w:r>
              <w:rPr>
                <w:rFonts w:ascii="Times New Roman" w:cs="Times New Roman" w:eastAsia="Times New Roman" w:hAnsi="Times New Roman"/>
                <w:sz w:val="22"/>
                <w:szCs w:val="22"/>
                <w:color w:val="auto"/>
              </w:rPr>
              <w:t xml:space="preserve">Investment portfolio </w:t>
            </w:r>
            <w:r>
              <w:rPr>
                <w:rFonts w:ascii="Times New Roman" w:cs="Times New Roman" w:eastAsia="Times New Roman" w:hAnsi="Times New Roman"/>
                <w:sz w:val="35"/>
                <w:szCs w:val="35"/>
                <w:color w:val="auto"/>
                <w:vertAlign w:val="superscript"/>
              </w:rPr>
              <w:t>(1)</w:t>
            </w:r>
          </w:p>
        </w:tc>
        <w:tc>
          <w:tcPr>
            <w:tcW w:w="25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1,210.8</w:t>
            </w:r>
          </w:p>
        </w:tc>
      </w:tr>
      <w:tr>
        <w:trPr>
          <w:trHeight w:val="270"/>
        </w:trPr>
        <w:tc>
          <w:tcPr>
            <w:tcW w:w="74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assets</w:t>
            </w:r>
          </w:p>
        </w:tc>
        <w:tc>
          <w:tcPr>
            <w:tcW w:w="25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499.1</w:t>
            </w:r>
          </w:p>
        </w:tc>
      </w:tr>
      <w:tr>
        <w:trPr>
          <w:trHeight w:val="270"/>
        </w:trPr>
        <w:tc>
          <w:tcPr>
            <w:tcW w:w="74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GAAP net asset value per share</w:t>
            </w:r>
          </w:p>
        </w:tc>
        <w:tc>
          <w:tcPr>
            <w:tcW w:w="25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7.65</w:t>
            </w:r>
          </w:p>
        </w:tc>
      </w:tr>
      <w:tr>
        <w:trPr>
          <w:trHeight w:val="279"/>
        </w:trPr>
        <w:tc>
          <w:tcPr>
            <w:tcW w:w="74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Quarterly decrease in GAAP net asset value per share</w:t>
            </w:r>
          </w:p>
        </w:tc>
        <w:tc>
          <w:tcPr>
            <w:tcW w:w="25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w:t>
            </w:r>
          </w:p>
        </w:tc>
      </w:tr>
      <w:tr>
        <w:trPr>
          <w:trHeight w:val="324"/>
        </w:trPr>
        <w:tc>
          <w:tcPr>
            <w:tcW w:w="7400" w:type="dxa"/>
            <w:vAlign w:val="bottom"/>
          </w:tcPr>
          <w:p>
            <w:pPr>
              <w:ind w:left="200"/>
              <w:spacing w:after="0" w:line="324" w:lineRule="exact"/>
              <w:rPr>
                <w:sz w:val="20"/>
                <w:szCs w:val="20"/>
                <w:color w:val="auto"/>
              </w:rPr>
            </w:pPr>
            <w:r>
              <w:rPr>
                <w:rFonts w:ascii="Times New Roman" w:cs="Times New Roman" w:eastAsia="Times New Roman" w:hAnsi="Times New Roman"/>
                <w:sz w:val="22"/>
                <w:szCs w:val="22"/>
                <w:color w:val="auto"/>
              </w:rPr>
              <w:t xml:space="preserve">Adjusted net asset value per share </w:t>
            </w:r>
            <w:r>
              <w:rPr>
                <w:rFonts w:ascii="Times New Roman" w:cs="Times New Roman" w:eastAsia="Times New Roman" w:hAnsi="Times New Roman"/>
                <w:sz w:val="35"/>
                <w:szCs w:val="35"/>
                <w:color w:val="auto"/>
                <w:vertAlign w:val="superscript"/>
              </w:rPr>
              <w:t>(2)</w:t>
            </w:r>
          </w:p>
        </w:tc>
        <w:tc>
          <w:tcPr>
            <w:tcW w:w="25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7.65</w:t>
            </w:r>
          </w:p>
        </w:tc>
      </w:tr>
      <w:tr>
        <w:trPr>
          <w:trHeight w:val="475"/>
        </w:trPr>
        <w:tc>
          <w:tcPr>
            <w:tcW w:w="74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 xml:space="preserve">Quarterly decrease in adjusted net asset value per share </w:t>
            </w:r>
            <w:r>
              <w:rPr>
                <w:rFonts w:ascii="Times New Roman" w:cs="Times New Roman" w:eastAsia="Times New Roman" w:hAnsi="Times New Roman"/>
                <w:sz w:val="35"/>
                <w:szCs w:val="35"/>
                <w:color w:val="auto"/>
                <w:vertAlign w:val="superscript"/>
              </w:rPr>
              <w:t>(2)</w:t>
            </w:r>
          </w:p>
        </w:tc>
        <w:tc>
          <w:tcPr>
            <w:tcW w:w="25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w:t>
            </w:r>
          </w:p>
        </w:tc>
      </w:tr>
      <w:tr>
        <w:trPr>
          <w:trHeight w:val="380"/>
        </w:trPr>
        <w:tc>
          <w:tcPr>
            <w:tcW w:w="7400" w:type="dxa"/>
            <w:vAlign w:val="bottom"/>
          </w:tcPr>
          <w:p>
            <w:pPr>
              <w:spacing w:after="0"/>
              <w:rPr>
                <w:sz w:val="20"/>
                <w:szCs w:val="20"/>
                <w:color w:val="auto"/>
              </w:rPr>
            </w:pPr>
            <w:r>
              <w:rPr>
                <w:rFonts w:ascii="Times New Roman" w:cs="Times New Roman" w:eastAsia="Times New Roman" w:hAnsi="Times New Roman"/>
                <w:sz w:val="22"/>
                <w:szCs w:val="22"/>
                <w:color w:val="auto"/>
              </w:rPr>
              <w:t>Credit Facility</w:t>
            </w:r>
          </w:p>
        </w:tc>
        <w:tc>
          <w:tcPr>
            <w:tcW w:w="25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385.0</w:t>
            </w:r>
          </w:p>
        </w:tc>
      </w:tr>
      <w:tr>
        <w:trPr>
          <w:trHeight w:val="270"/>
        </w:trPr>
        <w:tc>
          <w:tcPr>
            <w:tcW w:w="7400" w:type="dxa"/>
            <w:vAlign w:val="bottom"/>
          </w:tcPr>
          <w:p>
            <w:pPr>
              <w:spacing w:after="0"/>
              <w:rPr>
                <w:sz w:val="20"/>
                <w:szCs w:val="20"/>
                <w:color w:val="auto"/>
              </w:rPr>
            </w:pPr>
            <w:r>
              <w:rPr>
                <w:rFonts w:ascii="Times New Roman" w:cs="Times New Roman" w:eastAsia="Times New Roman" w:hAnsi="Times New Roman"/>
                <w:sz w:val="22"/>
                <w:szCs w:val="22"/>
                <w:color w:val="auto"/>
              </w:rPr>
              <w:t>2026 Notes</w:t>
            </w:r>
          </w:p>
        </w:tc>
        <w:tc>
          <w:tcPr>
            <w:tcW w:w="25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147.9</w:t>
            </w:r>
          </w:p>
        </w:tc>
      </w:tr>
      <w:tr>
        <w:trPr>
          <w:trHeight w:val="270"/>
        </w:trPr>
        <w:tc>
          <w:tcPr>
            <w:tcW w:w="7400" w:type="dxa"/>
            <w:vAlign w:val="bottom"/>
          </w:tcPr>
          <w:p>
            <w:pPr>
              <w:spacing w:after="0"/>
              <w:rPr>
                <w:sz w:val="20"/>
                <w:szCs w:val="20"/>
                <w:color w:val="auto"/>
              </w:rPr>
            </w:pPr>
            <w:r>
              <w:rPr>
                <w:rFonts w:ascii="Times New Roman" w:cs="Times New Roman" w:eastAsia="Times New Roman" w:hAnsi="Times New Roman"/>
                <w:sz w:val="22"/>
                <w:szCs w:val="22"/>
                <w:color w:val="auto"/>
              </w:rPr>
              <w:t>2026-2 Notes</w:t>
            </w:r>
          </w:p>
        </w:tc>
        <w:tc>
          <w:tcPr>
            <w:tcW w:w="25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162.4</w:t>
            </w:r>
          </w:p>
        </w:tc>
      </w:tr>
      <w:tr>
        <w:trPr>
          <w:trHeight w:val="270"/>
        </w:trPr>
        <w:tc>
          <w:tcPr>
            <w:tcW w:w="7400" w:type="dxa"/>
            <w:vAlign w:val="bottom"/>
          </w:tcPr>
          <w:p>
            <w:pPr>
              <w:spacing w:after="0"/>
              <w:rPr>
                <w:sz w:val="20"/>
                <w:szCs w:val="20"/>
                <w:color w:val="auto"/>
              </w:rPr>
            </w:pPr>
            <w:r>
              <w:rPr>
                <w:rFonts w:ascii="Times New Roman" w:cs="Times New Roman" w:eastAsia="Times New Roman" w:hAnsi="Times New Roman"/>
                <w:sz w:val="22"/>
                <w:szCs w:val="22"/>
                <w:color w:val="auto"/>
              </w:rPr>
              <w:t>Regulatory debt to equity</w:t>
            </w:r>
          </w:p>
        </w:tc>
        <w:tc>
          <w:tcPr>
            <w:tcW w:w="2580" w:type="dxa"/>
            <w:vAlign w:val="bottom"/>
          </w:tcPr>
          <w:p>
            <w:pPr>
              <w:spacing w:after="0"/>
              <w:rPr>
                <w:sz w:val="23"/>
                <w:szCs w:val="23"/>
                <w:color w:val="auto"/>
              </w:rPr>
            </w:pP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1.41x</w:t>
            </w:r>
          </w:p>
        </w:tc>
      </w:tr>
      <w:tr>
        <w:trPr>
          <w:trHeight w:val="282"/>
        </w:trPr>
        <w:tc>
          <w:tcPr>
            <w:tcW w:w="7400" w:type="dxa"/>
            <w:vAlign w:val="bottom"/>
          </w:tcPr>
          <w:p>
            <w:pPr>
              <w:spacing w:after="0"/>
              <w:rPr>
                <w:sz w:val="20"/>
                <w:szCs w:val="20"/>
                <w:color w:val="auto"/>
              </w:rPr>
            </w:pPr>
            <w:r>
              <w:rPr>
                <w:rFonts w:ascii="Times New Roman" w:cs="Times New Roman" w:eastAsia="Times New Roman" w:hAnsi="Times New Roman"/>
                <w:sz w:val="22"/>
                <w:szCs w:val="22"/>
                <w:color w:val="auto"/>
              </w:rPr>
              <w:t>Weighted average yield on debt investments</w:t>
            </w:r>
          </w:p>
        </w:tc>
        <w:tc>
          <w:tcPr>
            <w:tcW w:w="25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w:t>
            </w:r>
          </w:p>
        </w:tc>
      </w:tr>
      <w:tr>
        <w:trPr>
          <w:trHeight w:val="528"/>
        </w:trPr>
        <w:tc>
          <w:tcPr>
            <w:tcW w:w="7400" w:type="dxa"/>
            <w:vAlign w:val="bottom"/>
          </w:tcPr>
          <w:p>
            <w:pPr>
              <w:spacing w:after="0"/>
              <w:rPr>
                <w:sz w:val="20"/>
                <w:szCs w:val="20"/>
                <w:color w:val="auto"/>
              </w:rPr>
            </w:pPr>
            <w:r>
              <w:rPr>
                <w:rFonts w:ascii="Times New Roman" w:cs="Times New Roman" w:eastAsia="Times New Roman" w:hAnsi="Times New Roman"/>
                <w:sz w:val="22"/>
                <w:szCs w:val="22"/>
                <w:color w:val="auto"/>
              </w:rPr>
              <w:t>Operating Results:</w:t>
            </w:r>
          </w:p>
        </w:tc>
        <w:tc>
          <w:tcPr>
            <w:tcW w:w="25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74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investment income</w:t>
            </w:r>
          </w:p>
        </w:tc>
        <w:tc>
          <w:tcPr>
            <w:tcW w:w="25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15.7</w:t>
            </w:r>
          </w:p>
        </w:tc>
      </w:tr>
      <w:tr>
        <w:trPr>
          <w:trHeight w:val="279"/>
        </w:trPr>
        <w:tc>
          <w:tcPr>
            <w:tcW w:w="74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investment income per share</w:t>
            </w:r>
          </w:p>
        </w:tc>
        <w:tc>
          <w:tcPr>
            <w:tcW w:w="25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0.24</w:t>
            </w:r>
          </w:p>
        </w:tc>
      </w:tr>
      <w:tr>
        <w:trPr>
          <w:trHeight w:val="315"/>
        </w:trPr>
        <w:tc>
          <w:tcPr>
            <w:tcW w:w="7400" w:type="dxa"/>
            <w:vAlign w:val="bottom"/>
          </w:tcPr>
          <w:p>
            <w:pPr>
              <w:ind w:left="200"/>
              <w:spacing w:after="0" w:line="314" w:lineRule="exact"/>
              <w:rPr>
                <w:sz w:val="20"/>
                <w:szCs w:val="20"/>
                <w:color w:val="auto"/>
              </w:rPr>
            </w:pPr>
            <w:r>
              <w:rPr>
                <w:rFonts w:ascii="Times New Roman" w:cs="Times New Roman" w:eastAsia="Times New Roman" w:hAnsi="Times New Roman"/>
                <w:sz w:val="22"/>
                <w:szCs w:val="22"/>
                <w:color w:val="auto"/>
              </w:rPr>
              <w:t xml:space="preserve">Core net investment income per share </w:t>
            </w:r>
            <w:r>
              <w:rPr>
                <w:rFonts w:ascii="Times New Roman" w:cs="Times New Roman" w:eastAsia="Times New Roman" w:hAnsi="Times New Roman"/>
                <w:sz w:val="35"/>
                <w:szCs w:val="35"/>
                <w:color w:val="auto"/>
                <w:vertAlign w:val="superscript"/>
              </w:rPr>
              <w:t>(3)</w:t>
            </w:r>
          </w:p>
        </w:tc>
        <w:tc>
          <w:tcPr>
            <w:tcW w:w="25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0.24</w:t>
            </w:r>
          </w:p>
        </w:tc>
      </w:tr>
      <w:tr>
        <w:trPr>
          <w:trHeight w:val="282"/>
        </w:trPr>
        <w:tc>
          <w:tcPr>
            <w:tcW w:w="74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Distributions declared per share</w:t>
            </w:r>
          </w:p>
        </w:tc>
        <w:tc>
          <w:tcPr>
            <w:tcW w:w="25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0.21</w:t>
            </w:r>
          </w:p>
        </w:tc>
      </w:tr>
      <w:tr>
        <w:trPr>
          <w:trHeight w:val="528"/>
        </w:trPr>
        <w:tc>
          <w:tcPr>
            <w:tcW w:w="7400" w:type="dxa"/>
            <w:vAlign w:val="bottom"/>
          </w:tcPr>
          <w:p>
            <w:pPr>
              <w:spacing w:after="0"/>
              <w:rPr>
                <w:sz w:val="20"/>
                <w:szCs w:val="20"/>
                <w:color w:val="auto"/>
              </w:rPr>
            </w:pPr>
            <w:r>
              <w:rPr>
                <w:rFonts w:ascii="Times New Roman" w:cs="Times New Roman" w:eastAsia="Times New Roman" w:hAnsi="Times New Roman"/>
                <w:sz w:val="22"/>
                <w:szCs w:val="22"/>
                <w:color w:val="auto"/>
              </w:rPr>
              <w:t>Portfolio Activity:</w:t>
            </w:r>
          </w:p>
        </w:tc>
        <w:tc>
          <w:tcPr>
            <w:tcW w:w="25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74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Purchases of investments*</w:t>
            </w:r>
          </w:p>
        </w:tc>
        <w:tc>
          <w:tcPr>
            <w:tcW w:w="25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231.1</w:t>
            </w:r>
          </w:p>
        </w:tc>
      </w:tr>
      <w:tr>
        <w:trPr>
          <w:trHeight w:val="282"/>
        </w:trPr>
        <w:tc>
          <w:tcPr>
            <w:tcW w:w="74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Sales and repayments of investments*</w:t>
            </w:r>
          </w:p>
        </w:tc>
        <w:tc>
          <w:tcPr>
            <w:tcW w:w="25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71.0</w:t>
            </w:r>
          </w:p>
        </w:tc>
      </w:tr>
      <w:tr>
        <w:trPr>
          <w:trHeight w:val="528"/>
        </w:trPr>
        <w:tc>
          <w:tcPr>
            <w:tcW w:w="7400" w:type="dxa"/>
            <w:vAlign w:val="bottom"/>
          </w:tcPr>
          <w:p>
            <w:pPr>
              <w:spacing w:after="0"/>
              <w:rPr>
                <w:sz w:val="20"/>
                <w:szCs w:val="20"/>
                <w:color w:val="auto"/>
              </w:rPr>
            </w:pPr>
            <w:r>
              <w:rPr>
                <w:rFonts w:ascii="Times New Roman" w:cs="Times New Roman" w:eastAsia="Times New Roman" w:hAnsi="Times New Roman"/>
                <w:sz w:val="22"/>
                <w:szCs w:val="22"/>
                <w:color w:val="auto"/>
              </w:rPr>
              <w:t>PSLF Portfolio data:</w:t>
            </w:r>
          </w:p>
        </w:tc>
        <w:tc>
          <w:tcPr>
            <w:tcW w:w="25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74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PSLF investment portfolio</w:t>
            </w:r>
          </w:p>
        </w:tc>
        <w:tc>
          <w:tcPr>
            <w:tcW w:w="25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857.9</w:t>
            </w:r>
          </w:p>
        </w:tc>
      </w:tr>
      <w:tr>
        <w:trPr>
          <w:trHeight w:val="270"/>
        </w:trPr>
        <w:tc>
          <w:tcPr>
            <w:tcW w:w="74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Purchases of investments</w:t>
            </w:r>
          </w:p>
        </w:tc>
        <w:tc>
          <w:tcPr>
            <w:tcW w:w="25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81.0</w:t>
            </w:r>
          </w:p>
        </w:tc>
      </w:tr>
      <w:tr>
        <w:trPr>
          <w:trHeight w:val="282"/>
        </w:trPr>
        <w:tc>
          <w:tcPr>
            <w:tcW w:w="74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Sales and repayments of investments</w:t>
            </w:r>
          </w:p>
        </w:tc>
        <w:tc>
          <w:tcPr>
            <w:tcW w:w="25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29.1</w:t>
            </w:r>
          </w:p>
        </w:tc>
      </w:tr>
    </w:tbl>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206" w:lineRule="exact"/>
        <w:rPr>
          <w:sz w:val="20"/>
          <w:szCs w:val="20"/>
          <w:color w:val="auto"/>
        </w:rPr>
      </w:pPr>
    </w:p>
    <w:p>
      <w:pPr>
        <w:ind w:left="600" w:hanging="160"/>
        <w:spacing w:after="0"/>
        <w:tabs>
          <w:tab w:leader="none" w:pos="60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excludes U.S. Government Securities</w:t>
      </w:r>
    </w:p>
    <w:p>
      <w:pPr>
        <w:spacing w:after="0" w:line="206" w:lineRule="exact"/>
        <w:rPr>
          <w:rFonts w:ascii="Times New Roman" w:cs="Times New Roman" w:eastAsia="Times New Roman" w:hAnsi="Times New Roman"/>
          <w:sz w:val="22"/>
          <w:szCs w:val="22"/>
          <w:color w:val="auto"/>
        </w:rPr>
      </w:pPr>
    </w:p>
    <w:p>
      <w:pPr>
        <w:ind w:left="540" w:right="260" w:hanging="208"/>
        <w:spacing w:after="0" w:line="241" w:lineRule="auto"/>
        <w:tabs>
          <w:tab w:leader="none" w:pos="5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investments in PennantPark Senior Loan Fund, LLC ("PSLF"), an unconsolidated joint venture, totaling $165.1 million, at fair value.</w:t>
      </w:r>
    </w:p>
    <w:p>
      <w:pPr>
        <w:spacing w:after="0" w:line="1" w:lineRule="exact"/>
        <w:rPr>
          <w:rFonts w:ascii="Times New Roman" w:cs="Times New Roman" w:eastAsia="Times New Roman" w:hAnsi="Times New Roman"/>
          <w:sz w:val="22"/>
          <w:szCs w:val="22"/>
          <w:color w:val="auto"/>
        </w:rPr>
      </w:pPr>
    </w:p>
    <w:p>
      <w:pPr>
        <w:ind w:left="540" w:right="40" w:hanging="208"/>
        <w:spacing w:after="0" w:line="230" w:lineRule="auto"/>
        <w:tabs>
          <w:tab w:leader="none" w:pos="5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is a non-GAAP financial measure. The Company believes that this number provides useful information to investors and management because it reflects the Company’s financial performance excluding the impact of unrealized gain on the Company's multi-currency, senior secured revolving credit facility with Truist Bank, as amended, the “Credit Facility." The presentation of this additional information is not meant to be considered in isolation or as a substitute for financial results prepared in accordance with GAAP.</w:t>
      </w:r>
    </w:p>
    <w:p>
      <w:pPr>
        <w:spacing w:after="0" w:line="2" w:lineRule="exact"/>
        <w:rPr>
          <w:rFonts w:ascii="Times New Roman" w:cs="Times New Roman" w:eastAsia="Times New Roman" w:hAnsi="Times New Roman"/>
          <w:sz w:val="22"/>
          <w:szCs w:val="22"/>
          <w:color w:val="auto"/>
        </w:rPr>
      </w:pPr>
    </w:p>
    <w:p>
      <w:pPr>
        <w:ind w:left="540" w:right="40" w:hanging="208"/>
        <w:spacing w:after="0" w:line="233" w:lineRule="auto"/>
        <w:tabs>
          <w:tab w:leader="none" w:pos="5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Core net investment income ("Core NII") is a non-GAAP financial measure. The Company believes that Core NII provides useful information to investors and management because it reflects the Company's financial performance excluding one-time or non-recurring investment income and expenses. The presentation of this additional information is not meant to be considered in isolation or as a substitute for financial results prepared in accordance with GAAP. For the quarter ended December 31, 2023, there were no one-time events, resulting in $0.24 of Core NII.</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 AT 12:00 P.M. EST ON FEBRUARY 8,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PennantPark Investment Corporation (“we,” “our,” “us” or the “Company”) will also host a conference call at 12:00 p.m.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(Eastern Time) on Thursday, February 8, 2024 to discuss its financial results. All interested parties are welcome to participate.</w:t>
      </w:r>
    </w:p>
    <w:p>
      <w:pPr>
        <w:sectPr>
          <w:pgSz w:w="11900" w:h="16844" w:orient="portrait"/>
          <w:cols w:equalWidth="0" w:num="1">
            <w:col w:w="11240"/>
          </w:cols>
          <w:pgMar w:left="320" w:top="108" w:right="339" w:bottom="0" w:gutter="0" w:footer="0" w:header="0"/>
        </w:sectPr>
      </w:pPr>
    </w:p>
    <w:bookmarkStart w:id="4" w:name="page5"/>
    <w:bookmarkEnd w:id="4"/>
    <w:p>
      <w:pPr>
        <w:spacing w:after="0" w:line="8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You can access the conference call by dialing toll-free (888) 394-8218 approximately 5-10 minutes prior to the call. International callers should dial (646) 828-8193. All callers should reference conference ID #2627395 or PennantPark Investment Corporation. An archived replay will also be available on a webcast link located on the Quarterly Earnings page in the Investor section of PennantPark’s website.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PORTFOLIO AND INVESTMENT ACTIVITY</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are pleased to announce another quarter of solid net investment income, which is in excess of our dividend by a healthy margin,” said Arthur Penn, Chairman and CEO. “Our earnings stream continues to be robust and is driven in part by the excellent returns generated by our PSLF Joint Venture."</w:t>
      </w:r>
    </w:p>
    <w:p>
      <w:pPr>
        <w:spacing w:after="0" w:line="17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 of December 31, 2023, our portfolio totaled $1,210.8 million, which consisted of $677.7 million or 56% of first lien secured debt, $49.8 million or 4% of U.S. Government Securities, $78.4 million or 7% of second lien secured debt, $151.1 million or 12% of subordinated debt (including $102.3 million or 8% in PSLF) and $253.7 million or 21% of preferred and common equity (including $62.8 million or 5% in PSLF). Our debt portfolio consisted of 96% variable-rate investments and 4% fixed-rate investments. As of December 31, 2023, we had one portfolio company on non-accrual, representing 1.0% and zero of our overall portfolio on a cost and fair value basis, respectively. As of December 31, 2023, the portfolio had net unrealized depreciation of $(21.3) million. Our overall portfolio consisted of 139 companies with an average investment size of $8.4 million, and a weighted average yield on interest bearing debt investments of 12.6%.</w:t>
      </w:r>
    </w:p>
    <w:p>
      <w:pPr>
        <w:spacing w:after="0" w:line="17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 of September 30, 2023, our portfolio totaled $1,101.7 million and consisted of $527.7 million or 48% of first lien secured debt, $99.8 million or 9% of U.S. Government Securities, $80.4 million or 7% of second lien secured debt, $156.2 million or 14% of subordinated debt (including $102.3 million or 9% in PSLF) and $237.6 million or 22% of preferred and common equity (including $62.1 million or 6% in PSLF). Our interest bearing debt portfolio consisted of 95% variable-rate investments and 5% fixed-rate investments. As of September 30, 2023, we had one portfolio company on non-accrual, representing 1.2% and zero percent of our overall portfolio on a cost and fair value basis, respectively. Overall, the portfolio had net unrealized depreciation of $(16.3) million as of September 30, 2023. Our overall portfolio consisted of 129 companies with an average investment size of $7.8 million, had a weighted average yield on interest bearing debt investments of 13.0%.</w:t>
      </w:r>
    </w:p>
    <w:p>
      <w:pPr>
        <w:spacing w:after="0" w:line="1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three months ended December 31, 2023, we invested $231.1 million in 12 new and 32 existing portfolio companies at a weighted average yield on debt investments of 11.9% (excluding U.S. Government Securities). For the three months ended December 31, 2023, sales and repayments of investments totaled $71.0 million (excluding U.S. Government Securities).</w:t>
      </w:r>
    </w:p>
    <w:p>
      <w:pPr>
        <w:spacing w:after="0" w:line="173" w:lineRule="exact"/>
        <w:rPr>
          <w:sz w:val="20"/>
          <w:szCs w:val="20"/>
          <w:color w:val="auto"/>
        </w:rPr>
      </w:pPr>
    </w:p>
    <w:p>
      <w:pPr>
        <w:jc w:val="both"/>
        <w:ind w:right="80"/>
        <w:spacing w:after="0" w:line="244" w:lineRule="auto"/>
        <w:rPr>
          <w:sz w:val="20"/>
          <w:szCs w:val="20"/>
          <w:color w:val="auto"/>
        </w:rPr>
      </w:pPr>
      <w:r>
        <w:rPr>
          <w:rFonts w:ascii="Times New Roman" w:cs="Times New Roman" w:eastAsia="Times New Roman" w:hAnsi="Times New Roman"/>
          <w:sz w:val="22"/>
          <w:szCs w:val="22"/>
          <w:color w:val="auto"/>
        </w:rPr>
        <w:t>For the three months ended December 31, 2022, we invested $86.2 million in six new and 29 existing portfolio companies with a weighted average yield on debt investments of 11.2%. For the three months ended December 31, 2022, sales and repayments of investments totaled $30.6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PennantPark Senior Loan Fund, LLC</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of December 31, 2023, PSLF’s portfolio totaled $857.9 million, consisted of 93 companies with an average investment size of $9.2 million and had a weighted average yield on debt investments of 12.1%.</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of September 30, 2023, PSLF’s portfolio totaled $804.2 million, consisted of 90 companies with an average investment size of $8.9 million and had a weighted average yield on debt investments of 12.1%.</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three months ended December 31, 2023, PSLF invested $81.0 million (including $50.8 million were purchased from the Company) in five new and seven existing portfolio companies at weighted average yield interest bearing debt investments of 12.7%. PSLF’s sales and repayments of investments for the same period totaled $29.1 million.</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three months ended December 31, 2022, PSLF invested $16.8 million (of which none was purchased from the Company) in four new and four existing portfolio companies at weighted average yield on interest bearing debt investments of 11.4%. PSLF’s sales and repayments of investments for the same period totaled $9.0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Set forth below are the results of operations during the three months ended December 31, 2023 and 2022.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Investment Income</w:t>
      </w:r>
    </w:p>
    <w:p>
      <w:pPr>
        <w:spacing w:after="0" w:line="2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For the three months ended December 31, 2023, investment income was $34.3 million, which was attributable to $25.1 million from first lien secured debt, $2.6 million from second lien secured debt, $1.3 million from subordinated debt and $5.3 million from preferred and common equity, respectively. For the three months ended December 31, 2022, investment income was $30.0 million, which was attributable to $21.8 million from first lien secured debt, $3.8 million from second lien secured debt, $1.1 million from subordinated debt and $3.3 million from preferred and common equity, respectively. The increase in investment income compared to the same period in the prior year was primarily due to the increase in the cost of yield of our debt portfolio.</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Expenses</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For the three months ended December 31, 2023, expenses totaled $18.7 million and were comprised of; $9.6 million of debt related interest and expenses, $4.0 million of base management fees, $3.3 million of performance based incentive fees, $1.4</w:t>
      </w:r>
    </w:p>
    <w:p>
      <w:pPr>
        <w:sectPr>
          <w:pgSz w:w="11900" w:h="16921" w:orient="portrait"/>
          <w:cols w:equalWidth="0" w:num="1">
            <w:col w:w="11240"/>
          </w:cols>
          <w:pgMar w:left="320" w:top="112" w:right="339" w:bottom="0" w:gutter="0" w:footer="0" w:header="0"/>
        </w:sectPr>
      </w:pPr>
    </w:p>
    <w:bookmarkStart w:id="5" w:name="page6"/>
    <w:bookmarkEnd w:id="5"/>
    <w:p>
      <w:pPr>
        <w:spacing w:after="0" w:line="7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million of general and administrative expenses and $0.4 million of provision for excise taxes. For the three months ended December 31, 2022, expenses totaled $19.6 million and were comprised of; $9.7 million of debt-related interest and expenses, $4.6 million of base management fees, $2.2 million of performance based incentive fees, $1.1 million of general and administrative expenses and $2.0 million of provision for excise taxes, respectively. The decrease in net expense was primarily due to the provision for excise taxes compared to the same period in the prior year.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Investment Income</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the three months ended December 31, 2023 and 2022, net investment income totaled $15.7 million, or $0.24 per share, and $10.3 million, or $0.16 per share, respectively. The increase in net investment income compared to the same period in the prior year was primarily due to an increase in investment income which was driven by increased dividends and interest income as a result of an increase in the cost yield of our debt portfolio.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Realized Gains or Losses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three months ended December 31, 2023, and 2022, net realized gains (losses) totaled $1.8 million and $4.1 million, respectively. The change in realized gains (losses) was primarily due to changes in the market conditions of our investments and the values at which they were realized.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Unrealized Appreciation or Depreciation on Investments and Debt</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For the three months ended December 31, 2023 and 2022, we reported net change in unrealized appreciation (depreciation) on investments of $(5.0) million and $(91.6) million, respectively. As of December 31, 2023 and September 30, 2023, the net unrealized appreciation (depreciation) on investments totaled $(21.3) million and $(16.3) million, respectively. The net change in unrealized depreciation on our investments compared to the same period in the prior year was primarily due to changes in the capital market conditions of our investments and the values at which they were realized.</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the three months ended December 31, 2023 and 2022, the Truist Credit Facility had a net change in unrealized (appreciation) depreciation of $(2.0) million and $4.4 million, respectively. As of December 31, 2023 and September 30, 2023, the net unrealized depreciation on the Truist Credit Facility totaled $3.4 million and $5.5 million, respectively. Net change in unrealized appreciation compared to the same periods in the prior period was primarily due to changes in the capital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Change in Net Assets Resulting from Operations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the three months ended December 31, 2023 and 2022, net increase (decrease) in net assets resulting from operations totaled $10.7 million, or $0.16 per share and $(71.9) million, or $(1.10) per share, respectively. The increase in net assets from operations for the three months ended December 31, 2023 compared to prior year was primarily due to a decrease in the net unrealized depreciation in the portfolio primarily driven by changes in market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Our liquidity and capital resources are derived primarily from cash flows from operations, including income earned, proceeds from investment sales and repayments and proceeds of securities offerings and debt financings. Our primary use of funds from operations includes investments in portfolio companies and payments of interest expense, fees and other operating expenses we incur. We have used, and expect to continue to use, our debt capital, proceeds from of our portfolio and proceeds from public and private offerings of securities to finance our investment objectives and operations.</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of December 31, 2023 and September 30, 2023, we had $388.5 million and $212.4 million in outstanding borrowings under the Credit Facility, respectively, and the weighted average interest rate was 7.7% and 7.7%, respectively. As of December 31, 2023 and September 30, 2023, we had $86.5 million and $262.6 million of unused borrowing capacity under the Credit Facility, respectively, subject to leverage and borrowing base restrictions.</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of December 31, 2023 and September 30, 2023, we had cash and cash equivalents of $36.9 million and $38.8 million, respectively, available for investing and general corporate purposes. We believe our liquidity and capital resources are sufficient to allow us to effectively operate our business.</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three months ended December 31, 2023, our operating activities used cash of $155.1 million and our financing activities provided cash of $153.2 million. Our operating activities used cash primarily due to our investment activities and our financing activities provided cash primarily from borrowings under the Truist Credit Facility.</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three months ended December 31, 2022, our operating activities used cash of $9.6 million and our financing activities used cash of $14.8 million. Our operating activities used cash primarily due to our investment activities and our financing activities used cash primarily due to repayments under the Truist Credit Facility.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DISTRIBUTIONS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During the three months ended December 31, 2023, we declared distributions of $0.21 per share, for total distributions of $13.7 million. For the same periods in the prior year, we declared distributions of $0.17 per share, for total distributions of $10.8 million. We monitor available net investment income to determine if a return of capital for tax purposes may occur for the fiscal year. To the extent our taxable earnings fall below the total amount of our distributions for any given fiscal year, stockholders will</w:t>
      </w:r>
    </w:p>
    <w:p>
      <w:pPr>
        <w:sectPr>
          <w:pgSz w:w="11900" w:h="16918" w:orient="portrait"/>
          <w:cols w:equalWidth="0" w:num="1">
            <w:col w:w="11240"/>
          </w:cols>
          <w:pgMar w:left="320" w:top="111" w:right="339" w:bottom="0" w:gutter="0" w:footer="0" w:header="0"/>
        </w:sectPr>
      </w:pPr>
    </w:p>
    <w:bookmarkStart w:id="6" w:name="page7"/>
    <w:bookmarkEnd w:id="6"/>
    <w:p>
      <w:pPr>
        <w:jc w:val="both"/>
        <w:spacing w:after="0" w:line="244" w:lineRule="auto"/>
        <w:rPr>
          <w:sz w:val="20"/>
          <w:szCs w:val="20"/>
          <w:color w:val="auto"/>
        </w:rPr>
      </w:pPr>
      <w:r>
        <w:rPr>
          <w:rFonts w:ascii="Times New Roman" w:cs="Times New Roman" w:eastAsia="Times New Roman" w:hAnsi="Times New Roman"/>
          <w:sz w:val="22"/>
          <w:szCs w:val="22"/>
          <w:color w:val="auto"/>
        </w:rPr>
        <w:t>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AVAILABLE INFORMATION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The Company makes available on its website its Quarterly report on Form 10-Q filed with the SEC and stockholders may find the report on our website at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line="272" w:lineRule="auto"/>
        <w:rPr>
          <w:sz w:val="20"/>
          <w:szCs w:val="20"/>
          <w:color w:val="auto"/>
        </w:rPr>
      </w:pPr>
      <w:r>
        <w:rPr>
          <w:rFonts w:ascii="Times New Roman" w:cs="Times New Roman" w:eastAsia="Times New Roman" w:hAnsi="Times New Roman"/>
          <w:sz w:val="22"/>
          <w:szCs w:val="22"/>
          <w:b w:val="1"/>
          <w:bCs w:val="1"/>
          <w:color w:val="auto"/>
        </w:rPr>
        <w:t xml:space="preserve">PENNANTPARK INVESTMENT CORPORATION AND SUBSIDIARIES CONSOLIDATED STATEMENTS OF ASSETS AND LIABILITIES </w:t>
      </w:r>
      <w:r>
        <w:rPr>
          <w:rFonts w:ascii="Times New Roman" w:cs="Times New Roman" w:eastAsia="Times New Roman" w:hAnsi="Times New Roman"/>
          <w:sz w:val="22"/>
          <w:szCs w:val="22"/>
          <w:color w:val="auto"/>
        </w:rPr>
        <w:t>(In thousands, except share data)</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8160" w:type="dxa"/>
            <w:vAlign w:val="bottom"/>
          </w:tcPr>
          <w:p>
            <w:pPr>
              <w:spacing w:after="0"/>
              <w:rPr>
                <w:sz w:val="22"/>
                <w:szCs w:val="22"/>
                <w:color w:val="auto"/>
              </w:rPr>
            </w:pPr>
          </w:p>
        </w:tc>
        <w:tc>
          <w:tcPr>
            <w:tcW w:w="1580" w:type="dxa"/>
            <w:vAlign w:val="bottom"/>
            <w:gridSpan w:val="3"/>
          </w:tcPr>
          <w:p>
            <w:pPr>
              <w:jc w:val="center"/>
              <w:ind w:right="200"/>
              <w:spacing w:after="0"/>
              <w:rPr>
                <w:sz w:val="20"/>
                <w:szCs w:val="20"/>
                <w:color w:val="auto"/>
              </w:rPr>
            </w:pPr>
            <w:r>
              <w:rPr>
                <w:rFonts w:ascii="Times New Roman" w:cs="Times New Roman" w:eastAsia="Times New Roman" w:hAnsi="Times New Roman"/>
                <w:sz w:val="22"/>
                <w:szCs w:val="22"/>
                <w:b w:val="1"/>
                <w:bCs w:val="1"/>
                <w:color w:val="auto"/>
                <w:w w:val="98"/>
              </w:rPr>
              <w:t>December 31,</w:t>
            </w: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22"/>
                <w:szCs w:val="22"/>
                <w:b w:val="1"/>
                <w:bCs w:val="1"/>
                <w:color w:val="auto"/>
              </w:rPr>
              <w:t>September 30,</w:t>
            </w: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5"/>
              </w:rPr>
              <w:t>2023</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2023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81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14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22"/>
                <w:szCs w:val="22"/>
                <w:b w:val="1"/>
                <w:bCs w:val="1"/>
                <w:color w:val="auto"/>
                <w:w w:val="98"/>
              </w:rPr>
              <w:t>(unaudited)</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60" w:type="dxa"/>
            <w:vAlign w:val="bottom"/>
            <w:vMerge w:val="continue"/>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Investments at fair value</w:t>
            </w: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Non-controlled, non-affiliated investments (amortized cost—$877,517 and $816,754,</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respectively)</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879,245</w:t>
            </w:r>
          </w:p>
        </w:tc>
        <w:tc>
          <w:tcPr>
            <w:tcW w:w="200" w:type="dxa"/>
            <w:vAlign w:val="bottom"/>
          </w:tcPr>
          <w:p>
            <w:pPr>
              <w:spacing w:after="0"/>
              <w:rPr>
                <w:sz w:val="23"/>
                <w:szCs w:val="23"/>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830,808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Non-controlled, affiliated investments (amortized cost—$54,736 and $55,787,</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respectively)</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40,829</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54,771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Controlled, affiliated investments (amortized cost—$299,787 and $245,386, respectively)</w:t>
            </w: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290,684</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216,068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160" w:type="dxa"/>
            <w:vAlign w:val="bottom"/>
          </w:tcPr>
          <w:p>
            <w:pPr>
              <w:ind w:left="200"/>
              <w:spacing w:after="0" w:line="251" w:lineRule="exact"/>
              <w:rPr>
                <w:sz w:val="20"/>
                <w:szCs w:val="20"/>
                <w:color w:val="auto"/>
              </w:rPr>
            </w:pPr>
            <w:r>
              <w:rPr>
                <w:rFonts w:ascii="Times New Roman" w:cs="Times New Roman" w:eastAsia="Times New Roman" w:hAnsi="Times New Roman"/>
                <w:sz w:val="22"/>
                <w:szCs w:val="22"/>
                <w:color w:val="auto"/>
              </w:rPr>
              <w:t>Total investments (amortized cost—$1,232,040 and $1,117,927, respectively)</w:t>
            </w:r>
          </w:p>
        </w:tc>
        <w:tc>
          <w:tcPr>
            <w:tcW w:w="140" w:type="dxa"/>
            <w:vAlign w:val="bottom"/>
          </w:tcPr>
          <w:p>
            <w:pPr>
              <w:spacing w:after="0"/>
              <w:rPr>
                <w:sz w:val="21"/>
                <w:szCs w:val="21"/>
                <w:color w:val="auto"/>
              </w:rPr>
            </w:pPr>
          </w:p>
        </w:tc>
        <w:tc>
          <w:tcPr>
            <w:tcW w:w="12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1,210,758</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1,101,647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Cash and cash equivalents (cost—$36,850 and $38,784, respectively)</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36,893</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38,775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Interest receivable</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9,884</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6,820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Distribution receivable</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5,381</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5,079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Due from affiliates</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181</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2"/>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Prepaid expenses and other assets</w:t>
            </w: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4,141</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4,656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16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assets</w:t>
            </w: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1,267,238</w:t>
            </w:r>
          </w:p>
        </w:tc>
        <w:tc>
          <w:tcPr>
            <w:tcW w:w="2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1,156,977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16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Liabilities</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Truist Credit Facility payable, at fair value (cost—$388,456 and $212,420, respectively)</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385,016</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206,940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2026 Notes payable, net (par— $150,000)</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147,894</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147,669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2026 Notes-2 payable, net (par— $165,000)</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162,440</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162,226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Payable for investment purchased</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51,850</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99,949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Distributions payable</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4,566</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13,697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Accounts payable and accrued expenses</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4,323</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6,754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Base management fee payable</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4,004</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3,915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Incentive fee payable</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3,321</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3,310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Interest payable on debt</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3,125</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6,231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Due to affiliates</w:t>
            </w: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1,557</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4,099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16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liabilities</w:t>
            </w: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768,096</w:t>
            </w:r>
          </w:p>
        </w:tc>
        <w:tc>
          <w:tcPr>
            <w:tcW w:w="2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654,790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8160" w:type="dxa"/>
            <w:vAlign w:val="bottom"/>
          </w:tcPr>
          <w:p>
            <w:pPr>
              <w:spacing w:after="0" w:line="245" w:lineRule="exact"/>
              <w:rPr>
                <w:sz w:val="20"/>
                <w:szCs w:val="20"/>
                <w:color w:val="auto"/>
              </w:rPr>
            </w:pPr>
            <w:r>
              <w:rPr>
                <w:rFonts w:ascii="Times New Roman" w:cs="Times New Roman" w:eastAsia="Times New Roman" w:hAnsi="Times New Roman"/>
                <w:sz w:val="22"/>
                <w:szCs w:val="22"/>
                <w:color w:val="auto"/>
              </w:rPr>
              <w:t>Commitments and contingencies</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8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assets</w:t>
            </w: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65,224,500 shares issued and outstanding</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Par value $0.001 per share and 100,000,000 shares authorized</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Paid-in capital in excess of par value</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746,466</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746,466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Accumulated deficit</w:t>
            </w:r>
          </w:p>
        </w:tc>
        <w:tc>
          <w:tcPr>
            <w:tcW w:w="140" w:type="dxa"/>
            <w:vAlign w:val="bottom"/>
          </w:tcPr>
          <w:p>
            <w:pPr>
              <w:spacing w:after="0"/>
              <w:rPr>
                <w:sz w:val="24"/>
                <w:szCs w:val="24"/>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(247,389)</w:t>
            </w:r>
          </w:p>
        </w:tc>
        <w:tc>
          <w:tcPr>
            <w:tcW w:w="30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(244,344)</w:t>
            </w:r>
          </w:p>
        </w:tc>
        <w:tc>
          <w:tcPr>
            <w:tcW w:w="0" w:type="dxa"/>
            <w:vAlign w:val="bottom"/>
          </w:tcPr>
          <w:p>
            <w:pPr>
              <w:spacing w:after="0"/>
              <w:rPr>
                <w:sz w:val="1"/>
                <w:szCs w:val="1"/>
                <w:color w:val="auto"/>
              </w:rPr>
            </w:pPr>
          </w:p>
        </w:tc>
      </w:tr>
      <w:tr>
        <w:trPr>
          <w:trHeight w:val="265"/>
        </w:trPr>
        <w:tc>
          <w:tcPr>
            <w:tcW w:w="816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net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499,142</w:t>
            </w:r>
          </w:p>
        </w:tc>
        <w:tc>
          <w:tcPr>
            <w:tcW w:w="200" w:type="dxa"/>
            <w:vAlign w:val="bottom"/>
          </w:tcPr>
          <w:p>
            <w:pPr>
              <w:spacing w:after="0"/>
              <w:rPr>
                <w:sz w:val="23"/>
                <w:szCs w:val="23"/>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502,187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16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liabilities and net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1,267,238</w:t>
            </w:r>
          </w:p>
        </w:tc>
        <w:tc>
          <w:tcPr>
            <w:tcW w:w="200" w:type="dxa"/>
            <w:vAlign w:val="bottom"/>
          </w:tcPr>
          <w:p>
            <w:pPr>
              <w:spacing w:after="0"/>
              <w:rPr>
                <w:sz w:val="22"/>
                <w:szCs w:val="22"/>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1,156,977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asset value per share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7.65</w:t>
            </w:r>
          </w:p>
        </w:tc>
        <w:tc>
          <w:tcPr>
            <w:tcW w:w="200" w:type="dxa"/>
            <w:vAlign w:val="bottom"/>
          </w:tcPr>
          <w:p>
            <w:pPr>
              <w:spacing w:after="0"/>
              <w:rPr>
                <w:sz w:val="22"/>
                <w:szCs w:val="22"/>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7.70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line="272" w:lineRule="auto"/>
        <w:rPr>
          <w:sz w:val="20"/>
          <w:szCs w:val="20"/>
          <w:color w:val="auto"/>
        </w:rPr>
      </w:pPr>
      <w:r>
        <w:rPr>
          <w:rFonts w:ascii="Times New Roman" w:cs="Times New Roman" w:eastAsia="Times New Roman" w:hAnsi="Times New Roman"/>
          <w:sz w:val="22"/>
          <w:szCs w:val="22"/>
          <w:b w:val="1"/>
          <w:bCs w:val="1"/>
          <w:color w:val="auto"/>
        </w:rPr>
        <w:t xml:space="preserve">PENNANTPARK INVESTMENT CORPORATION AND SUBSIDIARIES CONSOLIDATED STATEMENTS OF OPERATIONS </w:t>
      </w:r>
      <w:r>
        <w:rPr>
          <w:rFonts w:ascii="Times New Roman" w:cs="Times New Roman" w:eastAsia="Times New Roman" w:hAnsi="Times New Roman"/>
          <w:sz w:val="22"/>
          <w:szCs w:val="22"/>
          <w:color w:val="auto"/>
        </w:rPr>
        <w:t>(In thousands, except share data)</w:t>
      </w:r>
    </w:p>
    <w:p>
      <w:pPr>
        <w:sectPr>
          <w:pgSz w:w="11900" w:h="16838" w:orient="portrait"/>
          <w:cols w:equalWidth="0" w:num="1">
            <w:col w:w="11240"/>
          </w:cols>
          <w:pgMar w:left="320" w:top="111" w:right="339" w:bottom="0" w:gutter="0" w:footer="0" w:header="0"/>
        </w:sectPr>
      </w:pPr>
    </w:p>
    <w:bookmarkStart w:id="7" w:name="page8"/>
    <w:bookmarkEnd w:id="7"/>
    <w:p>
      <w:pPr>
        <w:spacing w:after="0" w:line="73"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22"/>
          <w:szCs w:val="22"/>
          <w:b w:val="1"/>
          <w:bCs w:val="1"/>
          <w:color w:val="auto"/>
        </w:rPr>
        <w:t>Three Months Ended</w:t>
      </w:r>
    </w:p>
    <w:p>
      <w:pPr>
        <w:spacing w:after="0" w:line="9"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22"/>
          <w:szCs w:val="22"/>
          <w:b w:val="1"/>
          <w:bCs w:val="1"/>
          <w:color w:val="auto"/>
        </w:rPr>
        <w:t>December 31,</w:t>
      </w:r>
    </w:p>
    <w:p>
      <w:pPr>
        <w:ind w:left="910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65"/>
        </w:trPr>
        <w:tc>
          <w:tcPr>
            <w:tcW w:w="81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Investment income:</w:t>
            </w:r>
          </w:p>
        </w:tc>
        <w:tc>
          <w:tcPr>
            <w:tcW w:w="30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2023</w:t>
            </w:r>
          </w:p>
        </w:tc>
        <w:tc>
          <w:tcPr>
            <w:tcW w:w="20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2022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1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From non-controlled, non-affiliated investments:</w:t>
            </w: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w:t>
            </w: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21,068</w:t>
            </w:r>
          </w:p>
        </w:tc>
        <w:tc>
          <w:tcPr>
            <w:tcW w:w="200" w:type="dxa"/>
            <w:vAlign w:val="bottom"/>
          </w:tcPr>
          <w:p>
            <w:pPr>
              <w:spacing w:after="0"/>
              <w:rPr>
                <w:sz w:val="23"/>
                <w:szCs w:val="23"/>
                <w:color w:val="auto"/>
              </w:rPr>
            </w:pP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22,231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Payment-in-kind</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Dividend income</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692</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income</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1,425</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From non-controlled, affiliated investments:</w:t>
            </w: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Payment-in-kind</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347</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From controlled, affiliated investments:</w:t>
            </w: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5,481</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2,858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Payment-in-kind</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632</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Dividend income</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4,689</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3,256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Total investment income</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34,336</w:t>
            </w:r>
          </w:p>
        </w:tc>
        <w:tc>
          <w:tcPr>
            <w:tcW w:w="2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29,963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16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Expenses: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 and expenses on debt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9,557</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9,729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Base management fee</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4,004</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4,602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Incentive fee</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3,321</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2,192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General and administrative expenses</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1,214</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Administrative services expenses</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189</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Expenses before provision for taxes</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18,285</w:t>
            </w:r>
          </w:p>
        </w:tc>
        <w:tc>
          <w:tcPr>
            <w:tcW w:w="2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17,630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Provision for taxes on net investment income</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393</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Net expenses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18,678</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19,630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Net investment income</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15,658</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10,333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6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Realized and unrealized gain (loss) on investments and debt:</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Net realized gain (loss) on investments and debt:</w:t>
            </w: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non-affiliated investments</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2,581</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4,064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and controlled, affiliated investments</w:t>
            </w:r>
          </w:p>
        </w:tc>
        <w:tc>
          <w:tcPr>
            <w:tcW w:w="30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(750)</w:t>
            </w:r>
          </w:p>
        </w:tc>
        <w:tc>
          <w:tcPr>
            <w:tcW w:w="30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5"/>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Net realized gain (loss) on investments and debt</w:t>
            </w:r>
          </w:p>
        </w:tc>
        <w:tc>
          <w:tcPr>
            <w:tcW w:w="30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1,831</w:t>
            </w:r>
          </w:p>
        </w:tc>
        <w:tc>
          <w:tcPr>
            <w:tcW w:w="20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4,064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1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Net change in unrealized appreciation (depreciation) on:</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non-affiliated investments</w:t>
            </w:r>
          </w:p>
        </w:tc>
        <w:tc>
          <w:tcPr>
            <w:tcW w:w="300" w:type="dxa"/>
            <w:vAlign w:val="bottom"/>
          </w:tcPr>
          <w:p>
            <w:pPr>
              <w:spacing w:after="0"/>
              <w:rPr>
                <w:sz w:val="23"/>
                <w:szCs w:val="23"/>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(12,270)</w:t>
            </w:r>
          </w:p>
        </w:tc>
        <w:tc>
          <w:tcPr>
            <w:tcW w:w="30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(50,517)</w:t>
            </w:r>
          </w:p>
        </w:tc>
        <w:tc>
          <w:tcPr>
            <w:tcW w:w="0" w:type="dxa"/>
            <w:vAlign w:val="bottom"/>
          </w:tcPr>
          <w:p>
            <w:pPr>
              <w:spacing w:after="0"/>
              <w:rPr>
                <w:sz w:val="1"/>
                <w:szCs w:val="1"/>
                <w:color w:val="auto"/>
              </w:rPr>
            </w:pPr>
          </w:p>
        </w:tc>
      </w:tr>
      <w:tr>
        <w:trPr>
          <w:trHeight w:val="270"/>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and controlled, affiliated investments</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7,324</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(41,048)</w:t>
            </w:r>
          </w:p>
        </w:tc>
        <w:tc>
          <w:tcPr>
            <w:tcW w:w="0" w:type="dxa"/>
            <w:vAlign w:val="bottom"/>
          </w:tcPr>
          <w:p>
            <w:pPr>
              <w:spacing w:after="0"/>
              <w:rPr>
                <w:sz w:val="1"/>
                <w:szCs w:val="1"/>
                <w:color w:val="auto"/>
              </w:rPr>
            </w:pPr>
          </w:p>
        </w:tc>
      </w:tr>
      <w:tr>
        <w:trPr>
          <w:trHeight w:val="270"/>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Provision for taxes on unrealized appreciation (depreciation) on investments</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Debt appreciation (depreciation)</w:t>
            </w:r>
          </w:p>
        </w:tc>
        <w:tc>
          <w:tcPr>
            <w:tcW w:w="30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(2,040)</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4,378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Net change in unrealized appreciation (depreciation) on investments and debt</w:t>
            </w:r>
          </w:p>
        </w:tc>
        <w:tc>
          <w:tcPr>
            <w:tcW w:w="30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(6,836)</w:t>
            </w:r>
          </w:p>
        </w:tc>
        <w:tc>
          <w:tcPr>
            <w:tcW w:w="20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(86,291)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realized and unrealized gain (loss) from investments and debt</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(5,005)</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(82,227)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increase (decrease) in net assets resulting from operations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10,653</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(71,894</w:t>
            </w:r>
          </w:p>
        </w:tc>
        <w:tc>
          <w:tcPr>
            <w:tcW w:w="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81"/>
              </w:rPr>
              <w:t>)</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81"/>
              </w:rPr>
              <w:t>)</w:t>
            </w:r>
          </w:p>
        </w:tc>
        <w:tc>
          <w:tcPr>
            <w:tcW w:w="0" w:type="dxa"/>
            <w:vAlign w:val="bottom"/>
          </w:tcPr>
          <w:p>
            <w:pPr>
              <w:spacing w:after="0"/>
              <w:rPr>
                <w:sz w:val="1"/>
                <w:szCs w:val="1"/>
                <w:color w:val="auto"/>
              </w:rPr>
            </w:pPr>
          </w:p>
        </w:tc>
      </w:tr>
      <w:tr>
        <w:trPr>
          <w:trHeight w:val="263"/>
        </w:trPr>
        <w:tc>
          <w:tcPr>
            <w:tcW w:w="8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increase (decrease) in net assets resulting from operations per common share</w:t>
            </w:r>
          </w:p>
        </w:tc>
        <w:tc>
          <w:tcPr>
            <w:tcW w:w="3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0.16</w:t>
            </w:r>
          </w:p>
        </w:tc>
        <w:tc>
          <w:tcPr>
            <w:tcW w:w="200" w:type="dxa"/>
            <w:vAlign w:val="bottom"/>
          </w:tcPr>
          <w:p>
            <w:pPr>
              <w:spacing w:after="0"/>
              <w:rPr>
                <w:sz w:val="22"/>
                <w:szCs w:val="22"/>
                <w:color w:val="auto"/>
              </w:rPr>
            </w:pPr>
          </w:p>
        </w:tc>
        <w:tc>
          <w:tcPr>
            <w:tcW w:w="3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(1.10</w:t>
            </w:r>
          </w:p>
        </w:tc>
        <w:tc>
          <w:tcPr>
            <w:tcW w:w="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Net investment income per common share</w:t>
            </w:r>
          </w:p>
        </w:tc>
        <w:tc>
          <w:tcPr>
            <w:tcW w:w="3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0.24</w:t>
            </w:r>
          </w:p>
        </w:tc>
        <w:tc>
          <w:tcPr>
            <w:tcW w:w="200" w:type="dxa"/>
            <w:vAlign w:val="bottom"/>
          </w:tcPr>
          <w:p>
            <w:pPr>
              <w:spacing w:after="0"/>
              <w:rPr>
                <w:sz w:val="22"/>
                <w:szCs w:val="22"/>
                <w:color w:val="auto"/>
              </w:rPr>
            </w:pPr>
          </w:p>
        </w:tc>
        <w:tc>
          <w:tcPr>
            <w:tcW w:w="3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0.16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PENNANTPARK INVESTMENT CORPORATION</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or the Company, is a business development company that invests primarily in U.S. middle-market companies in the form of first lien secured debt, second lien secured debt, subordinated debt and equity investments. PennantPark Investment Corporation is managed by PennantPark Investment Advisers, LLC.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PENNANTPARK INVESTMENT ADVISERS, LLC</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$7.0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(2)(B) of the Securities Exchange Act of 1934, as amended (the “Exchange Act”), the “safe harbor” provisions of the Private</w:t>
      </w:r>
    </w:p>
    <w:p>
      <w:pPr>
        <w:sectPr>
          <w:pgSz w:w="11900" w:h="16911" w:orient="portrait"/>
          <w:cols w:equalWidth="0" w:num="1">
            <w:col w:w="11240"/>
          </w:cols>
          <w:pgMar w:left="320" w:top="108" w:right="339" w:bottom="0" w:gutter="0" w:footer="0" w:header="0"/>
        </w:sectPr>
      </w:pPr>
    </w:p>
    <w:bookmarkStart w:id="8" w:name="page9"/>
    <w:bookmarkEnd w:id="8"/>
    <w:p>
      <w:pPr>
        <w:jc w:val="both"/>
        <w:spacing w:after="0" w:line="235" w:lineRule="auto"/>
        <w:rPr>
          <w:sz w:val="20"/>
          <w:szCs w:val="20"/>
          <w:color w:val="auto"/>
        </w:rPr>
      </w:pPr>
      <w:r>
        <w:rPr>
          <w:rFonts w:ascii="Times New Roman" w:cs="Times New Roman" w:eastAsia="Times New Roman" w:hAnsi="Times New Roman"/>
          <w:sz w:val="22"/>
          <w:szCs w:val="22"/>
          <w:color w:val="auto"/>
        </w:rPr>
        <w:t>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94"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22"/>
          <w:szCs w:val="22"/>
          <w:color w:val="auto"/>
        </w:rPr>
        <w:t>Contact:</w:t>
      </w:r>
      <w:r>
        <w:rPr>
          <w:sz w:val="20"/>
          <w:szCs w:val="20"/>
          <w:color w:val="auto"/>
        </w:rPr>
        <w:tab/>
      </w:r>
      <w:r>
        <w:rPr>
          <w:rFonts w:ascii="Times New Roman" w:cs="Times New Roman" w:eastAsia="Times New Roman" w:hAnsi="Times New Roman"/>
          <w:sz w:val="22"/>
          <w:szCs w:val="22"/>
          <w:color w:val="auto"/>
        </w:rPr>
        <w:t>Richard T. Allorto, Jr.</w:t>
      </w:r>
    </w:p>
    <w:p>
      <w:pPr>
        <w:spacing w:after="0" w:line="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7" w:lineRule="exact"/>
        <w:rPr>
          <w:sz w:val="20"/>
          <w:szCs w:val="20"/>
          <w:color w:val="auto"/>
        </w:rPr>
      </w:pPr>
    </w:p>
    <w:p>
      <w:pPr>
        <w:ind w:left="1160" w:right="8080" w:hanging="5"/>
        <w:spacing w:after="0" w:line="296" w:lineRule="auto"/>
        <w:tabs>
          <w:tab w:leader="none" w:pos="168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905-1000 </w:t>
      </w:r>
      <w:r>
        <w:rPr>
          <w:rFonts w:ascii="Times New Roman" w:cs="Times New Roman" w:eastAsia="Times New Roman" w:hAnsi="Times New Roman"/>
          <w:sz w:val="21"/>
          <w:szCs w:val="21"/>
          <w:u w:val="single" w:color="auto"/>
          <w:color w:val="auto"/>
        </w:rPr>
        <w:t>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lvl>
    <w:lvl w:ilvl="1">
      <w:lvlJc w:val="left"/>
      <w:lvlText w:val="*"/>
      <w:numFmt w:val="bullet"/>
      <w:start w:val="1"/>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2024-02-07T15:19:54Z</dcterms:created>
  <dcterms:modified xsi:type="dcterms:W3CDTF">2024-02-07T15:19:54Z</dcterms:modified>
</cp:coreProperties>
</file>