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440" w:right="2600"/>
        <w:spacing w:after="0" w:line="262" w:lineRule="auto"/>
        <w:rPr>
          <w:sz w:val="20"/>
          <w:szCs w:val="20"/>
          <w:color w:val="auto"/>
        </w:rPr>
      </w:pPr>
      <w:r>
        <w:rPr>
          <w:rFonts w:ascii="Arial" w:cs="Arial" w:eastAsia="Arial" w:hAnsi="Arial"/>
          <w:sz w:val="18"/>
          <w:szCs w:val="18"/>
          <w:b w:val="1"/>
          <w:bCs w:val="1"/>
          <w:color w:val="auto"/>
        </w:rPr>
        <w:t>As filed with the Securities and Exchange Commission on November 24, 2014. Securities Act Registration No. 333-192782 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67310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right"/>
        <w:ind w:right="3780"/>
        <w:spacing w:after="0" w:line="207" w:lineRule="exact"/>
        <w:tabs>
          <w:tab w:leader="none" w:pos="3920" w:val="left"/>
        </w:tabs>
        <w:rPr>
          <w:sz w:val="20"/>
          <w:szCs w:val="20"/>
          <w:color w:val="auto"/>
        </w:rPr>
      </w:pPr>
      <w:r>
        <w:rPr>
          <w:rFonts w:ascii="Arial" w:cs="Arial" w:eastAsia="Arial" w:hAnsi="Arial"/>
          <w:sz w:val="18"/>
          <w:szCs w:val="18"/>
          <w:b w:val="1"/>
          <w:bCs w:val="1"/>
          <w:color w:val="auto"/>
        </w:rPr>
        <w:t>Post-Effective Amendment No. 3</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jc w:val="right"/>
        <w:ind w:right="3780"/>
        <w:spacing w:after="0" w:line="207" w:lineRule="exact"/>
        <w:tabs>
          <w:tab w:leader="none" w:pos="392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Friedmann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ind w:firstLine="571"/>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80" w:hanging="201"/>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400" w:type="dxa"/>
            <w:vAlign w:val="bottom"/>
            <w:tcBorders>
              <w:top w:val="single" w:sz="8" w:color="auto"/>
              <w:left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ind w:right="437"/>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r>
      <w:tr>
        <w:trPr>
          <w:trHeight w:val="148"/>
        </w:trPr>
        <w:tc>
          <w:tcPr>
            <w:tcW w:w="4400" w:type="dxa"/>
            <w:vAlign w:val="bottom"/>
            <w:tcBorders>
              <w:left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2"/>
              <w:spacing w:after="0" w:line="148" w:lineRule="exact"/>
              <w:rPr>
                <w:sz w:val="20"/>
                <w:szCs w:val="20"/>
                <w:color w:val="auto"/>
              </w:rPr>
            </w:pPr>
            <w:r>
              <w:rPr>
                <w:rFonts w:ascii="Arial" w:cs="Arial" w:eastAsia="Arial" w:hAnsi="Arial"/>
                <w:sz w:val="14"/>
                <w:szCs w:val="14"/>
                <w:b w:val="1"/>
                <w:bCs w:val="1"/>
                <w:color w:val="auto"/>
              </w:rPr>
              <w:t>Amount Being</w:t>
            </w:r>
          </w:p>
        </w:tc>
        <w:tc>
          <w:tcPr>
            <w:tcW w:w="14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40" w:type="dxa"/>
            <w:vAlign w:val="bottom"/>
          </w:tcPr>
          <w:p>
            <w:pPr>
              <w:spacing w:after="0"/>
              <w:rPr>
                <w:sz w:val="12"/>
                <w:szCs w:val="12"/>
                <w:color w:val="auto"/>
              </w:rPr>
            </w:pPr>
          </w:p>
        </w:tc>
        <w:tc>
          <w:tcPr>
            <w:tcW w:w="1680" w:type="dxa"/>
            <w:vAlign w:val="bottom"/>
            <w:tcBorders>
              <w:right w:val="single" w:sz="8" w:color="auto"/>
            </w:tcBorders>
          </w:tcPr>
          <w:p>
            <w:pPr>
              <w:jc w:val="center"/>
              <w:ind w:right="437"/>
              <w:spacing w:after="0" w:line="148" w:lineRule="exact"/>
              <w:rPr>
                <w:sz w:val="20"/>
                <w:szCs w:val="20"/>
                <w:color w:val="auto"/>
              </w:rPr>
            </w:pPr>
            <w:r>
              <w:rPr>
                <w:rFonts w:ascii="Arial" w:cs="Arial" w:eastAsia="Arial" w:hAnsi="Arial"/>
                <w:sz w:val="14"/>
                <w:szCs w:val="14"/>
                <w:b w:val="1"/>
                <w:bCs w:val="1"/>
                <w:color w:val="auto"/>
                <w:w w:val="83"/>
              </w:rPr>
              <w:t>Aggregate</w:t>
            </w:r>
          </w:p>
        </w:tc>
        <w:tc>
          <w:tcPr>
            <w:tcW w:w="140" w:type="dxa"/>
            <w:vAlign w:val="bottom"/>
          </w:tcPr>
          <w:p>
            <w:pPr>
              <w:spacing w:after="0"/>
              <w:rPr>
                <w:sz w:val="12"/>
                <w:szCs w:val="12"/>
                <w:color w:val="auto"/>
              </w:rPr>
            </w:pPr>
          </w:p>
        </w:tc>
        <w:tc>
          <w:tcPr>
            <w:tcW w:w="1620" w:type="dxa"/>
            <w:vAlign w:val="bottom"/>
            <w:tcBorders>
              <w:right w:val="single" w:sz="8" w:color="auto"/>
            </w:tcBorders>
          </w:tcPr>
          <w:p>
            <w:pPr>
              <w:jc w:val="center"/>
              <w:ind w:right="49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440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Securities Being Registered</w:t>
            </w:r>
          </w:p>
        </w:tc>
        <w:tc>
          <w:tcPr>
            <w:tcW w:w="10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Unit</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center"/>
              <w:ind w:right="41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47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080" w:type="dxa"/>
            <w:vAlign w:val="bottom"/>
            <w:tcBorders>
              <w:bottom w:val="single" w:sz="8" w:color="auto"/>
              <w:right w:val="single" w:sz="8" w:color="auto"/>
            </w:tcBorders>
          </w:tcPr>
          <w:p>
            <w:pPr>
              <w:jc w:val="right"/>
              <w:ind w:right="87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12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Preferred Stock, $0.001 par value</w:t>
            </w:r>
            <w:r>
              <w:rPr>
                <w:rFonts w:ascii="Arial" w:cs="Arial" w:eastAsia="Arial" w:hAnsi="Arial"/>
                <w:sz w:val="22"/>
                <w:szCs w:val="22"/>
                <w:color w:val="auto"/>
                <w:vertAlign w:val="superscript"/>
              </w:rPr>
              <w:t>(2)</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Warrants</w:t>
            </w:r>
            <w:r>
              <w:rPr>
                <w:rFonts w:ascii="Arial" w:cs="Arial" w:eastAsia="Arial" w:hAnsi="Arial"/>
                <w:sz w:val="22"/>
                <w:szCs w:val="22"/>
                <w:color w:val="auto"/>
                <w:vertAlign w:val="superscript"/>
              </w:rPr>
              <w:t>(2)</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Subscription Rights</w:t>
            </w:r>
            <w:r>
              <w:rPr>
                <w:rFonts w:ascii="Arial" w:cs="Arial" w:eastAsia="Arial" w:hAnsi="Arial"/>
                <w:sz w:val="22"/>
                <w:szCs w:val="22"/>
                <w:color w:val="auto"/>
                <w:vertAlign w:val="superscript"/>
              </w:rPr>
              <w:t>(3)</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Debt Securities</w:t>
            </w:r>
            <w:r>
              <w:rPr>
                <w:rFonts w:ascii="Arial" w:cs="Arial" w:eastAsia="Arial" w:hAnsi="Arial"/>
                <w:sz w:val="22"/>
                <w:szCs w:val="22"/>
                <w:color w:val="auto"/>
                <w:vertAlign w:val="superscript"/>
              </w:rPr>
              <w:t>(4)</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(5)</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142"/>
        </w:trPr>
        <w:tc>
          <w:tcPr>
            <w:tcW w:w="44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right w:val="single" w:sz="8" w:color="auto"/>
            </w:tcBorders>
          </w:tcPr>
          <w:p>
            <w:pPr>
              <w:jc w:val="right"/>
              <w:ind w:right="872"/>
              <w:spacing w:after="0" w:line="142"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125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jc w:val="right"/>
              <w:ind w:right="237"/>
              <w:spacing w:after="0" w:line="142" w:lineRule="exact"/>
              <w:rPr>
                <w:sz w:val="20"/>
                <w:szCs w:val="20"/>
                <w:color w:val="auto"/>
              </w:rPr>
            </w:pPr>
            <w:r>
              <w:rPr>
                <w:rFonts w:ascii="Arial" w:cs="Arial" w:eastAsia="Arial" w:hAnsi="Arial"/>
                <w:sz w:val="11"/>
                <w:szCs w:val="11"/>
                <w:color w:val="auto"/>
              </w:rPr>
              <w:t>1,000,000,000</w:t>
            </w:r>
            <w:r>
              <w:rPr>
                <w:rFonts w:ascii="Arial" w:cs="Arial" w:eastAsia="Arial" w:hAnsi="Arial"/>
                <w:sz w:val="16"/>
                <w:szCs w:val="16"/>
                <w:color w:val="auto"/>
                <w:vertAlign w:val="superscript"/>
              </w:rPr>
              <w:t>(6)</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ind w:right="279"/>
              <w:spacing w:after="0" w:line="142" w:lineRule="exact"/>
              <w:rPr>
                <w:sz w:val="20"/>
                <w:szCs w:val="20"/>
                <w:color w:val="auto"/>
              </w:rPr>
            </w:pPr>
            <w:r>
              <w:rPr>
                <w:rFonts w:ascii="Arial" w:cs="Arial" w:eastAsia="Arial" w:hAnsi="Arial"/>
                <w:sz w:val="11"/>
                <w:szCs w:val="11"/>
                <w:color w:val="auto"/>
              </w:rPr>
              <w:t>128,800</w:t>
            </w:r>
            <w:r>
              <w:rPr>
                <w:rFonts w:ascii="Arial" w:cs="Arial" w:eastAsia="Arial" w:hAnsi="Arial"/>
                <w:sz w:val="16"/>
                <w:szCs w:val="16"/>
                <w:color w:val="auto"/>
                <w:vertAlign w:val="superscript"/>
              </w:rPr>
              <w:t>(7)</w:t>
            </w:r>
          </w:p>
        </w:tc>
      </w:tr>
    </w:tbl>
    <w:p>
      <w:pPr>
        <w:spacing w:after="0" w:line="70"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2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$1,000,000,000.</w:t>
      </w:r>
    </w:p>
    <w:p>
      <w:pPr>
        <w:spacing w:after="0" w:line="12"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$1,000,000,000.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or until the Registration Statement shall become effective on such dates as the Securities and Exchange Commission, acting pursuant to said Section 8(c),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companies in the form of senior secured loans, mezzanine debt and equity investments. We can offer no assurances that we will achieve our investment objectives.</w:t>
      </w:r>
    </w:p>
    <w:p>
      <w:pPr>
        <w:spacing w:after="0" w:line="59"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48 of this prospectus for more information.</w:t>
      </w:r>
    </w:p>
    <w:p>
      <w:pPr>
        <w:spacing w:after="0" w:line="4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November 20, 2014 was $10.85 per share, and our net asset value on September 30, 2014 was $11.03 per share. Our 6.25% senior notes due 2025, or the 2025 Notes, have been approved for quotation on the New York Stock Exchange, or NYSE, under the symbol “PNTA.” The last reported closing price of the 2025 Notes on November 20, 2014 was $24.85 per $25 of par.</w:t>
      </w:r>
    </w:p>
    <w:p>
      <w:pPr>
        <w:spacing w:after="0" w:line="62"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p>
      <w:pPr>
        <w:ind w:right="60" w:firstLine="571"/>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00" w:firstLine="57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740"/>
        <w:spacing w:after="0"/>
        <w:tabs>
          <w:tab w:leader="none" w:pos="622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5"/>
          <w:szCs w:val="15"/>
          <w:b w:val="1"/>
          <w:bCs w:val="1"/>
          <w:color w:val="auto"/>
        </w:rPr>
        <w:t>, 2014</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2860" w:type="dxa"/>
            <w:vAlign w:val="bottom"/>
            <w:tcBorders>
              <w:top w:val="single" w:sz="8" w:color="0000EE"/>
            </w:tcBorders>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792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SELECTED FINANCIAL DATA</w:t>
              </w:r>
            </w:hyperlink>
          </w:p>
        </w:tc>
        <w:tc>
          <w:tcPr>
            <w:tcW w:w="8400" w:type="dxa"/>
            <w:vAlign w:val="bottom"/>
            <w:gridSpan w:val="2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8700" w:type="dxa"/>
            <w:vAlign w:val="bottom"/>
            <w:tcBorders>
              <w:top w:val="single" w:sz="8" w:color="0000EE"/>
            </w:tcBorders>
            <w:gridSpan w:val="3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29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PRICE RANGE OF COMMON STOCK</w:t>
              </w:r>
            </w:hyperlink>
          </w:p>
        </w:tc>
        <w:tc>
          <w:tcPr>
            <w:tcW w:w="520" w:type="dxa"/>
            <w:vAlign w:val="bottom"/>
            <w:tcBorders>
              <w:top w:val="single" w:sz="8" w:color="0000EE"/>
            </w:tcBorders>
            <w:gridSpan w:val="4"/>
          </w:tcPr>
          <w:p>
            <w:pPr>
              <w:spacing w:after="0"/>
              <w:rPr>
                <w:sz w:val="22"/>
                <w:szCs w:val="22"/>
                <w:color w:val="auto"/>
              </w:rPr>
            </w:pPr>
          </w:p>
        </w:tc>
        <w:tc>
          <w:tcPr>
            <w:tcW w:w="7360" w:type="dxa"/>
            <w:vAlign w:val="bottom"/>
            <w:gridSpan w:val="1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454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13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DISTRIBUTIONS</w:t>
              </w:r>
            </w:hyperlink>
          </w:p>
        </w:tc>
        <w:tc>
          <w:tcPr>
            <w:tcW w:w="944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BUSINESS</w:t>
              </w:r>
            </w:hyperlink>
          </w:p>
        </w:tc>
        <w:tc>
          <w:tcPr>
            <w:tcW w:w="9940" w:type="dxa"/>
            <w:vAlign w:val="bottom"/>
            <w:gridSpan w:val="3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3440" w:type="dxa"/>
            <w:vAlign w:val="bottom"/>
            <w:tcBorders>
              <w:top w:val="single" w:sz="8" w:color="0000EE"/>
            </w:tcBorders>
            <w:gridSpan w:val="2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4"/>
        </w:trPr>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64"/>
        </w:trPr>
        <w:tc>
          <w:tcPr>
            <w:tcW w:w="444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64"/>
        </w:trPr>
        <w:tc>
          <w:tcPr>
            <w:tcW w:w="330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27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92">
              <w:r>
                <w:rPr>
                  <w:rFonts w:ascii="Arial" w:cs="Arial" w:eastAsia="Arial" w:hAnsi="Arial"/>
                  <w:sz w:val="18"/>
                  <w:szCs w:val="18"/>
                  <w:color w:val="0000EE"/>
                  <w:w w:val="96"/>
                </w:rPr>
                <w:t>DIVIDEND REINVESTMENT PLAN</w:t>
              </w:r>
            </w:hyperlink>
          </w:p>
        </w:tc>
        <w:tc>
          <w:tcPr>
            <w:tcW w:w="802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4"/>
        </w:trPr>
        <w:tc>
          <w:tcPr>
            <w:tcW w:w="32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DESCRIPTION OF OUR CAPITAL STOCK</w:t>
              </w:r>
            </w:hyperlink>
          </w:p>
        </w:tc>
        <w:tc>
          <w:tcPr>
            <w:tcW w:w="756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3480" w:type="dxa"/>
            <w:vAlign w:val="bottom"/>
            <w:tcBorders>
              <w:top w:val="single" w:sz="8" w:color="0000EE"/>
            </w:tcBorders>
            <w:gridSpan w:val="2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38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24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DESCRIPTION OF OUR UNITS</w:t>
              </w:r>
            </w:hyperlink>
          </w:p>
        </w:tc>
        <w:tc>
          <w:tcPr>
            <w:tcW w:w="83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11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REGULATION</w:t>
              </w:r>
            </w:hyperlink>
          </w:p>
        </w:tc>
        <w:tc>
          <w:tcPr>
            <w:tcW w:w="9660" w:type="dxa"/>
            <w:vAlign w:val="bottom"/>
            <w:gridSpan w:val="3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4"/>
        </w:trPr>
        <w:tc>
          <w:tcPr>
            <w:tcW w:w="438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64"/>
        </w:trPr>
        <w:tc>
          <w:tcPr>
            <w:tcW w:w="476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119">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4"/>
          </w:tcPr>
          <w:p>
            <w:pPr>
              <w:spacing w:after="0"/>
              <w:rPr>
                <w:rFonts w:ascii="Arial" w:cs="Arial" w:eastAsia="Arial" w:hAnsi="Arial"/>
                <w:sz w:val="18"/>
                <w:szCs w:val="18"/>
                <w:color w:val="0000EE"/>
                <w:w w:val="94"/>
              </w:rPr>
            </w:pPr>
            <w:hyperlink w:anchor="page125">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4"/>
        </w:trPr>
        <w:tc>
          <w:tcPr>
            <w:tcW w:w="4360" w:type="dxa"/>
            <w:vAlign w:val="bottom"/>
            <w:tcBorders>
              <w:top w:val="single" w:sz="8" w:color="0000EE"/>
              <w:bottom w:val="single" w:sz="8" w:color="0000EE"/>
            </w:tcBorders>
            <w:gridSpan w:val="28"/>
          </w:tcPr>
          <w:p>
            <w:pPr>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22"/>
                <w:szCs w:val="22"/>
                <w:color w:val="auto"/>
              </w:rPr>
            </w:pPr>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64"/>
        </w:trPr>
        <w:tc>
          <w:tcPr>
            <w:tcW w:w="24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56">
              <w:r>
                <w:rPr>
                  <w:rFonts w:ascii="Arial" w:cs="Arial" w:eastAsia="Arial" w:hAnsi="Arial"/>
                  <w:sz w:val="18"/>
                  <w:szCs w:val="18"/>
                  <w:color w:val="0000EE"/>
                  <w:w w:val="92"/>
                </w:rPr>
                <w:t>PART C OTHER INFORMATION</w:t>
              </w:r>
            </w:hyperlink>
          </w:p>
        </w:tc>
        <w:tc>
          <w:tcPr>
            <w:tcW w:w="830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383"/>
        </w:trPr>
        <w:tc>
          <w:tcPr>
            <w:tcW w:w="8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23" w:lineRule="exact"/>
        <w:rPr>
          <w:sz w:val="20"/>
          <w:szCs w:val="20"/>
          <w:color w:val="auto"/>
        </w:rPr>
      </w:pPr>
    </w:p>
    <w:p>
      <w:pPr>
        <w:ind w:left="320" w:right="20" w:firstLine="540"/>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“2019 Notes” refers to our 4.50% notes due 2019;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3" w:lineRule="exact"/>
        <w:rPr>
          <w:sz w:val="20"/>
          <w:szCs w:val="20"/>
          <w:color w:val="auto"/>
        </w:rPr>
      </w:pPr>
    </w:p>
    <w:p>
      <w:pPr>
        <w:ind w:left="320" w:right="260" w:firstLine="540"/>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31" w:lineRule="exact"/>
        <w:rPr>
          <w:sz w:val="20"/>
          <w:szCs w:val="20"/>
          <w:color w:val="auto"/>
        </w:rPr>
      </w:pPr>
    </w:p>
    <w:p>
      <w:pPr>
        <w:ind w:left="320" w:right="100" w:firstLine="540"/>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64" w:lineRule="exact"/>
        <w:rPr>
          <w:sz w:val="20"/>
          <w:szCs w:val="20"/>
          <w:color w:val="auto"/>
        </w:rPr>
      </w:pPr>
    </w:p>
    <w:p>
      <w:pPr>
        <w:ind w:left="320" w:firstLine="540"/>
        <w:spacing w:after="0" w:line="298"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left="320" w:right="280" w:firstLine="540"/>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20" w:right="20" w:firstLine="540"/>
        <w:spacing w:after="0" w:line="255"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8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581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120" w:lineRule="exact"/>
        <w:rPr>
          <w:sz w:val="20"/>
          <w:szCs w:val="20"/>
          <w:color w:val="auto"/>
        </w:rPr>
      </w:pPr>
    </w:p>
    <w:p>
      <w:pPr>
        <w:ind w:left="200" w:right="10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60" w:firstLine="553"/>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220" w:firstLine="553"/>
        <w:spacing w:after="0" w:line="294"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25 years of experience in mezzanine lending, leveraged finance, distressed debt and private equity businesses,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1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72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and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firstLine="55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firstLine="553"/>
        <w:spacing w:after="0" w:line="254"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 Administration Agreements” for more information.</w:t>
      </w:r>
    </w:p>
    <w:p>
      <w:pPr>
        <w:spacing w:after="0" w:line="144" w:lineRule="exact"/>
        <w:rPr>
          <w:sz w:val="20"/>
          <w:szCs w:val="20"/>
          <w:color w:val="auto"/>
        </w:rPr>
      </w:pPr>
    </w:p>
    <w:p>
      <w:pPr>
        <w:ind w:left="200" w:right="30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ind w:left="200" w:right="160" w:firstLine="553"/>
        <w:spacing w:after="0" w:line="259"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40" w:firstLine="553"/>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2014, the corresponding interest rate charged on such borrowings as of that date and the length of time that it may take us to invest any proceeds in new or existing portfolio companies.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20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220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200" w:right="720" w:firstLine="553"/>
        <w:spacing w:after="0" w:line="268" w:lineRule="auto"/>
        <w:rPr>
          <w:sz w:val="20"/>
          <w:szCs w:val="20"/>
          <w:color w:val="auto"/>
        </w:rPr>
      </w:pPr>
      <w:r>
        <w:rPr>
          <w:rFonts w:ascii="Arial" w:cs="Arial" w:eastAsia="Arial" w:hAnsi="Arial"/>
          <w:sz w:val="18"/>
          <w:szCs w:val="18"/>
          <w:color w:val="auto"/>
        </w:rPr>
        <w:t>For the years ended September 30, 2014, 2013, 2012, 2011 and 2010, our ratios of earnings to fixed charges were 5.5, 6.0, 5.4, 1.9 and 4.5, respectively. See “Ratio of Earnings to Fixed Charges”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firstLine="553"/>
        <w:spacing w:after="0" w:line="268"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4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4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86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486150"/>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320" w:right="200" w:firstLine="540"/>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51" w:lineRule="exact"/>
        <w:rPr>
          <w:sz w:val="20"/>
          <w:szCs w:val="20"/>
          <w:color w:val="auto"/>
        </w:rPr>
      </w:pPr>
    </w:p>
    <w:p>
      <w:pPr>
        <w:ind w:left="320" w:firstLine="540"/>
        <w:spacing w:after="0" w:line="312" w:lineRule="auto"/>
        <w:rPr>
          <w:sz w:val="20"/>
          <w:szCs w:val="20"/>
          <w:color w:val="auto"/>
        </w:rPr>
      </w:pPr>
      <w:r>
        <w:rPr>
          <w:rFonts w:ascii="Arial" w:cs="Arial" w:eastAsia="Arial" w:hAnsi="Arial"/>
          <w:sz w:val="15"/>
          <w:szCs w:val="15"/>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24" w:lineRule="exact"/>
        <w:rPr>
          <w:sz w:val="20"/>
          <w:szCs w:val="20"/>
          <w:color w:val="auto"/>
        </w:rPr>
      </w:pPr>
    </w:p>
    <w:p>
      <w:pPr>
        <w:ind w:left="320" w:right="60" w:firstLine="540"/>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320" w:firstLine="540"/>
        <w:spacing w:after="0" w:line="288"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3.47%</w:t>
      </w:r>
      <w:r>
        <w:rPr>
          <w:rFonts w:ascii="Arial" w:cs="Arial" w:eastAsia="Arial" w:hAnsi="Arial"/>
          <w:sz w:val="10"/>
          <w:szCs w:val="10"/>
          <w:color w:val="auto"/>
        </w:rPr>
        <w:t>(4)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2.70%</w:t>
      </w:r>
      <w:r>
        <w:rPr>
          <w:rFonts w:ascii="Arial" w:cs="Arial" w:eastAsia="Arial" w:hAnsi="Arial"/>
          <w:sz w:val="10"/>
          <w:szCs w:val="10"/>
          <w:color w:val="auto"/>
        </w:rPr>
        <w:t>(5)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3.41%</w:t>
      </w:r>
      <w:r>
        <w:rPr>
          <w:rFonts w:ascii="Arial" w:cs="Arial" w:eastAsia="Arial" w:hAnsi="Arial"/>
          <w:sz w:val="10"/>
          <w:szCs w:val="10"/>
          <w:color w:val="auto"/>
        </w:rPr>
        <w:t>(6)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0.30%</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51435</wp:posOffset>
            </wp:positionV>
            <wp:extent cx="231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9.88%</w:t>
      </w:r>
      <w:r>
        <w:rPr>
          <w:rFonts w:ascii="Arial" w:cs="Arial" w:eastAsia="Arial" w:hAnsi="Arial"/>
          <w:sz w:val="10"/>
          <w:szCs w:val="10"/>
          <w:color w:val="auto"/>
        </w:rPr>
        <w:t>(8)</w:t>
      </w:r>
    </w:p>
    <w:p>
      <w:pPr>
        <w:spacing w:after="0" w:line="230" w:lineRule="exact"/>
        <w:rPr>
          <w:sz w:val="20"/>
          <w:szCs w:val="20"/>
          <w:color w:val="auto"/>
        </w:rPr>
      </w:pPr>
    </w:p>
    <w:p>
      <w:pPr>
        <w:sectPr>
          <w:pgSz w:w="11900" w:h="16838" w:orient="portrait"/>
          <w:cols w:equalWidth="0" w:num="2">
            <w:col w:w="10100" w:space="720"/>
            <w:col w:w="600"/>
          </w:cols>
          <w:pgMar w:left="240" w:top="459" w:right="239" w:bottom="1440" w:gutter="0" w:footer="0" w:header="0"/>
          <w:type w:val="continuous"/>
        </w:sectPr>
      </w:pPr>
    </w:p>
    <w:p>
      <w:pPr>
        <w:spacing w:after="0" w:line="13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three months ended September 30, 2014.</w:t>
      </w:r>
    </w:p>
    <w:p>
      <w:pPr>
        <w:spacing w:after="0" w:line="68" w:lineRule="exact"/>
        <w:rPr>
          <w:rFonts w:ascii="Arial" w:cs="Arial" w:eastAsia="Arial" w:hAnsi="Arial"/>
          <w:sz w:val="14"/>
          <w:szCs w:val="14"/>
          <w:color w:val="auto"/>
        </w:rPr>
      </w:pPr>
    </w:p>
    <w:p>
      <w:pPr>
        <w:ind w:left="580" w:right="460" w:hanging="572"/>
        <w:spacing w:after="0" w:line="239"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on September 30, 2014.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80" w:hanging="572"/>
        <w:spacing w:after="0" w:line="266"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years,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194" w:lineRule="exact"/>
        <w:rPr>
          <w:rFonts w:ascii="Arial" w:cs="Arial" w:eastAsia="Arial" w:hAnsi="Arial"/>
          <w:sz w:val="12"/>
          <w:szCs w:val="12"/>
          <w:color w:val="auto"/>
        </w:rPr>
      </w:pPr>
    </w:p>
    <w:p>
      <w:pPr>
        <w:ind w:left="580" w:right="40" w:hanging="572"/>
        <w:spacing w:after="0" w:line="266"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September 30, 2014, we had $489.8 million of unused borrowing capacity, subject to maintenance of the applicable total assets to debt ratio, under the 1940 Act, and $55.2 million in borrowings outstanding under our $545.0 million Credit Facility, had $71.3 million in aggregate principal of 2025 Notes at an annual interest rate of 6.25% and had $250.0 million in aggregate principal of 2019 Notes at an annual interest rate of 4.50%. As of September 30, 2014, our SBIC Funds had debenture commitments from the SBA in the amount of $225.0 million, had $150.0 million outstanding with a weighted average interest rate of 3.70%, exclusive of the 3.43% of upfront fees, and had $75.0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5" w:lineRule="exact"/>
        <w:rPr>
          <w:rFonts w:ascii="Arial" w:cs="Arial" w:eastAsia="Arial" w:hAnsi="Arial"/>
          <w:sz w:val="12"/>
          <w:szCs w:val="12"/>
          <w:color w:val="auto"/>
        </w:rPr>
      </w:pPr>
    </w:p>
    <w:p>
      <w:pPr>
        <w:ind w:left="580" w:right="20" w:hanging="572"/>
        <w:spacing w:after="0" w:line="23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580" w:hanging="572"/>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36 of this prospectus.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7.18%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You would pay the following expenses on a $1,000 common stock investment</w:t>
            </w:r>
          </w:p>
        </w:tc>
        <w:tc>
          <w:tcPr>
            <w:tcW w:w="4380" w:type="dxa"/>
            <w:vAlign w:val="bottom"/>
          </w:tcPr>
          <w:p>
            <w:pPr>
              <w:spacing w:after="0"/>
              <w:rPr>
                <w:sz w:val="15"/>
                <w:szCs w:val="15"/>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0"/>
              </w:rPr>
              <w:t>3 Years</w:t>
            </w:r>
          </w:p>
        </w:tc>
        <w:tc>
          <w:tcPr>
            <w:tcW w:w="1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3"/>
              </w:rPr>
              <w:t>10 Years</w:t>
            </w:r>
          </w:p>
        </w:tc>
      </w:tr>
      <w:tr>
        <w:trPr>
          <w:trHeight w:val="136"/>
        </w:trPr>
        <w:tc>
          <w:tcPr>
            <w:tcW w:w="90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104</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236</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363</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657</w:t>
            </w:r>
          </w:p>
        </w:tc>
        <w:tc>
          <w:tcPr>
            <w:tcW w:w="60" w:type="dxa"/>
            <w:vAlign w:val="bottom"/>
            <w:tcBorders>
              <w:top w:val="single" w:sz="8" w:color="CCEEFF"/>
            </w:tcBorders>
            <w:shd w:val="clear" w:color="auto" w:fill="CCEEFF"/>
          </w:tcPr>
          <w:p>
            <w:pPr>
              <w:spacing w:after="0"/>
              <w:rPr>
                <w:sz w:val="11"/>
                <w:szCs w:val="11"/>
                <w:color w:val="auto"/>
              </w:rPr>
            </w:pPr>
          </w:p>
        </w:tc>
      </w:tr>
      <w:tr>
        <w:trPr>
          <w:trHeight w:val="175"/>
        </w:trPr>
        <w:tc>
          <w:tcPr>
            <w:tcW w:w="908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113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261</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710</w:t>
            </w:r>
          </w:p>
        </w:tc>
        <w:tc>
          <w:tcPr>
            <w:tcW w:w="60" w:type="dxa"/>
            <w:vAlign w:val="bottom"/>
          </w:tcPr>
          <w:p>
            <w:pPr>
              <w:spacing w:after="0"/>
              <w:rPr>
                <w:sz w:val="15"/>
                <w:szCs w:val="15"/>
                <w:color w:val="auto"/>
              </w:rPr>
            </w:pPr>
          </w:p>
        </w:tc>
      </w:tr>
    </w:tbl>
    <w:p>
      <w:pPr>
        <w:spacing w:after="0" w:line="141"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2019 Notes and 2025 Notes, or any securities we may issue, may decline, and you may lose all or part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6"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59"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requirements, or asset coverage ratio,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18"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2019 Notes, the 2025 Notes and SBA debentures.</w:t>
      </w:r>
    </w:p>
    <w:p>
      <w:pPr>
        <w:spacing w:after="0" w:line="51"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In addition to the applicable asset coverage ratio that restricts our ability to borrow under our Credit Facility, the Credit Facility and the indenture governing the 2019 Notes and 2025 Notes contain various covenants which, if not complied with, could accelerate repayment under the Credit Facility, 2019 Notes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21" w:lineRule="exact"/>
        <w:rPr>
          <w:sz w:val="20"/>
          <w:szCs w:val="20"/>
          <w:color w:val="auto"/>
        </w:rPr>
      </w:pPr>
    </w:p>
    <w:p>
      <w:pPr>
        <w:ind w:left="560" w:hanging="44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36" w:lineRule="exact"/>
        <w:rPr>
          <w:rFonts w:ascii="Arial" w:cs="Arial" w:eastAsia="Arial" w:hAnsi="Arial"/>
          <w:sz w:val="18"/>
          <w:szCs w:val="18"/>
          <w:color w:val="auto"/>
        </w:rPr>
      </w:pPr>
    </w:p>
    <w:p>
      <w:pPr>
        <w:ind w:left="560" w:hanging="44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36" w:lineRule="exact"/>
        <w:rPr>
          <w:rFonts w:ascii="Arial" w:cs="Arial" w:eastAsia="Arial" w:hAnsi="Arial"/>
          <w:sz w:val="18"/>
          <w:szCs w:val="18"/>
          <w:color w:val="auto"/>
        </w:rPr>
      </w:pPr>
    </w:p>
    <w:p>
      <w:pPr>
        <w:ind w:left="560" w:hanging="444"/>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 xml:space="preserve">In addition to the Credit Facility, we have issued the </w:t>
      </w:r>
      <w:r>
        <w:rPr>
          <w:rFonts w:ascii="Arial" w:cs="Arial" w:eastAsia="Arial" w:hAnsi="Arial"/>
          <w:sz w:val="18"/>
          <w:szCs w:val="18"/>
          <w:u w:val="single" w:color="auto"/>
          <w:color w:val="auto"/>
        </w:rPr>
        <w:t>2019 Notes and</w:t>
      </w:r>
      <w:r>
        <w:rPr>
          <w:rFonts w:ascii="Arial" w:cs="Arial" w:eastAsia="Arial" w:hAnsi="Arial"/>
          <w:sz w:val="18"/>
          <w:szCs w:val="18"/>
          <w:color w:val="auto"/>
        </w:rPr>
        <w:t xml:space="preserv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1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 xml:space="preserve">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This could have a material adverse effect on our operations, as it would reduce availability under the Credit Facility and could trigger mandatory prepayment obligations under the terms of the Credit </w:t>
      </w:r>
      <w:r>
        <w:rPr>
          <w:rFonts w:ascii="Arial" w:cs="Arial" w:eastAsia="Arial" w:hAnsi="Arial"/>
          <w:sz w:val="18"/>
          <w:szCs w:val="18"/>
          <w:u w:val="single" w:color="auto"/>
          <w:color w:val="auto"/>
        </w:rPr>
        <w:t>Facility, the 2019 Notes</w:t>
      </w:r>
      <w:r>
        <w:rPr>
          <w:rFonts w:ascii="Arial" w:cs="Arial" w:eastAsia="Arial" w:hAnsi="Arial"/>
          <w:sz w:val="18"/>
          <w:szCs w:val="18"/>
          <w:color w:val="auto"/>
        </w:rPr>
        <w:t xml:space="preserve"> and the 2025 Notes.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w:t>
      </w:r>
      <w:r>
        <w:rPr>
          <w:rFonts w:ascii="Arial" w:cs="Arial" w:eastAsia="Arial" w:hAnsi="Arial"/>
          <w:sz w:val="16"/>
          <w:szCs w:val="16"/>
          <w:u w:val="single" w:color="auto"/>
          <w:color w:val="auto"/>
        </w:rPr>
        <w:t>As a result,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competition for investment opportunities at middle-market companies can be intense.</w:t>
      </w:r>
      <w:r>
        <w:rPr>
          <w:rFonts w:ascii="Arial" w:cs="Arial" w:eastAsia="Arial" w:hAnsi="Arial"/>
          <w:sz w:val="16"/>
          <w:szCs w:val="16"/>
          <w:color w:val="auto"/>
        </w:rPr>
        <w:t xml:space="preserv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58"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 xml:space="preserve">In addition, market conditions have affected consumer confidence levels, which may harm the business of our portfolio companies and result in adverse changes in payment patterns. Increased delinquencies and default rates would negatively impact our results of operations. </w:t>
      </w:r>
      <w:r>
        <w:rPr>
          <w:rFonts w:ascii="Arial" w:cs="Arial" w:eastAsia="Arial" w:hAnsi="Arial"/>
          <w:sz w:val="18"/>
          <w:szCs w:val="18"/>
          <w:u w:val="single" w:color="auto"/>
          <w:color w:val="auto"/>
        </w:rPr>
        <w:t>Deterioration in the credit quality of our</w:t>
      </w:r>
      <w:r>
        <w:rPr>
          <w:rFonts w:ascii="Arial" w:cs="Arial" w:eastAsia="Arial" w:hAnsi="Arial"/>
          <w:sz w:val="18"/>
          <w:szCs w:val="18"/>
          <w:color w:val="auto"/>
        </w:rPr>
        <w:t xml:space="preserve"> </w:t>
      </w:r>
      <w:r>
        <w:rPr>
          <w:rFonts w:ascii="Arial" w:cs="Arial" w:eastAsia="Arial" w:hAnsi="Arial"/>
          <w:sz w:val="18"/>
          <w:szCs w:val="18"/>
          <w:u w:val="single" w:color="auto"/>
          <w:color w:val="auto"/>
        </w:rPr>
        <w:t>portfolio could have a material adverse effect on our business, financial condition and results of operations.</w:t>
      </w:r>
      <w:r>
        <w:rPr>
          <w:rFonts w:ascii="Arial" w:cs="Arial" w:eastAsia="Arial" w:hAnsi="Arial"/>
          <w:sz w:val="18"/>
          <w:szCs w:val="18"/>
          <w:color w:val="auto"/>
        </w:rPr>
        <w:t xml:space="preserve"> If interest rates rise, some of our portfolio companies may not be able to pay the escalating interest on our loans and may default.</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1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2019 Notes and 2025 Notes.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securities litigation.</w:t>
      </w:r>
    </w:p>
    <w:p>
      <w:pPr>
        <w:spacing w:after="0" w:line="9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the trading price of our stock, 2019 Notes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4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96"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2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may not replicate the historical performance of other investment companies and funds with which our investment professionals have been affiliated.</w:t>
      </w:r>
    </w:p>
    <w:p>
      <w:pPr>
        <w:spacing w:after="0" w:line="125" w:lineRule="exact"/>
        <w:rPr>
          <w:sz w:val="20"/>
          <w:szCs w:val="20"/>
          <w:color w:val="auto"/>
        </w:rPr>
      </w:pPr>
    </w:p>
    <w:p>
      <w:pPr>
        <w:ind w:right="22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an amount at least equal to the sum of (1) 98% of our net ordinary income (for the calendar year), (2) 98.2% of the sum of our net realized capital gains (during each 12-month period ending on October 31), and (3) the sum of any net ordinary income plus capital gains and net ordinary gains for preceding years that were not distributed during such years.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Annual Distribution Requirement and obtaining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43" w:lineRule="exact"/>
        <w:rPr>
          <w:sz w:val="20"/>
          <w:szCs w:val="20"/>
          <w:color w:val="auto"/>
        </w:rPr>
      </w:pPr>
    </w:p>
    <w:p>
      <w:pPr>
        <w:ind w:right="8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firstLine="571"/>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However, we may retain certain net long-term capital gains and pay applicable income taxes with respect thereto and elect to treat as deemed distributions to our stockholders. As a BDC, we generally are required to meet an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1" w:lineRule="exact"/>
        <w:rPr>
          <w:sz w:val="20"/>
          <w:szCs w:val="20"/>
          <w:color w:val="auto"/>
        </w:rPr>
      </w:pPr>
    </w:p>
    <w:p>
      <w:pPr>
        <w:ind w:right="180" w:firstLine="571"/>
        <w:spacing w:after="0" w:line="323" w:lineRule="auto"/>
        <w:rPr>
          <w:sz w:val="20"/>
          <w:szCs w:val="20"/>
          <w:color w:val="auto"/>
        </w:rPr>
      </w:pPr>
      <w:r>
        <w:rPr>
          <w:rFonts w:ascii="Arial" w:cs="Arial" w:eastAsia="Arial" w:hAnsi="Arial"/>
          <w:sz w:val="15"/>
          <w:szCs w:val="15"/>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under the 1940 Act, exclusive of the SBA debentures pursuant to our SEC exemptive relief. Our ability to pay distributions or issue additional senior securities would be restricted if our asset coverage ratio was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06" w:lineRule="exact"/>
        <w:rPr>
          <w:sz w:val="20"/>
          <w:szCs w:val="20"/>
          <w:color w:val="auto"/>
        </w:rPr>
      </w:pPr>
    </w:p>
    <w:p>
      <w:pPr>
        <w:ind w:left="900" w:right="120" w:hanging="676"/>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including the 2019 Notes and 2025 Notes, we are exposed to typical risks associated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676"/>
        <w:spacing w:after="0" w:line="28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07" w:lineRule="exact"/>
        <w:rPr>
          <w:rFonts w:ascii="Arial" w:cs="Arial" w:eastAsia="Arial" w:hAnsi="Arial"/>
          <w:sz w:val="16"/>
          <w:szCs w:val="16"/>
          <w:color w:val="auto"/>
        </w:rPr>
      </w:pPr>
    </w:p>
    <w:p>
      <w:pPr>
        <w:ind w:left="900" w:hanging="676"/>
        <w:spacing w:after="0" w:line="28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07" w:lineRule="exact"/>
        <w:rPr>
          <w:rFonts w:ascii="Arial" w:cs="Arial" w:eastAsia="Arial" w:hAnsi="Arial"/>
          <w:sz w:val="16"/>
          <w:szCs w:val="16"/>
          <w:color w:val="auto"/>
        </w:rPr>
      </w:pPr>
    </w:p>
    <w:p>
      <w:pPr>
        <w:ind w:left="900" w:right="120" w:hanging="67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w:t>
      </w:r>
      <w:r>
        <w:rPr>
          <w:rFonts w:ascii="Arial" w:cs="Arial" w:eastAsia="Arial" w:hAnsi="Arial"/>
          <w:sz w:val="18"/>
          <w:szCs w:val="18"/>
          <w:u w:val="single" w:color="auto"/>
          <w:color w:val="auto"/>
        </w:rPr>
        <w:t>non-recourse</w:t>
      </w:r>
      <w:r>
        <w:rPr>
          <w:rFonts w:ascii="Arial" w:cs="Arial" w:eastAsia="Arial" w:hAnsi="Arial"/>
          <w:sz w:val="18"/>
          <w:szCs w:val="18"/>
          <w:color w:val="auto"/>
        </w:rPr>
        <w:t xml:space="preserve"> to us.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89"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SBIC may borrow to a maximum of $150 million for any one SBIC, which is up to twice its regulatory capital, and a maximum of $225 million as part of a group of SBICs under common control.</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cash that we use to service our indebtedness is not available for distribution to our common stockholders.</w:t>
      </w:r>
    </w:p>
    <w:p>
      <w:pPr>
        <w:spacing w:after="0" w:line="8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current debt is governed by the terms of our 2019 Notes, 2025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1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have indebtedness outstanding pursuant to our 2019 Notes,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94"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As of September 30, 2014, we had outstanding borrowings of $55.2 million under our Credit Facility, $250.0 million outstanding under our 2019 Notes, $71.3 million outstanding under our 2025 Notes and $150 million outstanding under the SBA debentures. Our consolidated debt outstanding was $526.5 million and had a weighted average annual interest rate at the time of 4.33% exclusive of the fee on undrawn commitment on our Credit Facility of 0.375% and 3.43% of upfront fees on the SBA debentures. Accordingly, to cover the annual interest on our borrowings outstanding at September 30, 2014, at the then current rate, we would have to receive an annual yield of at least 1.68%.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following table is designed to illustrate the effect on return to a holder of our common stock of the leverage created by our use of borrowing at September 30, 2014 of 37% of total assets (including such borrowed funds), at a weighted average rate at the time of 4.33%,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2"/>
        </w:trPr>
        <w:tc>
          <w:tcPr>
            <w:tcW w:w="502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480" w:type="dxa"/>
            <w:vAlign w:val="bottom"/>
          </w:tcPr>
          <w:p>
            <w:pPr>
              <w:jc w:val="right"/>
              <w:ind w:right="212"/>
              <w:spacing w:after="0"/>
              <w:rPr>
                <w:sz w:val="20"/>
                <w:szCs w:val="20"/>
                <w:color w:val="auto"/>
              </w:rPr>
            </w:pPr>
            <w:r>
              <w:rPr>
                <w:rFonts w:ascii="Arial" w:cs="Arial" w:eastAsia="Arial" w:hAnsi="Arial"/>
                <w:sz w:val="18"/>
                <w:szCs w:val="18"/>
                <w:color w:val="auto"/>
              </w:rPr>
              <w:t>(19.8)%</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(11.3)%</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5.8%</w:t>
            </w: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1"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03" w:lineRule="auto"/>
        <w:tabs>
          <w:tab w:leader="none" w:pos="22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4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would magnify the potential for loss and the risks of investing in us.</w:t>
      </w:r>
    </w:p>
    <w:p>
      <w:pPr>
        <w:spacing w:after="0" w:line="51"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8"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As a result of the issuance of the 2019 Notes,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07"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b w:val="1"/>
          <w:bCs w:val="1"/>
          <w:i w:val="1"/>
          <w:iCs w:val="1"/>
          <w:color w:val="auto"/>
        </w:rPr>
        <w:t>A downgrade, suspension or withdrawal of the credit rating assigned by a rating agency to us or the 2019 Notes and the 2025 Notes, if any, or change in the debt markets could cause the liquidity or market value of the 2019 Notes and 2025 Notes to decline significantly.</w:t>
      </w:r>
    </w:p>
    <w:p>
      <w:pPr>
        <w:spacing w:after="0" w:line="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2019 Notes and 2025 Notes. These credit ratings may not reflect the potential impact of risks relating to the structure or marketing of the 2019 Notes and 2025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2019 Notes and 2025 Notes of any changes in our credit ratings. The 2019 Notes are rated by Standard &amp; Poor’s Ratings Services, or S&amp;P, and Fitch Ratings, or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51"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Our Credit Facility expires in June 2019.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20"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b w:val="1"/>
          <w:bCs w:val="1"/>
          <w:i w:val="1"/>
          <w:iCs w:val="1"/>
          <w:color w:val="auto"/>
        </w:rPr>
        <w:t>If we issue preferred stock, other debt securities, convertible debt securities or units, the NAV and market value of our common stock may become more volatile.</w:t>
      </w:r>
    </w:p>
    <w:p>
      <w:pPr>
        <w:spacing w:after="0" w:line="51"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18"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in the future issue other securities for which there is no public market and for which we expect no public market to develop.</w:t>
      </w:r>
    </w:p>
    <w:p>
      <w:pPr>
        <w:spacing w:after="0" w:line="113"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101"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6"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89"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If we publicly issue debt or convertible debt securities, such as the 2025 Notes and 2019 Notes,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the following:</w:t>
      </w:r>
    </w:p>
    <w:p>
      <w:pPr>
        <w:spacing w:after="0" w:line="15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44"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90"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2019 Notes and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2019 Notes and 2025 Notes. This will tend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20" w:firstLine="8"/>
        <w:spacing w:after="0" w:line="292" w:lineRule="auto"/>
        <w:tabs>
          <w:tab w:leader="none" w:pos="35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90"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5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At September 30, 2014, all of our investments were recorded at fair value as approved in good faith by our board of directors. Our board of directors uses the services of one or more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4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80"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89"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6"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4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rely in part on our over-the-counter securities, which have and may continue to face liquidity constraints under recent market conditions, to provide us with adequate liquidity.</w:t>
      </w:r>
    </w:p>
    <w:p>
      <w:pPr>
        <w:spacing w:after="0" w:line="51"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81" w:lineRule="exact"/>
        <w:rPr>
          <w:sz w:val="20"/>
          <w:szCs w:val="20"/>
          <w:color w:val="auto"/>
        </w:rPr>
      </w:pPr>
    </w:p>
    <w:p>
      <w:pPr>
        <w:ind w:left="580" w:hanging="572"/>
        <w:spacing w:after="0" w:line="28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580" w:right="40" w:hanging="572"/>
        <w:spacing w:after="0" w:line="290"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 subordinated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4" w:lineRule="exact"/>
        <w:rPr>
          <w:rFonts w:ascii="Arial" w:cs="Arial" w:eastAsia="Arial" w:hAnsi="Arial"/>
          <w:sz w:val="16"/>
          <w:szCs w:val="16"/>
          <w:color w:val="auto"/>
        </w:rPr>
      </w:pPr>
    </w:p>
    <w:p>
      <w:pPr>
        <w:ind w:left="580" w:right="40" w:hanging="572"/>
        <w:spacing w:after="0" w:line="291"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loans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58" w:lineRule="exact"/>
        <w:rPr>
          <w:sz w:val="20"/>
          <w:szCs w:val="20"/>
          <w:color w:val="auto"/>
        </w:rPr>
      </w:pPr>
    </w:p>
    <w:p>
      <w:pPr>
        <w:jc w:val="both"/>
        <w:ind w:left="900" w:right="1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6"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publicly-available information, narrower product lines and smaller market shares than larger businesses, which tend to render them more vulnerable to competitors’ actions and changing market conditions, as well as general economic downturns;</w:t>
      </w:r>
    </w:p>
    <w:p>
      <w:pPr>
        <w:spacing w:after="0" w:line="126"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1"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9"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32" w:lineRule="exact"/>
        <w:rPr>
          <w:sz w:val="20"/>
          <w:szCs w:val="20"/>
          <w:color w:val="auto"/>
        </w:rPr>
      </w:pPr>
    </w:p>
    <w:p>
      <w:pPr>
        <w:ind w:right="140" w:firstLine="228"/>
        <w:spacing w:after="0" w:line="357" w:lineRule="auto"/>
        <w:rPr>
          <w:sz w:val="20"/>
          <w:szCs w:val="20"/>
          <w:color w:val="auto"/>
        </w:rPr>
      </w:pPr>
      <w:r>
        <w:rPr>
          <w:rFonts w:ascii="Arial" w:cs="Arial" w:eastAsia="Arial" w:hAnsi="Arial"/>
          <w:sz w:val="15"/>
          <w:szCs w:val="15"/>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6"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8"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1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44"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144"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3"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3"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16"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or we incur a net loss for that quarter.</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9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9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Our shares closed on the NASDAQ Global Select Market at $10.91 and $11.28 on September 30, 2014 and 2013, respectively. Our NAV per share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$11.03 and $10.49 for the same periods. The possibility that our shares of common stock will trade at a discount from NAV or at a premium that is unsustainable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is separate and distinct from the risk that our NAV will decrease. It is not possible to predict whether our shares will trade at, above or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in the future.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8" w:lineRule="exact"/>
        <w:rPr>
          <w:sz w:val="20"/>
          <w:szCs w:val="20"/>
          <w:color w:val="auto"/>
        </w:rPr>
      </w:pPr>
    </w:p>
    <w:p>
      <w:pPr>
        <w:ind w:left="660" w:right="10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44"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58" w:lineRule="exact"/>
        <w:rPr>
          <w:sz w:val="20"/>
          <w:szCs w:val="20"/>
          <w:color w:val="auto"/>
        </w:rPr>
      </w:pPr>
    </w:p>
    <w:p>
      <w:pPr>
        <w:ind w:left="6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118"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480" w:firstLine="571"/>
        <w:spacing w:after="0" w:line="298" w:lineRule="auto"/>
        <w:rPr>
          <w:sz w:val="20"/>
          <w:szCs w:val="20"/>
          <w:color w:val="auto"/>
        </w:rPr>
      </w:pPr>
      <w:r>
        <w:rPr>
          <w:rFonts w:ascii="Arial" w:cs="Arial" w:eastAsia="Arial" w:hAnsi="Arial"/>
          <w:sz w:val="16"/>
          <w:szCs w:val="16"/>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as amended, or the Sarbanes-Oxley Act, and other rules implemented by the SEC and the listing standards of the NASDAQ Stock Market LLC and NYSE.</w:t>
      </w:r>
    </w:p>
    <w:p>
      <w:pPr>
        <w:spacing w:after="0" w:line="113"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3"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3"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9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b w:val="1"/>
          <w:bCs w:val="1"/>
          <w:i w:val="1"/>
          <w:iCs w:val="1"/>
          <w:color w:val="auto"/>
        </w:rPr>
        <w:t>The 2019 Notes and 2025 Notes are unsecured and therefore are effectively subordinated to any secured indebtedness we have currently incurred or may incur in the future.</w:t>
      </w:r>
    </w:p>
    <w:p>
      <w:pPr>
        <w:spacing w:after="0" w:line="51"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The 2019 Notes and 2025 Notes are not secured by any of our assets or any of the assets of our subsidiaries. As a result, the 2019 Notes and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2019 Notes and 2025 Notes. As of September 30, 2014, we had $55.2 million outstanding under the Credit Facility. The Credit Facility is secured by substantially all of the assets in our portfolio (other than assets held by our SBIC Funds), and the indebtedness under the Credit Facility is therefore effectively senior in right of payment to the 2019 Notes and 2025 Notes to the extent of the value of such assets.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2019 Notes and 2025 Notes are structurally subordinated to the indebtedness and other liabilities of our subsidiaries.</w:t>
      </w:r>
    </w:p>
    <w:p>
      <w:pPr>
        <w:spacing w:after="0" w:line="90"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The 2019 Notes and 2025 Notes are obligations exclusively of PennantPark Investment Corporation and not of any of our subsidiaries. None of our subsidiaries are or act as guarantors of the 2019 Notes and 2025 Notes and neither the 2019 Notes nor the 2025 Notes is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2019 Notes and 2025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2019 Notes and 2025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2019 Notes and 2025 Notes are structurally subordinated to all indebtedness and other liabilities (including trade payables) of our subsidiaries and any subsidiaries that we may in the future acquire or establish as financing vehicles or otherwise. As of September 30, 2014, SBIC LP had $150 million of SBA debentures outstanding. All of such indebtedness is structurally senior to the 2019 Notes and 2025 Notes. In addition, our subsidiaries may incur substantial additional indebtedness in the future, all of which would be structurally senior to the 2019 Notes and 2025 Notes.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indenture under which the 2019 Notes and 2025 Notes were issued contains limited protection for their respective holders.</w:t>
      </w:r>
    </w:p>
    <w:p>
      <w:pPr>
        <w:spacing w:after="0" w:line="90"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The indenture under which the 2019 Notes and 2025 Notes were issued offers limited protection to their respective holders. The terms of the indenture and the 2019 Notes and 2025 Notes do not restrict our or any of our subsidiaries’ ability to engage in, or otherwise be a party to, a variety of corporate transactions, circumstances or events that could have an adverse impact on an investment in the 2019 Notes and 2025 Notes. In particular, the terms of the indentures and the 2019 Notes and 2025 Notes do not place any restrictions on our or our subsidiaries’ ability to:</w:t>
      </w:r>
    </w:p>
    <w:p>
      <w:pPr>
        <w:spacing w:after="0" w:line="99" w:lineRule="exact"/>
        <w:rPr>
          <w:sz w:val="20"/>
          <w:szCs w:val="20"/>
          <w:color w:val="auto"/>
        </w:rPr>
      </w:pPr>
    </w:p>
    <w:p>
      <w:pPr>
        <w:ind w:left="900" w:right="120" w:hanging="325"/>
        <w:spacing w:after="0" w:line="301"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issue securities or otherwise incur additional indebtedness or other obligations, including (1) any indebtedness or other obligations that would be equal in right of payment to the 2019 Notes and 2025 Notes, (2) any indebtedness or other obligations that would be secured and therefore rank effectively senior in right of payment to the 2019 Notes and 2025 Notes to the extent of the values of the assets securing such debt, (3) indebtedness of ours that is guaranteed by one or more of our subsidiaries and which therefore would rank structurally senior to the 2019 Notes and 2025 Notes and (4) securities, indebtedness or other obligations issued or incurred by our subsidiaries that would be senior in right of payment to our equity interests in our subsidiaries and therefore would rank structurally senior in right of payment to the 2019 Notes and 2025 Notes with respect to the assets of our subsidiaries, in each case other than an incurrence of indebtedness or other obligation that would cause a violation of Section 18(a)(1)</w:t>
      </w:r>
    </w:p>
    <w:p>
      <w:pPr>
        <w:spacing w:after="0" w:line="4"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(A) as modified by Section 61(a)(1) of the 1940 Act or any successor provisions;</w:t>
      </w:r>
    </w:p>
    <w:p>
      <w:pPr>
        <w:spacing w:after="0" w:line="151" w:lineRule="exact"/>
        <w:rPr>
          <w:rFonts w:ascii="Arial" w:cs="Arial" w:eastAsia="Arial" w:hAnsi="Arial"/>
          <w:sz w:val="15"/>
          <w:szCs w:val="15"/>
          <w:color w:val="auto"/>
        </w:rPr>
      </w:pPr>
    </w:p>
    <w:p>
      <w:pPr>
        <w:ind w:left="900" w:right="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the 2019 Notes and 2025 Notes;</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144"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Furthermore, the terms of the indenture and supplemental indenture governing the 2019 Notes and 2025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89" w:lineRule="exact"/>
        <w:rPr>
          <w:sz w:val="20"/>
          <w:szCs w:val="20"/>
          <w:color w:val="auto"/>
        </w:rPr>
      </w:pPr>
    </w:p>
    <w:p>
      <w:pPr>
        <w:jc w:val="both"/>
        <w:ind w:right="240" w:firstLine="571"/>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2019 Notes and 2025 Notes may have important consequences for their holders, including making it more difficult for us to satisfy our obligations with respect to the 2019 Notes and 2025 Notes or negatively affecting their trading value.</w:t>
      </w:r>
    </w:p>
    <w:p>
      <w:pPr>
        <w:spacing w:after="0" w:line="8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Certain of our current debt instruments include more protections for their respective holders than the indenture and the 2019 Notes and 2025 Notes. In addition, other debt we issue or incur in the future could contain more protections for its holders than the indenture and the 2019 Notes and 2025 Notes, including additional covenants and events of default. The issuance or incurrence of any such debt with incremental protections could affect the market for and trading levels and prices of the 2019 Notes and 2025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b w:val="1"/>
          <w:bCs w:val="1"/>
          <w:i w:val="1"/>
          <w:iCs w:val="1"/>
          <w:color w:val="auto"/>
        </w:rPr>
        <w:t>An active trading market for the 2019 Notes and 2025 Notes may not develop, which could limit their market price or the ability of their respective holders to sell them. If a rating agency assigns the 2019 Notes and 2025 Notes a non-investment grade rating, they may be subject to greater price volatility than similar securities without such a rating.</w:t>
      </w:r>
    </w:p>
    <w:p>
      <w:pPr>
        <w:spacing w:after="0" w:line="5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do not intend to list the 2019 Notes on any securities exchange or for quotation on any automated dealer quotation system. We have listed the 2025 Notes on the NYSE. However, we cannot provide any assurances that an active trading market will develop for the 2019 Notes and 2025 Notes or that their holders will be able to sell them. The 2019 Notes and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2019 Notes and 2025 Notes a non-investment grade rating, they may be subject to greater price volatility than securities of similar maturity without such a non-investment grade rating. We cannot assure holders of the 2019 Notes and 2025 Notes that a liquid trading market will develop for them, that holders will be able to sell their 2019 Notes and 2025 Notes at a particular time or that the price holders receive upon such sale will be favorable. To the extent an active trading market does not develop, the liquidity and trading price for the 2019 Notes and 2025 Notes may be harmed. Accordingly, holders of the 2019 Notes and 2025 Notes may be required to bear the financial risk for an indefinite period of time.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default on our obligations to pay our other indebtedness, we may not be able to make payments on the 2019 Notes and 2025 Notes.</w:t>
      </w:r>
    </w:p>
    <w:p>
      <w:pPr>
        <w:spacing w:after="0" w:line="113"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2019 Notes and 2025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9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Payments made under the 2019 Notes and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2019 Notes and 2025 Notes, unless the foreign financial institution or non-financial foreign entity complies with certain information reporting, withholding, identification, certification and related requirements imposed by FATCA. Holders of the 2019 Notes and 2025 Notes should consult their own tax advisors regarding FATCA and how it may affect their investment in the 2019 Notes and 2025 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49"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5"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165"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4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periodic reports that we in the future may file with the SEC, including annual and quarterly reports on Form 10-K/Q and current reports on Form 8-K.</w:t>
      </w:r>
    </w:p>
    <w:p>
      <w:pPr>
        <w:spacing w:after="0" w:line="143"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and/or the 2019 Notes,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2014, we had $489.8 million of unused borrowing capacity, subject to maintenance of the applicable total assets to debt ratio, as set forth in the 1940 Act, and $55.2 million in borrowings outstanding under our $545.0 million Credit Facility. Borrowings under our Credit Facility bear interest at an annual rate equal to the London Interbank Offered Rate, or LIBOR plus 225 basis points per annum. At September 30, 2014, the weighted average interest rate on the Credit Facility was 2.80%. The Credit Facility is a revolving facility with a stated maturity date of June 25, 2019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2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and/or the 2019 Notes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We have derived the other data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For the years ended September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8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6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1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147,936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129,187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113,392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$ 91,738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$ 60,140</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76,608</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62,189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56,323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39,093</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28,065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57,069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32,075</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39,655</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24,780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6,284</w:t>
            </w:r>
          </w:p>
        </w:tc>
        <w:tc>
          <w:tcPr>
            <w:tcW w:w="24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(42,382)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110,983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63,353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16,535</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0.24</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(1),(2)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1,411,827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1,153,327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1,018,968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711,494</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investment portfolio</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1,318,055</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1,078,176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990,480</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827,549</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664,724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526,668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363,900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294,452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233,641</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net asset value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828,010</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697,506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669,717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462,657</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386,575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6.76%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28.71%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(7.37)%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r>
              <w:rPr>
                <w:rFonts w:ascii="Arial" w:cs="Arial" w:eastAsia="Arial" w:hAnsi="Arial"/>
                <w:sz w:val="11"/>
                <w:szCs w:val="11"/>
                <w:color w:val="auto"/>
              </w:rPr>
              <w:t>(5)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Yield on debt portfolio</w:t>
            </w:r>
            <w:r>
              <w:rPr>
                <w:rFonts w:ascii="Arial" w:cs="Arial" w:eastAsia="Arial" w:hAnsi="Arial"/>
                <w:sz w:val="11"/>
                <w:szCs w:val="11"/>
                <w:color w:val="auto"/>
              </w:rPr>
              <w:t>(5)</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12.5%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663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9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Based on the weighted average shares outstanding for the respective years.</w:t>
      </w:r>
    </w:p>
    <w:p>
      <w:pPr>
        <w:ind w:left="220" w:hanging="212"/>
        <w:spacing w:after="0" w:line="182" w:lineRule="auto"/>
        <w:tabs>
          <w:tab w:leader="none" w:pos="22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Based on taxable income calculated in accordance with income tax regulations, which may differ from amounts determined under GAAP.</w:t>
      </w:r>
    </w:p>
    <w:p>
      <w:pPr>
        <w:ind w:left="220" w:hanging="212"/>
        <w:spacing w:after="0" w:line="182" w:lineRule="auto"/>
        <w:tabs>
          <w:tab w:leader="none" w:pos="22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At fair value.</w:t>
      </w:r>
    </w:p>
    <w:p>
      <w:pPr>
        <w:ind w:left="220" w:hanging="212"/>
        <w:spacing w:after="0" w:line="182" w:lineRule="auto"/>
        <w:tabs>
          <w:tab w:leader="none" w:pos="22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220" w:hanging="212"/>
        <w:spacing w:after="0" w:line="185" w:lineRule="auto"/>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Unaudited, at year end.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40,144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35,474</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34,439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20,148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13,197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20,029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17,955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18,753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20,652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21,500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31,949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40,681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39,455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r>
      <w:tr>
        <w:trPr>
          <w:trHeight w:val="365"/>
        </w:trPr>
        <w:tc>
          <w:tcPr>
            <w:tcW w:w="6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33,725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32,958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17,655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14,063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18,181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12,910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10,360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22,479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13,786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26,972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28,541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r>
      <w:tr>
        <w:trPr>
          <w:trHeight w:val="365"/>
        </w:trPr>
        <w:tc>
          <w:tcPr>
            <w:tcW w:w="6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29,385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26,839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16,742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15,571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9,759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14,997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(12,151)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16,638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17,690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3,420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26,397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15,846</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63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2010 and 2012, respectively. SBIC LP and SBIC II are licensed by the SBA to operate as SBICs, under Section 301(c) of the 1958 Act.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62"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60"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to our Investment Adviser, the payment of an incentive fee, if any,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660" w:right="200" w:hanging="314"/>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1958 Act and applicable federal and state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107"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ind w:left="118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1"/>
                <w:szCs w:val="11"/>
                <w:b w:val="1"/>
                <w:bCs w:val="1"/>
                <w:color w:val="auto"/>
                <w:w w:val="91"/>
              </w:rPr>
              <w:t>(1)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86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1.56%</w:t>
            </w:r>
            <w:r>
              <w:rPr>
                <w:rFonts w:ascii="Arial" w:cs="Arial" w:eastAsia="Arial" w:hAnsi="Arial"/>
                <w:sz w:val="11"/>
                <w:szCs w:val="11"/>
                <w:color w:val="auto"/>
                <w:w w:val="96"/>
              </w:rPr>
              <w:t>(3)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1.97%</w:t>
            </w:r>
            <w:r>
              <w:rPr>
                <w:rFonts w:ascii="Arial" w:cs="Arial" w:eastAsia="Arial" w:hAnsi="Arial"/>
                <w:sz w:val="11"/>
                <w:szCs w:val="11"/>
                <w:color w:val="auto"/>
                <w:w w:val="96"/>
              </w:rPr>
              <w:t>(4)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0.17%</w:t>
            </w:r>
            <w:r>
              <w:rPr>
                <w:rFonts w:ascii="Arial" w:cs="Arial" w:eastAsia="Arial" w:hAnsi="Arial"/>
                <w:sz w:val="11"/>
                <w:szCs w:val="11"/>
                <w:color w:val="auto"/>
                <w:w w:val="96"/>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5.70%</w:t>
            </w:r>
            <w:r>
              <w:rPr>
                <w:rFonts w:ascii="Arial" w:cs="Arial" w:eastAsia="Arial" w:hAnsi="Arial"/>
                <w:sz w:val="11"/>
                <w:szCs w:val="11"/>
                <w:color w:val="auto"/>
                <w:w w:val="96"/>
              </w:rPr>
              <w:t>(6)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total assets equals average adjusted gross assets for the three months ended September 30, 2014.</w:t>
      </w:r>
    </w:p>
    <w:p>
      <w:pPr>
        <w:spacing w:after="0" w:line="68"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20" w:hanging="332"/>
        <w:spacing w:after="0" w:line="266"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20" w:hanging="332"/>
        <w:spacing w:after="0" w:line="266"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 of September 30, 2014, we had $489.8 million of unused borrowing capacity, subject to maintenance of the applicable total assets to debt ratio, under the 1940 Act, and $55.2 million in borrowings outstanding under our $545.0 million Credit Facility, had $71.3 million in aggregate principal of 2025 Notes at an annual interest rate of 6.25% and had $250.0 million in aggregate principal of 2019 Notes at an annual interest rate of 4.50%. As of September 30, 2014, our SBIC Funds had debenture commitments from the SBA in the amount of $225.0 million had $150.0 million outstanding with a weighted average interest rate of 3.70%, exclusive of the 3.43% of upfront fees, and had $75.0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5" w:lineRule="exact"/>
        <w:rPr>
          <w:rFonts w:ascii="Arial" w:cs="Arial" w:eastAsia="Arial" w:hAnsi="Arial"/>
          <w:sz w:val="12"/>
          <w:szCs w:val="12"/>
          <w:color w:val="auto"/>
        </w:rPr>
      </w:pPr>
    </w:p>
    <w:p>
      <w:pPr>
        <w:ind w:left="340" w:right="40" w:hanging="332"/>
        <w:spacing w:after="0" w:line="23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September 30, 2014.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33% fixed-rate and 67% variable-rate investments (including 61% with a LIBOR or prime floor).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As of September 30, 2013, our portfolio totaled $1,078.2 million and consisted of $299.5 million of senior secured loans, $357.5 million of second lien secured debt, $302.5 million of subordinated debt and $118.7 million of preferred and common equity.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w:t>
      </w:r>
    </w:p>
    <w:p>
      <w:pPr>
        <w:spacing w:after="0" w:line="143"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$795.1 million of investments in 21 new and 30 existing portfolio companies with a weighted average yield on debt investments of 12.4%. Sales and repayments of investments for the year ended September 30, 2014 totaled $625.6 million.</w:t>
      </w:r>
    </w:p>
    <w:p>
      <w:pPr>
        <w:spacing w:after="0" w:line="85"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2013, we invested $504.4 million of investments in 14 new and 26 existing portfolio companies with a weighted average yield on debt investments of 12.7%. Sales and repayments of investments for the year ended September 30, 2013 totaled $437.1 million.</w:t>
      </w:r>
    </w:p>
    <w:p>
      <w:pPr>
        <w:spacing w:after="0" w:line="85"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2012, we invested $347.5 million of investments in 13 new and 17 existing portfolio companies with a weighted average yield on debt investments of 13.3%. Sales and repayments of investments for the year ended September 30, 2012 totaled $201.7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08"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9" w:lineRule="exact"/>
        <w:rPr>
          <w:sz w:val="20"/>
          <w:szCs w:val="20"/>
          <w:color w:val="auto"/>
        </w:rPr>
      </w:pPr>
    </w:p>
    <w:p>
      <w:pPr>
        <w:ind w:left="800" w:right="56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220" w:right="480" w:hanging="742"/>
        <w:spacing w:after="0" w:line="259" w:lineRule="auto"/>
        <w:tabs>
          <w:tab w:leader="none" w:pos="120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220" w:right="520" w:hanging="742"/>
        <w:spacing w:after="0" w:line="268" w:lineRule="auto"/>
        <w:tabs>
          <w:tab w:leader="none" w:pos="120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our Credit Facility and the 2019 Notes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hierarchy classifications is conducted on a quarterly basis.</w:t>
      </w:r>
    </w:p>
    <w:p>
      <w:pPr>
        <w:spacing w:after="0" w:line="11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the 2019 Notes,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our 2019 Notes and our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$8.3 million, $2.8 million and $5.4 million relating to debt issuance costs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2019 Notes and 2025 Notes are reported in our Consolidated Statement of Operations. We elected not to apply ASC 825-10 to any other financial assets or liabilities, including the SBA debentures. For the fiscal years ended September 30, 2014, 2013 and 2012, our Credit Facility, 2019 Notes and 2025 Notes, collectively, had a net change in unrealized (appreciation) depreciation of $(3.0) million, $2.3 million and $(1.6) million, respectively. As of September 30, 2014 and 2013, net unrealized (appreciation) depreciation on our Credit Facility, 2019 Notes and 2025 Notes totaled $(0.2) million and $2.8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60"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13" w:lineRule="exact"/>
        <w:rPr>
          <w:sz w:val="20"/>
          <w:szCs w:val="20"/>
          <w:color w:val="auto"/>
        </w:rPr>
      </w:pPr>
    </w:p>
    <w:p>
      <w:pPr>
        <w:ind w:left="800" w:hanging="225"/>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13" w:lineRule="exact"/>
        <w:rPr>
          <w:rFonts w:ascii="Arial" w:cs="Arial" w:eastAsia="Arial" w:hAnsi="Arial"/>
          <w:sz w:val="16"/>
          <w:szCs w:val="16"/>
          <w:color w:val="auto"/>
        </w:rPr>
      </w:pPr>
    </w:p>
    <w:p>
      <w:pPr>
        <w:ind w:left="800" w:hanging="225"/>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113" w:lineRule="exact"/>
        <w:rPr>
          <w:sz w:val="20"/>
          <w:szCs w:val="20"/>
          <w:color w:val="auto"/>
        </w:rPr>
      </w:pPr>
    </w:p>
    <w:p>
      <w:pPr>
        <w:jc w:val="both"/>
        <w:ind w:right="28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20" w:firstLine="436"/>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3"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our results of operations for the fiscal years ended September 30, 2014,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2014 was $147.9 million and was attributable to $43.0 million from senior secured loans, $55.2 million from second lien secured debt, $46.4 million from subordinated debt and $3.3 million from preferred and common equity. The increase in investment income over the prior year was primarily due to the growth of our portfolio.</w:t>
      </w:r>
    </w:p>
    <w:p>
      <w:pPr>
        <w:spacing w:after="0" w:line="14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Investment income for the fiscal year ended September 30, 2013 was $129.2 million and was attributable to $38.9 million from senior secured loans, $31.9 million from second lien secured debt, $55.1 million from subordinated debt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43"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loans, $21.2 million from second lien secured debt, and $49.4 million from subordinated debt. The increase in investment income over the prior year was due to the growth of our portfolio which was also driven by the investment of the proceeds from our equity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Expenses for the fiscal year ended September 30, 2014 totaled $76.6 million. Base management fee for the same period totaled $24.3 million, incentive fee totaled $17.8 million, debt related interest and expenses totaled $28.6 million (including $8.3 million associated with the 2019 Notes and expansion of our Credit Facility), general and administrative expenses totaled $5.8 million and taxes of $0.1 million. The increase in expenses over the prior year was primarily due to increased borrowing costs, debt issuance costs and the growth of our portfolio.</w:t>
      </w:r>
    </w:p>
    <w:p>
      <w:pPr>
        <w:spacing w:after="0" w:line="11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Expenses for the fiscal year ended September 30, 2013 totaled $62.2 million. Base management fee for the same period totaled $21.3 million, incentive fee totaled $16.8 million, debt related interest and expenses totaled $18.1 million (including $2.8 million associated with the 2025 Notes and expansion of our Credit Facility) and general and administrative expenses totaled $6.0 million. The increase in expenses over the prior year was primarily due to increased borrowing costs and the growth of our portfolio.</w:t>
      </w:r>
    </w:p>
    <w:p>
      <w:pPr>
        <w:spacing w:after="0" w:line="143"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Expenses for the fiscal year ended September 30, 2012 totaled $56.3 million. Base management fee for the same period totaled $17.5 million, incentive fee totaled $14.2 million, Credit Facility and SBA debentures related expenses totaled $17.1 million (including $5.4 million of upfront fees associated with amending and extending our Credit Facility), general and administrative expenses totaled $7.2 million and an excise tax of $0.3 million. The increase in expenses over the prior year was primarily due to the upfront costs of amending our Credit Facility, increased borrowing costs and the growth of our portfolio.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Net investment income totaled $71.3 million or $1.06 per share, $67.0 million or $1.01 per share and $57.1 million or $1.08 per share for the fiscal years ended September 30, 2014, 2013 and 2012, respectively. The increase in net investment income over the prior year was due to the growth of our portfolio offset by higher financing costs and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2014, 2013 and 2012 totaled $625.6 million, $437.1 million and $201.7 million, respectively, and net realized gains (losses) totaled $30.2 million, $17.7 million and $(12.8) million, respectively. The increase in realized gains over the prior year is primarily due to the improved merger and acquisition environment and a higher volume of sales and repayments.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2019 Notes and 2025 Notes</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Net unrealized appreciation on investments totaled $12.5 million, $4.8 million and $20.6 million for the fiscal years ended September 30, 2014, 2013 and 2012, respectively. Net unrealized (appreciation) depreciation on our Credit Facility, 2019 Notes and 2025 Notes totaled $(3.0) million, $2.3 million and $(1.6) million for the same periods, respectively. Net change in unrealized appreciation on investments over the prior year was a result of the overall variation in the leveraged finance markets. The increase in unrealized appreciation on the Credit Facility, 2019 Notes and 2025 Notes over the prior year was due to the fluctuating interest rate environment.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Net increase in net assets resulting from operations totaled $111.0 million or $1.66 per share, $91.8 million or $1.39 per share and $63.4 million or $1.20 per share for the fiscal years ended September 30, 2014, 2013 and 2012, respectively. The increase compared to the prior year was due to realized gains, the continued growth of our portfolio and net investment income.</w:t>
      </w:r>
    </w:p>
    <w:p>
      <w:pPr>
        <w:sectPr>
          <w:pgSz w:w="11900" w:h="16838" w:orient="portrait"/>
          <w:cols w:equalWidth="0" w:num="1">
            <w:col w:w="11360"/>
          </w:cols>
          <w:pgMar w:left="240" w:top="459" w:right="299" w:bottom="1440" w:gutter="0" w:footer="0" w:header="0"/>
        </w:sectPr>
      </w:pP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60"/>
          </w:cols>
          <w:pgMar w:left="240" w:top="459" w:right="2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00" w:firstLine="571"/>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have a $545 million multi-currency Credit Facility with certain lenders and SunTrust Bank, acting as administrative agent, and JPMorgan Chase Bank, N.A., acting as syndication agent for the lenders. As of September 30, 2014 and 2013, there was $55.2 million and $145.5 million (including a temporary draw of $28.0 million), respectively, in outstanding borrowings under the Credit Facility, with a weighted average interest rate at the time of 2.80% and 3.33%, exclusive of the fee on undrawn commitments of 0.375% and 0.50%, respectively. The Credit Facility is a five-year revolving facility with a stated maturity date of June 25, 2019, a one-year term-out period following its fourth year and pricing is set at 225 basis points over LIBOR. As of September 30, 2014 and 2013, we had $489.8 million and $284.5 million of unused borrowing capacity, respectively, subject to the regulatory restrictions that the 1940 Act imposes on us as a BDC. The Credit Facility is secured by substantially all of our assets excluding assets held by our SBIC Funds.</w:t>
      </w:r>
    </w:p>
    <w:p>
      <w:pPr>
        <w:spacing w:after="0" w:line="118" w:lineRule="exact"/>
        <w:rPr>
          <w:sz w:val="20"/>
          <w:szCs w:val="20"/>
          <w:color w:val="auto"/>
        </w:rPr>
      </w:pPr>
    </w:p>
    <w:p>
      <w:pPr>
        <w:ind w:right="460" w:firstLine="571"/>
        <w:spacing w:after="0" w:line="332" w:lineRule="auto"/>
        <w:rPr>
          <w:sz w:val="20"/>
          <w:szCs w:val="20"/>
          <w:color w:val="auto"/>
        </w:rPr>
      </w:pPr>
      <w:r>
        <w:rPr>
          <w:rFonts w:ascii="Arial" w:cs="Arial" w:eastAsia="Arial" w:hAnsi="Arial"/>
          <w:sz w:val="16"/>
          <w:szCs w:val="16"/>
          <w:color w:val="auto"/>
        </w:rPr>
        <w:t>For a complete list of covenants contained in the Credit Facility, see our Form 8-K filed on June 30, 2014 and the Credit Facility agreement filed as Exhibit 99.2 thereto and incorporated by reference herein. As of September 30, 2014, we were in compliance with the terms of our Credit Facility.</w:t>
      </w:r>
    </w:p>
    <w:p>
      <w:pPr>
        <w:spacing w:after="0" w:line="85" w:lineRule="exact"/>
        <w:rPr>
          <w:sz w:val="20"/>
          <w:szCs w:val="20"/>
          <w:color w:val="auto"/>
        </w:rPr>
      </w:pPr>
    </w:p>
    <w:p>
      <w:pPr>
        <w:ind w:right="160" w:firstLine="571"/>
        <w:spacing w:after="0" w:line="253" w:lineRule="auto"/>
        <w:rPr>
          <w:sz w:val="20"/>
          <w:szCs w:val="20"/>
          <w:color w:val="auto"/>
        </w:rPr>
      </w:pPr>
      <w:r>
        <w:rPr>
          <w:rFonts w:ascii="Arial" w:cs="Arial" w:eastAsia="Arial" w:hAnsi="Arial"/>
          <w:sz w:val="18"/>
          <w:szCs w:val="18"/>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indenture and supplemental indenture filed as Exhibit d(8) in our post effective amendment of our Registration Statement on Form N-2 filed on January 22, 2014 and Exhibit (d)(11) in our post-effective amendment of our Registration Statement on Form N-2 filed on September 23, 2014, respectively, for more information.</w:t>
      </w:r>
    </w:p>
    <w:p>
      <w:pPr>
        <w:spacing w:after="0" w:line="147"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 Please see our indenture and supplemental indenture filed as Exhibit (d)(8) and Exhibit d(9), respectively, in our post-effective amendment of our Registration Statement on Form N-2 filed on January 22, 2013 for more information.</w:t>
      </w:r>
    </w:p>
    <w:p>
      <w:pPr>
        <w:spacing w:after="0" w:line="147"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2019 Notes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0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For the fiscal year ended September 30, 2014, we sold 8.5 million shares of common stock, resulting in net proceeds of $95.4 million. This compares to selling 0.7 million shares of our common stock pursuant to the underwriters’ exercise of their option to purchase shares of our common stock resulting in net proceeds of $7.3 million for the fiscal year ended September 30, 2013.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44"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September 30, 2014. We have funded SBIC II with $37.5 million of equity capital and we received a commitment from the SBA to allow SBIC II to access $75.0 million in SBA debentures as of September 30, 2014.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a maximum of $150 million, which is up to twice its potential regulatory capital, and as part of a group of SBICs under common control may borrow a maximum of $225 million in the aggregate.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As of September 30, 2014 and September 30, 2013, our SBIC Funds had $225 million and $150 million in debt commitments, respectively, and $150 million was drawn for each period. The SBA debentures upfront fees of 3.43% consist of a commitment fee of 1.00% and an issuance discount of 2.43%, which are being amortized. Our fixed-rate SBA debentures as of September 30, 2014 and September 30, 2013 were as follows: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80" w:type="dxa"/>
            <w:vAlign w:val="bottom"/>
            <w:vMerge w:val="restart"/>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Fixed All-In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1"/>
        </w:trPr>
        <w:tc>
          <w:tcPr>
            <w:tcW w:w="32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Maturity</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Coupon Rate</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September 1, 2020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1420" w:type="dxa"/>
            <w:vAlign w:val="bottom"/>
          </w:tcPr>
          <w:p>
            <w:pPr>
              <w:ind w:left="100"/>
              <w:spacing w:after="0"/>
              <w:rPr>
                <w:sz w:val="20"/>
                <w:szCs w:val="20"/>
                <w:color w:val="auto"/>
              </w:rPr>
            </w:pPr>
            <w:r>
              <w:rPr>
                <w:rFonts w:ascii="Arial" w:cs="Arial" w:eastAsia="Arial" w:hAnsi="Arial"/>
                <w:sz w:val="18"/>
                <w:szCs w:val="18"/>
                <w:color w:val="auto"/>
              </w:rPr>
              <w:t>March 1, 2021</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85"/>
              </w:rPr>
              <w:t>4.46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September 1, 2021</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5"/>
              </w:rPr>
              <w:t>3.38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1400" w:type="dxa"/>
            <w:vAlign w:val="bottom"/>
            <w:gridSpan w:val="3"/>
          </w:tcPr>
          <w:p>
            <w:pPr>
              <w:ind w:left="760"/>
              <w:spacing w:after="0"/>
              <w:rPr>
                <w:sz w:val="20"/>
                <w:szCs w:val="20"/>
                <w:color w:val="auto"/>
              </w:rPr>
            </w:pPr>
            <w:r>
              <w:rPr>
                <w:rFonts w:ascii="Arial" w:cs="Arial" w:eastAsia="Arial" w:hAnsi="Arial"/>
                <w:sz w:val="18"/>
                <w:szCs w:val="18"/>
                <w:color w:val="auto"/>
              </w:rPr>
              <w:t>3.70%</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2014, our SBIC Funds were in compliance with their regulatory requirements.</w:t>
      </w:r>
    </w:p>
    <w:p>
      <w:pPr>
        <w:spacing w:after="0" w:line="12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2014 and September 30, 2013,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16" w:lineRule="exact"/>
        <w:rPr>
          <w:sz w:val="20"/>
          <w:szCs w:val="20"/>
          <w:color w:val="auto"/>
        </w:rPr>
      </w:pPr>
    </w:p>
    <w:p>
      <w:pPr>
        <w:ind w:right="620" w:firstLine="571"/>
        <w:spacing w:after="0" w:line="332" w:lineRule="auto"/>
        <w:rPr>
          <w:sz w:val="20"/>
          <w:szCs w:val="20"/>
          <w:color w:val="auto"/>
        </w:rPr>
      </w:pPr>
      <w:r>
        <w:rPr>
          <w:rFonts w:ascii="Arial" w:cs="Arial" w:eastAsia="Arial" w:hAnsi="Arial"/>
          <w:sz w:val="16"/>
          <w:szCs w:val="16"/>
          <w:color w:val="auto"/>
        </w:rPr>
        <w:t>On September 30, 2014 and September 30, 2013, we had cash and cash equivalents of $66.5 million and $58.4 million, respectively, available for investing and general corporate purposes. We believe our liquidity and capital resources are sufficient to take advantage of market opportunities.</w:t>
      </w:r>
    </w:p>
    <w:p>
      <w:pPr>
        <w:spacing w:after="0" w:line="85"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recent equity offering and net draws under the Credit Facility.</w:t>
      </w:r>
    </w:p>
    <w:p>
      <w:pPr>
        <w:spacing w:after="0" w:line="107"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Our operating activities provided cash of $40.3 million for the fiscal year ended September 30, 2013, and our financing activities provided cash proceeds of $10.6 million for the same period. Our operating activities provided cash primarily from sales and repayments on our investments and our financing activities provided cash primarily from the issuance of the 2025 Notes.</w:t>
      </w:r>
    </w:p>
    <w:p>
      <w:pPr>
        <w:spacing w:after="0" w:line="14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2014, including borrowings under our various debt facilities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86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1-3</w:t>
            </w:r>
          </w:p>
        </w:tc>
        <w:tc>
          <w:tcPr>
            <w:tcW w:w="88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4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4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2"/>
              </w:rPr>
              <w:t>$—</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SBA debentures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2025 Notes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526.5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542.1</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2"/>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ind w:left="212" w:hanging="212"/>
        <w:spacing w:after="0" w:line="189" w:lineRule="auto"/>
        <w:tabs>
          <w:tab w:leader="none" w:pos="212"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663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63700" cy="8890"/>
                    </a:xfrm>
                    <a:prstGeom prst="rect">
                      <a:avLst/>
                    </a:prstGeom>
                    <a:noFill/>
                  </pic:spPr>
                </pic:pic>
              </a:graphicData>
            </a:graphic>
          </wp:anchor>
        </w:drawing>
        <w:t>The annualized weighted average cost of debt as of September 30, 2014, excluding debt issuance costs, was 4.33% exclusive of the fee on the undrawn commitment of 0.375% on the Credit Facility and 3.43% of upfront fees on SBA debentures.</w:t>
      </w:r>
    </w:p>
    <w:p>
      <w:pPr>
        <w:spacing w:after="0" w:line="1" w:lineRule="exact"/>
        <w:rPr>
          <w:rFonts w:ascii="Arial" w:cs="Arial" w:eastAsia="Arial" w:hAnsi="Arial"/>
          <w:sz w:val="21"/>
          <w:szCs w:val="21"/>
          <w:color w:val="auto"/>
          <w:vertAlign w:val="superscript"/>
        </w:rPr>
      </w:pPr>
    </w:p>
    <w:p>
      <w:pPr>
        <w:ind w:left="212" w:hanging="212"/>
        <w:spacing w:after="0" w:line="185" w:lineRule="auto"/>
        <w:tabs>
          <w:tab w:leader="none" w:pos="212" w:val="left"/>
        </w:tabs>
        <w:numPr>
          <w:ilvl w:val="0"/>
          <w:numId w:val="25"/>
        </w:numPr>
        <w:rPr>
          <w:rFonts w:ascii="Arial" w:cs="Arial" w:eastAsia="Arial" w:hAnsi="Arial"/>
          <w:sz w:val="18"/>
          <w:szCs w:val="18"/>
          <w:color w:val="auto"/>
          <w:vertAlign w:val="superscript"/>
        </w:rPr>
      </w:pPr>
      <w:r>
        <w:rPr>
          <w:rFonts w:ascii="Arial" w:cs="Arial" w:eastAsia="Arial" w:hAnsi="Arial"/>
          <w:sz w:val="12"/>
          <w:szCs w:val="12"/>
          <w:color w:val="auto"/>
        </w:rPr>
        <w:t>Unfunded debt and equity investments described in the Consolidated Statement of Assets and Liabilities represent unfunded delayed draws on investments and/or revolving lines of credit.</w:t>
      </w:r>
    </w:p>
    <w:p>
      <w:pPr>
        <w:spacing w:after="0" w:line="128"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12"/>
          </w:cols>
          <w:pgMar w:left="248" w:top="277"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8"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in the ordinary course of business, have guaranteed certain obligations of our controlled affiliate, SuttonPark Holdings, Inc. and its subsidiaries, or SPH. The guaranties are only triggered if there were administrative errors in acquiring assets which SPH subsequently sold or securitized. As of September 30, 2014 our maximum guaranty is $11.3 million. Based on SPH’s and industry historical loss rates, we believe the risk of loss is remote, thus, we have not recorded a liability associated with the guaranties. The current guaranties will decline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engage in no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2014, 2013 and 2012, we elected to retain a portion of our calendar year income and incurred an excise tax of approximately $0.1 million, $(0.1) million and $0.3 million, respectively.</w:t>
      </w:r>
    </w:p>
    <w:p>
      <w:pPr>
        <w:spacing w:after="0" w:line="12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During the fiscal years ended September 30, 2014, 2013 and 2012, we declared distributions of $1.12 per share each year for total distributions of $76.9 million, $74.4 million and $60.1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16" w:lineRule="exact"/>
        <w:rPr>
          <w:sz w:val="20"/>
          <w:szCs w:val="20"/>
          <w:color w:val="auto"/>
        </w:rPr>
      </w:pPr>
    </w:p>
    <w:p>
      <w:pPr>
        <w:jc w:val="center"/>
        <w:ind w:left="540" w:right="280"/>
        <w:spacing w:after="0" w:line="440"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are determined by our board of directors. 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2014, our debt portfolio consisted of 33% fixed-rate investments and 67% variable-rate investments (including 61%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5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Change In Interest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86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87"/>
              </w:rPr>
              <w:t>Income, Net Of Interest</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Change In Interest Rates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6"/>
              </w:rPr>
              <w:t>Expense (in</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4"/>
              </w:rPr>
              <w:t>thousands)</w:t>
            </w: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Up 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8"/>
              </w:rPr>
              <w:t>Up 2%</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Up 3%</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8"/>
              </w:rPr>
              <w:t>Up 4%</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23,119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4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jc w:val="both"/>
        <w:ind w:right="280" w:firstLine="571"/>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2014, 2013, 2012, 2011, 2010, 2009 and 2008 is from our Consolidated Financial Statements, which has been audited by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78"/>
              </w:rPr>
              <w:t>Asset</w:t>
            </w:r>
          </w:p>
        </w:tc>
        <w:tc>
          <w:tcPr>
            <w:tcW w:w="740" w:type="dxa"/>
            <w:vAlign w:val="bottom"/>
          </w:tcPr>
          <w:p>
            <w:pPr>
              <w:spacing w:after="0"/>
              <w:rPr>
                <w:sz w:val="14"/>
                <w:szCs w:val="14"/>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134"/>
        </w:trPr>
        <w:tc>
          <w:tcPr>
            <w:tcW w:w="9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84"/>
              </w:rPr>
              <w:t>Coverage</w:t>
            </w:r>
          </w:p>
        </w:tc>
        <w:tc>
          <w:tcPr>
            <w:tcW w:w="740" w:type="dxa"/>
            <w:vAlign w:val="bottom"/>
          </w:tcPr>
          <w:p>
            <w:pPr>
              <w:spacing w:after="0"/>
              <w:rPr>
                <w:sz w:val="11"/>
                <w:szCs w:val="11"/>
                <w:color w:val="auto"/>
              </w:rPr>
            </w:pPr>
          </w:p>
        </w:tc>
        <w:tc>
          <w:tcPr>
            <w:tcW w:w="6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Total Amount</w:t>
            </w:r>
          </w:p>
        </w:tc>
        <w:tc>
          <w:tcPr>
            <w:tcW w:w="3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(2),(3)</w:t>
            </w:r>
          </w:p>
        </w:tc>
        <w:tc>
          <w:tcPr>
            <w:tcW w:w="74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gridSpan w:val="3"/>
          </w:tcPr>
          <w:p>
            <w:pPr>
              <w:jc w:val="right"/>
              <w:ind w:right="40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3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8"/>
                <w:szCs w:val="18"/>
                <w:b w:val="1"/>
                <w:bCs w:val="1"/>
                <w:color w:val="auto"/>
                <w:vertAlign w:val="superscript"/>
              </w:rPr>
              <w:t>(4)</w:t>
            </w:r>
          </w:p>
        </w:tc>
      </w:tr>
      <w:tr>
        <w:trPr>
          <w:trHeight w:val="190"/>
        </w:trPr>
        <w:tc>
          <w:tcPr>
            <w:tcW w:w="4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17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376,476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9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216,750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145,000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5,636</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9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240,900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1"/>
                <w:szCs w:val="11"/>
                <w:color w:val="auto"/>
              </w:rPr>
              <w:t>(5)</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247,600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2009</w:t>
            </w:r>
          </w:p>
        </w:tc>
        <w:tc>
          <w:tcPr>
            <w:tcW w:w="19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225,100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202,000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2,043</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1"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220" w:hanging="212"/>
        <w:spacing w:after="0" w:line="258" w:lineRule="auto"/>
        <w:tabs>
          <w:tab w:leader="none" w:pos="2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220" w:hanging="212"/>
        <w:spacing w:after="0"/>
        <w:tabs>
          <w:tab w:leader="none" w:pos="2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These amounts exclude SBIC LP’s SBA debentures from our total amount outstanding and asset coverage per unit computation pursuant to an exemptive relief letter provided by the SEC in June 2011.</w:t>
      </w:r>
    </w:p>
    <w:p>
      <w:pPr>
        <w:spacing w:after="0" w:line="10" w:lineRule="exact"/>
        <w:rPr>
          <w:rFonts w:ascii="Arial" w:cs="Arial" w:eastAsia="Arial" w:hAnsi="Arial"/>
          <w:sz w:val="12"/>
          <w:szCs w:val="12"/>
          <w:color w:val="auto"/>
        </w:rPr>
      </w:pPr>
    </w:p>
    <w:p>
      <w:pPr>
        <w:ind w:left="220" w:right="140" w:hanging="212"/>
        <w:spacing w:after="0" w:line="221"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amount includes SBIC LP’s SBA debentures in the total amount outstanding and our asset coverage per unit computation.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years ended September 30, 2014, 2013, 2012, 2011 and 2010, the ratios of earnings to fixed charges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88"/>
              </w:rPr>
              <w:t>For the Fiscal Years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52,645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32,075</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gain (losses) gains on investments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(15,417)</w:t>
            </w: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Add: Net change in unrealized appreciation (depreciation)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(58,641)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110,983</w:t>
            </w: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$ 91,778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63,353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16,535</w:t>
            </w:r>
          </w:p>
        </w:tc>
        <w:tc>
          <w:tcPr>
            <w:tcW w:w="100" w:type="dxa"/>
            <w:vAlign w:val="bottom"/>
            <w:shd w:val="clear" w:color="auto" w:fill="CCEEFF"/>
          </w:tcPr>
          <w:p>
            <w:pPr>
              <w:spacing w:after="0"/>
              <w:rPr>
                <w:sz w:val="18"/>
                <w:szCs w:val="18"/>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1"/>
                <w:szCs w:val="11"/>
                <w:b w:val="1"/>
                <w:bCs w:val="1"/>
                <w:color w:val="auto"/>
              </w:rPr>
              <w:t>(2)</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debt</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20,261</w:t>
            </w:r>
          </w:p>
        </w:tc>
        <w:tc>
          <w:tcPr>
            <w:tcW w:w="2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$ 15,384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11,681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Earnings include net realized and unrealized gains or losses. Net realized and unrealized gains or losses can vary substantially from period to period.</w:t>
      </w:r>
    </w:p>
    <w:p>
      <w:pPr>
        <w:ind w:left="220" w:right="600" w:hanging="212"/>
        <w:spacing w:after="0" w:line="230"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Fixed charges include interest and related expenses on our Credit Facility, which is indexed to LIBOR and fluctuate with changes in interest rates, 2019 Notes, 2025 Notes and SBA debentures and amortization of debt issuance costs on our SBA debentures.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50"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2012. On November 20, 2014, the last reported closing price of our common stock was $10.85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Premium</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Premium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(Discount)</w:t>
            </w:r>
          </w:p>
        </w:tc>
        <w:tc>
          <w:tcPr>
            <w:tcW w:w="14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(Discount)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vMerge w:val="restart"/>
          </w:tcPr>
          <w:p>
            <w:pPr>
              <w:jc w:val="right"/>
              <w:ind w:right="194"/>
              <w:spacing w:after="0"/>
              <w:rPr>
                <w:sz w:val="20"/>
                <w:szCs w:val="20"/>
                <w:color w:val="auto"/>
              </w:rPr>
            </w:pPr>
            <w:r>
              <w:rPr>
                <w:rFonts w:ascii="Arial" w:cs="Arial" w:eastAsia="Arial" w:hAnsi="Arial"/>
                <w:sz w:val="14"/>
                <w:szCs w:val="14"/>
                <w:b w:val="1"/>
                <w:bCs w:val="1"/>
                <w:color w:val="auto"/>
              </w:rPr>
              <w:t>Closing Sales Price</w:t>
            </w:r>
          </w:p>
        </w:tc>
        <w:tc>
          <w:tcPr>
            <w:tcW w:w="2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14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of Low Sales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9"/>
              </w:rPr>
              <w:t>Price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14" w:lineRule="exact"/>
              <w:rPr>
                <w:sz w:val="20"/>
                <w:szCs w:val="20"/>
                <w:color w:val="auto"/>
              </w:rPr>
            </w:pPr>
            <w:r>
              <w:rPr>
                <w:rFonts w:ascii="Arial" w:cs="Arial" w:eastAsia="Arial" w:hAnsi="Arial"/>
                <w:sz w:val="12"/>
                <w:szCs w:val="12"/>
                <w:b w:val="1"/>
                <w:bCs w:val="1"/>
                <w:color w:val="auto"/>
                <w:w w:val="99"/>
              </w:rPr>
              <w:t>Price to</w:t>
            </w:r>
          </w:p>
        </w:tc>
        <w:tc>
          <w:tcPr>
            <w:tcW w:w="120" w:type="dxa"/>
            <w:vAlign w:val="bottom"/>
          </w:tcPr>
          <w:p>
            <w:pPr>
              <w:spacing w:after="0"/>
              <w:rPr>
                <w:sz w:val="11"/>
                <w:szCs w:val="11"/>
                <w:color w:val="auto"/>
              </w:rPr>
            </w:pPr>
          </w:p>
        </w:tc>
        <w:tc>
          <w:tcPr>
            <w:tcW w:w="860" w:type="dxa"/>
            <w:vAlign w:val="bottom"/>
            <w:gridSpan w:val="3"/>
          </w:tcPr>
          <w:p>
            <w:pPr>
              <w:jc w:val="right"/>
              <w:ind w:right="100"/>
              <w:spacing w:after="0" w:line="114" w:lineRule="exact"/>
              <w:rPr>
                <w:sz w:val="20"/>
                <w:szCs w:val="20"/>
                <w:color w:val="auto"/>
              </w:rPr>
            </w:pPr>
            <w:r>
              <w:rPr>
                <w:rFonts w:ascii="Arial" w:cs="Arial" w:eastAsia="Arial" w:hAnsi="Arial"/>
                <w:sz w:val="12"/>
                <w:szCs w:val="12"/>
                <w:b w:val="1"/>
                <w:bCs w:val="1"/>
                <w:color w:val="auto"/>
                <w:w w:val="99"/>
              </w:rPr>
              <w:t>Distributions</w:t>
            </w:r>
          </w:p>
        </w:tc>
        <w:tc>
          <w:tcPr>
            <w:tcW w:w="0" w:type="dxa"/>
            <w:vAlign w:val="bottom"/>
          </w:tcPr>
          <w:p>
            <w:pPr>
              <w:spacing w:after="0"/>
              <w:rPr>
                <w:sz w:val="1"/>
                <w:szCs w:val="1"/>
                <w:color w:val="auto"/>
              </w:rPr>
            </w:pPr>
          </w:p>
        </w:tc>
      </w:tr>
      <w:tr>
        <w:trPr>
          <w:trHeight w:val="156"/>
        </w:trPr>
        <w:tc>
          <w:tcPr>
            <w:tcW w:w="5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Period</w:t>
            </w:r>
          </w:p>
        </w:tc>
        <w:tc>
          <w:tcPr>
            <w:tcW w:w="640" w:type="dxa"/>
            <w:vAlign w:val="bottom"/>
            <w:gridSpan w:val="2"/>
          </w:tcPr>
          <w:p>
            <w:pPr>
              <w:ind w:left="40"/>
              <w:spacing w:after="0" w:line="156"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(1)</w:t>
            </w:r>
          </w:p>
        </w:tc>
        <w:tc>
          <w:tcPr>
            <w:tcW w:w="140" w:type="dxa"/>
            <w:vAlign w:val="bottom"/>
          </w:tcPr>
          <w:p>
            <w:pPr>
              <w:spacing w:after="0"/>
              <w:rPr>
                <w:sz w:val="13"/>
                <w:szCs w:val="13"/>
                <w:color w:val="auto"/>
              </w:rPr>
            </w:pPr>
          </w:p>
        </w:tc>
        <w:tc>
          <w:tcPr>
            <w:tcW w:w="96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High</w:t>
            </w:r>
          </w:p>
        </w:tc>
        <w:tc>
          <w:tcPr>
            <w:tcW w:w="68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4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6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First quarter (as of November 20, 2014)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N/A</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  10.95</w:t>
            </w:r>
          </w:p>
        </w:tc>
        <w:tc>
          <w:tcPr>
            <w:tcW w:w="680" w:type="dxa"/>
            <w:vAlign w:val="bottom"/>
          </w:tcPr>
          <w:p>
            <w:pPr>
              <w:jc w:val="right"/>
              <w:spacing w:after="0"/>
              <w:rPr>
                <w:sz w:val="20"/>
                <w:szCs w:val="20"/>
                <w:color w:val="auto"/>
              </w:rPr>
            </w:pPr>
            <w:r>
              <w:rPr>
                <w:rFonts w:ascii="Arial" w:cs="Arial" w:eastAsia="Arial" w:hAnsi="Arial"/>
                <w:sz w:val="18"/>
                <w:szCs w:val="18"/>
                <w:color w:val="auto"/>
              </w:rPr>
              <w:t>$  10.10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11.91</w:t>
            </w:r>
          </w:p>
        </w:tc>
        <w:tc>
          <w:tcPr>
            <w:tcW w:w="680" w:type="dxa"/>
            <w:vAlign w:val="bottom"/>
          </w:tcPr>
          <w:p>
            <w:pPr>
              <w:jc w:val="right"/>
              <w:spacing w:after="0"/>
              <w:rPr>
                <w:sz w:val="20"/>
                <w:szCs w:val="20"/>
                <w:color w:val="auto"/>
              </w:rPr>
            </w:pPr>
            <w:r>
              <w:rPr>
                <w:rFonts w:ascii="Arial" w:cs="Arial" w:eastAsia="Arial" w:hAnsi="Arial"/>
                <w:sz w:val="18"/>
                <w:szCs w:val="18"/>
                <w:color w:val="auto"/>
              </w:rPr>
              <w:t>10.91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11.65</w:t>
            </w:r>
          </w:p>
        </w:tc>
        <w:tc>
          <w:tcPr>
            <w:tcW w:w="680" w:type="dxa"/>
            <w:vAlign w:val="bottom"/>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11.83</w:t>
            </w:r>
          </w:p>
        </w:tc>
        <w:tc>
          <w:tcPr>
            <w:tcW w:w="680" w:type="dxa"/>
            <w:vAlign w:val="bottom"/>
          </w:tcPr>
          <w:p>
            <w:pPr>
              <w:jc w:val="right"/>
              <w:spacing w:after="0"/>
              <w:rPr>
                <w:sz w:val="20"/>
                <w:szCs w:val="20"/>
                <w:color w:val="auto"/>
              </w:rPr>
            </w:pPr>
            <w:r>
              <w:rPr>
                <w:rFonts w:ascii="Arial" w:cs="Arial" w:eastAsia="Arial" w:hAnsi="Arial"/>
                <w:sz w:val="18"/>
                <w:szCs w:val="18"/>
                <w:color w:val="auto"/>
              </w:rPr>
              <w:t>10.45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11.10</w:t>
            </w:r>
          </w:p>
        </w:tc>
        <w:tc>
          <w:tcPr>
            <w:tcW w:w="680" w:type="dxa"/>
            <w:vAlign w:val="bottom"/>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220" w:right="80" w:hanging="212"/>
        <w:spacing w:after="0" w:line="230"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less NAV per share, divided by the quarter-end NAV per share.</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$10.91 and $11.28 as of September 30, 2014 and 2013, respectively. Our NAV per share was $11.03 and $10.49 as of September 30, 2014 and 2013,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2014, we had eleven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660" w:right="22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1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public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offering proceeds per share to 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shares outstanding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 to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Percentage held by stockholder 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 Values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NAV held by stockholder A</w:t>
      </w:r>
    </w:p>
    <w:p>
      <w:pPr>
        <w:spacing w:after="0" w:line="77"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40" w:type="dxa"/>
            <w:vAlign w:val="bottom"/>
            <w:gridSpan w:val="3"/>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7"/>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4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64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45"/>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w w:val="84"/>
              </w:rPr>
              <w:t>1,000,000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1,050,000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5.00 %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1,100,000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10.00 %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1,250,000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8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0.91%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(9.00)%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(20.00)%</w:t>
            </w:r>
          </w:p>
        </w:tc>
        <w:tc>
          <w:tcPr>
            <w:tcW w:w="0" w:type="dxa"/>
            <w:vAlign w:val="bottom"/>
          </w:tcPr>
          <w:p>
            <w:pPr>
              <w:spacing w:after="0"/>
              <w:rPr>
                <w:sz w:val="1"/>
                <w:szCs w:val="1"/>
                <w:color w:val="auto"/>
              </w:rPr>
            </w:pPr>
          </w:p>
        </w:tc>
      </w:tr>
      <w:tr>
        <w:trPr>
          <w:trHeight w:val="56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0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-2296160</wp:posOffset>
            </wp:positionV>
            <wp:extent cx="72466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-1936115</wp:posOffset>
            </wp:positionV>
            <wp:extent cx="724662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-1576070</wp:posOffset>
            </wp:positionV>
            <wp:extent cx="72466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-1216025</wp:posOffset>
            </wp:positionV>
            <wp:extent cx="72466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-855980</wp:posOffset>
            </wp:positionV>
            <wp:extent cx="724662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-495300</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3960" w:space="500"/>
            <w:col w:w="6860"/>
          </w:cols>
          <w:pgMar w:left="240" w:top="459" w:right="3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right="6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6"/>
              </w:rPr>
              <w:t>Example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Example 2</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5%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at 10% Discount</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6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Following</w:t>
            </w:r>
          </w:p>
        </w:tc>
        <w:tc>
          <w:tcPr>
            <w:tcW w:w="62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Below NAV</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9"/>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24"/>
                <w:szCs w:val="24"/>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
              <w:spacing w:after="0"/>
              <w:rPr>
                <w:sz w:val="20"/>
                <w:szCs w:val="20"/>
                <w:color w:val="auto"/>
              </w:rPr>
            </w:pPr>
            <w:r>
              <w:rPr>
                <w:rFonts w:ascii="Arial" w:cs="Arial" w:eastAsia="Arial" w:hAnsi="Arial"/>
                <w:sz w:val="18"/>
                <w:szCs w:val="18"/>
                <w:color w:val="auto"/>
                <w:w w:val="95"/>
              </w:rPr>
              <w:t>$  (5,000)</w:t>
            </w:r>
          </w:p>
        </w:tc>
        <w:tc>
          <w:tcPr>
            <w:tcW w:w="20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-315595</wp:posOffset>
            </wp:positionV>
            <wp:extent cx="7246620" cy="317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4140" w:space="720"/>
            <w:col w:w="65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9.91</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9.50</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   10.00</w:t>
            </w:r>
          </w:p>
        </w:tc>
        <w:tc>
          <w:tcPr>
            <w:tcW w:w="3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Dilution per share held by stockholder A (NAV per share less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w:t>
            </w: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(0.50)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8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9"/>
              </w:rPr>
              <w:t>Percentage dilution to stockholder A (dilution per share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divided by investment per share)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(0.20)%</w:t>
            </w:r>
          </w:p>
        </w:tc>
        <w:tc>
          <w:tcPr>
            <w:tcW w:w="300" w:type="dxa"/>
            <w:vAlign w:val="bottom"/>
          </w:tcPr>
          <w:p>
            <w:pPr>
              <w:spacing w:after="0"/>
              <w:rPr>
                <w:sz w:val="19"/>
                <w:szCs w:val="19"/>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(0.90)%</w:t>
            </w:r>
          </w:p>
        </w:tc>
        <w:tc>
          <w:tcPr>
            <w:tcW w:w="300" w:type="dxa"/>
            <w:vAlign w:val="bottom"/>
          </w:tcPr>
          <w:p>
            <w:pPr>
              <w:spacing w:after="0"/>
              <w:rPr>
                <w:sz w:val="19"/>
                <w:szCs w:val="19"/>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40" w:firstLine="8"/>
        <w:spacing w:after="0" w:line="261"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2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2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shares outstanding</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NAV per 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tcPr>
          <w:p>
            <w:pPr>
              <w:spacing w:after="0"/>
              <w:rPr>
                <w:sz w:val="18"/>
                <w:szCs w:val="18"/>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tcPr>
          <w:p>
            <w:pPr>
              <w:ind w:left="440"/>
              <w:spacing w:after="0"/>
              <w:rPr>
                <w:sz w:val="20"/>
                <w:szCs w:val="20"/>
                <w:color w:val="auto"/>
              </w:rPr>
            </w:pPr>
            <w:r>
              <w:rPr>
                <w:rFonts w:ascii="Arial" w:cs="Arial" w:eastAsia="Arial" w:hAnsi="Arial"/>
                <w:sz w:val="18"/>
                <w:szCs w:val="18"/>
                <w:color w:val="auto"/>
                <w:w w:val="87"/>
              </w:rPr>
              <w:t>Total investment by stockholder A (assumed to be $10.00 per share on shares held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prior to sale)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Total (dilution)/accretion to stockholder A (total NAV less total investment)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80" w:type="dxa"/>
            <w:vAlign w:val="bottom"/>
          </w:tcPr>
          <w:p>
            <w:pPr>
              <w:ind w:left="44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shares held prior to sale)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80" w:type="dxa"/>
            <w:vAlign w:val="bottom"/>
          </w:tcPr>
          <w:p>
            <w:pPr>
              <w:ind w:left="440"/>
              <w:spacing w:after="0"/>
              <w:rPr>
                <w:sz w:val="20"/>
                <w:szCs w:val="20"/>
                <w:color w:val="auto"/>
              </w:rPr>
            </w:pPr>
            <w:r>
              <w:rPr>
                <w:rFonts w:ascii="Arial" w:cs="Arial" w:eastAsia="Arial" w:hAnsi="Arial"/>
                <w:sz w:val="18"/>
                <w:szCs w:val="18"/>
                <w:color w:val="auto"/>
                <w:w w:val="95"/>
              </w:rPr>
              <w:t>Percentage (dilution)/accretion to stockholder A (dilution)/accretion per share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divided by investment per share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88"/>
              </w:rPr>
              <w:t>at 10% Discount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5.00 %</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5"/>
              </w:rPr>
              <w:t>(0.20)%</w:t>
            </w:r>
          </w:p>
        </w:tc>
        <w:tc>
          <w:tcPr>
            <w:tcW w:w="24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9,470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19,725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(dilution)/accretion to stockholder A (total</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less total investment)</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(Dilution)/accretion per share held by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w w:val="95"/>
              </w:rPr>
              <w:t>(dilution)/ accretion per share divided by investment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per share</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5"/>
              </w:rPr>
              <w:t>(0.20)%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78"/>
              <w:spacing w:after="0"/>
              <w:rPr>
                <w:sz w:val="20"/>
                <w:szCs w:val="20"/>
                <w:color w:val="auto"/>
              </w:rPr>
            </w:pPr>
            <w:r>
              <w:rPr>
                <w:rFonts w:ascii="Arial" w:cs="Arial" w:eastAsia="Arial" w:hAnsi="Arial"/>
                <w:sz w:val="18"/>
                <w:szCs w:val="18"/>
                <w:color w:val="auto"/>
                <w:w w:val="99"/>
              </w:rPr>
              <w:t>52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2012:</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040" w:type="dxa"/>
            <w:vAlign w:val="bottom"/>
            <w:vMerge w:val="restart"/>
          </w:tcPr>
          <w:p>
            <w:pPr>
              <w:spacing w:after="0"/>
              <w:rPr>
                <w:sz w:val="14"/>
                <w:szCs w:val="14"/>
                <w:color w:val="auto"/>
              </w:rPr>
            </w:pPr>
          </w:p>
        </w:tc>
        <w:tc>
          <w:tcPr>
            <w:tcW w:w="35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Payment Dates</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7"/>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35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September 30, 2014</w:t>
            </w:r>
          </w:p>
        </w:tc>
        <w:tc>
          <w:tcPr>
            <w:tcW w:w="2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September 26, 2014</w:t>
            </w:r>
          </w:p>
        </w:tc>
        <w:tc>
          <w:tcPr>
            <w:tcW w:w="20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October 1, 2014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19, 2014</w:t>
            </w:r>
          </w:p>
        </w:tc>
        <w:tc>
          <w:tcPr>
            <w:tcW w:w="20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July 1, 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March 20, 2014</w:t>
            </w:r>
          </w:p>
        </w:tc>
        <w:tc>
          <w:tcPr>
            <w:tcW w:w="20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April 1, 2014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20, 2013</w:t>
            </w:r>
          </w:p>
        </w:tc>
        <w:tc>
          <w:tcPr>
            <w:tcW w:w="20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January 2, 2014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40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September 20, 2013</w:t>
            </w:r>
          </w:p>
        </w:tc>
        <w:tc>
          <w:tcPr>
            <w:tcW w:w="20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October 1, 2013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2013</w:t>
            </w:r>
          </w:p>
        </w:tc>
        <w:tc>
          <w:tcPr>
            <w:tcW w:w="20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July 1,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40"/>
              <w:spacing w:after="0"/>
              <w:rPr>
                <w:sz w:val="20"/>
                <w:szCs w:val="20"/>
                <w:color w:val="auto"/>
              </w:rPr>
            </w:pPr>
            <w:r>
              <w:rPr>
                <w:rFonts w:ascii="Arial" w:cs="Arial" w:eastAsia="Arial" w:hAnsi="Arial"/>
                <w:sz w:val="18"/>
                <w:szCs w:val="18"/>
                <w:color w:val="auto"/>
              </w:rPr>
              <w:t>March 22, 2013</w:t>
            </w:r>
          </w:p>
        </w:tc>
        <w:tc>
          <w:tcPr>
            <w:tcW w:w="20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April 1,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21, 2012</w:t>
            </w:r>
          </w:p>
        </w:tc>
        <w:tc>
          <w:tcPr>
            <w:tcW w:w="20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January 2, 2013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January 2015, 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tax characteristics of distributions declared, in accordance with Section 19(a) of the 1940 Act, during fiscal years ended September 30, 2014 and 2013 were solely from ordinary income and totaled $76.9 million, or $1.12 per share, and $74.4 million, or $1.12 per share, respectively, based on the weighted average shares outstanding for the respective periods.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459" w:right="3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distributions or distributions at a particular level.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did not engage in any sales of unregistered securities during the fiscal years ended September 30, 2014, 2013 and 2012,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37"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2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right="80" w:hanging="314"/>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may become more difficult from time to time to the extent institutional investors seek to invest in larger, more liquid offerings. We believe this has made it harder for middle-market companies to raise funds by issuing high-yield debt securities from time to time.</w:t>
      </w:r>
    </w:p>
    <w:p>
      <w:pPr>
        <w:spacing w:after="0" w:line="55" w:lineRule="exact"/>
        <w:rPr>
          <w:rFonts w:ascii="Arial" w:cs="Arial" w:eastAsia="Arial" w:hAnsi="Arial"/>
          <w:sz w:val="18"/>
          <w:szCs w:val="18"/>
          <w:color w:val="auto"/>
        </w:rPr>
      </w:pPr>
    </w:p>
    <w:p>
      <w:pPr>
        <w:ind w:left="660" w:right="220" w:hanging="314"/>
        <w:spacing w:after="0" w:line="357" w:lineRule="auto"/>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 xml:space="preserve">We believe middle-market companies have faced difficulty raising debt in private markets. </w:t>
      </w:r>
      <w:r>
        <w:rPr>
          <w:rFonts w:ascii="Arial" w:cs="Arial" w:eastAsia="Arial" w:hAnsi="Arial"/>
          <w:sz w:val="15"/>
          <w:szCs w:val="15"/>
          <w:color w:val="auto"/>
        </w:rPr>
        <w:t>From time to time, banks, finance companies, hedge</w:t>
      </w:r>
      <w:r>
        <w:rPr>
          <w:rFonts w:ascii="Arial" w:cs="Arial" w:eastAsia="Arial" w:hAnsi="Arial"/>
          <w:sz w:val="15"/>
          <w:szCs w:val="15"/>
          <w:b w:val="1"/>
          <w:bCs w:val="1"/>
          <w:color w:val="auto"/>
        </w:rPr>
        <w:t xml:space="preserve"> </w:t>
      </w:r>
      <w:r>
        <w:rPr>
          <w:rFonts w:ascii="Arial" w:cs="Arial" w:eastAsia="Arial" w:hAnsi="Arial"/>
          <w:sz w:val="15"/>
          <w:szCs w:val="15"/>
          <w:color w:val="auto"/>
        </w:rPr>
        <w:t>funds and CLO funds have, and may again, withdraw capital from the middle-market, resulting in opportunities for alternative funding sources.</w:t>
      </w:r>
    </w:p>
    <w:p>
      <w:pPr>
        <w:ind w:left="660" w:right="240" w:hanging="314"/>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risk-adjusted returns on our investments. </w:t>
      </w:r>
      <w:r>
        <w:rPr>
          <w:rFonts w:ascii="Arial" w:cs="Arial" w:eastAsia="Arial" w:hAnsi="Arial"/>
          <w:sz w:val="18"/>
          <w:szCs w:val="18"/>
          <w:color w:val="auto"/>
        </w:rPr>
        <w:t>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market participants have reduced lending to middle-market and non-investment grade borrowers. As a result,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80" w:hanging="314"/>
        <w:spacing w:after="0" w:line="30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hanging="314"/>
        <w:spacing w:after="0" w:line="29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risk-adjusted returns to investors.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25"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86"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58"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25" w:lineRule="exact"/>
        <w:rPr>
          <w:sz w:val="20"/>
          <w:szCs w:val="20"/>
          <w:color w:val="auto"/>
        </w:rPr>
      </w:pPr>
    </w:p>
    <w:p>
      <w:pPr>
        <w:ind w:left="1140" w:hanging="335"/>
        <w:spacing w:after="0"/>
        <w:tabs>
          <w:tab w:leader="none" w:pos="1140"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97" w:lineRule="exact"/>
        <w:rPr>
          <w:sz w:val="20"/>
          <w:szCs w:val="20"/>
          <w:color w:val="auto"/>
        </w:rPr>
      </w:pPr>
    </w:p>
    <w:p>
      <w:pPr>
        <w:ind w:left="1140" w:hanging="335"/>
        <w:spacing w:after="0"/>
        <w:tabs>
          <w:tab w:leader="none" w:pos="11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13"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05"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We believe this has resulted in a less competitive environment for making new investments.</w:t>
      </w:r>
    </w:p>
    <w:p>
      <w:pPr>
        <w:spacing w:after="0" w:line="111"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maintain a multi-currency $545.0 million Credit Facility which matures in June 2019 and is secured by substantially all of our investment portfolio assets (excluding the assets of our SBIC Funds), under which we had $55.2 million and $145.5 million (including a $28.0 million temporary draw) of debt outstanding with a weighted average interest rate of 2.80% and 3.33% as of September 30, 2014 and 2013, respectively. Pricing of borrowings under our current Credit Facility is set at 225 basis points over LIBOR. As of September 30, 2014 and 2013, we had $489.8 million and $284.5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and 80% of our net assets.</w:t>
      </w:r>
    </w:p>
    <w:p>
      <w:pPr>
        <w:spacing w:after="0" w:line="9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As of September 30, 2014 and 2013, our SBIC Funds had $225 million and $150 million in debt commitments, respectively, and $150 million was drawn for each period with a weighted average interest rate of 3.70%, exclusive of 3.43% of upfront fees (4.04% inclusive of the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89"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As of September 30, 2014,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As of September 30, 2014 and 2013, we had $71.3 million in aggregate principal amount of 2025 Notes. Interest on the 2025 Notes accrues at a rate of 6.25% per year and is paid quarterly.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89" w:lineRule="exact"/>
        <w:rPr>
          <w:sz w:val="20"/>
          <w:szCs w:val="20"/>
          <w:color w:val="auto"/>
        </w:rPr>
      </w:pPr>
    </w:p>
    <w:p>
      <w:pPr>
        <w:ind w:right="100" w:firstLine="565"/>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93"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84" w:lineRule="exact"/>
        <w:rPr>
          <w:sz w:val="20"/>
          <w:szCs w:val="20"/>
          <w:color w:val="auto"/>
        </w:rPr>
      </w:pPr>
    </w:p>
    <w:p>
      <w:pPr>
        <w:ind w:left="1120" w:hanging="437"/>
        <w:spacing w:after="0"/>
        <w:tabs>
          <w:tab w:leader="none" w:pos="11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184" w:lineRule="exact"/>
        <w:rPr>
          <w:sz w:val="20"/>
          <w:szCs w:val="20"/>
          <w:color w:val="auto"/>
        </w:rPr>
      </w:pPr>
    </w:p>
    <w:p>
      <w:pPr>
        <w:ind w:left="1120" w:hanging="437"/>
        <w:spacing w:after="0"/>
        <w:tabs>
          <w:tab w:leader="none" w:pos="11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20" w:hanging="437"/>
        <w:spacing w:after="0"/>
        <w:tabs>
          <w:tab w:leader="none" w:pos="11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20" w:hanging="437"/>
        <w:spacing w:after="0"/>
        <w:tabs>
          <w:tab w:leader="none" w:pos="11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3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20" w:hanging="437"/>
        <w:spacing w:after="0"/>
        <w:tabs>
          <w:tab w:leader="none" w:pos="11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non-diversified.</w:t>
      </w:r>
    </w:p>
    <w:p>
      <w:pPr>
        <w:spacing w:after="0" w:line="181" w:lineRule="exact"/>
        <w:rPr>
          <w:sz w:val="20"/>
          <w:szCs w:val="20"/>
          <w:color w:val="auto"/>
        </w:rPr>
      </w:pPr>
    </w:p>
    <w:p>
      <w:pPr>
        <w:ind w:left="1120" w:hanging="437"/>
        <w:spacing w:after="0"/>
        <w:tabs>
          <w:tab w:leader="none" w:pos="11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we believe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158"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44"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0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3"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58" w:lineRule="exact"/>
        <w:rPr>
          <w:sz w:val="20"/>
          <w:szCs w:val="20"/>
          <w:color w:val="auto"/>
        </w:rPr>
      </w:pPr>
    </w:p>
    <w:p>
      <w:pPr>
        <w:jc w:val="both"/>
        <w:ind w:right="100" w:firstLine="571"/>
        <w:spacing w:after="0" w:line="298" w:lineRule="auto"/>
        <w:rPr>
          <w:sz w:val="20"/>
          <w:szCs w:val="20"/>
          <w:color w:val="auto"/>
        </w:rPr>
      </w:pPr>
      <w:r>
        <w:rPr>
          <w:rFonts w:ascii="Arial" w:cs="Arial" w:eastAsia="Arial" w:hAnsi="Arial"/>
          <w:sz w:val="16"/>
          <w:szCs w:val="16"/>
          <w:color w:val="auto"/>
        </w:rPr>
        <w:t>Typically, our mezzanine debt has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86" w:lineRule="exact"/>
        <w:rPr>
          <w:sz w:val="20"/>
          <w:szCs w:val="20"/>
          <w:color w:val="auto"/>
        </w:rPr>
      </w:pPr>
    </w:p>
    <w:p>
      <w:pPr>
        <w:ind w:firstLine="342"/>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5" w:lineRule="exact"/>
        <w:rPr>
          <w:sz w:val="20"/>
          <w:szCs w:val="20"/>
          <w:color w:val="auto"/>
        </w:rPr>
      </w:pPr>
    </w:p>
    <w:p>
      <w:pPr>
        <w:ind w:left="900" w:right="220" w:hanging="67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57" w:lineRule="exact"/>
        <w:rPr>
          <w:rFonts w:ascii="Arial" w:cs="Arial" w:eastAsia="Arial" w:hAnsi="Arial"/>
          <w:sz w:val="18"/>
          <w:szCs w:val="18"/>
          <w:color w:val="auto"/>
        </w:rPr>
      </w:pPr>
    </w:p>
    <w:p>
      <w:pPr>
        <w:jc w:val="both"/>
        <w:ind w:left="900" w:right="320" w:hanging="676"/>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8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8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58"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118" w:lineRule="exact"/>
        <w:rPr>
          <w:sz w:val="20"/>
          <w:szCs w:val="20"/>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57" w:lineRule="exact"/>
        <w:rPr>
          <w:rFonts w:ascii="Arial" w:cs="Arial" w:eastAsia="Arial" w:hAnsi="Arial"/>
          <w:sz w:val="18"/>
          <w:szCs w:val="18"/>
          <w:color w:val="auto"/>
        </w:rPr>
      </w:pPr>
    </w:p>
    <w:p>
      <w:pPr>
        <w:ind w:left="900" w:right="120" w:hanging="67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4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Aerospace and Defense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Auto Sector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Beverage, Food and Tobacco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Broadcasting and Entertainment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Buildings and Real Estate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 Materials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Business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Cable Television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Cargo Transportation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Chemicals, Plastics and Rubber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Consumer Products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Containers Packaging &amp; Glass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Distribution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Manufacturing</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Diversified Natural Resources, Precious Metals and Minerals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Education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Electronics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Energy/Utilities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Grocery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Healthcare, Education and Childcare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Home &amp; Office Furnishings, Housewares &amp; Durable Consumer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Hotels, Motels, Inns and Gaming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Leisure, Amusement, Motion Picture, Entertainment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Logistics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Manufacturing/Basic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Mining, Steel, Iron and Non-Precious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Oil and 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Other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Personal, Food and Miscellaneous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Printing and Publishing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Telecommunications</w:t>
      </w:r>
    </w:p>
    <w:p>
      <w:pPr>
        <w:spacing w:after="0" w:line="138"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328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330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RAM Energy LLC</w:t>
            </w: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w w:val="99"/>
              </w:rPr>
              <w:t>8%</w:t>
            </w:r>
          </w:p>
        </w:tc>
        <w:tc>
          <w:tcPr>
            <w:tcW w:w="340" w:type="dxa"/>
            <w:vAlign w:val="bottom"/>
            <w:vMerge w:val="continue"/>
          </w:tcPr>
          <w:p>
            <w:pPr>
              <w:spacing w:after="0"/>
              <w:rPr>
                <w:sz w:val="17"/>
                <w:szCs w:val="17"/>
                <w:color w:val="auto"/>
              </w:rPr>
            </w:pPr>
          </w:p>
        </w:tc>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Foundation Building Materials, LLC</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Magnum Hunter Resources Corporation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Gulf Resources, LLC</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w:t>
            </w: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(Eureka Hunter Pipeline, LLC)</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Pre-Paid Legal Services, Inc.</w:t>
            </w:r>
          </w:p>
        </w:tc>
        <w:tc>
          <w:tcPr>
            <w:tcW w:w="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Affinion Group Holdings, Inc.</w:t>
            </w:r>
          </w:p>
        </w:tc>
        <w:tc>
          <w:tcPr>
            <w:tcW w:w="7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Jacobs Entertainment, Inc.</w:t>
            </w:r>
          </w:p>
        </w:tc>
        <w:tc>
          <w:tcPr>
            <w:tcW w:w="500" w:type="dxa"/>
            <w:vAlign w:val="bottom"/>
          </w:tcPr>
          <w:p>
            <w:pPr>
              <w:ind w:left="400"/>
              <w:spacing w:after="0" w:line="196" w:lineRule="exact"/>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AKA Diversified Holdings, Inc.</w:t>
            </w:r>
          </w:p>
        </w:tc>
        <w:tc>
          <w:tcPr>
            <w:tcW w:w="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Patriot National, Inc. (f/k/a Old Guard Risk Services, Inc.)</w:t>
            </w:r>
          </w:p>
        </w:tc>
        <w:tc>
          <w:tcPr>
            <w:tcW w:w="7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Vestcom International, Inc.</w:t>
            </w:r>
          </w:p>
        </w:tc>
        <w:tc>
          <w:tcPr>
            <w:tcW w:w="500" w:type="dxa"/>
            <w:vAlign w:val="bottom"/>
          </w:tcPr>
          <w:p>
            <w:pPr>
              <w:ind w:left="400"/>
              <w:spacing w:after="0" w:line="196" w:lineRule="exact"/>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J.A. Cosmetics Holdings, Inc.</w:t>
            </w:r>
          </w:p>
        </w:tc>
        <w:tc>
          <w:tcPr>
            <w:tcW w:w="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Instant Web, Inc.</w:t>
            </w: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Trust Inns Limited</w:t>
            </w:r>
          </w:p>
        </w:tc>
        <w:tc>
          <w:tcPr>
            <w:tcW w:w="7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Penton Media, Inc.</w:t>
            </w:r>
          </w:p>
        </w:tc>
        <w:tc>
          <w:tcPr>
            <w:tcW w:w="500" w:type="dxa"/>
            <w:vAlign w:val="bottom"/>
          </w:tcPr>
          <w:p>
            <w:pPr>
              <w:ind w:left="400"/>
              <w:spacing w:after="0" w:line="196" w:lineRule="exact"/>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Novitex Acquisition, LLC</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Trak Acquisition Corp.</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Varel International Energy Mezzanine Funding Corp.</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Industry</w:t>
            </w:r>
          </w:p>
        </w:tc>
        <w:tc>
          <w:tcPr>
            <w:tcW w:w="406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b w:val="1"/>
                <w:bCs w:val="1"/>
                <w:color w:val="auto"/>
              </w:rPr>
              <w:t>Industry</w:t>
            </w:r>
          </w:p>
        </w:tc>
        <w:tc>
          <w:tcPr>
            <w:tcW w:w="50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2013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78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500" w:type="dxa"/>
            <w:vAlign w:val="bottom"/>
            <w:tcBorders>
              <w:bottom w:val="single" w:sz="8" w:color="CCEEFF"/>
            </w:tcBorders>
            <w:shd w:val="clear" w:color="auto" w:fill="000000"/>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780" w:type="dxa"/>
            <w:vAlign w:val="bottom"/>
            <w:tcBorders>
              <w:top w:val="single" w:sz="8" w:color="CCEEFF"/>
            </w:tcBorders>
            <w:gridSpan w:val="2"/>
            <w:vMerge w:val="continue"/>
            <w:shd w:val="clear" w:color="auto" w:fill="CCEEFF"/>
          </w:tcPr>
          <w:p>
            <w:pPr>
              <w:spacing w:after="0"/>
              <w:rPr>
                <w:sz w:val="14"/>
                <w:szCs w:val="14"/>
                <w:color w:val="auto"/>
              </w:rPr>
            </w:pPr>
          </w:p>
        </w:tc>
        <w:tc>
          <w:tcPr>
            <w:tcW w:w="700" w:type="dxa"/>
            <w:vAlign w:val="bottom"/>
            <w:tcBorders>
              <w:top w:val="single" w:sz="8" w:color="CCEEFF"/>
            </w:tcBorders>
            <w:gridSpan w:val="2"/>
            <w:shd w:val="clear" w:color="auto" w:fill="CCEEFF"/>
          </w:tcPr>
          <w:p>
            <w:pPr>
              <w:ind w:left="420"/>
              <w:spacing w:after="0" w:line="163" w:lineRule="exact"/>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14"/>
                <w:szCs w:val="14"/>
                <w:color w:val="auto"/>
              </w:rPr>
            </w:pPr>
          </w:p>
        </w:tc>
        <w:tc>
          <w:tcPr>
            <w:tcW w:w="4740" w:type="dxa"/>
            <w:vAlign w:val="bottom"/>
            <w:tcBorders>
              <w:top w:val="single" w:sz="8" w:color="CCEEFF"/>
              <w:bottom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Personal, Food and Miscellaneous Services</w:t>
            </w:r>
          </w:p>
        </w:tc>
        <w:tc>
          <w:tcPr>
            <w:tcW w:w="500" w:type="dxa"/>
            <w:vAlign w:val="bottom"/>
            <w:tcBorders>
              <w:top w:val="single" w:sz="8" w:color="auto"/>
              <w:bottom w:val="single" w:sz="8" w:color="CCEEFF"/>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11</w:t>
            </w:r>
          </w:p>
        </w:tc>
        <w:tc>
          <w:tcPr>
            <w:tcW w:w="240" w:type="dxa"/>
            <w:vAlign w:val="bottom"/>
            <w:tcBorders>
              <w:top w:val="single" w:sz="8" w:color="CCEEFF"/>
              <w:bottom w:val="single" w:sz="8" w:color="CCEEFF"/>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Oil and Gas</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Printing and Publishing</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Personal, Food and Miscellaneous Services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9</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Business Services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Business Services</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Energy / Utilities</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8</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Electronics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Building Materials</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Healthcare, Education &amp; Childcare</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Electronics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6</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Oil and Gas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Insurance</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Chemicals, Plastics and Rubber</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Auto Sector</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4</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Consumer Products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Healthcare, Education and Childcare</w:t>
            </w:r>
          </w:p>
        </w:tc>
        <w:tc>
          <w:tcPr>
            <w:tcW w:w="700" w:type="dxa"/>
            <w:vAlign w:val="bottom"/>
            <w:gridSpan w:val="2"/>
          </w:tcPr>
          <w:p>
            <w:pPr>
              <w:ind w:left="420"/>
              <w:spacing w:after="0" w:line="195"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7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2014 Consolidated Financial Statements included elsewhere in this prospectus.</w:t>
      </w:r>
    </w:p>
    <w:p>
      <w:pPr>
        <w:spacing w:after="0" w:line="14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Companies Less than 5% Owned</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5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Acentia,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3130 Fairview Park Drive, Ste. 800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Falls Church, VA 22042</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Investments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High Ridge Park</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06850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AH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10039 Bissonnet Street, Ste. 250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77036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AHC Mezzanine,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Park Avenue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Aircell Business Aviation Services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Communications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1250 North Arlington Heights Road, Ste. 500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Itasca, IL 60143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AKA Diversified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 Wireless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775 Prairie Center Drive, Ste. 420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Alegeus Technologies,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Financial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(Alegeus Technologies Holdings Corp.)</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1601 Trapelo Rd.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Waltham, MA 02451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Diversified Natural Resources,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29950 South Bonanza Highway</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Precious Metals and Minerals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Bonanza, UT 84008</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AP Gaming I,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Hotels, Motels, Inns and Gaming</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Asensus,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Financial Services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Dryden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Dresher, PA 19025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right"/>
              <w:ind w:right="87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ASP LCG Holdings, Inc.</w:t>
            </w:r>
          </w:p>
        </w:tc>
        <w:tc>
          <w:tcPr>
            <w:tcW w:w="12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Education</w:t>
            </w:r>
          </w:p>
        </w:tc>
        <w:tc>
          <w:tcPr>
            <w:tcW w:w="120" w:type="dxa"/>
            <w:vAlign w:val="bottom"/>
          </w:tcPr>
          <w:p>
            <w:pPr>
              <w:spacing w:after="0"/>
              <w:rPr>
                <w:sz w:val="17"/>
                <w:szCs w:val="17"/>
                <w:color w:val="auto"/>
              </w:rPr>
            </w:pPr>
          </w:p>
        </w:tc>
        <w:tc>
          <w:tcPr>
            <w:tcW w:w="2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Warrants</w:t>
            </w:r>
          </w:p>
        </w:tc>
        <w:tc>
          <w:tcPr>
            <w:tcW w:w="100" w:type="dxa"/>
            <w:vAlign w:val="bottom"/>
          </w:tcPr>
          <w:p>
            <w:pPr>
              <w:spacing w:after="0"/>
              <w:rPr>
                <w:sz w:val="17"/>
                <w:szCs w:val="17"/>
                <w:color w:val="auto"/>
              </w:rPr>
            </w:pPr>
          </w:p>
        </w:tc>
        <w:tc>
          <w:tcPr>
            <w:tcW w:w="1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21333 Haggerty Road, Ste. 300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Novi, MI 48375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Autumn Games,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Broadcasting and Entertainment</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 Thompson St.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Bennu Oil &amp; Gas,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1330 Post Oak Boulevard, Ste. 1600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77056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Cardinal Logistics Holdings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Cargo Transport</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(Intermediate Transportation 100,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12404 Park Central Dr., Ste. 300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TX 75251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Carolina Beverage Group,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110 Barley Park Lane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Mooresville, NC 28115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 (Galls) Prime Investment Holdings,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1340 Russell Cave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Lexington, KY 40505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CI (IHS) Investment Holdings,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3800 North Wilke Road, Ste. 155</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Arlington Heights, IL 60004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Convergint Technologies,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(Convergint Technologies Holdings,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1651 Wilkening Rd.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Schaumburg, IL 60173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Credit Infonet,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4540 Honeywell Court</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Dayton, OH 45424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 Holdings,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 Intermediate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925 North Point Parkway, Ste. 350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Alpharetta, GA 30005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Energy &amp; Exploration Partners,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Two City Place, Ste. 1700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Hundred Throckmorton St.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Fort Worth, TX 76102</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Envision Acquisition Company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2181 East Aurora Road, Ste. 201</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Twinsburg, OH 44087</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Foundation Building Materials,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Building Materials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1431 N Main Street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Orange, CA 92867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Hollander Sleep Products,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2901 West Kingsley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Garland, TX 75041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Infusystems Holdings, Inc.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Healthcare, Education and Childcare</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31700 Research Park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Madison Heights, MI 48071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J.A. Cosmetics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Jackson Hewitt Tax Services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Sylvan Way, Ste. 301</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Parsippany, NJ 07054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Jacobs Entertainment,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Hotels, Motels, Inns and Gaming</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17301 W. Colfax Ave., Ste. 250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Golden, CO 80401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JF Acquisition,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(MidOcean JF Holdings Corp.)</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1330 St. Mary’s Street, Ste. 210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27605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Kadmon Holdings,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Alexandria Center for Life Sciences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450 East 29</w:t>
            </w:r>
            <w:r>
              <w:rPr>
                <w:rFonts w:ascii="Arial" w:cs="Arial" w:eastAsia="Arial" w:hAnsi="Arial"/>
                <w:sz w:val="11"/>
                <w:szCs w:val="11"/>
                <w:color w:val="auto"/>
              </w:rPr>
              <w:t>th</w:t>
            </w:r>
            <w:r>
              <w:rPr>
                <w:rFonts w:ascii="Arial" w:cs="Arial" w:eastAsia="Arial" w:hAnsi="Arial"/>
                <w:sz w:val="18"/>
                <w:szCs w:val="18"/>
                <w:color w:val="auto"/>
              </w:rPr>
              <w:t xml:space="preserve"> Street,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New York, NY 10016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 Park Ave., 8th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K2 Pure Solutions NoCal, L.P.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Chemicals, Plastics and Rubber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3515 Massillion Road, Ste. 290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Uniontown, OH 44685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Language Line,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Lower Ragsdale Drive</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2, Ste. 400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Monterey, CA 93940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Lariat ecoserv Co-invest Holdings,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Environmental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 (4)</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1331 17th Street, Ste. 812</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Denver, CO 80202</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USA GP and</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Energy Finance (USA),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Louisiana Street, Ste. 1500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Magnum Hunter Resources Corporation</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Energy/Utilities Oil and Gas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777 Post Oak Blvd., Ste. 650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77056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MSpark,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5901 Highway 52 East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Helena, AL 35080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New Gulf Resources,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10441 S. Regal Blvd. Ste. 210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Tulsa, OK 74133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Novitex Acquisition, LLC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Elmcroft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06926</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Paradigm Acquisition Corp.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1277 Treat Boulevard, Ste. 800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Walnut Creek, CA 94597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Patriot National,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Banking, Finance, Insurance and</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Real Estate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1"/>
                <w:szCs w:val="11"/>
                <w:color w:val="auto"/>
              </w:rPr>
              <w:t>th</w:t>
            </w:r>
            <w:r>
              <w:rPr>
                <w:rFonts w:ascii="Arial" w:cs="Arial" w:eastAsia="Arial" w:hAnsi="Arial"/>
                <w:sz w:val="18"/>
                <w:szCs w:val="18"/>
                <w:color w:val="auto"/>
              </w:rPr>
              <w:t xml:space="preserve"> Street, 4</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Products,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N85 W12545 Westbrook Crossing</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Menomonee Falls, WI 53051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Pre-Paid Legal Services,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Personal, Food and Miscellaneous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(MidOcean PPL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Pre-Paid Way</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Ada, OK 74820</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Prince Mineral Holdings Corp.</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Mining, Steel, Iron and Non-</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 East 44th Street</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Precious Metals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RAM Energy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Energy and Utilities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2100 South Utica Avenue, Ste. 165</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Tulsa, OK 74114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Randall-Reilly Publishing Company,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3200 Rice Mine Road NE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Tuscaloosa, AL 35406</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Red Point,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Thomas Circle, NW, Ste. 600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Washington, DC 20005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Ride Holdings,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Personal Transportation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1220 Rankin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MI 48083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Robertshaw US Holding Corp.</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Consumer Goods: Durable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191 East North Avenue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Carol Stream, IL 60188</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Sotera Defense Solutions,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2121 Cooperative Way, Ste. 400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Herndon, VA 20171-5393.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SPG Boyd Holdings Corp.</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Chemical, Plastic and Rubber</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600 S. McClure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Modesto, CA 95357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right"/>
              <w:ind w:right="87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TRAK Acquisition Corp.</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1001 Brickell Bay Drive, 27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Trust Inns Limited</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Buildings and Real Estate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Blenheim House Foxhole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Ackhurst Park Chorley</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Lancashire PR7 1NY</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Holdings, L.P.</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 San Nicolas Drive, Ste. 360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Newport Beach, CA 92660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U.S. Well Services,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770 South Post Oak Lane, Ste. 405</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77056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Vestcom Parent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7304 Kanis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Little Rock, AR 72204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VText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50 Public Square, 29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Cleveland, OH 44113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Worley Claims Services,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303 Timber Creek,</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Hammond, LA 70403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Companies 5% to 24% Owned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8450 Broadway</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Merrillville, IN 46410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EnviroSolutions Real Property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Environmental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(EnviroSolutions Holdings,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11220 Asset Loop, Ste. 201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Manassas, VA 20109</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NCP-Performance, L.P.</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Leisure, Amusement, Motion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Performance Way</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Pictures, Entertainment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Chapel Hill, NC 27514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PAS International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22.0%</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1234 Atlantic Street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North Kansas City, MO 64116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Service Champ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 New Britain Blvd.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Chalfont, PA 18914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right"/>
              <w:ind w:right="87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4"/>
              </w:rPr>
              <w:t>Voting Percentage</w:t>
            </w:r>
          </w:p>
        </w:tc>
        <w:tc>
          <w:tcPr>
            <w:tcW w:w="0" w:type="dxa"/>
            <w:vAlign w:val="bottom"/>
          </w:tcPr>
          <w:p>
            <w:pPr>
              <w:spacing w:after="0"/>
              <w:rPr>
                <w:sz w:val="1"/>
                <w:szCs w:val="1"/>
                <w:color w:val="auto"/>
              </w:rPr>
            </w:pPr>
          </w:p>
        </w:tc>
      </w:tr>
      <w:tr>
        <w:trPr>
          <w:trHeight w:val="189"/>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960" w:type="dxa"/>
            <w:vAlign w:val="bottom"/>
            <w:gridSpan w:val="2"/>
          </w:tcPr>
          <w:p>
            <w:pPr>
              <w:ind w:left="860"/>
              <w:spacing w:after="0"/>
              <w:rPr>
                <w:sz w:val="20"/>
                <w:szCs w:val="20"/>
                <w:color w:val="auto"/>
              </w:rPr>
            </w:pPr>
            <w:r>
              <w:rPr>
                <w:rFonts w:ascii="Arial" w:cs="Arial" w:eastAsia="Arial" w:hAnsi="Arial"/>
                <w:sz w:val="14"/>
                <w:szCs w:val="14"/>
                <w:b w:val="1"/>
                <w:bCs w:val="1"/>
                <w:color w:val="auto"/>
              </w:rPr>
              <w:t>Type of Investment</w:t>
            </w:r>
          </w:p>
        </w:tc>
        <w:tc>
          <w:tcPr>
            <w:tcW w:w="228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Companies 25% or More Owned</w:t>
            </w:r>
          </w:p>
        </w:tc>
        <w:tc>
          <w:tcPr>
            <w:tcW w:w="120" w:type="dxa"/>
            <w:vAlign w:val="bottom"/>
          </w:tcPr>
          <w:p>
            <w:pPr>
              <w:spacing w:after="0"/>
              <w:rPr>
                <w:sz w:val="19"/>
                <w:szCs w:val="19"/>
                <w:color w:val="auto"/>
              </w:rPr>
            </w:pPr>
          </w:p>
        </w:tc>
        <w:tc>
          <w:tcPr>
            <w:tcW w:w="2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Superior Digital Displays, LLC</w:t>
            </w:r>
          </w:p>
        </w:tc>
        <w:tc>
          <w:tcPr>
            <w:tcW w:w="3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Media</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First Lien Secured Debt</w:t>
            </w:r>
          </w:p>
        </w:tc>
        <w:tc>
          <w:tcPr>
            <w:tcW w:w="2280" w:type="dxa"/>
            <w:vAlign w:val="bottom"/>
            <w:shd w:val="clear" w:color="auto" w:fill="CCEEFF"/>
          </w:tcPr>
          <w:p>
            <w:pPr>
              <w:jc w:val="right"/>
              <w:ind w:right="843"/>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 Park Ave. 25th Floor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Common Equity</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30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First Lien Secured Debt</w:t>
            </w:r>
          </w:p>
        </w:tc>
        <w:tc>
          <w:tcPr>
            <w:tcW w:w="2280" w:type="dxa"/>
            <w:vAlign w:val="bottom"/>
          </w:tcPr>
          <w:p>
            <w:pPr>
              <w:jc w:val="center"/>
              <w:ind w:right="623"/>
              <w:spacing w:after="0"/>
              <w:rPr>
                <w:sz w:val="20"/>
                <w:szCs w:val="20"/>
                <w:color w:val="auto"/>
              </w:rPr>
            </w:pPr>
            <w:r>
              <w:rPr>
                <w:rFonts w:ascii="Arial" w:cs="Arial" w:eastAsia="Arial" w:hAnsi="Arial"/>
                <w:sz w:val="18"/>
                <w:szCs w:val="18"/>
                <w:color w:val="auto"/>
              </w:rPr>
              <w:t>100.0%</w:t>
            </w: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Subordinated Debt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Preferred Equity</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Equity</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5176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line="22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spacing w:after="0" w:line="5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2014:</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Foundation Building Materials, LLC (Building Materials)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Foundation Building Materials, LLC is a distributor of drywall and other building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RAM Energy LLC is an exploration and production company focused on operations in the Arkansas-Louisiana-Texas and Permian regions.</w:t>
      </w:r>
    </w:p>
    <w:p>
      <w:pPr>
        <w:spacing w:after="0" w:line="194"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ectPr>
          <w:pgSz w:w="11900" w:h="16838" w:orient="portrait"/>
          <w:cols w:equalWidth="0" w:num="1">
            <w:col w:w="11420"/>
          </w:cols>
          <w:pgMar w:left="240" w:top="459" w:right="23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Classification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0</wp:posOffset>
            </wp:positionV>
            <wp:extent cx="11836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49"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auto"/>
        </w:rPr>
        <w:t>2014</w:t>
      </w:r>
      <w:r>
        <w:rPr>
          <w:sz w:val="20"/>
          <w:szCs w:val="20"/>
          <w:color w:val="auto"/>
        </w:rPr>
        <w:tab/>
      </w:r>
      <w:r>
        <w:rPr>
          <w:rFonts w:ascii="Arial" w:cs="Arial" w:eastAsia="Arial" w:hAnsi="Arial"/>
          <w:sz w:val="11"/>
          <w:szCs w:val="11"/>
          <w:b w:val="1"/>
          <w:bCs w:val="1"/>
          <w:color w:val="auto"/>
        </w:rPr>
        <w:t>2013</w:t>
      </w:r>
    </w:p>
    <w:p>
      <w:pPr>
        <w:spacing w:after="0" w:line="55" w:lineRule="exact"/>
        <w:rPr>
          <w:sz w:val="20"/>
          <w:szCs w:val="20"/>
          <w:color w:val="auto"/>
        </w:rPr>
      </w:pPr>
    </w:p>
    <w:p>
      <w:pPr>
        <w:sectPr>
          <w:pgSz w:w="11900" w:h="16838" w:orient="portrait"/>
          <w:cols w:equalWidth="0" w:num="2">
            <w:col w:w="8680" w:space="720"/>
            <w:col w:w="2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Consumer Products</w:t>
            </w:r>
          </w:p>
        </w:tc>
        <w:tc>
          <w:tcPr>
            <w:tcW w:w="3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960"/>
              <w:spacing w:after="0" w:line="189" w:lineRule="exact"/>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Oil and Gas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Business Services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Building Materials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Insurance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Auto Sector</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Buildings and Real Estate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Media</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Distribution</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Environmental Services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Printing and Publishing</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5860" w:type="dxa"/>
            <w:vAlign w:val="bottom"/>
            <w:gridSpan w:val="4"/>
          </w:tcPr>
          <w:p>
            <w:pPr>
              <w:jc w:val="right"/>
              <w:ind w:right="96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980" w:type="dxa"/>
            <w:vAlign w:val="bottom"/>
            <w:vMerge w:val="restart"/>
          </w:tcPr>
          <w:p>
            <w:pPr>
              <w:jc w:val="right"/>
              <w:ind w:right="3052"/>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which are refer to as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Director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Since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of Term</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Chairman of the Board and Chief Executive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requirements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62"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80" w:firstLine="429"/>
        <w:spacing w:after="0" w:line="294" w:lineRule="auto"/>
        <w:rPr>
          <w:sz w:val="20"/>
          <w:szCs w:val="20"/>
          <w:color w:val="auto"/>
        </w:rPr>
      </w:pPr>
      <w:r>
        <w:rPr>
          <w:rFonts w:ascii="Arial" w:cs="Arial" w:eastAsia="Arial" w:hAnsi="Arial"/>
          <w:sz w:val="16"/>
          <w:szCs w:val="16"/>
          <w:color w:val="auto"/>
        </w:rPr>
        <w:t>Adam K. Bernstein (51), Director. Mr. Bernstein became a Director of PennantPark Investment and PennantPark Floating Rate Capital Ltd. in February 2007 and October 2010, respectively. Mr. Bernstein is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Marshall Brozost (47),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pacing w:after="0" w:line="62"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Jeffrey Flug (52), Director. Mr. Flug became a Director of PennantPark Investment and PennantPark Floating Rate Capital Ltd. in February 2007 and October 2010, respectively. Since 2009, Mr. Flug has held a variety of senior positions, including, currently, President of Union Square Hospitality Group, an exclusive chain of restaurants. Since October 2012, Mr. Flug has been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9"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Samuel L. Katz (49), Director. Mr. Katz became a Director of PennantPark Investment and PennantPark Floating Rate Capital Ltd. in February 2007 and October 2010,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Arthur H. Penn (51), Founder, Chief Executive Officer and Chairman of the board of directors. Mr. Penn became the Chief Executive Officer and a Director of PennantPark Investment and PennantPark Floating Rate Capital Ltd. at their inception in 2007 and 2010, respectively. He also founded and became Managing Member of PennantPark Investment Advisers in January 2007. Mr. Penn co-founded Apollo Investment Management in 2004, where he was a Managing Partner from 2004 to 2007.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Aviv Efrat (50),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Guy F. Talarico (59), Chief Compliance Officer. Mr. Talarico became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For the fiscal year ended September 30, 2014, we held six board of directors meetings, five Audit Committee meetings and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2014, all of the directors attended the annual stockholders’ meeting.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p>
    <w:p>
      <w:pPr>
        <w:spacing w:after="0" w:line="3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37"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www.pennantpark.com</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2014. No compensation is paid directly by us to any interested director or executive officer of the Company.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ind w:left="500"/>
              <w:spacing w:after="0"/>
              <w:rPr>
                <w:sz w:val="20"/>
                <w:szCs w:val="20"/>
                <w:color w:val="auto"/>
              </w:rPr>
            </w:pPr>
            <w:r>
              <w:rPr>
                <w:rFonts w:ascii="Arial" w:cs="Arial" w:eastAsia="Arial" w:hAnsi="Arial"/>
                <w:sz w:val="14"/>
                <w:szCs w:val="14"/>
                <w:b w:val="1"/>
                <w:bCs w:val="1"/>
                <w:color w:val="auto"/>
                <w:w w:val="88"/>
              </w:rPr>
              <w:t>PennantPark Investment Corporation</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ind w:left="260"/>
              <w:spacing w:after="0"/>
              <w:rPr>
                <w:sz w:val="20"/>
                <w:szCs w:val="20"/>
                <w:color w:val="auto"/>
              </w:rPr>
            </w:pPr>
            <w:r>
              <w:rPr>
                <w:rFonts w:ascii="Arial" w:cs="Arial" w:eastAsia="Arial" w:hAnsi="Arial"/>
                <w:sz w:val="14"/>
                <w:szCs w:val="14"/>
                <w:b w:val="1"/>
                <w:bCs w:val="1"/>
                <w:color w:val="auto"/>
              </w:rPr>
              <w:t>PennantPark Floating Rate Capital, Ltd.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Pension or</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paid 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as part of our</w:t>
            </w:r>
          </w:p>
        </w:tc>
        <w:tc>
          <w:tcPr>
            <w:tcW w:w="20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1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2"/>
        </w:trPr>
        <w:tc>
          <w:tcPr>
            <w:tcW w:w="450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Company</w:t>
            </w: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95"/>
              </w:rPr>
              <w:t>expense</w:t>
            </w:r>
            <w:r>
              <w:rPr>
                <w:rFonts w:ascii="Arial" w:cs="Arial" w:eastAsia="Arial" w:hAnsi="Arial"/>
                <w:sz w:val="18"/>
                <w:szCs w:val="18"/>
                <w:b w:val="1"/>
                <w:bCs w:val="1"/>
                <w:color w:val="auto"/>
                <w:w w:val="95"/>
                <w:vertAlign w:val="superscript"/>
              </w:rPr>
              <w:t>(1)</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8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2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112,500</w:t>
            </w:r>
          </w:p>
        </w:tc>
        <w:tc>
          <w:tcPr>
            <w:tcW w:w="2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58,750</w:t>
            </w:r>
          </w:p>
        </w:tc>
        <w:tc>
          <w:tcPr>
            <w:tcW w:w="3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tcBorders>
              <w:top w:val="single" w:sz="8" w:color="CCEEFF"/>
            </w:tcBorders>
            <w:gridSpan w:val="2"/>
          </w:tcPr>
          <w:p>
            <w:pPr>
              <w:jc w:val="center"/>
              <w:ind w:left="92"/>
              <w:spacing w:after="0"/>
              <w:rPr>
                <w:sz w:val="20"/>
                <w:szCs w:val="20"/>
                <w:color w:val="auto"/>
              </w:rPr>
            </w:pPr>
            <w:r>
              <w:rPr>
                <w:rFonts w:ascii="Arial" w:cs="Arial" w:eastAsia="Arial" w:hAnsi="Arial"/>
                <w:sz w:val="18"/>
                <w:szCs w:val="18"/>
                <w:color w:val="auto"/>
                <w:w w:val="89"/>
              </w:rPr>
              <w:t>$58,750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112,500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$58,750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120,000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120,000</w:t>
            </w:r>
          </w:p>
        </w:tc>
        <w:tc>
          <w:tcPr>
            <w:tcW w:w="2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3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122,500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$61,250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180" w:hanging="172"/>
        <w:spacing w:after="0"/>
        <w:tabs>
          <w:tab w:leader="none" w:pos="1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officers. Independent Directors have the option to receive their directors’ fees paid in shares of our common stock issued at a price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the greater of NAV or the market price at the time of payment. No compensation is expected to be paid to directors who are “interested persons”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1940 Act). Prior to May 7, 2014, each Independent Director received an annual payment of $90,000 for services performed on behalf of us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addition to managing our investments, as of September 30, 2014, our portfolio managers also managed investments on behalf of the following entity:</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Name</w:t>
            </w:r>
          </w:p>
        </w:tc>
        <w:tc>
          <w:tcPr>
            <w:tcW w:w="1620" w:type="dxa"/>
            <w:vAlign w:val="bottom"/>
          </w:tcPr>
          <w:p>
            <w:pPr>
              <w:ind w:left="60"/>
              <w:spacing w:after="0"/>
              <w:rPr>
                <w:sz w:val="20"/>
                <w:szCs w:val="20"/>
                <w:color w:val="auto"/>
              </w:rPr>
            </w:pPr>
            <w:r>
              <w:rPr>
                <w:rFonts w:ascii="Arial" w:cs="Arial" w:eastAsia="Arial" w:hAnsi="Arial"/>
                <w:sz w:val="18"/>
                <w:szCs w:val="18"/>
                <w:b w:val="1"/>
                <w:bCs w:val="1"/>
                <w:color w:val="auto"/>
              </w:rPr>
              <w:t>Entity</w:t>
            </w:r>
          </w:p>
        </w:tc>
      </w:tr>
      <w:tr>
        <w:trPr>
          <w:trHeight w:val="43"/>
        </w:trPr>
        <w:tc>
          <w:tcPr>
            <w:tcW w:w="2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01"/>
        </w:trPr>
        <w:tc>
          <w:tcPr>
            <w:tcW w:w="27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4"/>
              </w:rPr>
              <w:t>PennantPark Floating Rate Capital</w:t>
            </w:r>
          </w:p>
        </w:tc>
        <w:tc>
          <w:tcPr>
            <w:tcW w:w="1620" w:type="dxa"/>
            <w:vAlign w:val="bottom"/>
          </w:tcPr>
          <w:p>
            <w:pPr>
              <w:ind w:left="60"/>
              <w:spacing w:after="0" w:line="201" w:lineRule="exact"/>
              <w:rPr>
                <w:sz w:val="20"/>
                <w:szCs w:val="20"/>
                <w:color w:val="auto"/>
              </w:rPr>
            </w:pPr>
            <w:r>
              <w:rPr>
                <w:rFonts w:ascii="Arial" w:cs="Arial" w:eastAsia="Arial" w:hAnsi="Arial"/>
                <w:sz w:val="18"/>
                <w:szCs w:val="18"/>
                <w:color w:val="auto"/>
                <w:w w:val="85"/>
              </w:rPr>
              <w:t>Business development</w:t>
            </w: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Ltd.</w:t>
            </w:r>
          </w:p>
        </w:tc>
        <w:tc>
          <w:tcPr>
            <w:tcW w:w="162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Private Investment</w:t>
            </w:r>
          </w:p>
        </w:tc>
      </w:tr>
      <w:tr>
        <w:trPr>
          <w:trHeight w:val="222"/>
        </w:trPr>
        <w:tc>
          <w:tcPr>
            <w:tcW w:w="270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60"/>
              <w:spacing w:after="0"/>
              <w:rPr>
                <w:sz w:val="20"/>
                <w:szCs w:val="20"/>
                <w:color w:val="auto"/>
              </w:rPr>
            </w:pPr>
            <w:r>
              <w:rPr>
                <w:rFonts w:ascii="Arial" w:cs="Arial" w:eastAsia="Arial" w:hAnsi="Arial"/>
                <w:sz w:val="18"/>
                <w:szCs w:val="18"/>
                <w:color w:val="auto"/>
              </w:rPr>
              <w:t>Fund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40640</wp:posOffset>
            </wp:positionV>
            <wp:extent cx="724662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3" w:lineRule="exact"/>
        <w:rPr>
          <w:sz w:val="20"/>
          <w:szCs w:val="20"/>
          <w:color w:val="auto"/>
        </w:rPr>
      </w:pPr>
    </w:p>
    <w:p>
      <w:pPr>
        <w:ind w:firstLine="44"/>
        <w:spacing w:after="0" w:line="268" w:lineRule="auto"/>
        <w:rPr>
          <w:sz w:val="20"/>
          <w:szCs w:val="20"/>
          <w:color w:val="auto"/>
        </w:rPr>
      </w:pPr>
      <w:r>
        <w:rPr>
          <w:rFonts w:ascii="Arial" w:cs="Arial" w:eastAsia="Arial" w:hAnsi="Arial"/>
          <w:sz w:val="18"/>
          <w:szCs w:val="18"/>
          <w:color w:val="auto"/>
        </w:rPr>
        <w:t>Primarily floating rate loans, with an emphasis on senior secured loans, in middle-market leveraged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Other credit opportunities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Gross Assets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$ 46</w:t>
      </w:r>
    </w:p>
    <w:p>
      <w:pPr>
        <w:spacing w:after="0" w:line="171" w:lineRule="exact"/>
        <w:rPr>
          <w:sz w:val="20"/>
          <w:szCs w:val="20"/>
          <w:color w:val="auto"/>
        </w:rPr>
      </w:pPr>
    </w:p>
    <w:p>
      <w:pPr>
        <w:sectPr>
          <w:pgSz w:w="11900" w:h="16838" w:orient="portrait"/>
          <w:cols w:equalWidth="0" w:num="3">
            <w:col w:w="4320" w:space="100"/>
            <w:col w:w="5280" w:space="640"/>
            <w:col w:w="1040"/>
          </w:cols>
          <w:pgMar w:left="240" w:top="459" w:right="279" w:bottom="1440" w:gutter="0" w:footer="0" w:header="0"/>
          <w:type w:val="continuous"/>
        </w:sectPr>
      </w:pPr>
    </w:p>
    <w:p>
      <w:pPr>
        <w:ind w:right="20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As of November 20, 2014, to our knowledge, no person would be deemed to “control” us, as such term is defined in the 1940 Act. Our board of directors consists of an interested director and Independent Directors.</w:t>
      </w:r>
    </w:p>
    <w:p>
      <w:pPr>
        <w:spacing w:after="0" w:line="13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 following table sets forth, as of November 20, 2014,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16"/>
        </w:trPr>
        <w:tc>
          <w:tcPr>
            <w:tcW w:w="7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1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(4)</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Shares</w:t>
            </w:r>
          </w:p>
        </w:tc>
        <w:tc>
          <w:tcPr>
            <w:tcW w:w="4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24"/>
        </w:trPr>
        <w:tc>
          <w:tcPr>
            <w:tcW w:w="7120" w:type="dxa"/>
            <w:vAlign w:val="bottom"/>
            <w:gridSpan w:val="3"/>
            <w:vMerge w:val="continue"/>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Owned</w:t>
            </w:r>
          </w:p>
        </w:tc>
        <w:tc>
          <w:tcPr>
            <w:tcW w:w="4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88,971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236,088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4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2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1,055,555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590 Madison Avenue, 15th Floor, New York, New York 10022.</w:t>
      </w:r>
    </w:p>
    <w:p>
      <w:pPr>
        <w:ind w:left="420" w:hanging="412"/>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Mr. Bernstein is the President of JAM Investments, LLC and may therefore be deemed to own beneficially the 68,236 shares of PennantPark Investment Corporation held by JAM Investments, LLC.</w:t>
      </w:r>
    </w:p>
    <w:p>
      <w:pPr>
        <w:spacing w:after="0" w:line="10" w:lineRule="exact"/>
        <w:rPr>
          <w:rFonts w:ascii="Arial" w:cs="Arial" w:eastAsia="Arial" w:hAnsi="Arial"/>
          <w:sz w:val="12"/>
          <w:szCs w:val="12"/>
          <w:color w:val="auto"/>
        </w:rPr>
      </w:pPr>
    </w:p>
    <w:p>
      <w:pPr>
        <w:ind w:left="420" w:right="460" w:hanging="412"/>
        <w:spacing w:after="0" w:line="221"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Penn is the Managing Member of the Investment Adviser and may therefore be deemed to own beneficially the 353,923 shares of PennantPark Investment Corporation held by the Investment Adviser.</w:t>
      </w:r>
    </w:p>
    <w:p>
      <w:pPr>
        <w:ind w:left="420" w:hanging="412"/>
        <w:spacing w:after="0" w:line="221"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November 20, 2014.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Investment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Floating Rate</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 Ltd.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$500,001 -$1,000,000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$ 50,001 -$100,000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w w:val="93"/>
              </w:rPr>
              <w:t>$500,001 - $1,000,000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39" w:lineRule="exact"/>
        <w:rPr>
          <w:sz w:val="20"/>
          <w:szCs w:val="20"/>
          <w:color w:val="auto"/>
        </w:rPr>
      </w:pPr>
    </w:p>
    <w:p>
      <w:pPr>
        <w:ind w:left="660" w:hanging="31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86" w:lineRule="exact"/>
        <w:rPr>
          <w:rFonts w:ascii="Arial" w:cs="Arial" w:eastAsia="Arial" w:hAnsi="Arial"/>
          <w:sz w:val="16"/>
          <w:szCs w:val="16"/>
          <w:color w:val="auto"/>
        </w:rPr>
      </w:pPr>
    </w:p>
    <w:p>
      <w:pPr>
        <w:ind w:left="660" w:right="780" w:hanging="314"/>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63" w:lineRule="exact"/>
        <w:rPr>
          <w:rFonts w:ascii="Arial" w:cs="Arial" w:eastAsia="Arial" w:hAnsi="Arial"/>
          <w:sz w:val="18"/>
          <w:szCs w:val="18"/>
          <w:color w:val="auto"/>
        </w:rPr>
      </w:pPr>
    </w:p>
    <w:p>
      <w:pPr>
        <w:ind w:left="660" w:hanging="31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90"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6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2.00% of our “average adjusted gross assets” which equal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0"/>
          <w:szCs w:val="10"/>
          <w:color w:val="auto"/>
        </w:rPr>
        <w:t>th</w:t>
      </w:r>
      <w:r>
        <w:rPr>
          <w:rFonts w:ascii="Arial" w:cs="Arial" w:eastAsia="Arial" w:hAnsi="Arial"/>
          <w:sz w:val="15"/>
          <w:szCs w:val="15"/>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2014, 2013 and 2012, the Investment Adviser earned base management fees of $24.3 million, $21.3 million and $17.5 million, respectively, from us.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right="3920"/>
        <w:spacing w:after="0" w:line="261" w:lineRule="auto"/>
        <w:rPr>
          <w:sz w:val="20"/>
          <w:szCs w:val="20"/>
          <w:color w:val="auto"/>
        </w:rPr>
      </w:pPr>
      <w:r>
        <w:rPr>
          <w:rFonts w:ascii="Arial" w:cs="Arial" w:eastAsia="Arial" w:hAnsi="Arial"/>
          <w:sz w:val="18"/>
          <w:szCs w:val="18"/>
          <w:color w:val="auto"/>
        </w:rPr>
        <w:t>U.S. Treasury bills and temporary draws on credit facilities as of December 31, 20XX = $10 million Adjusted gross assets as of December 31, 20XX = $150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8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the Pre-Incentive Fee Net Investment Income thereafter is allocated to our Investment Adviser. These calculations are prorated for any share issuances or repurchases during the relevant quarter, if applicable. For the fiscal years ended September 30, 2014, 2013 and 2012, the Investment Adviser earned $17.8 million, $16.8 million and $14.2 million, respectively, in incentive fees on net investment income from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120015</wp:posOffset>
            </wp:positionV>
            <wp:extent cx="2573020" cy="4718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30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did not earn an incentive fee on capital gains, as calculated under the Investment Management Agreement (as described above).</w:t>
      </w:r>
    </w:p>
    <w:p>
      <w:pPr>
        <w:spacing w:after="0" w:line="116" w:lineRule="exact"/>
        <w:rPr>
          <w:sz w:val="20"/>
          <w:szCs w:val="20"/>
          <w:color w:val="auto"/>
        </w:rPr>
      </w:pPr>
    </w:p>
    <w:p>
      <w:pPr>
        <w:ind w:right="360" w:firstLine="571"/>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2014, 2013 and 2012, our unrealized and realized capital gains did not exceed our cumulative realized and unrealized losses and therefore resulted in no accrual for capital gains incentive fees under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800"/>
        <w:spacing w:after="0" w:line="331"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324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36" w:lineRule="exact"/>
        <w:rPr>
          <w:sz w:val="20"/>
          <w:szCs w:val="20"/>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2.00% - 1.75%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x 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1040"/>
          </w:cols>
          <w:pgMar w:left="240" w:top="459" w:right="61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p>
    <w:p>
      <w:pPr>
        <w:spacing w:after="0" w:line="36"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100% x “catch-up” + (20% x (Pre-Incentive Fee Net Investment Income - 2.1875%))</w:t>
      </w:r>
    </w:p>
    <w:p>
      <w:pPr>
        <w:spacing w:after="0" w:line="72" w:lineRule="exact"/>
        <w:rPr>
          <w:rFonts w:ascii="Arial" w:cs="Arial" w:eastAsia="Arial" w:hAnsi="Arial"/>
          <w:sz w:val="16"/>
          <w:szCs w:val="16"/>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2.1875% - 1.75%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0.46%</w:t>
      </w:r>
    </w:p>
    <w:p>
      <w:pPr>
        <w:spacing w:after="0" w:line="200" w:lineRule="exact"/>
        <w:rPr>
          <w:sz w:val="20"/>
          <w:szCs w:val="20"/>
          <w:color w:val="auto"/>
        </w:rPr>
      </w:pPr>
    </w:p>
    <w:p>
      <w:pPr>
        <w:sectPr>
          <w:pgSz w:w="11900" w:h="16838" w:orient="portrait"/>
          <w:cols w:equalWidth="0" w:num="2">
            <w:col w:w="2009" w:space="720"/>
            <w:col w:w="8311"/>
          </w:cols>
          <w:pgMar w:left="240" w:top="459" w:right="619" w:bottom="1440" w:gutter="0" w:footer="0" w:header="0"/>
          <w:type w:val="continuous"/>
        </w:sectPr>
      </w:pPr>
    </w:p>
    <w:p>
      <w:pPr>
        <w:spacing w:after="0" w:line="171" w:lineRule="exact"/>
        <w:rPr>
          <w:sz w:val="20"/>
          <w:szCs w:val="20"/>
          <w:color w:val="auto"/>
        </w:rPr>
      </w:pPr>
    </w:p>
    <w:p>
      <w:pPr>
        <w:ind w:left="380" w:hanging="367"/>
        <w:spacing w:after="0"/>
        <w:tabs>
          <w:tab w:leader="none" w:pos="3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net assets.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firstLine="571"/>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040"/>
          </w:cols>
          <w:pgMar w:left="240" w:top="459" w:right="619" w:bottom="1440" w:gutter="0" w:footer="0" w:header="0"/>
          <w:type w:val="continuous"/>
        </w:sectPr>
      </w:pPr>
    </w:p>
    <w:p>
      <w:pPr>
        <w:spacing w:after="0" w:line="25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3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36" w:hanging="136"/>
        <w:spacing w:after="0"/>
        <w:tabs>
          <w:tab w:leader="none" w:pos="1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 x (0)</w:t>
      </w:r>
    </w:p>
    <w:p>
      <w:pPr>
        <w:spacing w:after="0" w:line="36" w:lineRule="exact"/>
        <w:rPr>
          <w:rFonts w:ascii="Arial" w:cs="Arial" w:eastAsia="Arial" w:hAnsi="Arial"/>
          <w:sz w:val="18"/>
          <w:szCs w:val="18"/>
          <w:color w:val="auto"/>
        </w:rPr>
      </w:pPr>
    </w:p>
    <w:p>
      <w:pPr>
        <w:ind w:left="136" w:hanging="136"/>
        <w:spacing w:after="0"/>
        <w:tabs>
          <w:tab w:leader="none" w:pos="1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0</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incentive fee</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6"/>
        </w:numPr>
        <w:rPr>
          <w:rFonts w:ascii="Arial" w:cs="Arial" w:eastAsia="Arial" w:hAnsi="Arial"/>
          <w:sz w:val="16"/>
          <w:szCs w:val="16"/>
          <w:color w:val="auto"/>
        </w:rPr>
      </w:pPr>
      <w:r>
        <w:rPr>
          <w:rFonts w:ascii="Arial" w:cs="Arial" w:eastAsia="Arial" w:hAnsi="Arial"/>
          <w:sz w:val="16"/>
          <w:szCs w:val="16"/>
          <w:color w:val="auto"/>
        </w:rPr>
        <w:t>20% x (6% -1%)</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 x 5%</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1%</w:t>
      </w:r>
    </w:p>
    <w:p>
      <w:pPr>
        <w:spacing w:after="0" w:line="171" w:lineRule="exact"/>
        <w:rPr>
          <w:sz w:val="20"/>
          <w:szCs w:val="20"/>
          <w:color w:val="auto"/>
        </w:rPr>
      </w:pPr>
    </w:p>
    <w:p>
      <w:pPr>
        <w:sectPr>
          <w:pgSz w:w="11900" w:h="16838" w:orient="portrait"/>
          <w:cols w:equalWidth="0" w:num="2">
            <w:col w:w="2320" w:space="544"/>
            <w:col w:w="8176"/>
          </w:cols>
          <w:pgMar w:left="240" w:top="459" w:right="619" w:bottom="1440" w:gutter="0" w:footer="0" w:header="0"/>
          <w:type w:val="continuous"/>
        </w:sectPr>
      </w:pPr>
    </w:p>
    <w:p>
      <w:pPr>
        <w:jc w:val="center"/>
        <w:ind w:right="-37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040"/>
          </w:cols>
          <w:pgMar w:left="240" w:top="459" w:right="61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2014. Unless terminated earlier as described below, the Investment Management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4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96"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and our allocable portion of the cost of compensation and related expenses of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2014, 2013 and 2012, the Investment Adviser was reimbursed $3.0 million, $2.9 million and $3.6 million, respectively, from us, including expenses it incurred on behalf of the Administrator for the services described above.</w:t>
      </w:r>
    </w:p>
    <w:p>
      <w:pPr>
        <w:spacing w:after="0" w:line="47"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PennantPark Investment entered into an administration agreement with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duties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the allocable portion of the cost of compensation and related expenses of our Chief Financial Officer and his respective staff. For the fiscal years ended September 30, 2014, 2013 and 2012, PennantPark Investment was reimbursed $0.5 million, $0.4 million and $0.7 million, respectively, from SPH, including expenses it incurred on behalf of the Administrator for the services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2014. Unless terminated earlier as described below, our Administration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w:t>
      </w:r>
    </w:p>
    <w:p>
      <w:pPr>
        <w:spacing w:after="0" w:line="2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80" w:hanging="346"/>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jc w:val="both"/>
        <w:ind w:left="800" w:right="280" w:hanging="346"/>
        <w:spacing w:after="0" w:line="306" w:lineRule="auto"/>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40" w:hanging="346"/>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17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660" w:hanging="314"/>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45"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net asset value per share if the following conditions are met:</w:t>
      </w:r>
    </w:p>
    <w:p>
      <w:pPr>
        <w:spacing w:after="0" w:line="90" w:lineRule="exact"/>
        <w:rPr>
          <w:sz w:val="20"/>
          <w:szCs w:val="20"/>
          <w:color w:val="auto"/>
        </w:rPr>
      </w:pPr>
    </w:p>
    <w:p>
      <w:pPr>
        <w:ind w:left="660" w:hanging="31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660" w:right="120" w:hanging="314"/>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4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NAV per share. However, we reserve the right to purchase shares in the open market in connection with our implementation of the plan. The number of new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In that case, you will be treated as receiving a distribution in the amount of the fair market value of our shares of common stock.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2014,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November 20, 2014 was $10.85 per share. As of September 30, 2014, we had 11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September 30,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75,092,911</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2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right="40"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2017, 2015, and 2016,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100" w:firstLine="571"/>
        <w:spacing w:after="0" w:line="305" w:lineRule="auto"/>
        <w:rPr>
          <w:sz w:val="20"/>
          <w:szCs w:val="20"/>
          <w:color w:val="auto"/>
        </w:rPr>
      </w:pPr>
      <w:r>
        <w:rPr>
          <w:rFonts w:ascii="Arial" w:cs="Arial" w:eastAsia="Arial" w:hAnsi="Arial"/>
          <w:sz w:val="15"/>
          <w:szCs w:val="15"/>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40" w:firstLine="8"/>
        <w:spacing w:after="0" w:line="290"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59"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1"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660" w:right="40" w:hanging="314"/>
        <w:spacing w:after="0" w:line="33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660" w:right="84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right="76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660" w:right="320" w:hanging="314"/>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660" w:right="760" w:hanging="314"/>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660" w:right="180" w:hanging="314"/>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any other terms of such subscription rights, including terms, procedures and limitations relating to the exchange and exercise of such subscription rights.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9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As of September 30, 2014,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As of September 30, 2014 and 2013, we had $71.3 million in aggregate principal amount of 2025 Notes. Interest on the 2025 Notes accrues at a rate of 6.25% per year and is paid quarterly. The 2025 Notes mature on February 1, 2025.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September 30, 2014 was $25.20 per $25 of par.</w:t>
      </w:r>
    </w:p>
    <w:p>
      <w:pPr>
        <w:spacing w:after="0" w:line="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62"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3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660" w:right="160" w:hanging="314"/>
        <w:spacing w:after="0" w:line="26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660" w:hanging="314"/>
        <w:spacing w:after="0" w:line="26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314"/>
        <w:spacing w:after="0" w:line="299"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20"/>
          </w:cols>
          <w:pgMar w:left="24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8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5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660" w:right="10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660" w:right="100" w:hanging="314"/>
        <w:spacing w:after="0" w:line="347" w:lineRule="auto"/>
        <w:tabs>
          <w:tab w:leader="none" w:pos="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ind w:left="660" w:right="34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5"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660" w:right="240" w:hanging="314"/>
        <w:spacing w:after="0" w:line="325"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660" w:right="20" w:hanging="314"/>
        <w:spacing w:after="0" w:line="306"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660" w:right="40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660" w:right="400" w:hanging="314"/>
        <w:spacing w:after="0" w:line="325"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in the case of the 2019 Notes, certain defaults by any of our significant subsidiaries.</w:t>
      </w:r>
    </w:p>
    <w:p>
      <w:pPr>
        <w:spacing w:after="0" w:line="132"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If an Event of Default has occurred and has not been cured or waived (other than, in the case of the 2019 Notes, an Event of Default expected in the next to last bullet point above),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37"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660" w:right="180" w:hanging="314"/>
        <w:spacing w:after="0" w:line="325"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40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660" w:hanging="314"/>
        <w:spacing w:after="0"/>
        <w:tabs>
          <w:tab w:leader="none" w:pos="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where we merge out of existence or sell our assets, the resulting entity must agree to be legally responsible for our obligations under the debt securities;</w:t>
      </w:r>
    </w:p>
    <w:p>
      <w:pPr>
        <w:spacing w:after="0" w:line="111" w:lineRule="exact"/>
        <w:rPr>
          <w:rFonts w:ascii="Arial" w:cs="Arial" w:eastAsia="Arial" w:hAnsi="Arial"/>
          <w:sz w:val="15"/>
          <w:szCs w:val="15"/>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alternatively, except in the case of the 2019 Notes, we must be the surviving company;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660" w:right="220" w:hanging="314"/>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660" w:hanging="314"/>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660" w:right="560" w:hanging="314"/>
        <w:spacing w:after="0" w:line="33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660" w:right="300" w:hanging="314"/>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jc w:val="both"/>
        <w:ind w:left="660" w:right="40" w:hanging="314"/>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jc w:val="both"/>
        <w:ind w:left="660" w:right="80" w:hanging="314"/>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660" w:right="40" w:hanging="314"/>
        <w:spacing w:after="0" w:line="294"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1" w:lineRule="exact"/>
        <w:rPr>
          <w:rFonts w:ascii="Arial" w:cs="Arial" w:eastAsia="Arial" w:hAnsi="Arial"/>
          <w:sz w:val="16"/>
          <w:szCs w:val="16"/>
          <w:color w:val="auto"/>
        </w:rPr>
      </w:pPr>
    </w:p>
    <w:p>
      <w:pPr>
        <w:ind w:left="660" w:right="200" w:hanging="314"/>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8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660" w:hanging="314"/>
        <w:spacing w:after="0" w:line="256"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660" w:hanging="31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660" w:right="640" w:hanging="314"/>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52" w:lineRule="exact"/>
        <w:rPr>
          <w:sz w:val="20"/>
          <w:szCs w:val="20"/>
          <w:color w:val="auto"/>
        </w:rPr>
      </w:pPr>
    </w:p>
    <w:p>
      <w:pPr>
        <w:ind w:right="40" w:firstLine="571"/>
        <w:spacing w:after="0" w:line="284"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w:t>
      </w:r>
    </w:p>
    <w:p>
      <w:pPr>
        <w:spacing w:after="0" w:line="1" w:lineRule="exact"/>
        <w:rPr>
          <w:sz w:val="20"/>
          <w:szCs w:val="20"/>
          <w:color w:val="auto"/>
        </w:rPr>
      </w:pPr>
    </w:p>
    <w:p>
      <w:pPr>
        <w:jc w:val="both"/>
        <w:ind w:right="140" w:firstLine="8"/>
        <w:spacing w:after="0" w:line="295" w:lineRule="auto"/>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Section 63 requirements are met, the price per share of common stock included in a unit may be below the Company’s then current NAV per share. See “Sales of Common Stock Below Net Asset Value” for more information.</w:t>
      </w:r>
    </w:p>
    <w:p>
      <w:pPr>
        <w:spacing w:after="0" w:line="115"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85" w:lineRule="exact"/>
        <w:rPr>
          <w:sz w:val="20"/>
          <w:szCs w:val="20"/>
          <w:color w:val="auto"/>
        </w:rPr>
      </w:pPr>
    </w:p>
    <w:p>
      <w:pPr>
        <w:ind w:right="40" w:firstLine="571"/>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81" w:lineRule="exact"/>
        <w:rPr>
          <w:sz w:val="20"/>
          <w:szCs w:val="20"/>
          <w:color w:val="auto"/>
        </w:rPr>
      </w:pPr>
    </w:p>
    <w:p>
      <w:pPr>
        <w:ind w:left="800" w:right="40" w:hanging="346"/>
        <w:spacing w:after="0" w:line="256"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85"/>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660" w:right="64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660" w:right="56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660" w:right="40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jc w:val="both"/>
        <w:ind w:left="660" w:right="20" w:hanging="314"/>
        <w:spacing w:after="0" w:line="306"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 Regulations</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77" w:lineRule="exact"/>
        <w:rPr>
          <w:sz w:val="20"/>
          <w:szCs w:val="20"/>
          <w:color w:val="auto"/>
        </w:rPr>
      </w:pPr>
    </w:p>
    <w:p>
      <w:pPr>
        <w:ind w:left="660" w:right="200" w:hanging="314"/>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7"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660" w:right="260" w:hanging="314"/>
        <w:spacing w:after="0" w:line="347" w:lineRule="auto"/>
        <w:tabs>
          <w:tab w:leader="none" w:pos="6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ordinary income to provide us with additional liquidity.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660" w:hanging="314"/>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jc w:val="both"/>
        <w:ind w:left="660" w:right="200" w:hanging="314"/>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In addition, upon satisfying these requirements, we will be subject to U.S. federal income tax at the regular corporate rates on any income or capital gain not distributed (or deemed distributed) to our stockholders.</w:t>
      </w:r>
    </w:p>
    <w:p>
      <w:pPr>
        <w:spacing w:after="0" w:line="1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taxable year a portion of the OID that accrues over the life of the obligation,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We will address these and other issues to the extent necessary in order continue to qualify as a RIC.</w:t>
      </w:r>
    </w:p>
    <w:p>
      <w:pPr>
        <w:spacing w:after="0" w:line="116"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5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taxable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to the extent of our current and accumulated earnings and profits. Subject to certain limitations under the Code, distributions paid by us to corporate</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00"/>
          </w:cols>
          <w:pgMar w:left="240" w:top="459" w:right="2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subject to tax as a RIC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taxable years.</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34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each of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20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20" w:firstLine="8"/>
        <w:spacing w:after="0" w:line="253" w:lineRule="auto"/>
        <w:tabs>
          <w:tab w:leader="none" w:pos="249"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20"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In addition, under prior law applicable to taxable years of RICs beginning before January 1, 2014 with respect to certain distributions made by RICs to Non-U.S. Stockholders, no withholding was required and the distributions generally were not subject to U.S. federal income tax if (i) the distributions were properly designated in a notice timely delivered to our stockholders as “interest-related dividends” or “short-term capital gain dividends,” (ii) the distributions were derived from sources specified in the Code for such dividends and (iii) certain other requirements were satisfied. No assurance can be given as to whether legislation will be enacted to extend the application of this provision to taxable years of RICs beginning on or after January 1, 2014.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offering price of the securities and the proceeds to us and any discounts, commissions or concessions allowed or reallowed or paid to dealers;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2019 Notes and 2025 Notes.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current independent registered public accounting firm, McGladrey LLP, is located at 1185 Avenue of the Americas, New York, NY 10036.</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60" w:type="dxa"/>
            <w:vAlign w:val="bottom"/>
            <w:gridSpan w:val="8"/>
          </w:tcPr>
          <w:p>
            <w:pPr>
              <w:jc w:val="center"/>
              <w:ind w:right="1320"/>
              <w:spacing w:after="0"/>
              <w:rPr>
                <w:sz w:val="20"/>
                <w:szCs w:val="20"/>
                <w:color w:val="auto"/>
              </w:rPr>
            </w:pPr>
            <w:r>
              <w:rPr>
                <w:rFonts w:ascii="Arial" w:cs="Arial" w:eastAsia="Arial" w:hAnsi="Arial"/>
                <w:sz w:val="14"/>
                <w:szCs w:val="14"/>
                <w:b w:val="1"/>
                <w:bCs w:val="1"/>
                <w:color w:val="auto"/>
              </w:rPr>
              <w:t>INDEX TO CONSOLIDATED FINANCIAL STATEMENTS</w:t>
            </w:r>
          </w:p>
        </w:tc>
        <w:tc>
          <w:tcPr>
            <w:tcW w:w="2040" w:type="dxa"/>
            <w:vAlign w:val="bottom"/>
          </w:tcPr>
          <w:p>
            <w:pPr>
              <w:spacing w:after="0"/>
              <w:rPr>
                <w:sz w:val="16"/>
                <w:szCs w:val="16"/>
                <w:color w:val="auto"/>
              </w:rPr>
            </w:pPr>
          </w:p>
        </w:tc>
      </w:tr>
      <w:tr>
        <w:trPr>
          <w:trHeight w:val="365"/>
        </w:trPr>
        <w:tc>
          <w:tcPr>
            <w:tcW w:w="9300" w:type="dxa"/>
            <w:vAlign w:val="bottom"/>
            <w:gridSpan w:val="10"/>
          </w:tcPr>
          <w:p>
            <w:pPr>
              <w:spacing w:after="0"/>
              <w:rPr>
                <w:sz w:val="20"/>
                <w:szCs w:val="20"/>
                <w:color w:val="auto"/>
              </w:rPr>
            </w:pPr>
            <w:r>
              <w:rPr>
                <w:rFonts w:ascii="Arial" w:cs="Arial" w:eastAsia="Arial" w:hAnsi="Arial"/>
                <w:sz w:val="14"/>
                <w:szCs w:val="14"/>
                <w:b w:val="1"/>
                <w:bCs w:val="1"/>
                <w:color w:val="auto"/>
              </w:rPr>
              <w:t>PennantPark Investment Corporation</w:t>
            </w:r>
          </w:p>
        </w:tc>
        <w:tc>
          <w:tcPr>
            <w:tcW w:w="2040" w:type="dxa"/>
            <w:vAlign w:val="bottom"/>
          </w:tcPr>
          <w:p>
            <w:pPr>
              <w:spacing w:after="0"/>
              <w:rPr>
                <w:sz w:val="24"/>
                <w:szCs w:val="24"/>
                <w:color w:val="auto"/>
              </w:rPr>
            </w:pPr>
          </w:p>
        </w:tc>
      </w:tr>
      <w:tr>
        <w:trPr>
          <w:trHeight w:val="297"/>
        </w:trPr>
        <w:tc>
          <w:tcPr>
            <w:tcW w:w="9300" w:type="dxa"/>
            <w:vAlign w:val="bottom"/>
            <w:gridSpan w:val="10"/>
          </w:tcPr>
          <w:p>
            <w:pPr>
              <w:spacing w:after="0"/>
              <w:rPr>
                <w:sz w:val="20"/>
                <w:szCs w:val="20"/>
                <w:color w:val="auto"/>
              </w:rPr>
            </w:pPr>
            <w:r>
              <w:rPr>
                <w:rFonts w:ascii="Arial" w:cs="Arial" w:eastAsia="Arial" w:hAnsi="Arial"/>
                <w:sz w:val="14"/>
                <w:szCs w:val="14"/>
                <w:b w:val="1"/>
                <w:bCs w:val="1"/>
                <w:color w:val="auto"/>
              </w:rPr>
              <w:t>Annual Financial Statments</w:t>
            </w:r>
          </w:p>
        </w:tc>
        <w:tc>
          <w:tcPr>
            <w:tcW w:w="2040" w:type="dxa"/>
            <w:vAlign w:val="bottom"/>
          </w:tcPr>
          <w:p>
            <w:pPr>
              <w:spacing w:after="0"/>
              <w:rPr>
                <w:sz w:val="24"/>
                <w:szCs w:val="24"/>
                <w:color w:val="auto"/>
              </w:rPr>
            </w:pPr>
          </w:p>
        </w:tc>
      </w:tr>
      <w:tr>
        <w:trPr>
          <w:trHeight w:val="259"/>
        </w:trPr>
        <w:tc>
          <w:tcPr>
            <w:tcW w:w="2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3900" w:type="dxa"/>
            <w:vAlign w:val="bottom"/>
            <w:tcBorders>
              <w:bottom w:val="single" w:sz="8" w:color="0000EE"/>
            </w:tcBorders>
            <w:gridSpan w:val="3"/>
          </w:tcPr>
          <w:p>
            <w:pPr>
              <w:spacing w:after="0" w:line="158" w:lineRule="exact"/>
              <w:rPr>
                <w:rFonts w:ascii="Arial" w:cs="Arial" w:eastAsia="Arial" w:hAnsi="Arial"/>
                <w:sz w:val="14"/>
                <w:szCs w:val="14"/>
                <w:color w:val="0000EE"/>
                <w:w w:val="94"/>
              </w:rPr>
            </w:pPr>
            <w:hyperlink w:anchor="page127">
              <w:r>
                <w:rPr>
                  <w:rFonts w:ascii="Arial" w:cs="Arial" w:eastAsia="Arial" w:hAnsi="Arial"/>
                  <w:sz w:val="14"/>
                  <w:szCs w:val="14"/>
                  <w:color w:val="0000EE"/>
                  <w:w w:val="94"/>
                </w:rPr>
                <w:t>Management’s Report on Internal Control over Financial Reporting</w:t>
              </w:r>
            </w:hyperlink>
          </w:p>
        </w:tc>
        <w:tc>
          <w:tcPr>
            <w:tcW w:w="5400" w:type="dxa"/>
            <w:vAlign w:val="bottom"/>
            <w:gridSpan w:val="7"/>
          </w:tcPr>
          <w:p>
            <w:pPr>
              <w:spacing w:after="0"/>
              <w:rPr>
                <w:sz w:val="13"/>
                <w:szCs w:val="13"/>
                <w:color w:val="auto"/>
              </w:rPr>
            </w:pPr>
          </w:p>
        </w:tc>
        <w:tc>
          <w:tcPr>
            <w:tcW w:w="20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F-2</w:t>
            </w:r>
          </w:p>
        </w:tc>
      </w:tr>
      <w:tr>
        <w:trPr>
          <w:trHeight w:val="304"/>
        </w:trPr>
        <w:tc>
          <w:tcPr>
            <w:tcW w:w="3440" w:type="dxa"/>
            <w:vAlign w:val="bottom"/>
            <w:tcBorders>
              <w:bottom w:val="single" w:sz="8" w:color="0000EE"/>
            </w:tcBorders>
            <w:gridSpan w:val="2"/>
          </w:tcPr>
          <w:p>
            <w:pPr>
              <w:spacing w:after="0"/>
              <w:rPr>
                <w:rFonts w:ascii="Arial" w:cs="Arial" w:eastAsia="Arial" w:hAnsi="Arial"/>
                <w:sz w:val="14"/>
                <w:szCs w:val="14"/>
                <w:color w:val="0000EE"/>
                <w:w w:val="93"/>
              </w:rPr>
            </w:pPr>
            <w:hyperlink w:anchor="page128">
              <w:r>
                <w:rPr>
                  <w:rFonts w:ascii="Arial" w:cs="Arial" w:eastAsia="Arial" w:hAnsi="Arial"/>
                  <w:sz w:val="14"/>
                  <w:szCs w:val="14"/>
                  <w:color w:val="0000EE"/>
                  <w:w w:val="93"/>
                </w:rPr>
                <w:t>Report of Independent Registered Public Accounting Firms</w:t>
              </w:r>
            </w:hyperlink>
          </w:p>
        </w:tc>
        <w:tc>
          <w:tcPr>
            <w:tcW w:w="586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w:t>
            </w:r>
          </w:p>
        </w:tc>
      </w:tr>
      <w:tr>
        <w:trPr>
          <w:trHeight w:val="304"/>
        </w:trPr>
        <w:tc>
          <w:tcPr>
            <w:tcW w:w="6060" w:type="dxa"/>
            <w:vAlign w:val="bottom"/>
            <w:tcBorders>
              <w:bottom w:val="single" w:sz="8" w:color="0000EE"/>
            </w:tcBorders>
            <w:gridSpan w:val="8"/>
          </w:tcPr>
          <w:p>
            <w:pPr>
              <w:spacing w:after="0"/>
              <w:rPr>
                <w:rFonts w:ascii="Arial" w:cs="Arial" w:eastAsia="Arial" w:hAnsi="Arial"/>
                <w:sz w:val="14"/>
                <w:szCs w:val="14"/>
                <w:color w:val="0000EE"/>
                <w:w w:val="94"/>
              </w:rPr>
            </w:pPr>
            <w:hyperlink w:anchor="page130">
              <w:r>
                <w:rPr>
                  <w:rFonts w:ascii="Arial" w:cs="Arial" w:eastAsia="Arial" w:hAnsi="Arial"/>
                  <w:sz w:val="14"/>
                  <w:szCs w:val="14"/>
                  <w:color w:val="0000EE"/>
                  <w:w w:val="94"/>
                </w:rPr>
                <w:t>Report of Independent Registered Public Accounting Firm On Internal Control Over Financial Reporting</w:t>
              </w:r>
            </w:hyperlink>
          </w:p>
        </w:tc>
        <w:tc>
          <w:tcPr>
            <w:tcW w:w="324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F-5</w:t>
            </w:r>
          </w:p>
        </w:tc>
      </w:tr>
      <w:tr>
        <w:trPr>
          <w:trHeight w:val="304"/>
        </w:trPr>
        <w:tc>
          <w:tcPr>
            <w:tcW w:w="4940" w:type="dxa"/>
            <w:vAlign w:val="bottom"/>
            <w:tcBorders>
              <w:bottom w:val="single" w:sz="8" w:color="0000EE"/>
            </w:tcBorders>
            <w:gridSpan w:val="5"/>
          </w:tcPr>
          <w:p>
            <w:pPr>
              <w:spacing w:after="0"/>
              <w:rPr>
                <w:rFonts w:ascii="Arial" w:cs="Arial" w:eastAsia="Arial" w:hAnsi="Arial"/>
                <w:sz w:val="14"/>
                <w:szCs w:val="14"/>
                <w:color w:val="0000EE"/>
                <w:w w:val="92"/>
              </w:rPr>
            </w:pPr>
            <w:hyperlink w:anchor="page131">
              <w:r>
                <w:rPr>
                  <w:rFonts w:ascii="Arial" w:cs="Arial" w:eastAsia="Arial" w:hAnsi="Arial"/>
                  <w:sz w:val="14"/>
                  <w:szCs w:val="14"/>
                  <w:color w:val="0000EE"/>
                  <w:w w:val="92"/>
                </w:rPr>
                <w:t>Consolidated Statements of Assets and Liabilities as of September 30, 2014 and 2013</w:t>
              </w:r>
            </w:hyperlink>
          </w:p>
        </w:tc>
        <w:tc>
          <w:tcPr>
            <w:tcW w:w="4360" w:type="dxa"/>
            <w:vAlign w:val="bottom"/>
            <w:gridSpan w:val="5"/>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F-6</w:t>
            </w:r>
          </w:p>
        </w:tc>
      </w:tr>
      <w:tr>
        <w:trPr>
          <w:trHeight w:val="304"/>
        </w:trPr>
        <w:tc>
          <w:tcPr>
            <w:tcW w:w="5520" w:type="dxa"/>
            <w:vAlign w:val="bottom"/>
            <w:tcBorders>
              <w:bottom w:val="single" w:sz="8" w:color="0000EE"/>
            </w:tcBorders>
            <w:gridSpan w:val="6"/>
          </w:tcPr>
          <w:p>
            <w:pPr>
              <w:spacing w:after="0"/>
              <w:rPr>
                <w:rFonts w:ascii="Arial" w:cs="Arial" w:eastAsia="Arial" w:hAnsi="Arial"/>
                <w:sz w:val="14"/>
                <w:szCs w:val="14"/>
                <w:color w:val="0000EE"/>
                <w:w w:val="91"/>
              </w:rPr>
            </w:pPr>
            <w:hyperlink w:anchor="page132">
              <w:r>
                <w:rPr>
                  <w:rFonts w:ascii="Arial" w:cs="Arial" w:eastAsia="Arial" w:hAnsi="Arial"/>
                  <w:sz w:val="14"/>
                  <w:szCs w:val="14"/>
                  <w:color w:val="0000EE"/>
                  <w:w w:val="91"/>
                </w:rPr>
                <w:t>Consolidated Statements of Operations for the years ended September 30, 2014, 2013 and 2012</w:t>
              </w:r>
            </w:hyperlink>
          </w:p>
        </w:tc>
        <w:tc>
          <w:tcPr>
            <w:tcW w:w="3780" w:type="dxa"/>
            <w:vAlign w:val="bottom"/>
            <w:gridSpan w:val="4"/>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F-7</w:t>
            </w:r>
          </w:p>
        </w:tc>
      </w:tr>
      <w:tr>
        <w:trPr>
          <w:trHeight w:val="304"/>
        </w:trPr>
        <w:tc>
          <w:tcPr>
            <w:tcW w:w="6180" w:type="dxa"/>
            <w:vAlign w:val="bottom"/>
            <w:tcBorders>
              <w:bottom w:val="single" w:sz="8" w:color="0000EE"/>
            </w:tcBorders>
            <w:gridSpan w:val="9"/>
          </w:tcPr>
          <w:p>
            <w:pPr>
              <w:spacing w:after="0"/>
              <w:rPr>
                <w:rFonts w:ascii="Arial" w:cs="Arial" w:eastAsia="Arial" w:hAnsi="Arial"/>
                <w:sz w:val="14"/>
                <w:szCs w:val="14"/>
                <w:color w:val="0000EE"/>
                <w:w w:val="91"/>
              </w:rPr>
            </w:pPr>
            <w:hyperlink w:anchor="page133">
              <w:r>
                <w:rPr>
                  <w:rFonts w:ascii="Arial" w:cs="Arial" w:eastAsia="Arial" w:hAnsi="Arial"/>
                  <w:sz w:val="14"/>
                  <w:szCs w:val="14"/>
                  <w:color w:val="0000EE"/>
                  <w:w w:val="91"/>
                </w:rPr>
                <w:t>Consolidated Statements of Changes in Net Assets for the years ended September 30, 2014, 2013 and 2012</w:t>
              </w:r>
            </w:hyperlink>
          </w:p>
        </w:tc>
        <w:tc>
          <w:tcPr>
            <w:tcW w:w="3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F-8</w:t>
            </w:r>
          </w:p>
        </w:tc>
      </w:tr>
      <w:tr>
        <w:trPr>
          <w:trHeight w:val="304"/>
        </w:trPr>
        <w:tc>
          <w:tcPr>
            <w:tcW w:w="556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134">
              <w:r>
                <w:rPr>
                  <w:rFonts w:ascii="Arial" w:cs="Arial" w:eastAsia="Arial" w:hAnsi="Arial"/>
                  <w:sz w:val="14"/>
                  <w:szCs w:val="14"/>
                  <w:color w:val="0000EE"/>
                  <w:w w:val="91"/>
                </w:rPr>
                <w:t>Consolidated Statements of Cash Flows for the years ended September 30, 2014, 2013 and 2012</w:t>
              </w:r>
            </w:hyperlink>
          </w:p>
        </w:tc>
        <w:tc>
          <w:tcPr>
            <w:tcW w:w="3740" w:type="dxa"/>
            <w:vAlign w:val="bottom"/>
            <w:gridSpan w:val="3"/>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F-9</w:t>
            </w:r>
          </w:p>
        </w:tc>
      </w:tr>
      <w:tr>
        <w:trPr>
          <w:trHeight w:val="304"/>
        </w:trPr>
        <w:tc>
          <w:tcPr>
            <w:tcW w:w="9300" w:type="dxa"/>
            <w:vAlign w:val="bottom"/>
            <w:gridSpan w:val="10"/>
          </w:tcPr>
          <w:p>
            <w:pPr>
              <w:spacing w:after="0"/>
              <w:rPr>
                <w:rFonts w:ascii="Arial" w:cs="Arial" w:eastAsia="Arial" w:hAnsi="Arial"/>
                <w:sz w:val="14"/>
                <w:szCs w:val="14"/>
                <w:color w:val="0000EE"/>
              </w:rPr>
            </w:pPr>
            <w:hyperlink w:anchor="page135">
              <w:r>
                <w:rPr>
                  <w:rFonts w:ascii="Arial" w:cs="Arial" w:eastAsia="Arial" w:hAnsi="Arial"/>
                  <w:sz w:val="14"/>
                  <w:szCs w:val="14"/>
                  <w:color w:val="0000EE"/>
                </w:rPr>
                <w:t>Consolidated Schedules of Investments as of September 30, 2014 and 2013</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F-10</w:t>
            </w:r>
          </w:p>
        </w:tc>
      </w:tr>
      <w:tr>
        <w:trPr>
          <w:trHeight w:val="304"/>
        </w:trPr>
        <w:tc>
          <w:tcPr>
            <w:tcW w:w="4340" w:type="dxa"/>
            <w:vAlign w:val="bottom"/>
            <w:tcBorders>
              <w:top w:val="single" w:sz="8" w:color="0000EE"/>
            </w:tcBorders>
            <w:gridSpan w:val="4"/>
          </w:tcPr>
          <w:p>
            <w:pPr>
              <w:spacing w:after="0"/>
              <w:rPr>
                <w:rFonts w:ascii="Arial" w:cs="Arial" w:eastAsia="Arial" w:hAnsi="Arial"/>
                <w:sz w:val="14"/>
                <w:szCs w:val="14"/>
                <w:color w:val="0000EE"/>
              </w:rPr>
            </w:pPr>
            <w:hyperlink w:anchor="page144">
              <w:r>
                <w:rPr>
                  <w:rFonts w:ascii="Arial" w:cs="Arial" w:eastAsia="Arial" w:hAnsi="Arial"/>
                  <w:sz w:val="14"/>
                  <w:szCs w:val="14"/>
                  <w:color w:val="0000EE"/>
                </w:rPr>
                <w:t>Notes to the Consolidated Financial Statements</w:t>
              </w:r>
            </w:hyperlink>
          </w:p>
        </w:tc>
        <w:tc>
          <w:tcPr>
            <w:tcW w:w="4960" w:type="dxa"/>
            <w:vAlign w:val="bottom"/>
            <w:gridSpan w:val="6"/>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F-19</w:t>
            </w:r>
          </w:p>
        </w:tc>
      </w:tr>
      <w:tr>
        <w:trPr>
          <w:trHeight w:val="306"/>
        </w:trPr>
        <w:tc>
          <w:tcPr>
            <w:tcW w:w="27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gridSpan w:val="3"/>
          </w:tcPr>
          <w:p>
            <w:pPr>
              <w:jc w:val="center"/>
              <w:ind w:right="3420"/>
              <w:spacing w:after="0"/>
              <w:rPr>
                <w:sz w:val="20"/>
                <w:szCs w:val="20"/>
                <w:color w:val="auto"/>
              </w:rPr>
            </w:pPr>
            <w:r>
              <w:rPr>
                <w:rFonts w:ascii="Arial" w:cs="Arial" w:eastAsia="Arial" w:hAnsi="Arial"/>
                <w:sz w:val="14"/>
                <w:szCs w:val="14"/>
                <w:color w:val="auto"/>
                <w:w w:val="95"/>
              </w:rPr>
              <w:t>F-1</w:t>
            </w:r>
          </w:p>
        </w:tc>
        <w:tc>
          <w:tcPr>
            <w:tcW w:w="20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2014. Our internal control system is a process designed to provide reasonable assurance to our management and board of directors regarding the preparation and fair presentation of published financial statements.</w:t>
      </w:r>
    </w:p>
    <w:p>
      <w:pPr>
        <w:spacing w:after="0" w:line="115"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91"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2014. In making this assessment, we used the criteria set forth by the Committee of Sponsoring Organizations of the Treadway Commission in 1992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2014, our internal control over financial reporting is effective based on those criteria.</w:t>
      </w:r>
    </w:p>
    <w:p>
      <w:pPr>
        <w:spacing w:after="0" w:line="115" w:lineRule="exact"/>
        <w:rPr>
          <w:sz w:val="20"/>
          <w:szCs w:val="20"/>
          <w:color w:val="auto"/>
        </w:rPr>
      </w:pPr>
    </w:p>
    <w:p>
      <w:pPr>
        <w:ind w:right="860" w:firstLine="685"/>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2014. This report appears on page F-5.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73" w:lineRule="exact"/>
        <w:rPr>
          <w:sz w:val="20"/>
          <w:szCs w:val="20"/>
          <w:color w:val="auto"/>
        </w:rPr>
      </w:pPr>
    </w:p>
    <w:p>
      <w:pPr>
        <w:ind w:right="120" w:firstLine="685"/>
        <w:spacing w:after="0" w:line="234" w:lineRule="auto"/>
        <w:rPr>
          <w:sz w:val="20"/>
          <w:szCs w:val="20"/>
          <w:color w:val="auto"/>
        </w:rPr>
      </w:pPr>
      <w:r>
        <w:rPr>
          <w:rFonts w:ascii="Arial" w:cs="Arial" w:eastAsia="Arial" w:hAnsi="Arial"/>
          <w:sz w:val="14"/>
          <w:szCs w:val="14"/>
          <w:color w:val="auto"/>
        </w:rPr>
        <w:t>We have audited the accompanying consolidated statement of assets and liabilities of PennantPark Investment Corporation and its Subsidiaries (the “Company”), including the consolidated schedule of investments as of September 30, 2014, and the related consolidated statements of operations, changes in net assets, and cash flows for the year ended September 30, 2014. These consolidated financial statements are the responsibility of the Company’s management. Our responsibility is to express an opinion on these consolidated financial statements based on our audit.</w:t>
      </w:r>
    </w:p>
    <w:p>
      <w:pPr>
        <w:spacing w:after="0" w:line="115"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2014 by correspondence with the custodians.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3" w:lineRule="exact"/>
        <w:rPr>
          <w:sz w:val="20"/>
          <w:szCs w:val="20"/>
          <w:color w:val="auto"/>
        </w:rPr>
      </w:pPr>
    </w:p>
    <w:p>
      <w:pPr>
        <w:ind w:right="18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2014, and the results of their operations, changes in net assets and their cash flows for the year then ended in conformity with U.S. generally accepted accounting principles.</w:t>
      </w:r>
    </w:p>
    <w:p>
      <w:pPr>
        <w:spacing w:after="0" w:line="11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and our report dated November 12, 2014 expressed an unqualified opinion on the effectiveness of the Company’s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59"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(collectively referred to as the “Company”), including the consolidated schedule of investments as of September 30, 2013 and the related consolidated statements of operations, changes in net assets, and cash flows for the years ended September 30, 2013 and 2012. These consolidated financial statements are the responsibility of the Company’s management. Our responsibility is to express an opinion on these consolidated financial statements based on our audits.</w:t>
      </w:r>
    </w:p>
    <w:p>
      <w:pPr>
        <w:spacing w:after="0" w:line="115" w:lineRule="exact"/>
        <w:rPr>
          <w:sz w:val="20"/>
          <w:szCs w:val="20"/>
          <w:color w:val="auto"/>
        </w:rPr>
      </w:pPr>
    </w:p>
    <w:p>
      <w:pPr>
        <w:ind w:right="40"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42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2013 and the results of their operations and their cash flows for the years ended September 30, 2013 and 2012, in conformity with U.S. generally accepted accounting principles.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2013</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92" w:lineRule="exact"/>
        <w:rPr>
          <w:sz w:val="20"/>
          <w:szCs w:val="20"/>
          <w:color w:val="auto"/>
        </w:rPr>
      </w:pPr>
    </w:p>
    <w:p>
      <w:pPr>
        <w:ind w:right="120" w:firstLine="685"/>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(the “Company”)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on page 53. Our responsibility is to express an opinion on the Company’s internal control over financial reporting based on our audit.</w:t>
      </w:r>
    </w:p>
    <w:p>
      <w:pPr>
        <w:spacing w:after="0" w:line="103"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5" w:lineRule="exact"/>
        <w:rPr>
          <w:sz w:val="20"/>
          <w:szCs w:val="20"/>
          <w:color w:val="auto"/>
        </w:rPr>
      </w:pPr>
    </w:p>
    <w:p>
      <w:pPr>
        <w:ind w:right="20" w:firstLine="685"/>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right="100" w:firstLine="8"/>
        <w:spacing w:after="0" w:line="229" w:lineRule="auto"/>
        <w:tabs>
          <w:tab w:leader="none" w:pos="19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right="60" w:firstLine="685"/>
        <w:spacing w:after="0" w:line="25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1992.</w:t>
      </w:r>
    </w:p>
    <w:p>
      <w:pPr>
        <w:spacing w:after="0" w:line="106" w:lineRule="exact"/>
        <w:rPr>
          <w:sz w:val="20"/>
          <w:szCs w:val="20"/>
          <w:color w:val="auto"/>
        </w:rPr>
      </w:pPr>
    </w:p>
    <w:p>
      <w:pPr>
        <w:ind w:right="340" w:firstLine="685"/>
        <w:spacing w:after="0" w:line="23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 of assets and liabilities of PennantPark Investment Corporation and its Subsidiaries, including the schedule of investments as of September 30, 2014, and the related consolidated statements of operations, changes in net assets, and cash flows for the year then ended and our report dated November 12, 2014 expressed an unqualified opinion.</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 2014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Non-controlled, non-affiliated investments (cost—$1,171,573,359 and $928,078,589, respectively)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1,212,515,400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968,471,042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340"/>
              <w:spacing w:after="0" w:line="149" w:lineRule="exact"/>
              <w:rPr>
                <w:sz w:val="20"/>
                <w:szCs w:val="20"/>
                <w:color w:val="auto"/>
              </w:rPr>
            </w:pPr>
            <w:r>
              <w:rPr>
                <w:rFonts w:ascii="Arial" w:cs="Arial" w:eastAsia="Arial" w:hAnsi="Arial"/>
                <w:sz w:val="14"/>
                <w:szCs w:val="14"/>
                <w:color w:val="auto"/>
              </w:rPr>
              <w:t>Non-controlled, affiliated investments (cost—$108,572,406 and $99,021,141, respectively)</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67,847,521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76,735,800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Controlled, affiliated investments (cost—$38,708,555 and $64,418,155, respectively)</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37,691,845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32,968,711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340"/>
              <w:spacing w:after="0" w:line="155" w:lineRule="exact"/>
              <w:rPr>
                <w:sz w:val="20"/>
                <w:szCs w:val="20"/>
                <w:color w:val="auto"/>
              </w:rPr>
            </w:pPr>
            <w:r>
              <w:rPr>
                <w:rFonts w:ascii="Arial" w:cs="Arial" w:eastAsia="Arial" w:hAnsi="Arial"/>
                <w:sz w:val="14"/>
                <w:szCs w:val="14"/>
                <w:color w:val="auto"/>
              </w:rPr>
              <w:t>Total of investments (cost—$1,318,854,320 and $1,091,517,885, respectively)</w:t>
            </w:r>
          </w:p>
        </w:tc>
        <w:tc>
          <w:tcPr>
            <w:tcW w:w="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1,318,054,766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1,078,175,553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(cost—$66,600,195 and $58,440,829, respectively) (See Note 9)</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13,703,525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10,894,893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13,550,224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5,815,817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700"/>
              <w:spacing w:after="0" w:line="155" w:lineRule="exact"/>
              <w:rPr>
                <w:sz w:val="20"/>
                <w:szCs w:val="20"/>
                <w:color w:val="auto"/>
              </w:rPr>
            </w:pPr>
            <w:r>
              <w:rPr>
                <w:rFonts w:ascii="Arial" w:cs="Arial" w:eastAsia="Arial" w:hAnsi="Arial"/>
                <w:sz w:val="14"/>
                <w:szCs w:val="14"/>
                <w:b w:val="1"/>
                <w:bCs w:val="1"/>
                <w:color w:val="auto"/>
              </w:rPr>
              <w:t>Total assets</w:t>
            </w: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1,411,827,197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1,153,327,092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21,026,015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18,619,812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4,432,500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52,544,704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15,607,059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7,241,667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(cost—$55,226,300 and $145,500,000, respectively) (See Notes 5 and 11)</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53,497,620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SBA debentures payable (cost—$150,000,000) (See Notes 5 and 11)</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(cost—$250,000,000) (See Notes 5 and 11)</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251,350,250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2025 Notes payable (cost—$71,250,000) (See Notes 5 and 11)</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68,400,000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6,385,103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5,419,557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4,622,754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4,274,881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debt</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1,962,264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1,810,466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60" w:type="dxa"/>
            <w:vAlign w:val="bottom"/>
          </w:tcPr>
          <w:p>
            <w:pPr>
              <w:spacing w:after="0"/>
              <w:rPr>
                <w:sz w:val="13"/>
                <w:szCs w:val="13"/>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3,113,683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2,009,806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b w:val="1"/>
                <w:bCs w:val="1"/>
                <w:color w:val="auto"/>
              </w:rPr>
              <w:t>Total liabilities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583,817,248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455,820,893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380" w:type="dxa"/>
            <w:vAlign w:val="bottom"/>
          </w:tcPr>
          <w:p>
            <w:pPr>
              <w:spacing w:after="0" w:line="130" w:lineRule="exact"/>
              <w:rPr>
                <w:sz w:val="20"/>
                <w:szCs w:val="20"/>
                <w:color w:val="auto"/>
              </w:rPr>
            </w:pPr>
            <w:r>
              <w:rPr>
                <w:rFonts w:ascii="Arial" w:cs="Arial" w:eastAsia="Arial" w:hAnsi="Arial"/>
                <w:sz w:val="14"/>
                <w:szCs w:val="14"/>
                <w:color w:val="auto"/>
              </w:rPr>
              <w:t>Common stock, 75,092,911 and 66,499,327 shares issued and outstanding, respectively.</w:t>
            </w: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80" w:type="dxa"/>
            <w:vAlign w:val="bottom"/>
          </w:tcPr>
          <w:p>
            <w:pPr>
              <w:ind w:left="500"/>
              <w:spacing w:after="0"/>
              <w:rPr>
                <w:sz w:val="20"/>
                <w:szCs w:val="20"/>
                <w:color w:val="auto"/>
              </w:rPr>
            </w:pPr>
            <w:r>
              <w:rPr>
                <w:rFonts w:ascii="Arial" w:cs="Arial" w:eastAsia="Arial" w:hAnsi="Arial"/>
                <w:sz w:val="14"/>
                <w:szCs w:val="14"/>
                <w:color w:val="auto"/>
              </w:rPr>
              <w:t>Par value $0.001 per share and 100,000,000 shares authorized.</w:t>
            </w:r>
          </w:p>
        </w:tc>
        <w:tc>
          <w:tcPr>
            <w:tcW w:w="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75,093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852,465,375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756,017,096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6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(11,802,580)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(4,675,217)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(11,655,302)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(43,409,847)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investments and cash</w:t>
            </w:r>
          </w:p>
        </w:tc>
        <w:tc>
          <w:tcPr>
            <w:tcW w:w="6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(881,067)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(13,342,332)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debt</w:t>
            </w: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(191,570)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700"/>
              <w:spacing w:after="0" w:line="155" w:lineRule="exact"/>
              <w:rPr>
                <w:sz w:val="20"/>
                <w:szCs w:val="20"/>
                <w:color w:val="auto"/>
              </w:rPr>
            </w:pPr>
            <w:r>
              <w:rPr>
                <w:rFonts w:ascii="Arial" w:cs="Arial" w:eastAsia="Arial" w:hAnsi="Arial"/>
                <w:sz w:val="14"/>
                <w:szCs w:val="14"/>
                <w:b w:val="1"/>
                <w:bCs w:val="1"/>
                <w:color w:val="auto"/>
              </w:rPr>
              <w:t>Total net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697,506,199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1,411,827,197</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1,153,327,092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gridSpan w:val="2"/>
            <w:vMerge w:val="continue"/>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124,850,558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107,058,958</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99,663,198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9,692,254</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10,883,261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8,486,387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5,656,300</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5,841,127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3,542,583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597,400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7,278,060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4,806,329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459,166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147,936,338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129,187,075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113,392,390</w:t>
            </w:r>
          </w:p>
        </w:tc>
        <w:tc>
          <w:tcPr>
            <w:tcW w:w="0" w:type="dxa"/>
            <w:vAlign w:val="bottom"/>
          </w:tcPr>
          <w:p>
            <w:pPr>
              <w:spacing w:after="0"/>
              <w:rPr>
                <w:sz w:val="1"/>
                <w:szCs w:val="1"/>
                <w:color w:val="auto"/>
              </w:rPr>
            </w:pPr>
          </w:p>
        </w:tc>
      </w:tr>
      <w:tr>
        <w:trPr>
          <w:trHeight w:val="156"/>
        </w:trPr>
        <w:tc>
          <w:tcPr>
            <w:tcW w:w="8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Base management fee (See Note 3)</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24,291,420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21,288,728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17,507,262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17,832,129</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16,793,089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14,223,777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Interest and expenses on debt (See Note 11)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20,260,652</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15,384,208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11,680,634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2,953,423</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3,161,158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3,745,741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2,860,094</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2,857,739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3,496,326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ind w:left="460"/>
              <w:spacing w:after="0" w:line="155" w:lineRule="exact"/>
              <w:rPr>
                <w:sz w:val="20"/>
                <w:szCs w:val="20"/>
                <w:color w:val="auto"/>
              </w:rPr>
            </w:pPr>
            <w:r>
              <w:rPr>
                <w:rFonts w:ascii="Arial" w:cs="Arial" w:eastAsia="Arial" w:hAnsi="Arial"/>
                <w:sz w:val="14"/>
                <w:szCs w:val="14"/>
                <w:b w:val="1"/>
                <w:bCs w:val="1"/>
                <w:color w:val="auto"/>
              </w:rPr>
              <w:t>Expenses before taxes and debt issuance costs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68,197,718</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59,484,922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50,653,740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Tax expense (benefit)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72,603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(53,468)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Debt issuance costs (See Note 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8,337,500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2,757,500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5,361,319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Total expenses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76,607,821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62,188,954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56,323,049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80" w:type="dxa"/>
            <w:vAlign w:val="bottom"/>
          </w:tcPr>
          <w:p>
            <w:pPr>
              <w:ind w:left="4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71,328,517</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66,998,121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57,069,341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cash and debt: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30,235,265</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17,687,211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Non-controlled, non-affiliated investments and cash</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468,076</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17,932,839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42,727,722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11,993,189</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(13,143,019)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(22,085,553)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Debt (appreciation) depreciation (See Notes 5 and 11)</w:t>
            </w: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(3,041,570)</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2,302,500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Net change in unrealized appreciation (depreciation) on investments, cash and debt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9,419,695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7,092,320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19,081,794</w:t>
            </w:r>
          </w:p>
        </w:tc>
        <w:tc>
          <w:tcPr>
            <w:tcW w:w="0" w:type="dxa"/>
            <w:vAlign w:val="bottom"/>
          </w:tcPr>
          <w:p>
            <w:pPr>
              <w:spacing w:after="0"/>
              <w:rPr>
                <w:sz w:val="1"/>
                <w:szCs w:val="1"/>
                <w:color w:val="auto"/>
              </w:rPr>
            </w:pPr>
          </w:p>
        </w:tc>
      </w:tr>
      <w:tr>
        <w:trPr>
          <w:trHeight w:val="163"/>
        </w:trPr>
        <w:tc>
          <w:tcPr>
            <w:tcW w:w="8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debt</w:t>
            </w: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39,654,960</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24,779,531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6,283,759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110,983,477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91,777,652</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63,353,100</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0" w:type="dxa"/>
            <w:vAlign w:val="bottom"/>
            <w:gridSpan w:val="2"/>
            <w:vMerge w:val="continue"/>
          </w:tcPr>
          <w:p>
            <w:pPr>
              <w:spacing w:after="0"/>
              <w:rPr>
                <w:sz w:val="13"/>
                <w:szCs w:val="13"/>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 per common share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89"/>
              <w:spacing w:after="0"/>
              <w:rPr>
                <w:sz w:val="20"/>
                <w:szCs w:val="20"/>
                <w:color w:val="auto"/>
              </w:rPr>
            </w:pPr>
            <w:r>
              <w:rPr>
                <w:rFonts w:ascii="Arial" w:cs="Arial" w:eastAsia="Arial" w:hAnsi="Arial"/>
                <w:sz w:val="14"/>
                <w:szCs w:val="14"/>
                <w:b w:val="1"/>
                <w:bCs w:val="1"/>
                <w:color w:val="auto"/>
              </w:rPr>
              <w:t>Years Ended 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Net investment income</w:t>
            </w:r>
          </w:p>
        </w:tc>
        <w:tc>
          <w:tcPr>
            <w:tcW w:w="1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71,328,517</w:t>
            </w:r>
          </w:p>
        </w:tc>
        <w:tc>
          <w:tcPr>
            <w:tcW w:w="24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66,998,121</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57,069,341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realized gain (loss) on investments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30,235,265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17,687,211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Net change in unrealized appreciation on investments and cash</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12,461,265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4,789,820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20,642,169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(3,041,570)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2,302,500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80" w:type="dxa"/>
            <w:vAlign w:val="bottom"/>
          </w:tcPr>
          <w:p>
            <w:pPr>
              <w:ind w:left="48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91,777,652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63,353,100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Distribution of net investment income</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(76,937,761)</w:t>
            </w:r>
          </w:p>
        </w:tc>
        <w:tc>
          <w:tcPr>
            <w:tcW w:w="200" w:type="dxa"/>
            <w:vAlign w:val="bottom"/>
          </w:tcPr>
          <w:p>
            <w:pPr>
              <w:spacing w:after="0"/>
              <w:rPr>
                <w:sz w:val="13"/>
                <w:szCs w:val="13"/>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(74,398,129)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(60,137,978)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3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Public offerings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98,855,000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7,574,000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206,572,500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Offering costs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(3,465,650)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(265,090)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(7,717,300)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Reinvestment of distributions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1,068,684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3,100,719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4,989,529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96,458,034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10,409,629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203,844,729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1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130,503,750</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27,789,152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207,059,851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Beginning of year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697,506,199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669,717,047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462,657,196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End of year</w:t>
            </w:r>
          </w:p>
        </w:tc>
        <w:tc>
          <w:tcPr>
            <w:tcW w:w="1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828,009,949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697,506,199</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669,717,047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500"/>
              <w:spacing w:after="0"/>
              <w:rPr>
                <w:sz w:val="20"/>
                <w:szCs w:val="20"/>
                <w:color w:val="auto"/>
              </w:rPr>
            </w:pPr>
            <w:r>
              <w:rPr>
                <w:rFonts w:ascii="Arial" w:cs="Arial" w:eastAsia="Arial" w:hAnsi="Arial"/>
                <w:sz w:val="14"/>
                <w:szCs w:val="14"/>
                <w:color w:val="auto"/>
              </w:rPr>
              <w:t>(Distributions in excess of) Undistributed net investment income, end of year</w:t>
            </w: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(11,802,580)</w:t>
            </w: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(4,675,217)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2,804,397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Shares issued from public offerings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19,350,000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Shares issued from reinvestment of distributions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93,584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284,824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474,722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2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110,983,477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91,777,652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63,353,100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Adjustments to reconcile net increase in net assets resulting from operations to net cash (used) provided by operating</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net unrealized appreciation on investments and cash</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(12,461,265)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(4,789,820)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(20,642,169)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debt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3,041,570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(2,302,500)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realized (loss) gain on investments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(30,235,265)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(17,687,211)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(8,027,104)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(5,856,654)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(10,357,608)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(795,089,483)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(504,373,719)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(347,517,775)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interest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(10,961,812)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(11,814,084)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(9,065,502)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 of investments</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625,551,026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437,147,602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201,656,926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interest receivable</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(2,808,632)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4,033,969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(4,050,626)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 receivable for investments sold</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12,240,763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deferred financing costs and other assets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(6,984,407)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168,130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(48,112,204)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52,544,704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(18,572,499)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interest payable on debt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151,798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955,741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Increase in management fees payable</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965,546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627,644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783,859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347,873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67,892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Increase (decrease) in accrued other expenses</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1,103,877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1,406,285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provided by operating activities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(172,535,005)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40,324,126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(115,339,638)</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Public offerings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98,855,000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7,574,000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206,572,500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(3,465,650)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(265,090)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(7,717,300)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(73,462,877)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(68,501,660)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(51,660,628)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2019 Notes issuance (See Note 11)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2025 Notes issuance (See Note 11)</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71,250,000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Borrowings under Credit Facility (See Note 11)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1,186,753,100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1,099,800,000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Repayments under Credit Facility (See Note 11)</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(1,277,026,800)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(1,099,300,000)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(1,023,800,000)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180,902,773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10,557,250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51,294,572</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8,367,768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50,881,376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(64,045,066)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(289,915)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58,440,829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7,559,453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71,604,519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58,440,829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7,559,453</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19,575,955</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12,765,891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10,643,840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40" w:type="dxa"/>
            <w:vAlign w:val="bottom"/>
          </w:tcPr>
          <w:p>
            <w:pPr>
              <w:ind w:left="420"/>
              <w:spacing w:after="0" w:line="155" w:lineRule="exact"/>
              <w:rPr>
                <w:sz w:val="20"/>
                <w:szCs w:val="20"/>
                <w:color w:val="auto"/>
              </w:rPr>
            </w:pPr>
            <w:r>
              <w:rPr>
                <w:rFonts w:ascii="Arial" w:cs="Arial" w:eastAsia="Arial" w:hAnsi="Arial"/>
                <w:sz w:val="14"/>
                <w:szCs w:val="14"/>
                <w:color w:val="auto"/>
              </w:rPr>
              <w:t>Taxes paid</w:t>
            </w: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94,210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258,550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Distributions reinvested</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1,068,682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3,100,719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4,989,529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420"/>
              <w:spacing w:after="0" w:line="155" w:lineRule="exact"/>
              <w:rPr>
                <w:sz w:val="20"/>
                <w:szCs w:val="20"/>
                <w:color w:val="auto"/>
              </w:rPr>
            </w:pPr>
            <w:r>
              <w:rPr>
                <w:rFonts w:ascii="Arial" w:cs="Arial" w:eastAsia="Arial" w:hAnsi="Arial"/>
                <w:sz w:val="14"/>
                <w:szCs w:val="14"/>
                <w:color w:val="auto"/>
              </w:rPr>
              <w:t>Conversions and non-cash exchanges</w:t>
            </w: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59,126,053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58,478,391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43,596,371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22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Maturity /</w:t>
            </w:r>
          </w:p>
        </w:tc>
        <w:tc>
          <w:tcPr>
            <w:tcW w:w="128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820" w:type="dxa"/>
            <w:vAlign w:val="bottom"/>
            <w:gridSpan w:val="2"/>
            <w:vMerge w:val="continue"/>
          </w:tcPr>
          <w:p>
            <w:pPr>
              <w:spacing w:after="0"/>
              <w:rPr>
                <w:sz w:val="12"/>
                <w:szCs w:val="12"/>
                <w:color w:val="auto"/>
              </w:rPr>
            </w:pPr>
          </w:p>
        </w:tc>
        <w:tc>
          <w:tcPr>
            <w:tcW w:w="1220" w:type="dxa"/>
            <w:vAlign w:val="bottom"/>
          </w:tcPr>
          <w:p>
            <w:pPr>
              <w:ind w:left="620"/>
              <w:spacing w:after="0"/>
              <w:rPr>
                <w:sz w:val="20"/>
                <w:szCs w:val="20"/>
                <w:color w:val="auto"/>
              </w:rPr>
            </w:pPr>
            <w:r>
              <w:rPr>
                <w:rFonts w:ascii="Arial" w:cs="Arial" w:eastAsia="Arial" w:hAnsi="Arial"/>
                <w:sz w:val="12"/>
                <w:szCs w:val="12"/>
                <w:b w:val="1"/>
                <w:bCs w:val="1"/>
                <w:color w:val="auto"/>
                <w:w w:val="98"/>
              </w:rPr>
              <w:t>Expiration</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8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20" w:type="dxa"/>
            <w:vAlign w:val="bottom"/>
          </w:tcPr>
          <w:p>
            <w:pPr>
              <w:jc w:val="right"/>
              <w:ind w:right="262"/>
              <w:spacing w:after="0"/>
              <w:rPr>
                <w:sz w:val="20"/>
                <w:szCs w:val="20"/>
                <w:color w:val="auto"/>
              </w:rPr>
            </w:pPr>
            <w:r>
              <w:rPr>
                <w:rFonts w:ascii="Arial" w:cs="Arial" w:eastAsia="Arial" w:hAnsi="Arial"/>
                <w:sz w:val="12"/>
                <w:szCs w:val="12"/>
                <w:b w:val="1"/>
                <w:bCs w:val="1"/>
                <w:color w:val="auto"/>
              </w:rPr>
              <w:t>Shares</w:t>
            </w:r>
          </w:p>
        </w:tc>
        <w:tc>
          <w:tcPr>
            <w:tcW w:w="9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Companies—146.4% </w:t>
            </w:r>
            <w:r>
              <w:rPr>
                <w:rFonts w:ascii="Arial" w:cs="Arial" w:eastAsia="Arial" w:hAnsi="Arial"/>
                <w:sz w:val="9"/>
                <w:szCs w:val="9"/>
                <w:b w:val="1"/>
                <w:bCs w:val="1"/>
                <w:color w:val="auto"/>
              </w:rPr>
              <w:t>(1), (2)</w:t>
            </w:r>
          </w:p>
        </w:tc>
        <w:tc>
          <w:tcPr>
            <w:tcW w:w="122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First Lien Secured Debt—52.4%</w:t>
            </w:r>
          </w:p>
        </w:tc>
        <w:tc>
          <w:tcPr>
            <w:tcW w:w="12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03/21/2018</w:t>
            </w: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Communications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11.25%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L+975</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23,301,182</w:t>
            </w:r>
          </w:p>
        </w:tc>
        <w:tc>
          <w:tcPr>
            <w:tcW w:w="760" w:type="dxa"/>
            <w:vAlign w:val="bottom"/>
          </w:tcPr>
          <w:p>
            <w:pPr>
              <w:jc w:val="right"/>
              <w:spacing w:after="0"/>
              <w:rPr>
                <w:sz w:val="20"/>
                <w:szCs w:val="20"/>
                <w:color w:val="auto"/>
              </w:rPr>
            </w:pPr>
            <w:r>
              <w:rPr>
                <w:rFonts w:ascii="Arial" w:cs="Arial" w:eastAsia="Arial" w:hAnsi="Arial"/>
                <w:sz w:val="12"/>
                <w:szCs w:val="12"/>
                <w:color w:val="auto"/>
              </w:rPr>
              <w:t>$  22,545,408</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  24,466,241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AKA Diversified Holdings,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04/02/2018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Retail</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11.92%</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38,382,219</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37,594,531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38,835,189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AKA Diversified Holdings, Inc. </w:t>
            </w:r>
            <w:r>
              <w:rPr>
                <w:rFonts w:ascii="Arial" w:cs="Arial" w:eastAsia="Arial" w:hAnsi="Arial"/>
                <w:sz w:val="9"/>
                <w:szCs w:val="9"/>
                <w:color w:val="auto"/>
              </w:rPr>
              <w:t>(9)</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04/02/2018</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6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7,500,000</w:t>
            </w:r>
          </w:p>
        </w:tc>
        <w:tc>
          <w:tcPr>
            <w:tcW w:w="760" w:type="dxa"/>
            <w:vAlign w:val="bottom"/>
          </w:tcPr>
          <w:p>
            <w:pPr>
              <w:jc w:val="right"/>
              <w:spacing w:after="0"/>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7,588,512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AP Gaming I,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12/21/2020</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Hotels, Motels, Inns</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9.25%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L+825</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5,210,625</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5,067,986</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5,236,678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and Gaming</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10/20/2020</w:t>
            </w: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4,500,000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4,432,500</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4,432,500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03/30/2017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Auto Sector</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11,500,000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11,369,159</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12,463,125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InfuSystem Holdings, Inc.</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11/30/2016</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13.16%</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P+992</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8,000,000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8,000,000</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8,190,480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10/16/2017</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10.00%</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L+850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7,777,902</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7,774,409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7,739,013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K2 Pure Solutions NoCal, L.P.</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08/19/2019</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6"/>
              </w:rPr>
              <w:t>Chemicals, Plastics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10.00%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L+900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22,342,352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21,957,793</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22,003,560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Rubber</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10/31/2017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9.63%</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5,626,850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5,626,850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5,851,924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Patriot National, Inc.</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11/27/2018</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7"/>
              </w:rPr>
              <w:t>Insurance</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L+1,150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49,851,923</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47,685,257</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50,350,442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ind w:left="100"/>
              <w:spacing w:after="0"/>
              <w:rPr>
                <w:sz w:val="20"/>
                <w:szCs w:val="20"/>
                <w:color w:val="auto"/>
              </w:rPr>
            </w:pPr>
            <w:r>
              <w:rPr>
                <w:rFonts w:ascii="Arial" w:cs="Arial" w:eastAsia="Arial" w:hAnsi="Arial"/>
                <w:sz w:val="12"/>
                <w:szCs w:val="12"/>
                <w:color w:val="auto"/>
              </w:rPr>
              <w:t>(f/k/a Old Guard Risk Services, Inc.)</w:t>
            </w: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2500" w:type="dxa"/>
            <w:vAlign w:val="bottom"/>
            <w:gridSpan w:val="2"/>
            <w:shd w:val="clear" w:color="auto" w:fill="CCEEFF"/>
          </w:tcPr>
          <w:p>
            <w:pPr>
              <w:ind w:left="620"/>
              <w:spacing w:after="0" w:line="136" w:lineRule="exact"/>
              <w:rPr>
                <w:sz w:val="20"/>
                <w:szCs w:val="20"/>
                <w:color w:val="auto"/>
              </w:rPr>
            </w:pPr>
            <w:r>
              <w:rPr>
                <w:rFonts w:ascii="Arial" w:cs="Arial" w:eastAsia="Arial" w:hAnsi="Arial"/>
                <w:sz w:val="12"/>
                <w:szCs w:val="12"/>
                <w:color w:val="auto"/>
                <w:w w:val="97"/>
              </w:rPr>
              <w:t>12/16/2019   Mining, Steel, Iron and</w:t>
            </w:r>
          </w:p>
        </w:tc>
        <w:tc>
          <w:tcPr>
            <w:tcW w:w="680" w:type="dxa"/>
            <w:vAlign w:val="bottom"/>
            <w:shd w:val="clear" w:color="auto" w:fill="CCEEFF"/>
          </w:tcPr>
          <w:p>
            <w:pPr>
              <w:jc w:val="right"/>
              <w:ind w:right="22"/>
              <w:spacing w:after="0" w:line="136" w:lineRule="exact"/>
              <w:rPr>
                <w:sz w:val="20"/>
                <w:szCs w:val="20"/>
                <w:color w:val="auto"/>
              </w:rPr>
            </w:pPr>
            <w:r>
              <w:rPr>
                <w:rFonts w:ascii="Arial" w:cs="Arial" w:eastAsia="Arial" w:hAnsi="Arial"/>
                <w:sz w:val="12"/>
                <w:szCs w:val="12"/>
                <w:color w:val="auto"/>
              </w:rPr>
              <w:t>11.50%</w:t>
            </w:r>
          </w:p>
        </w:tc>
        <w:tc>
          <w:tcPr>
            <w:tcW w:w="80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w w:val="96"/>
              </w:rPr>
              <w:t>14,250,000</w:t>
            </w:r>
          </w:p>
        </w:tc>
        <w:tc>
          <w:tcPr>
            <w:tcW w:w="9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14,116,948</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15,960,000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Non-Precious Metals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RAM Energy LLC, Tranche A</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07/18/2019</w:t>
            </w:r>
          </w:p>
        </w:tc>
        <w:tc>
          <w:tcPr>
            <w:tcW w:w="12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L+1,000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75,000,000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73,440,857</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74,250,000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RAM Energy LLC, Tranche B</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07/20/2015</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Energy and Utilities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L+1,300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27,500,000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26,727,390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Robertshaw US Holding Corp.</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06/18/2019</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12,352,942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12,235,053</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12,331,043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ind w:left="100"/>
              <w:spacing w:after="0"/>
              <w:rPr>
                <w:sz w:val="20"/>
                <w:szCs w:val="20"/>
                <w:color w:val="auto"/>
              </w:rPr>
            </w:pPr>
            <w:r>
              <w:rPr>
                <w:rFonts w:ascii="Arial" w:cs="Arial" w:eastAsia="Arial" w:hAnsi="Arial"/>
                <w:sz w:val="12"/>
                <w:szCs w:val="12"/>
                <w:color w:val="auto"/>
              </w:rPr>
              <w:t>(f/k/a Fox US Bidco Corp.)</w:t>
            </w: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Robertshaw US Holding Corp.</w:t>
            </w:r>
          </w:p>
        </w:tc>
        <w:tc>
          <w:tcPr>
            <w:tcW w:w="1220" w:type="dxa"/>
            <w:vAlign w:val="bottom"/>
            <w:shd w:val="clear" w:color="auto" w:fill="CCEEFF"/>
          </w:tcPr>
          <w:p>
            <w:pPr>
              <w:ind w:left="620"/>
              <w:spacing w:after="0" w:line="136" w:lineRule="exact"/>
              <w:rPr>
                <w:sz w:val="20"/>
                <w:szCs w:val="20"/>
                <w:color w:val="auto"/>
              </w:rPr>
            </w:pPr>
            <w:r>
              <w:rPr>
                <w:rFonts w:ascii="Arial" w:cs="Arial" w:eastAsia="Arial" w:hAnsi="Arial"/>
                <w:sz w:val="12"/>
                <w:szCs w:val="12"/>
                <w:color w:val="auto"/>
                <w:w w:val="96"/>
              </w:rPr>
              <w:t>06/18/2019</w:t>
            </w:r>
          </w:p>
        </w:tc>
        <w:tc>
          <w:tcPr>
            <w:tcW w:w="128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8"/>
              </w:rPr>
              <w:t>Electronics</w:t>
            </w:r>
          </w:p>
        </w:tc>
        <w:tc>
          <w:tcPr>
            <w:tcW w:w="68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rPr>
              <w:t>2,647,058</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2,647,058</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2,642,366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xml:space="preserve">(f/k/a Fox US Bidco Corp.) </w:t>
            </w:r>
            <w:r>
              <w:rPr>
                <w:rFonts w:ascii="Arial" w:cs="Arial" w:eastAsia="Arial" w:hAnsi="Arial"/>
                <w:sz w:val="9"/>
                <w:szCs w:val="9"/>
                <w:color w:val="auto"/>
              </w:rPr>
              <w:t>(9)</w:t>
            </w:r>
          </w:p>
        </w:tc>
        <w:tc>
          <w:tcPr>
            <w:tcW w:w="1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04/21/2017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19,838,145</w:t>
            </w:r>
          </w:p>
        </w:tc>
        <w:tc>
          <w:tcPr>
            <w:tcW w:w="760" w:type="dxa"/>
            <w:vAlign w:val="bottom"/>
          </w:tcPr>
          <w:p>
            <w:pPr>
              <w:jc w:val="right"/>
              <w:spacing w:after="0"/>
              <w:rPr>
                <w:sz w:val="20"/>
                <w:szCs w:val="20"/>
                <w:color w:val="auto"/>
              </w:rPr>
            </w:pPr>
            <w:r>
              <w:rPr>
                <w:rFonts w:ascii="Arial" w:cs="Arial" w:eastAsia="Arial" w:hAnsi="Arial"/>
                <w:sz w:val="12"/>
                <w:szCs w:val="12"/>
                <w:color w:val="auto"/>
              </w:rPr>
              <w:t>18,826,225</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17,854,331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04/30/2018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L+1,050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23,952,411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23,659,108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23,952,411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TRAK Acquisition Corp. </w:t>
            </w:r>
            <w:r>
              <w:rPr>
                <w:rFonts w:ascii="Arial" w:cs="Arial" w:eastAsia="Arial" w:hAnsi="Arial"/>
                <w:sz w:val="9"/>
                <w:szCs w:val="9"/>
                <w:color w:val="auto"/>
              </w:rPr>
              <w:t>(9)</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10/31/2017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1,000,000</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985,000</w:t>
            </w:r>
          </w:p>
        </w:tc>
        <w:tc>
          <w:tcPr>
            <w:tcW w:w="780" w:type="dxa"/>
            <w:vAlign w:val="bottom"/>
          </w:tcPr>
          <w:p>
            <w:pPr>
              <w:jc w:val="right"/>
              <w:spacing w:after="0"/>
              <w:rPr>
                <w:sz w:val="20"/>
                <w:szCs w:val="20"/>
                <w:color w:val="auto"/>
              </w:rPr>
            </w:pPr>
            <w:r>
              <w:rPr>
                <w:rFonts w:ascii="Arial" w:cs="Arial" w:eastAsia="Arial" w:hAnsi="Arial"/>
                <w:sz w:val="12"/>
                <w:szCs w:val="12"/>
                <w:color w:val="auto"/>
              </w:rPr>
              <w:t>1,000,000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(10), (12)</w:t>
            </w:r>
          </w:p>
        </w:tc>
        <w:tc>
          <w:tcPr>
            <w:tcW w:w="25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w w:val="91"/>
              </w:rPr>
              <w:t>02/12/2020  Buildings and Real Estate</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11.06%</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27,118,544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42,793,869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44,024,504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U.S. Well Services,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05/02/2019</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L+1,150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16,235,293</w:t>
            </w:r>
          </w:p>
        </w:tc>
        <w:tc>
          <w:tcPr>
            <w:tcW w:w="760" w:type="dxa"/>
            <w:vAlign w:val="bottom"/>
          </w:tcPr>
          <w:p>
            <w:pPr>
              <w:jc w:val="right"/>
              <w:spacing w:after="0"/>
              <w:rPr>
                <w:sz w:val="20"/>
                <w:szCs w:val="20"/>
                <w:color w:val="auto"/>
              </w:rPr>
            </w:pPr>
            <w:r>
              <w:rPr>
                <w:rFonts w:ascii="Arial" w:cs="Arial" w:eastAsia="Arial" w:hAnsi="Arial"/>
                <w:sz w:val="12"/>
                <w:szCs w:val="12"/>
                <w:color w:val="auto"/>
              </w:rPr>
              <w:t>15,901,463</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16,206,786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Worley Claims Services, LLC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07/06/2017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L+1,100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11,201,270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11,201,270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11,425,295</w:t>
            </w:r>
          </w:p>
        </w:tc>
        <w:tc>
          <w:tcPr>
            <w:tcW w:w="0" w:type="dxa"/>
            <w:vAlign w:val="bottom"/>
          </w:tcPr>
          <w:p>
            <w:pPr>
              <w:spacing w:after="0"/>
              <w:rPr>
                <w:sz w:val="1"/>
                <w:szCs w:val="1"/>
                <w:color w:val="auto"/>
              </w:rPr>
            </w:pPr>
          </w:p>
        </w:tc>
      </w:tr>
      <w:tr>
        <w:trPr>
          <w:trHeight w:val="163"/>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422,088,134</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434,304,400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Debt—58.5%</w:t>
            </w: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09/01/2017</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91"/>
              </w:rPr>
              <w:t>Diversified Natural</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11.50%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25,400,000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25,400,000</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27,432,000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84"/>
              </w:rPr>
              <w:t>Resources, Precious</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Metals and Minerals</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Ascensus,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12/02/2020</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Financial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15,500,000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15,297,220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Bennu Oil &amp; Gas,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11/01/2018</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8.75%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19,750,360</w:t>
            </w:r>
          </w:p>
        </w:tc>
        <w:tc>
          <w:tcPr>
            <w:tcW w:w="760" w:type="dxa"/>
            <w:vAlign w:val="bottom"/>
          </w:tcPr>
          <w:p>
            <w:pPr>
              <w:jc w:val="right"/>
              <w:spacing w:after="0"/>
              <w:rPr>
                <w:sz w:val="20"/>
                <w:szCs w:val="20"/>
                <w:color w:val="auto"/>
              </w:rPr>
            </w:pPr>
            <w:r>
              <w:rPr>
                <w:rFonts w:ascii="Arial" w:cs="Arial" w:eastAsia="Arial" w:hAnsi="Arial"/>
                <w:sz w:val="12"/>
                <w:szCs w:val="12"/>
                <w:color w:val="auto"/>
              </w:rPr>
              <w:t>19,659,292</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19,635,216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Carolina Beverage Group,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08/01/2018</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Beverage,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10.63%</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13,125,000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13,125,000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13,551,562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Tobacco</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CT Technologies Intermediate Holdings, Inc.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10/05/2020</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9.25%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14,000,000</w:t>
            </w:r>
          </w:p>
        </w:tc>
        <w:tc>
          <w:tcPr>
            <w:tcW w:w="760" w:type="dxa"/>
            <w:vAlign w:val="bottom"/>
          </w:tcPr>
          <w:p>
            <w:pPr>
              <w:jc w:val="right"/>
              <w:spacing w:after="0"/>
              <w:rPr>
                <w:sz w:val="20"/>
                <w:szCs w:val="20"/>
                <w:color w:val="auto"/>
              </w:rPr>
            </w:pPr>
            <w:r>
              <w:rPr>
                <w:rFonts w:ascii="Arial" w:cs="Arial" w:eastAsia="Arial" w:hAnsi="Arial"/>
                <w:sz w:val="12"/>
                <w:szCs w:val="12"/>
                <w:color w:val="auto"/>
              </w:rPr>
              <w:t>13,817,560</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13,930,000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11/04/2021</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9.75%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L+875</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24,700,000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24,324,871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24,700,000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and Childcare</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Foundation Building Materials,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04/30/2019</w:t>
            </w: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Building Materials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L+1,100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45,000,000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44,557,044</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44,981,600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Foundation Building Materials,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04/30/2019</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2"/>
              </w:rPr>
              <w:t>Building Materials</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13.00%</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L+1,200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32,776,212</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32,181,185</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32,762,810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2"/>
                <w:szCs w:val="12"/>
                <w:color w:val="auto"/>
                <w:w w:val="95"/>
              </w:rPr>
              <w:t>(PIK 1.00%)</w:t>
            </w: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03/01/2017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(6)</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3,945,483</w:t>
            </w:r>
          </w:p>
        </w:tc>
        <w:tc>
          <w:tcPr>
            <w:tcW w:w="760" w:type="dxa"/>
            <w:vAlign w:val="bottom"/>
          </w:tcPr>
          <w:p>
            <w:pPr>
              <w:jc w:val="right"/>
              <w:spacing w:after="0"/>
              <w:rPr>
                <w:sz w:val="20"/>
                <w:szCs w:val="20"/>
                <w:color w:val="auto"/>
              </w:rPr>
            </w:pPr>
            <w:r>
              <w:rPr>
                <w:rFonts w:ascii="Arial" w:cs="Arial" w:eastAsia="Arial" w:hAnsi="Arial"/>
                <w:sz w:val="12"/>
                <w:szCs w:val="12"/>
                <w:color w:val="auto"/>
              </w:rPr>
              <w:t>3,945,485</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1,183,645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J.A. Cosmetics Holdings,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07/31/2019</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34,000,000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33,374,349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34,505,954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Jacobs Entertainment, Inc.</w:t>
            </w:r>
          </w:p>
        </w:tc>
        <w:tc>
          <w:tcPr>
            <w:tcW w:w="2500" w:type="dxa"/>
            <w:vAlign w:val="bottom"/>
            <w:gridSpan w:val="2"/>
          </w:tcPr>
          <w:p>
            <w:pPr>
              <w:ind w:left="620"/>
              <w:spacing w:after="0" w:line="129" w:lineRule="exact"/>
              <w:rPr>
                <w:sz w:val="20"/>
                <w:szCs w:val="20"/>
                <w:color w:val="auto"/>
              </w:rPr>
            </w:pPr>
            <w:r>
              <w:rPr>
                <w:rFonts w:ascii="Arial" w:cs="Arial" w:eastAsia="Arial" w:hAnsi="Arial"/>
                <w:sz w:val="12"/>
                <w:szCs w:val="12"/>
                <w:color w:val="auto"/>
                <w:w w:val="95"/>
              </w:rPr>
              <w:t>10/29/2019  Hotels, Motels, Inns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13.00%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L+1,175</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38,950,000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38,400,639</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36,223,500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0"/>
              </w:rPr>
              <w:t>Gaming</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KIK Custom Products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10/29/2019</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L+825</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9,368,296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9,515,865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12/20/2016</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10.50%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L+875</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33,750,000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33,397,785</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33,384,487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10/31/2017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11,875,000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11,585,997</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12,379,687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05/15/2019</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11.75%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45,000,000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44,615,705</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45,675,000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Novitex Acquisition, LLC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07/07/2021</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11.75%</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L+1,050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41,250,000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40,850,421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40,425,000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Penton Media, Inc.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10/02/2020</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L+775</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21,000,000</w:t>
            </w:r>
          </w:p>
        </w:tc>
        <w:tc>
          <w:tcPr>
            <w:tcW w:w="760" w:type="dxa"/>
            <w:vAlign w:val="bottom"/>
          </w:tcPr>
          <w:p>
            <w:pPr>
              <w:jc w:val="right"/>
              <w:spacing w:after="0"/>
              <w:rPr>
                <w:sz w:val="20"/>
                <w:szCs w:val="20"/>
                <w:color w:val="auto"/>
              </w:rPr>
            </w:pPr>
            <w:r>
              <w:rPr>
                <w:rFonts w:ascii="Arial" w:cs="Arial" w:eastAsia="Arial" w:hAnsi="Arial"/>
                <w:sz w:val="12"/>
                <w:szCs w:val="12"/>
                <w:color w:val="auto"/>
              </w:rPr>
              <w:t>20,728,983</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20,973,750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Pre-Paid Legal Services, Inc.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07/01/2020</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9.75%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L+850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56,750,000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56,012,103</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57,317,500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480,641,935</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484,232,576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Arial" w:cs="Arial" w:eastAsia="Arial" w:hAnsi="Arial"/>
                <w:sz w:val="12"/>
                <w:szCs w:val="12"/>
                <w:b w:val="1"/>
                <w:bCs w:val="1"/>
                <w:color w:val="auto"/>
                <w:w w:val="91"/>
              </w:rPr>
              <w:t>Basis Point</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760" w:type="dxa"/>
            <w:vAlign w:val="bottom"/>
          </w:tcPr>
          <w:p>
            <w:pPr>
              <w:jc w:val="center"/>
              <w:ind w:left="1002"/>
              <w:spacing w:after="0" w:line="135" w:lineRule="exact"/>
              <w:rPr>
                <w:sz w:val="20"/>
                <w:szCs w:val="20"/>
                <w:color w:val="auto"/>
              </w:rPr>
            </w:pPr>
            <w:r>
              <w:rPr>
                <w:rFonts w:ascii="Arial" w:cs="Arial" w:eastAsia="Arial" w:hAnsi="Arial"/>
                <w:sz w:val="12"/>
                <w:szCs w:val="12"/>
                <w:b w:val="1"/>
                <w:bCs w:val="1"/>
                <w:color w:val="auto"/>
                <w:w w:val="93"/>
              </w:rPr>
              <w:t>Maturity /</w:t>
            </w:r>
          </w:p>
        </w:tc>
        <w:tc>
          <w:tcPr>
            <w:tcW w:w="1840" w:type="dxa"/>
            <w:vAlign w:val="bottom"/>
          </w:tcPr>
          <w:p>
            <w:pPr>
              <w:spacing w:after="0"/>
              <w:rPr>
                <w:sz w:val="11"/>
                <w:szCs w:val="11"/>
                <w:color w:val="auto"/>
              </w:rPr>
            </w:pPr>
          </w:p>
        </w:tc>
        <w:tc>
          <w:tcPr>
            <w:tcW w:w="84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1760" w:type="dxa"/>
            <w:vAlign w:val="bottom"/>
          </w:tcPr>
          <w:p>
            <w:pPr>
              <w:jc w:val="center"/>
              <w:ind w:left="962"/>
              <w:spacing w:after="0"/>
              <w:rPr>
                <w:sz w:val="20"/>
                <w:szCs w:val="20"/>
                <w:color w:val="auto"/>
              </w:rPr>
            </w:pPr>
            <w:r>
              <w:rPr>
                <w:rFonts w:ascii="Arial" w:cs="Arial" w:eastAsia="Arial" w:hAnsi="Arial"/>
                <w:sz w:val="12"/>
                <w:szCs w:val="12"/>
                <w:b w:val="1"/>
                <w:bCs w:val="1"/>
                <w:color w:val="auto"/>
                <w:w w:val="91"/>
              </w:rPr>
              <w:t>Expiration</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40" w:type="dxa"/>
            <w:vAlign w:val="bottom"/>
          </w:tcPr>
          <w:p>
            <w:pPr>
              <w:jc w:val="right"/>
              <w:ind w:right="282"/>
              <w:spacing w:after="0"/>
              <w:rPr>
                <w:sz w:val="20"/>
                <w:szCs w:val="20"/>
                <w:color w:val="auto"/>
              </w:rPr>
            </w:pPr>
            <w:r>
              <w:rPr>
                <w:rFonts w:ascii="Arial" w:cs="Arial" w:eastAsia="Arial" w:hAnsi="Arial"/>
                <w:sz w:val="12"/>
                <w:szCs w:val="12"/>
                <w:b w:val="1"/>
                <w:bCs w:val="1"/>
                <w:color w:val="auto"/>
              </w:rPr>
              <w:t>Shares</w:t>
            </w: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Notes—24.8%</w:t>
            </w:r>
          </w:p>
        </w:tc>
        <w:tc>
          <w:tcPr>
            <w:tcW w:w="176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Acentia, LLC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10/02/2017</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14.00%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19,000,000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  18,697,637</w:t>
            </w:r>
          </w:p>
        </w:tc>
        <w:tc>
          <w:tcPr>
            <w:tcW w:w="780" w:type="dxa"/>
            <w:vAlign w:val="bottom"/>
          </w:tcPr>
          <w:p>
            <w:pPr>
              <w:jc w:val="right"/>
              <w:spacing w:after="0"/>
              <w:rPr>
                <w:sz w:val="20"/>
                <w:szCs w:val="20"/>
                <w:color w:val="auto"/>
              </w:rPr>
            </w:pPr>
            <w:r>
              <w:rPr>
                <w:rFonts w:ascii="Arial" w:cs="Arial" w:eastAsia="Arial" w:hAnsi="Arial"/>
                <w:sz w:val="12"/>
                <w:szCs w:val="12"/>
                <w:color w:val="auto"/>
              </w:rPr>
              <w:t>$  19,145,804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86"/>
              </w:rPr>
              <w:t>09/14/2018</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35,983,184</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31,471,438</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30,585,706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14.50%)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08/15/2018</w:t>
            </w:r>
          </w:p>
        </w:tc>
        <w:tc>
          <w:tcPr>
            <w:tcW w:w="184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15,096,000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15,096,000</w:t>
            </w:r>
          </w:p>
        </w:tc>
        <w:tc>
          <w:tcPr>
            <w:tcW w:w="780" w:type="dxa"/>
            <w:vAlign w:val="bottom"/>
          </w:tcPr>
          <w:p>
            <w:pPr>
              <w:jc w:val="right"/>
              <w:spacing w:after="0"/>
              <w:rPr>
                <w:sz w:val="20"/>
                <w:szCs w:val="20"/>
                <w:color w:val="auto"/>
              </w:rPr>
            </w:pPr>
            <w:r>
              <w:rPr>
                <w:rFonts w:ascii="Arial" w:cs="Arial" w:eastAsia="Arial" w:hAnsi="Arial"/>
                <w:sz w:val="12"/>
                <w:szCs w:val="12"/>
                <w:color w:val="auto"/>
              </w:rPr>
              <w:t>14,039,280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Alegeus Technologies,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86"/>
              </w:rPr>
              <w:t>02/15/2019</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Financial Services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12.00%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8,930,000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8,795,450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8,805,334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760" w:type="dxa"/>
            <w:vAlign w:val="bottom"/>
          </w:tcPr>
          <w:p>
            <w:pPr>
              <w:jc w:val="center"/>
              <w:ind w:left="982"/>
              <w:spacing w:after="0" w:line="129" w:lineRule="exact"/>
              <w:rPr>
                <w:sz w:val="20"/>
                <w:szCs w:val="20"/>
                <w:color w:val="auto"/>
              </w:rPr>
            </w:pPr>
            <w:r>
              <w:rPr>
                <w:rFonts w:ascii="Arial" w:cs="Arial" w:eastAsia="Arial" w:hAnsi="Arial"/>
                <w:sz w:val="12"/>
                <w:szCs w:val="12"/>
                <w:color w:val="auto"/>
                <w:w w:val="86"/>
              </w:rPr>
              <w:t>03/26/2018</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9"/>
              </w:rPr>
              <w:t>23,753,813</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23,422,959</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23,991,351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(PIK 1.00%)</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1760" w:type="dxa"/>
            <w:vAlign w:val="bottom"/>
            <w:shd w:val="clear" w:color="auto" w:fill="CCEEFF"/>
          </w:tcPr>
          <w:p>
            <w:pPr>
              <w:jc w:val="center"/>
              <w:ind w:left="982"/>
              <w:spacing w:after="0" w:line="136" w:lineRule="exact"/>
              <w:rPr>
                <w:sz w:val="20"/>
                <w:szCs w:val="20"/>
                <w:color w:val="auto"/>
              </w:rPr>
            </w:pPr>
            <w:r>
              <w:rPr>
                <w:rFonts w:ascii="Arial" w:cs="Arial" w:eastAsia="Arial" w:hAnsi="Arial"/>
                <w:sz w:val="12"/>
                <w:szCs w:val="12"/>
                <w:color w:val="auto"/>
                <w:w w:val="86"/>
              </w:rPr>
              <w:t>10/26/2018</w:t>
            </w:r>
          </w:p>
        </w:tc>
        <w:tc>
          <w:tcPr>
            <w:tcW w:w="184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5"/>
              </w:rPr>
              <w:t>Personal, Food and</w:t>
            </w:r>
          </w:p>
        </w:tc>
        <w:tc>
          <w:tcPr>
            <w:tcW w:w="84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12.50%</w:t>
            </w:r>
          </w:p>
        </w:tc>
        <w:tc>
          <w:tcPr>
            <w:tcW w:w="740" w:type="dxa"/>
            <w:vAlign w:val="bottom"/>
            <w:shd w:val="clear" w:color="auto" w:fill="CCEEFF"/>
          </w:tcPr>
          <w:p>
            <w:pPr>
              <w:jc w:val="right"/>
              <w:ind w:right="42"/>
              <w:spacing w:after="0" w:line="13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w w:val="99"/>
              </w:rPr>
              <w:t>10,633,397</w:t>
            </w:r>
          </w:p>
        </w:tc>
        <w:tc>
          <w:tcPr>
            <w:tcW w:w="9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10,462,892</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10,261,422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Miscellaneous Services</w:t>
            </w:r>
          </w:p>
        </w:tc>
        <w:tc>
          <w:tcPr>
            <w:tcW w:w="84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(PIK</w:t>
            </w: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1.25%)</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Energy &amp; Exploration Partners,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07/01/2019</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9,500,000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9,500,000</w:t>
            </w:r>
          </w:p>
        </w:tc>
        <w:tc>
          <w:tcPr>
            <w:tcW w:w="780" w:type="dxa"/>
            <w:vAlign w:val="bottom"/>
          </w:tcPr>
          <w:p>
            <w:pPr>
              <w:jc w:val="right"/>
              <w:spacing w:after="0"/>
              <w:rPr>
                <w:sz w:val="20"/>
                <w:szCs w:val="20"/>
                <w:color w:val="auto"/>
              </w:rPr>
            </w:pPr>
            <w:r>
              <w:rPr>
                <w:rFonts w:ascii="Arial" w:cs="Arial" w:eastAsia="Arial" w:hAnsi="Arial"/>
                <w:sz w:val="12"/>
                <w:szCs w:val="12"/>
                <w:color w:val="auto"/>
              </w:rPr>
              <w:t>9,310,000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JF Acquisition, LLC</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86"/>
              </w:rPr>
              <w:t>06/30/2017</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19,874,148</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19,543,873</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17,886,733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2.00%)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MSPark,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06/15/2017</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14,758,098</w:t>
            </w:r>
          </w:p>
        </w:tc>
        <w:tc>
          <w:tcPr>
            <w:tcW w:w="780" w:type="dxa"/>
            <w:vAlign w:val="bottom"/>
          </w:tcPr>
          <w:p>
            <w:pPr>
              <w:jc w:val="right"/>
              <w:spacing w:after="0"/>
              <w:rPr>
                <w:sz w:val="20"/>
                <w:szCs w:val="20"/>
                <w:color w:val="auto"/>
              </w:rPr>
            </w:pPr>
            <w:r>
              <w:rPr>
                <w:rFonts w:ascii="Arial" w:cs="Arial" w:eastAsia="Arial" w:hAnsi="Arial"/>
                <w:sz w:val="12"/>
                <w:szCs w:val="12"/>
                <w:color w:val="auto"/>
              </w:rPr>
              <w:t>15,000,000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86"/>
              </w:rPr>
              <w:t>11/15/2019</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13,500,000</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13,040,004</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10,665,000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12.00%)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Power Products, LLC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12/11/2020</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12.75%</w:t>
            </w:r>
            <w:r>
              <w:rPr>
                <w:rFonts w:ascii="Arial" w:cs="Arial" w:eastAsia="Arial" w:hAnsi="Arial"/>
                <w:sz w:val="9"/>
                <w:szCs w:val="9"/>
                <w:color w:val="auto"/>
              </w:rPr>
              <w:t>(7)</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14,793,246</w:t>
            </w:r>
          </w:p>
        </w:tc>
        <w:tc>
          <w:tcPr>
            <w:tcW w:w="780" w:type="dxa"/>
            <w:vAlign w:val="bottom"/>
          </w:tcPr>
          <w:p>
            <w:pPr>
              <w:jc w:val="right"/>
              <w:spacing w:after="0"/>
              <w:rPr>
                <w:sz w:val="20"/>
                <w:szCs w:val="20"/>
                <w:color w:val="auto"/>
              </w:rPr>
            </w:pPr>
            <w:r>
              <w:rPr>
                <w:rFonts w:ascii="Arial" w:cs="Arial" w:eastAsia="Arial" w:hAnsi="Arial"/>
                <w:sz w:val="12"/>
                <w:szCs w:val="12"/>
                <w:color w:val="auto"/>
              </w:rPr>
              <w:t>15,225,000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Randall-Reilly Publishing Company,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86"/>
              </w:rPr>
              <w:t>04/15/2019</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(7)</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9"/>
              </w:rPr>
              <w:t>30,400,000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29,860,100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30,704,000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209,441,697</w:t>
            </w:r>
          </w:p>
        </w:tc>
        <w:tc>
          <w:tcPr>
            <w:tcW w:w="780" w:type="dxa"/>
            <w:vAlign w:val="bottom"/>
          </w:tcPr>
          <w:p>
            <w:pPr>
              <w:jc w:val="right"/>
              <w:spacing w:after="0"/>
              <w:rPr>
                <w:sz w:val="20"/>
                <w:szCs w:val="20"/>
                <w:color w:val="auto"/>
              </w:rPr>
            </w:pPr>
            <w:r>
              <w:rPr>
                <w:rFonts w:ascii="Arial" w:cs="Arial" w:eastAsia="Arial" w:hAnsi="Arial"/>
                <w:sz w:val="12"/>
                <w:szCs w:val="12"/>
                <w:color w:val="auto"/>
              </w:rPr>
              <w:t>205,619,630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Interests—1.6% </w:t>
            </w:r>
            <w:r>
              <w:rPr>
                <w:rFonts w:ascii="Arial" w:cs="Arial" w:eastAsia="Arial" w:hAnsi="Arial"/>
                <w:sz w:val="9"/>
                <w:szCs w:val="9"/>
                <w:b w:val="1"/>
                <w:bCs w:val="1"/>
                <w:color w:val="auto"/>
              </w:rPr>
              <w:t>(6)</w:t>
            </w:r>
          </w:p>
        </w:tc>
        <w:tc>
          <w:tcPr>
            <w:tcW w:w="17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AH Holdings,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211</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500,000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AHC Mezzanine,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7,505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318,896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760" w:type="dxa"/>
            <w:vAlign w:val="bottom"/>
          </w:tcPr>
          <w:p>
            <w:pPr>
              <w:jc w:val="center"/>
              <w:ind w:left="9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8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949</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949,050</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427,965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ind w:left="140"/>
              <w:spacing w:after="0"/>
              <w:rPr>
                <w:sz w:val="20"/>
                <w:szCs w:val="20"/>
                <w:color w:val="auto"/>
              </w:rPr>
            </w:pPr>
            <w:r>
              <w:rPr>
                <w:rFonts w:ascii="Arial" w:cs="Arial" w:eastAsia="Arial" w:hAnsi="Arial"/>
                <w:sz w:val="12"/>
                <w:szCs w:val="12"/>
                <w:color w:val="auto"/>
              </w:rPr>
              <w:t>(Alegeus Technologies, LLC)</w:t>
            </w: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CI (IHS) Investment Holdings,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76,357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765,307</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2,216,474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38,179</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382,654</w:t>
            </w:r>
          </w:p>
        </w:tc>
        <w:tc>
          <w:tcPr>
            <w:tcW w:w="780" w:type="dxa"/>
            <w:vAlign w:val="bottom"/>
          </w:tcPr>
          <w:p>
            <w:pPr>
              <w:jc w:val="right"/>
              <w:spacing w:after="0"/>
              <w:rPr>
                <w:sz w:val="20"/>
                <w:szCs w:val="20"/>
                <w:color w:val="auto"/>
              </w:rPr>
            </w:pPr>
            <w:r>
              <w:rPr>
                <w:rFonts w:ascii="Arial" w:cs="Arial" w:eastAsia="Arial" w:hAnsi="Arial"/>
                <w:sz w:val="12"/>
                <w:szCs w:val="12"/>
                <w:color w:val="auto"/>
              </w:rPr>
              <w:t>1,108,237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2,375</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2,375,000</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2,790,511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(Convergint Technologies LLC)</w:t>
            </w: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J.A. Cosmetics US, Inc.</w:t>
            </w:r>
          </w:p>
        </w:tc>
        <w:tc>
          <w:tcPr>
            <w:tcW w:w="1760" w:type="dxa"/>
            <w:vAlign w:val="bottom"/>
          </w:tcPr>
          <w:p>
            <w:pPr>
              <w:jc w:val="center"/>
              <w:ind w:left="9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3,397</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3,397,484</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3,580,328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ind w:left="180"/>
              <w:spacing w:after="0"/>
              <w:rPr>
                <w:sz w:val="20"/>
                <w:szCs w:val="20"/>
                <w:color w:val="auto"/>
              </w:rPr>
            </w:pPr>
            <w:r>
              <w:rPr>
                <w:rFonts w:ascii="Arial" w:cs="Arial" w:eastAsia="Arial" w:hAnsi="Arial"/>
                <w:sz w:val="12"/>
                <w:szCs w:val="12"/>
                <w:color w:val="auto"/>
              </w:rPr>
              <w:t>(J.A. Cosmetics Holdings, Inc.)</w:t>
            </w: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Red Point,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3,591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21,727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31,851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Ride Holdings,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Personal Transportation</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1,966,667</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2,251,667</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712,145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686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685,820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1,312</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1,312,006</w:t>
            </w:r>
          </w:p>
        </w:tc>
        <w:tc>
          <w:tcPr>
            <w:tcW w:w="780" w:type="dxa"/>
            <w:vAlign w:val="bottom"/>
          </w:tcPr>
          <w:p>
            <w:pPr>
              <w:jc w:val="right"/>
              <w:spacing w:after="0"/>
              <w:rPr>
                <w:sz w:val="20"/>
                <w:szCs w:val="20"/>
                <w:color w:val="auto"/>
              </w:rPr>
            </w:pPr>
            <w:r>
              <w:rPr>
                <w:rFonts w:ascii="Arial" w:cs="Arial" w:eastAsia="Arial" w:hAnsi="Arial"/>
                <w:sz w:val="12"/>
                <w:szCs w:val="12"/>
                <w:color w:val="auto"/>
              </w:rPr>
              <w:t>1,799,366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7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12,959,611</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13,352,697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2"/>
              </w:rPr>
              <w:t>Basis Point</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Maturity /</w:t>
            </w: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87"/>
              </w:rPr>
              <w:t>Current</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20" w:type="dxa"/>
            <w:vAlign w:val="bottom"/>
            <w:gridSpan w:val="2"/>
            <w:vMerge w:val="continue"/>
          </w:tcPr>
          <w:p>
            <w:pPr>
              <w:spacing w:after="0"/>
              <w:rPr>
                <w:sz w:val="12"/>
                <w:szCs w:val="12"/>
                <w:color w:val="auto"/>
              </w:rPr>
            </w:pPr>
          </w:p>
        </w:tc>
        <w:tc>
          <w:tcPr>
            <w:tcW w:w="1080" w:type="dxa"/>
            <w:vAlign w:val="bottom"/>
          </w:tcPr>
          <w:p>
            <w:pPr>
              <w:ind w:left="460"/>
              <w:spacing w:after="0"/>
              <w:rPr>
                <w:sz w:val="20"/>
                <w:szCs w:val="20"/>
                <w:color w:val="auto"/>
              </w:rPr>
            </w:pPr>
            <w:r>
              <w:rPr>
                <w:rFonts w:ascii="Arial" w:cs="Arial" w:eastAsia="Arial" w:hAnsi="Arial"/>
                <w:sz w:val="12"/>
                <w:szCs w:val="12"/>
                <w:b w:val="1"/>
                <w:bCs w:val="1"/>
                <w:color w:val="auto"/>
              </w:rPr>
              <w:t>Expiration</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3"/>
              </w:rPr>
              <w:t>Coupon</w:t>
            </w: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9"/>
              </w:rPr>
              <w:t>Shares</w:t>
            </w:r>
          </w:p>
        </w:tc>
        <w:tc>
          <w:tcPr>
            <w:tcW w:w="80" w:type="dxa"/>
            <w:vAlign w:val="bottom"/>
          </w:tcPr>
          <w:p>
            <w:pPr>
              <w:spacing w:after="0"/>
              <w:rPr>
                <w:sz w:val="12"/>
                <w:szCs w:val="12"/>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Interests/Warrants—9.1% </w:t>
            </w:r>
            <w:r>
              <w:rPr>
                <w:rFonts w:ascii="Arial" w:cs="Arial" w:eastAsia="Arial" w:hAnsi="Arial"/>
                <w:sz w:val="9"/>
                <w:szCs w:val="9"/>
                <w:b w:val="1"/>
                <w:bCs w:val="1"/>
                <w:color w:val="auto"/>
              </w:rPr>
              <w:t>(6)</w:t>
            </w:r>
          </w:p>
        </w:tc>
        <w:tc>
          <w:tcPr>
            <w:tcW w:w="108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(11)</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Electronics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1,998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2,000,000</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825,006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 Series A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12/12/2023</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6"/>
              </w:rPr>
              <w:t>Consumer Products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3"/>
              </w:rPr>
              <w:t>4,798,624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10,265,972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8,997,421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Affinion Group Holdings, Inc., Series B (Warrants)</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86"/>
              </w:rPr>
              <w:t>12/12/2023</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Consumer Products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9,822,196</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196,444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03/23/2021</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753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8"/>
              </w:rPr>
              <w:t>Financial Services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950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428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(Alegeus Technologies,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ASP LCG Holdings, Inc.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05/05/2026</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Education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586,975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540,370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Autumn Games, LLC</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Broadcasting and Entertainment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1,333,333</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3,000,000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(11)</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6"/>
              </w:rPr>
              <w:t>Cargo Transport</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137,923</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2,111,588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(f/k/a Transportation 100 Holdco, L.L.C.)</w:t>
            </w:r>
          </w:p>
        </w:tc>
        <w:tc>
          <w:tcPr>
            <w:tcW w:w="10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(Intermediate Transportation 100,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(11)</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2"/>
              </w:rPr>
              <w:t>Building Materials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207,242</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2,250,000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2,377,491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(Foundation Building Materials,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(9), (11)</w:t>
            </w:r>
          </w:p>
        </w:tc>
        <w:tc>
          <w:tcPr>
            <w:tcW w:w="1080" w:type="dxa"/>
            <w:vAlign w:val="bottom"/>
            <w:shd w:val="clear" w:color="auto" w:fill="CCEEFF"/>
          </w:tcPr>
          <w:p>
            <w:pPr>
              <w:jc w:val="center"/>
              <w:ind w:left="302"/>
              <w:spacing w:after="0" w:line="136"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92"/>
              </w:rPr>
              <w:t>Building Materials</w:t>
            </w:r>
          </w:p>
        </w:tc>
        <w:tc>
          <w:tcPr>
            <w:tcW w:w="6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103,621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1,125,000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1,188,746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(Foundation Building Materials,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Distribution</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1,505,000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1,505,000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1,847,186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CI (IHS) Investment Holdings, LLC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23,416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234,693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679,750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11,708</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117,346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339,875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2,375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760,634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(Convergint Technologies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CT Technologies Holdings, LLC</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5,556</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545,887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3,725,224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(CT Technologies Intermediate Holdings, Inc.)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J.A. Cosmetics US, Inc.</w:t>
            </w:r>
          </w:p>
        </w:tc>
        <w:tc>
          <w:tcPr>
            <w:tcW w:w="1080" w:type="dxa"/>
            <w:vAlign w:val="bottom"/>
            <w:shd w:val="clear" w:color="auto" w:fill="CCEEFF"/>
          </w:tcPr>
          <w:p>
            <w:pPr>
              <w:jc w:val="center"/>
              <w:ind w:left="302"/>
              <w:spacing w:after="0" w:line="136"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86"/>
              </w:rPr>
              <w:t>Consumer Products</w:t>
            </w:r>
          </w:p>
        </w:tc>
        <w:tc>
          <w:tcPr>
            <w:tcW w:w="6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252</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2,516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493,464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(J.A. Cosmetics Holdings, Inc.)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Kadmon Holdings, LLC, Class A</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1,079,920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1,236,832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9,906,155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Kadmon Holdings, LLC, Class D</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3"/>
              </w:rPr>
              <w:t>1,079,920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1,028,807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1,028,807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(11)</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Environmental Services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1,000,000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856,105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Magnum Hunter Resources Corporation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04/16/2016</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Oil and Gas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122,192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182,498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91,644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3"/>
              </w:rPr>
              <w:t>Distribution</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1,850</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1,850,294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49,057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(JF Acquisitions,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MidOcean PPL Holdings, Corp.</w:t>
            </w:r>
          </w:p>
        </w:tc>
        <w:tc>
          <w:tcPr>
            <w:tcW w:w="1080" w:type="dxa"/>
            <w:vAlign w:val="bottom"/>
            <w:shd w:val="clear" w:color="auto" w:fill="CCEEFF"/>
          </w:tcPr>
          <w:p>
            <w:pPr>
              <w:jc w:val="center"/>
              <w:ind w:left="302"/>
              <w:spacing w:after="0" w:line="136"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86"/>
              </w:rPr>
              <w:t>Personal, Food and Miscellaneous</w:t>
            </w:r>
          </w:p>
        </w:tc>
        <w:tc>
          <w:tcPr>
            <w:tcW w:w="6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3,000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5,993,832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Legal Services, Inc.)</w:t>
            </w:r>
          </w:p>
        </w:tc>
        <w:tc>
          <w:tcPr>
            <w:tcW w:w="10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6"/>
              </w:rPr>
              <w:t>Services</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(11)</w:t>
            </w:r>
            <w:r>
              <w:rPr>
                <w:rFonts w:ascii="Arial" w:cs="Arial" w:eastAsia="Arial" w:hAnsi="Arial"/>
                <w:sz w:val="12"/>
                <w:szCs w:val="12"/>
                <w:color w:val="auto"/>
              </w:rPr>
              <w:t xml:space="preserve"> (Warrants)</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86"/>
              </w:rPr>
              <w:t>05/09/2024</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Oil and Gas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13,500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495,000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Patriot National, Inc.</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86"/>
              </w:rPr>
              <w:t>11/27/2023</w:t>
            </w:r>
          </w:p>
        </w:tc>
        <w:tc>
          <w:tcPr>
            <w:tcW w:w="20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7"/>
              </w:rPr>
              <w:t>Insurance</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62,932</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1,290,904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3,398,932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(f/k/a Old Guard Risk Services, Inc.) (Warrants)</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Paradigm Acquisition Corp.</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20,000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1,171,851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2,800,714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(11)</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w w:val="93"/>
              </w:rPr>
              <w:t>1,350,000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1,657,516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(Power Products,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(11)</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150,000</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184,168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200"/>
              <w:spacing w:after="0"/>
              <w:rPr>
                <w:sz w:val="20"/>
                <w:szCs w:val="20"/>
                <w:color w:val="auto"/>
              </w:rPr>
            </w:pPr>
            <w:r>
              <w:rPr>
                <w:rFonts w:ascii="Arial" w:cs="Arial" w:eastAsia="Arial" w:hAnsi="Arial"/>
                <w:sz w:val="12"/>
                <w:szCs w:val="12"/>
                <w:color w:val="auto"/>
              </w:rPr>
              <w:t>(Power Products,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RAM Energy LLC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Energy and Utilities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828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827,922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827,922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Red Point, LLC</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Other Media</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388,378</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1,629,791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3,444,803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Ride Holdings, Inc.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Personal Transportation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9,882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SPG Boyd Holdings Corp.</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Chemical, Plastic and Rubber</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2,419,203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9,457,220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TRAK Acquisition Corp.</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86"/>
              </w:rPr>
              <w:t>12/29/2019</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3,500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29,400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542,155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(Warrants)</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TZ Holdings, L.P.</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Insurance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9,567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1,819,448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Vestcom Parent Holdings, Inc.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Printing and Publishing</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211,797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793,873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3,413,412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VText Holdings, Inc.</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Business Services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35,526</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4,050,000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4,135,148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Z Wireless Holdings, Inc.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10/21/2021</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Retail</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1,736</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168,799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457,020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1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46,441,982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75,006,097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10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5"/>
              </w:rPr>
              <w:t>1,171,573,359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1,212,515,400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380"/>
              <w:spacing w:after="0" w:line="135" w:lineRule="exact"/>
              <w:rPr>
                <w:sz w:val="20"/>
                <w:szCs w:val="20"/>
                <w:color w:val="auto"/>
              </w:rPr>
            </w:pPr>
            <w:r>
              <w:rPr>
                <w:rFonts w:ascii="Arial" w:cs="Arial" w:eastAsia="Arial" w:hAnsi="Arial"/>
                <w:sz w:val="12"/>
                <w:szCs w:val="12"/>
                <w:b w:val="1"/>
                <w:bCs w:val="1"/>
                <w:color w:val="auto"/>
              </w:rPr>
              <w:t>Maturity /</w:t>
            </w: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00" w:type="dxa"/>
            <w:vAlign w:val="bottom"/>
            <w:gridSpan w:val="2"/>
            <w:vMerge w:val="continue"/>
          </w:tcPr>
          <w:p>
            <w:pPr>
              <w:spacing w:after="0"/>
              <w:rPr>
                <w:sz w:val="12"/>
                <w:szCs w:val="12"/>
                <w:color w:val="auto"/>
              </w:rPr>
            </w:pPr>
          </w:p>
        </w:tc>
        <w:tc>
          <w:tcPr>
            <w:tcW w:w="960" w:type="dxa"/>
            <w:vAlign w:val="bottom"/>
          </w:tcPr>
          <w:p>
            <w:pPr>
              <w:ind w:left="380"/>
              <w:spacing w:after="0"/>
              <w:rPr>
                <w:sz w:val="20"/>
                <w:szCs w:val="20"/>
                <w:color w:val="auto"/>
              </w:rPr>
            </w:pPr>
            <w:r>
              <w:rPr>
                <w:rFonts w:ascii="Arial" w:cs="Arial" w:eastAsia="Arial" w:hAnsi="Arial"/>
                <w:sz w:val="12"/>
                <w:szCs w:val="12"/>
                <w:b w:val="1"/>
                <w:bCs w:val="1"/>
                <w:color w:val="auto"/>
                <w:w w:val="95"/>
              </w:rPr>
              <w:t>Expiration</w:t>
            </w:r>
          </w:p>
        </w:tc>
        <w:tc>
          <w:tcPr>
            <w:tcW w:w="1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8"/>
              </w:rPr>
              <w:t xml:space="preserve">Investments in Non-Controlled, Affiliated Portfolio Companies—8.2% </w:t>
            </w:r>
            <w:r>
              <w:rPr>
                <w:rFonts w:ascii="Arial" w:cs="Arial" w:eastAsia="Arial" w:hAnsi="Arial"/>
                <w:sz w:val="9"/>
                <w:szCs w:val="9"/>
                <w:b w:val="1"/>
                <w:bCs w:val="1"/>
                <w:color w:val="auto"/>
                <w:w w:val="98"/>
              </w:rPr>
              <w:t>(1), (2)</w:t>
            </w:r>
          </w:p>
        </w:tc>
        <w:tc>
          <w:tcPr>
            <w:tcW w:w="96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b w:val="1"/>
                <w:bCs w:val="1"/>
                <w:color w:val="auto"/>
              </w:rPr>
              <w:t>Second Lien Secured Debt—1.1%</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Real Property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6"/>
              </w:rPr>
              <w:t>12/26/2017</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L+800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9,409,740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9,171,387</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9,127,448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Notes—4.8%</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86"/>
              </w:rPr>
              <w:t>11/05/2019</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12.00%</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11,632,136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11,632,137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11,283,172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8"/>
              </w:rPr>
              <w:t>(PIK 12.00%)</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Service Champ,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6"/>
              </w:rPr>
              <w:t>10/02/2017</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9"/>
              </w:rPr>
              <w:t>Auto Sector</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12.50%</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28,000,000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27,581,798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28,257,554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39,213,935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39,540,726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 –0.2% </w:t>
            </w:r>
            <w:r>
              <w:rPr>
                <w:rFonts w:ascii="Arial" w:cs="Arial" w:eastAsia="Arial" w:hAnsi="Arial"/>
                <w:sz w:val="9"/>
                <w:szCs w:val="9"/>
                <w:b w:val="1"/>
                <w:bCs w:val="1"/>
                <w:color w:val="auto"/>
              </w:rPr>
              <w:t>(6)</w:t>
            </w: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PAS International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Aerospace and</w:t>
            </w:r>
          </w:p>
        </w:tc>
        <w:tc>
          <w:tcPr>
            <w:tcW w:w="86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53,071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20,059,340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1,650,729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4"/>
              </w:rPr>
              <w:t>Defense</w:t>
            </w: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Interests/Warrants—2.1% </w:t>
            </w:r>
            <w:r>
              <w:rPr>
                <w:rFonts w:ascii="Arial" w:cs="Arial" w:eastAsia="Arial" w:hAnsi="Arial"/>
                <w:sz w:val="9"/>
                <w:szCs w:val="9"/>
                <w:b w:val="1"/>
                <w:bCs w:val="1"/>
                <w:color w:val="auto"/>
              </w:rPr>
              <w:t>(6)</w:t>
            </w: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104,719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21,492,822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6"/>
              </w:rPr>
              <w:t>11/05/2022</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15,486</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EnviroSolutions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143,668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11,960,702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12,140,931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(EnviroSolutions Real Property Holdings,</w:t>
            </w:r>
          </w:p>
        </w:tc>
        <w:tc>
          <w:tcPr>
            <w:tcW w:w="9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w:t>
            </w:r>
          </w:p>
        </w:tc>
        <w:tc>
          <w:tcPr>
            <w:tcW w:w="9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960" w:type="dxa"/>
            <w:vAlign w:val="bottom"/>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8"/>
              </w:rPr>
              <w:t>Leisure, Amusement,</w:t>
            </w:r>
          </w:p>
        </w:tc>
        <w:tc>
          <w:tcPr>
            <w:tcW w:w="86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375,000</w:t>
            </w: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3,750,000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9"/>
              </w:rPr>
              <w:t>Motion Pictures and Entertainment</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New Service Champ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Auto Sector</w:t>
            </w:r>
          </w:p>
        </w:tc>
        <w:tc>
          <w:tcPr>
            <w:tcW w:w="86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16,800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2,721,600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5,387,687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(Service Champ, Inc.)</w:t>
            </w:r>
          </w:p>
        </w:tc>
        <w:tc>
          <w:tcPr>
            <w:tcW w:w="9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53,071</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202,620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40,127,744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17,528,618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108,572,406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67,847,521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Companies—4.6% </w:t>
            </w:r>
            <w:r>
              <w:rPr>
                <w:rFonts w:ascii="Arial" w:cs="Arial" w:eastAsia="Arial" w:hAnsi="Arial"/>
                <w:sz w:val="9"/>
                <w:szCs w:val="9"/>
                <w:b w:val="1"/>
                <w:bCs w:val="1"/>
                <w:color w:val="auto"/>
              </w:rPr>
              <w:t>(1), (2)</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b w:val="1"/>
                <w:bCs w:val="1"/>
                <w:color w:val="auto"/>
              </w:rPr>
              <w:t>First Lien Secured Debt—3.8%</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Superior Digital Displays, LLC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6"/>
              </w:rPr>
              <w:t>12/31/2018</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13.50%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L+1,250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22,150,000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19,924,736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19,282,328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 xml:space="preserve">Superior Digital Displays, LLC </w:t>
            </w:r>
            <w:r>
              <w:rPr>
                <w:rFonts w:ascii="Arial" w:cs="Arial" w:eastAsia="Arial" w:hAnsi="Arial"/>
                <w:sz w:val="9"/>
                <w:szCs w:val="9"/>
                <w:color w:val="auto"/>
              </w:rPr>
              <w:t>(9)</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6"/>
              </w:rPr>
              <w:t>12/31/2018</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2,850,000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2,572,719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2,481,022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6"/>
              </w:rPr>
              <w:t>06/30/2020</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9,250,000</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9,250,000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9,526,144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31,747,455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31,289,494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9"/>
              </w:rPr>
              <w:t>6/30/2020</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1,986,611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(6)</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14.00%</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2,500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2,487,245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Common Equity—0.2% </w:t>
            </w:r>
            <w:r>
              <w:rPr>
                <w:rFonts w:ascii="Arial" w:cs="Arial" w:eastAsia="Arial" w:hAnsi="Arial"/>
                <w:sz w:val="9"/>
                <w:szCs w:val="9"/>
                <w:b w:val="1"/>
                <w:bCs w:val="1"/>
                <w:color w:val="auto"/>
              </w:rPr>
              <w:t>(6)</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line="129" w:lineRule="exact"/>
              <w:rPr>
                <w:sz w:val="20"/>
                <w:szCs w:val="20"/>
                <w:color w:val="auto"/>
              </w:rPr>
            </w:pPr>
            <w:r>
              <w:rPr>
                <w:rFonts w:ascii="Arial" w:cs="Arial" w:eastAsia="Arial" w:hAnsi="Arial"/>
                <w:sz w:val="12"/>
                <w:szCs w:val="12"/>
                <w:color w:val="auto"/>
              </w:rPr>
              <w:t>Superior Digital Displays Holdings, Inc.</w:t>
            </w:r>
          </w:p>
        </w:tc>
        <w:tc>
          <w:tcPr>
            <w:tcW w:w="960" w:type="dxa"/>
            <w:vAlign w:val="bottom"/>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4,750</w:t>
            </w: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2,211,000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1,928,495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(Superior Digital Displays, LLC)</w:t>
            </w: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2,211,100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1,928,495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38,708,555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37,691,845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Investments—159.2%</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w w:val="91"/>
              </w:rPr>
              <w:t>1,318,854,320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1,318,054,766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Equivalents—8.0%</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6,805,293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6,805,293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 and Cash</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59,794,902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59,713,389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66,600,195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66,518,682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Equivalents—167.2%</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1"/>
              </w:rPr>
              <w:t>1,385,454,515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1,384,573,448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Assets—(67.2%)</w:t>
            </w: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(556,563,499)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828,009,949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663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06" w:lineRule="exact"/>
        <w:rPr>
          <w:sz w:val="20"/>
          <w:szCs w:val="20"/>
          <w:color w:val="auto"/>
        </w:rPr>
      </w:pPr>
    </w:p>
    <w:p>
      <w:pPr>
        <w:ind w:left="340" w:hanging="332"/>
        <w:spacing w:after="0" w:line="243"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9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ind w:right="142"/>
              <w:spacing w:after="0"/>
              <w:rPr>
                <w:sz w:val="20"/>
                <w:szCs w:val="20"/>
                <w:color w:val="auto"/>
              </w:rPr>
            </w:pPr>
            <w:r>
              <w:rPr>
                <w:rFonts w:ascii="Arial" w:cs="Arial" w:eastAsia="Arial" w:hAnsi="Arial"/>
                <w:sz w:val="12"/>
                <w:szCs w:val="12"/>
                <w:b w:val="1"/>
                <w:bCs w:val="1"/>
                <w:color w:val="auto"/>
                <w:w w:val="82"/>
              </w:rPr>
              <w:t>Basis Point</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jc w:val="center"/>
              <w:ind w:right="142"/>
              <w:spacing w:after="0" w:line="135" w:lineRule="exact"/>
              <w:rPr>
                <w:sz w:val="20"/>
                <w:szCs w:val="20"/>
                <w:color w:val="auto"/>
              </w:rPr>
            </w:pPr>
            <w:r>
              <w:rPr>
                <w:rFonts w:ascii="Arial" w:cs="Arial" w:eastAsia="Arial" w:hAnsi="Arial"/>
                <w:sz w:val="12"/>
                <w:szCs w:val="12"/>
                <w:b w:val="1"/>
                <w:bCs w:val="1"/>
                <w:color w:val="auto"/>
                <w:w w:val="83"/>
              </w:rPr>
              <w:t>Spread</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6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jc w:val="right"/>
              <w:ind w:right="262"/>
              <w:spacing w:after="0" w:line="135" w:lineRule="exact"/>
              <w:rPr>
                <w:sz w:val="20"/>
                <w:szCs w:val="20"/>
                <w:color w:val="auto"/>
              </w:rPr>
            </w:pPr>
            <w:r>
              <w:rPr>
                <w:rFonts w:ascii="Arial" w:cs="Arial" w:eastAsia="Arial" w:hAnsi="Arial"/>
                <w:sz w:val="12"/>
                <w:szCs w:val="12"/>
                <w:b w:val="1"/>
                <w:bCs w:val="1"/>
                <w:color w:val="auto"/>
              </w:rPr>
              <w:t>Current</w:t>
            </w:r>
          </w:p>
        </w:tc>
        <w:tc>
          <w:tcPr>
            <w:tcW w:w="980" w:type="dxa"/>
            <w:vAlign w:val="bottom"/>
          </w:tcPr>
          <w:p>
            <w:pPr>
              <w:jc w:val="center"/>
              <w:ind w:right="142"/>
              <w:spacing w:after="0" w:line="135" w:lineRule="exact"/>
              <w:rPr>
                <w:sz w:val="20"/>
                <w:szCs w:val="20"/>
                <w:color w:val="auto"/>
              </w:rPr>
            </w:pPr>
            <w:r>
              <w:rPr>
                <w:rFonts w:ascii="Arial" w:cs="Arial" w:eastAsia="Arial" w:hAnsi="Arial"/>
                <w:sz w:val="12"/>
                <w:szCs w:val="12"/>
                <w:b w:val="1"/>
                <w:bCs w:val="1"/>
                <w:color w:val="auto"/>
                <w:w w:val="81"/>
              </w:rPr>
              <w:t>Above</w:t>
            </w:r>
          </w:p>
        </w:tc>
        <w:tc>
          <w:tcPr>
            <w:tcW w:w="960" w:type="dxa"/>
            <w:vAlign w:val="bottom"/>
          </w:tcPr>
          <w:p>
            <w:pPr>
              <w:jc w:val="right"/>
              <w:ind w:right="402"/>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660" w:type="dxa"/>
            <w:vAlign w:val="bottom"/>
          </w:tcPr>
          <w:p>
            <w:pPr>
              <w:jc w:val="center"/>
              <w:ind w:right="22"/>
              <w:spacing w:after="0"/>
              <w:rPr>
                <w:sz w:val="20"/>
                <w:szCs w:val="20"/>
                <w:color w:val="auto"/>
              </w:rPr>
            </w:pPr>
            <w:r>
              <w:rPr>
                <w:rFonts w:ascii="Arial" w:cs="Arial" w:eastAsia="Arial" w:hAnsi="Arial"/>
                <w:sz w:val="12"/>
                <w:szCs w:val="12"/>
                <w:b w:val="1"/>
                <w:bCs w:val="1"/>
                <w:color w:val="auto"/>
                <w:w w:val="98"/>
              </w:rPr>
              <w:t>Maturity</w:t>
            </w: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20" w:type="dxa"/>
            <w:vAlign w:val="bottom"/>
          </w:tcPr>
          <w:p>
            <w:pPr>
              <w:jc w:val="right"/>
              <w:ind w:right="262"/>
              <w:spacing w:after="0"/>
              <w:rPr>
                <w:sz w:val="20"/>
                <w:szCs w:val="20"/>
                <w:color w:val="auto"/>
              </w:rPr>
            </w:pPr>
            <w:r>
              <w:rPr>
                <w:rFonts w:ascii="Arial" w:cs="Arial" w:eastAsia="Arial" w:hAnsi="Arial"/>
                <w:sz w:val="12"/>
                <w:szCs w:val="12"/>
                <w:b w:val="1"/>
                <w:bCs w:val="1"/>
                <w:color w:val="auto"/>
              </w:rPr>
              <w:t>Coupon</w:t>
            </w:r>
          </w:p>
        </w:tc>
        <w:tc>
          <w:tcPr>
            <w:tcW w:w="980" w:type="dxa"/>
            <w:vAlign w:val="bottom"/>
          </w:tcPr>
          <w:p>
            <w:pPr>
              <w:jc w:val="center"/>
              <w:ind w:right="1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96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Non-Affiliated Portfolio Companies—138.9% </w:t>
            </w:r>
            <w:r>
              <w:rPr>
                <w:rFonts w:ascii="Arial" w:cs="Arial" w:eastAsia="Arial" w:hAnsi="Arial"/>
                <w:sz w:val="9"/>
                <w:szCs w:val="9"/>
                <w:b w:val="1"/>
                <w:bCs w:val="1"/>
                <w:color w:val="auto"/>
                <w:w w:val="90"/>
              </w:rPr>
              <w:t>(1), (2)</w:t>
            </w:r>
          </w:p>
        </w:tc>
        <w:tc>
          <w:tcPr>
            <w:tcW w:w="66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Debt—41.3%</w:t>
            </w:r>
          </w:p>
        </w:tc>
        <w:tc>
          <w:tcPr>
            <w:tcW w:w="6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06/21/2017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Communications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11.25%</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23,912,894</w:t>
            </w:r>
          </w:p>
        </w:tc>
        <w:tc>
          <w:tcPr>
            <w:tcW w:w="720" w:type="dxa"/>
            <w:vAlign w:val="bottom"/>
          </w:tcPr>
          <w:p>
            <w:pPr>
              <w:jc w:val="right"/>
              <w:spacing w:after="0"/>
              <w:rPr>
                <w:sz w:val="20"/>
                <w:szCs w:val="20"/>
                <w:color w:val="auto"/>
              </w:rPr>
            </w:pPr>
            <w:r>
              <w:rPr>
                <w:rFonts w:ascii="Arial" w:cs="Arial" w:eastAsia="Arial" w:hAnsi="Arial"/>
                <w:sz w:val="12"/>
                <w:szCs w:val="12"/>
                <w:color w:val="auto"/>
                <w:w w:val="99"/>
              </w:rPr>
              <w:t>$ 23,012,057</w:t>
            </w: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25,347,668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12/21/2016</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Retail</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12.50%</w:t>
            </w:r>
          </w:p>
        </w:tc>
        <w:tc>
          <w:tcPr>
            <w:tcW w:w="98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L+1,225</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14,550,084</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14,310,552</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14,694,828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(PIK 1.50%)</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 xml:space="preserve">CEVA Group PLC </w:t>
            </w:r>
            <w:r>
              <w:rPr>
                <w:rFonts w:ascii="Arial" w:cs="Arial" w:eastAsia="Arial" w:hAnsi="Arial"/>
                <w:sz w:val="9"/>
                <w:szCs w:val="9"/>
                <w:color w:val="auto"/>
              </w:rPr>
              <w:t>(5), (10)</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10/01/2016</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Cargo Transport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11.63%</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7,500,000</w:t>
            </w:r>
          </w:p>
        </w:tc>
        <w:tc>
          <w:tcPr>
            <w:tcW w:w="720" w:type="dxa"/>
            <w:vAlign w:val="bottom"/>
          </w:tcPr>
          <w:p>
            <w:pPr>
              <w:jc w:val="right"/>
              <w:spacing w:after="0"/>
              <w:rPr>
                <w:sz w:val="20"/>
                <w:szCs w:val="20"/>
                <w:color w:val="auto"/>
              </w:rPr>
            </w:pPr>
            <w:r>
              <w:rPr>
                <w:rFonts w:ascii="Arial" w:cs="Arial" w:eastAsia="Arial" w:hAnsi="Arial"/>
                <w:sz w:val="12"/>
                <w:szCs w:val="12"/>
                <w:color w:val="auto"/>
              </w:rPr>
              <w:t>7,385,251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7,725,000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Columbus International, Inc. </w:t>
            </w:r>
            <w:r>
              <w:rPr>
                <w:rFonts w:ascii="Arial" w:cs="Arial" w:eastAsia="Arial" w:hAnsi="Arial"/>
                <w:sz w:val="9"/>
                <w:szCs w:val="9"/>
                <w:color w:val="auto"/>
              </w:rPr>
              <w:t>(5), (10)</w:t>
            </w:r>
          </w:p>
        </w:tc>
        <w:tc>
          <w:tcPr>
            <w:tcW w:w="6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11/20/2014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Communications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10,000,000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Cydcor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06/12/2017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9.75%</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L+725</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7,342,967</w:t>
            </w:r>
          </w:p>
        </w:tc>
        <w:tc>
          <w:tcPr>
            <w:tcW w:w="720" w:type="dxa"/>
            <w:vAlign w:val="bottom"/>
          </w:tcPr>
          <w:p>
            <w:pPr>
              <w:jc w:val="right"/>
              <w:spacing w:after="0"/>
              <w:rPr>
                <w:sz w:val="20"/>
                <w:szCs w:val="20"/>
                <w:color w:val="auto"/>
              </w:rPr>
            </w:pPr>
            <w:r>
              <w:rPr>
                <w:rFonts w:ascii="Arial" w:cs="Arial" w:eastAsia="Arial" w:hAnsi="Arial"/>
                <w:sz w:val="12"/>
                <w:szCs w:val="12"/>
                <w:color w:val="auto"/>
              </w:rPr>
              <w:t>7,342,967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7,342,967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Good Sam Enterprises, LLC </w:t>
            </w:r>
            <w:r>
              <w:rPr>
                <w:rFonts w:ascii="Arial" w:cs="Arial" w:eastAsia="Arial" w:hAnsi="Arial"/>
                <w:sz w:val="9"/>
                <w:szCs w:val="9"/>
                <w:color w:val="auto"/>
              </w:rPr>
              <w:t>(5)</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12/01/2016</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12,000,000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11,835,907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03/30/2017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Auto Sector</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11,500,000</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11,326,110</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12,391,250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InfuSystem Holdings, Inc.</w:t>
            </w:r>
          </w:p>
        </w:tc>
        <w:tc>
          <w:tcPr>
            <w:tcW w:w="6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11/30/2016</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11.95%</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P+625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11,600,000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11,708,430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Instant Web, Inc.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08/07/2014</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14.50%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23,934,268</w:t>
            </w:r>
          </w:p>
        </w:tc>
        <w:tc>
          <w:tcPr>
            <w:tcW w:w="720" w:type="dxa"/>
            <w:vAlign w:val="bottom"/>
          </w:tcPr>
          <w:p>
            <w:pPr>
              <w:jc w:val="right"/>
              <w:spacing w:after="0"/>
              <w:rPr>
                <w:sz w:val="20"/>
                <w:szCs w:val="20"/>
                <w:color w:val="auto"/>
              </w:rPr>
            </w:pPr>
            <w:r>
              <w:rPr>
                <w:rFonts w:ascii="Arial" w:cs="Arial" w:eastAsia="Arial" w:hAnsi="Arial"/>
                <w:sz w:val="12"/>
                <w:szCs w:val="12"/>
                <w:color w:val="auto"/>
              </w:rPr>
              <w:t>23,788,980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22,976,897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Instant Web, Inc.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08/07/2014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Printing and Publishing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3.55%</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L+338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18,199,679</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13,917,288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14,559,743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Interactive Health Solutions, Inc.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10/04/2016</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18,050,000</w:t>
            </w:r>
          </w:p>
        </w:tc>
        <w:tc>
          <w:tcPr>
            <w:tcW w:w="720" w:type="dxa"/>
            <w:vAlign w:val="bottom"/>
          </w:tcPr>
          <w:p>
            <w:pPr>
              <w:jc w:val="right"/>
              <w:spacing w:after="0"/>
              <w:rPr>
                <w:sz w:val="20"/>
                <w:szCs w:val="20"/>
                <w:color w:val="auto"/>
              </w:rPr>
            </w:pPr>
            <w:r>
              <w:rPr>
                <w:rFonts w:ascii="Arial" w:cs="Arial" w:eastAsia="Arial" w:hAnsi="Arial"/>
                <w:sz w:val="12"/>
                <w:szCs w:val="12"/>
                <w:color w:val="auto"/>
              </w:rPr>
              <w:t>17,770,705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18,050,000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10/16/2017</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Personal, Food and Miscellaneous</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10.00%</w:t>
            </w:r>
          </w:p>
        </w:tc>
        <w:tc>
          <w:tcPr>
            <w:tcW w:w="9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8,355,469</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8,349,704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8,230,137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Services</w:t>
            </w: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08/19/2019</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10.00%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L+900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22,342,352</w:t>
            </w:r>
          </w:p>
        </w:tc>
        <w:tc>
          <w:tcPr>
            <w:tcW w:w="720" w:type="dxa"/>
            <w:vAlign w:val="bottom"/>
          </w:tcPr>
          <w:p>
            <w:pPr>
              <w:jc w:val="right"/>
              <w:spacing w:after="0"/>
              <w:rPr>
                <w:sz w:val="20"/>
                <w:szCs w:val="20"/>
                <w:color w:val="auto"/>
              </w:rPr>
            </w:pPr>
            <w:r>
              <w:rPr>
                <w:rFonts w:ascii="Arial" w:cs="Arial" w:eastAsia="Arial" w:hAnsi="Arial"/>
                <w:sz w:val="12"/>
                <w:szCs w:val="12"/>
                <w:color w:val="auto"/>
              </w:rPr>
              <w:t>21,899,258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22,007,217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08/01/2014</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6.00%</w:t>
            </w:r>
          </w:p>
        </w:tc>
        <w:tc>
          <w:tcPr>
            <w:tcW w:w="9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L+500</w:t>
            </w:r>
            <w:r>
              <w:rPr>
                <w:rFonts w:ascii="Arial" w:cs="Arial" w:eastAsia="Arial" w:hAnsi="Arial"/>
                <w:sz w:val="9"/>
                <w:szCs w:val="9"/>
                <w:color w:val="auto"/>
              </w:rPr>
              <w:t>(8)</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37,950,152</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36,110,124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37,523,212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(PIK 2.00%)</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12/16/2019</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91"/>
              </w:rPr>
              <w:t>Mining, Steel, Iron and</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11.50%</w:t>
            </w:r>
          </w:p>
        </w:tc>
        <w:tc>
          <w:tcPr>
            <w:tcW w:w="98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14,250,000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14,096,169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15,176,250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Non-Precious Metals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04/30/2018</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12.00%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34,270,800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33,766,321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34,270,800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07/06/2017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12.50%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12,451,096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12,451,096</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12,388,840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278,962,489</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288,043,239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Debt—48.9%</w:t>
            </w: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shd w:val="clear" w:color="auto" w:fill="CCEEFF"/>
          </w:tcPr>
          <w:p>
            <w:pPr>
              <w:jc w:val="center"/>
              <w:ind w:right="22"/>
              <w:spacing w:after="0" w:line="136" w:lineRule="exact"/>
              <w:rPr>
                <w:sz w:val="20"/>
                <w:szCs w:val="20"/>
                <w:color w:val="auto"/>
              </w:rPr>
            </w:pPr>
            <w:r>
              <w:rPr>
                <w:rFonts w:ascii="Arial" w:cs="Arial" w:eastAsia="Arial" w:hAnsi="Arial"/>
                <w:sz w:val="12"/>
                <w:szCs w:val="12"/>
                <w:color w:val="auto"/>
                <w:w w:val="89"/>
              </w:rPr>
              <w:t>09/01/2017</w:t>
            </w:r>
          </w:p>
        </w:tc>
        <w:tc>
          <w:tcPr>
            <w:tcW w:w="19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0"/>
              </w:rPr>
              <w:t>Diversified Natural Resources,</w:t>
            </w:r>
          </w:p>
        </w:tc>
        <w:tc>
          <w:tcPr>
            <w:tcW w:w="82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202"/>
              <w:spacing w:after="0" w:line="136"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line="136" w:lineRule="exact"/>
              <w:rPr>
                <w:sz w:val="20"/>
                <w:szCs w:val="20"/>
                <w:color w:val="auto"/>
              </w:rPr>
            </w:pPr>
            <w:r>
              <w:rPr>
                <w:rFonts w:ascii="Arial" w:cs="Arial" w:eastAsia="Arial" w:hAnsi="Arial"/>
                <w:sz w:val="12"/>
                <w:szCs w:val="12"/>
                <w:color w:val="auto"/>
              </w:rPr>
              <w:t>25,400,000</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25,400,000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25,971,500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Precious Metals and Minerals</w:t>
            </w:r>
          </w:p>
        </w:tc>
        <w:tc>
          <w:tcPr>
            <w:tcW w:w="8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Arsloane Acquisition,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10/01/2020</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11.75%</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18,750,000</w:t>
            </w:r>
          </w:p>
        </w:tc>
        <w:tc>
          <w:tcPr>
            <w:tcW w:w="720" w:type="dxa"/>
            <w:vAlign w:val="bottom"/>
          </w:tcPr>
          <w:p>
            <w:pPr>
              <w:jc w:val="right"/>
              <w:spacing w:after="0"/>
              <w:rPr>
                <w:sz w:val="20"/>
                <w:szCs w:val="20"/>
                <w:color w:val="auto"/>
              </w:rPr>
            </w:pPr>
            <w:r>
              <w:rPr>
                <w:rFonts w:ascii="Arial" w:cs="Arial" w:eastAsia="Arial" w:hAnsi="Arial"/>
                <w:sz w:val="12"/>
                <w:szCs w:val="12"/>
                <w:color w:val="auto"/>
              </w:rPr>
              <w:t>18,375,000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18,687,563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10/23/2019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Energy / Utilities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11.00%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42,278,570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41,471,524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43,159,233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Carolina Beverage Group,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08/01/2018</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Beverage, Food and Tobacco</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10.63%</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13,125,000</w:t>
            </w:r>
          </w:p>
        </w:tc>
        <w:tc>
          <w:tcPr>
            <w:tcW w:w="720" w:type="dxa"/>
            <w:vAlign w:val="bottom"/>
          </w:tcPr>
          <w:p>
            <w:pPr>
              <w:jc w:val="right"/>
              <w:spacing w:after="0"/>
              <w:rPr>
                <w:sz w:val="20"/>
                <w:szCs w:val="20"/>
                <w:color w:val="auto"/>
              </w:rPr>
            </w:pPr>
            <w:r>
              <w:rPr>
                <w:rFonts w:ascii="Arial" w:cs="Arial" w:eastAsia="Arial" w:hAnsi="Arial"/>
                <w:sz w:val="12"/>
                <w:szCs w:val="12"/>
                <w:color w:val="auto"/>
              </w:rPr>
              <w:t>13,125,000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13,420,313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Envision Acquisition Company, LLC</w:t>
            </w:r>
          </w:p>
        </w:tc>
        <w:tc>
          <w:tcPr>
            <w:tcW w:w="6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11/04/2021</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9.75%</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19,000,000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18,620,000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18,905,000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Eureka Hunter Pipeline,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08/16/2018</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Energy / Utilities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12.50%</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45,000,000</w:t>
            </w:r>
          </w:p>
        </w:tc>
        <w:tc>
          <w:tcPr>
            <w:tcW w:w="720" w:type="dxa"/>
            <w:vAlign w:val="bottom"/>
          </w:tcPr>
          <w:p>
            <w:pPr>
              <w:jc w:val="right"/>
              <w:spacing w:after="0"/>
              <w:rPr>
                <w:sz w:val="20"/>
                <w:szCs w:val="20"/>
                <w:color w:val="auto"/>
              </w:rPr>
            </w:pPr>
            <w:r>
              <w:rPr>
                <w:rFonts w:ascii="Arial" w:cs="Arial" w:eastAsia="Arial" w:hAnsi="Arial"/>
                <w:sz w:val="12"/>
                <w:szCs w:val="12"/>
                <w:color w:val="auto"/>
              </w:rPr>
              <w:t>44,599,796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46,575,000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06/14/2019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Electronics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L+1,000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7,500,000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Intermediate Transportation 100, L.L.C.</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03/01/2017</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9"/>
              </w:rPr>
              <w:t>Cargo Transport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11.00%</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L+700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3,544,833</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3,544,836</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3,544,833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w w:val="98"/>
              </w:rPr>
              <w:t>(PIK 11.00%)</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Jacobs Entertainment, Inc.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10/29/2019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Hotels, Motels, Inns and Gaming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13.00%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38,950,000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38,287,499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39,096,063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12/20/2016</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7"/>
              </w:rPr>
              <w:t>Personal, Food and Miscellaneous</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10.50%</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33,750,000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33,265,829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33,187,388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2"/>
              </w:rPr>
              <w:t>Services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Linc USA GP and Linc Energy Finance (USA),</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10/31/2017</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12.50%</w:t>
            </w:r>
          </w:p>
        </w:tc>
        <w:tc>
          <w:tcPr>
            <w:tcW w:w="98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11,875,000</w:t>
            </w: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11,511,878</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13,062,500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 xml:space="preserve">Inc. </w:t>
            </w:r>
            <w:r>
              <w:rPr>
                <w:rFonts w:ascii="Arial" w:cs="Arial" w:eastAsia="Arial" w:hAnsi="Arial"/>
                <w:sz w:val="9"/>
                <w:szCs w:val="9"/>
                <w:color w:val="auto"/>
              </w:rPr>
              <w:t>(5)</w:t>
            </w: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Pre-Paid Legal Services, Inc.</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07/01/2020</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7"/>
              </w:rPr>
              <w:t>Personal, Food and Miscellaneous</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9.75%</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56,750,000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55,923,621</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56,040,625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2"/>
              </w:rPr>
              <w:t>Services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12/15/2014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Other Media</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9.50%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L+550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2,395,378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2,395,378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2,371,424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12/15/2015</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11.50%</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P+750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2,502,333</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2,502,333</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2,452,286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w w:val="98"/>
              </w:rPr>
              <w:t>(PIK 11.50%)</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ROC Finance LLC and ROC Finance 1 Corp.</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08/31/2018</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Hotels, Motels, Inns and Gaming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12.13%</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16,000,000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15,785,252</w:t>
            </w:r>
          </w:p>
        </w:tc>
        <w:tc>
          <w:tcPr>
            <w:tcW w:w="2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17,720,000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332,007,946</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341,093,728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82"/>
              </w:rPr>
              <w:t>Basis Point</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83"/>
              </w:rPr>
              <w:t>Spread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7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auto"/>
                <w:w w:val="87"/>
              </w:rPr>
              <w:t>Above</w:t>
            </w:r>
          </w:p>
        </w:tc>
        <w:tc>
          <w:tcPr>
            <w:tcW w:w="76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40" w:type="dxa"/>
            <w:vAlign w:val="bottom"/>
            <w:gridSpan w:val="2"/>
            <w:vMerge w:val="continue"/>
          </w:tcPr>
          <w:p>
            <w:pPr>
              <w:spacing w:after="0"/>
              <w:rPr>
                <w:sz w:val="12"/>
                <w:szCs w:val="12"/>
                <w:color w:val="auto"/>
              </w:rPr>
            </w:pPr>
          </w:p>
        </w:tc>
        <w:tc>
          <w:tcPr>
            <w:tcW w:w="1720" w:type="dxa"/>
            <w:vAlign w:val="bottom"/>
          </w:tcPr>
          <w:p>
            <w:pPr>
              <w:ind w:left="1180"/>
              <w:spacing w:after="0"/>
              <w:rPr>
                <w:sz w:val="20"/>
                <w:szCs w:val="20"/>
                <w:color w:val="auto"/>
              </w:rPr>
            </w:pPr>
            <w:r>
              <w:rPr>
                <w:rFonts w:ascii="Arial" w:cs="Arial" w:eastAsia="Arial" w:hAnsi="Arial"/>
                <w:sz w:val="12"/>
                <w:szCs w:val="12"/>
                <w:b w:val="1"/>
                <w:bCs w:val="1"/>
                <w:color w:val="auto"/>
              </w:rPr>
              <w:t>Maturity</w:t>
            </w: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60" w:type="dxa"/>
            <w:vAlign w:val="bottom"/>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Notes—37.4%</w:t>
            </w:r>
          </w:p>
        </w:tc>
        <w:tc>
          <w:tcPr>
            <w:tcW w:w="172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Acentia, LLC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10/02/2017</w:t>
            </w:r>
          </w:p>
        </w:tc>
        <w:tc>
          <w:tcPr>
            <w:tcW w:w="182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13.75%</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19,000,000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  18,629,082</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18,879,139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86"/>
              </w:rPr>
              <w:t>11/15/2015</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11.63%</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35,552,000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34,570,664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20,442,400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02/15/2019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8,930,000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8,773,751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8,888,617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720" w:type="dxa"/>
            <w:vAlign w:val="bottom"/>
            <w:shd w:val="clear" w:color="auto" w:fill="CCEEFF"/>
          </w:tcPr>
          <w:p>
            <w:pPr>
              <w:jc w:val="center"/>
              <w:ind w:left="1042"/>
              <w:spacing w:after="0" w:line="129" w:lineRule="exact"/>
              <w:rPr>
                <w:sz w:val="20"/>
                <w:szCs w:val="20"/>
                <w:color w:val="auto"/>
              </w:rPr>
            </w:pPr>
            <w:r>
              <w:rPr>
                <w:rFonts w:ascii="Arial" w:cs="Arial" w:eastAsia="Arial" w:hAnsi="Arial"/>
                <w:sz w:val="12"/>
                <w:szCs w:val="12"/>
                <w:color w:val="auto"/>
                <w:w w:val="89"/>
              </w:rPr>
              <w:t>03/26/2018</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23,514,494</w:t>
            </w:r>
          </w:p>
        </w:tc>
        <w:tc>
          <w:tcPr>
            <w:tcW w:w="940" w:type="dxa"/>
            <w:vAlign w:val="bottom"/>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23,114,286</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23,867,211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1.00%)</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3540" w:type="dxa"/>
            <w:vAlign w:val="bottom"/>
            <w:gridSpan w:val="2"/>
          </w:tcPr>
          <w:p>
            <w:pPr>
              <w:ind w:left="1140"/>
              <w:spacing w:after="0" w:line="129" w:lineRule="exact"/>
              <w:rPr>
                <w:sz w:val="20"/>
                <w:szCs w:val="20"/>
                <w:color w:val="auto"/>
              </w:rPr>
            </w:pPr>
            <w:r>
              <w:rPr>
                <w:rFonts w:ascii="Arial" w:cs="Arial" w:eastAsia="Arial" w:hAnsi="Arial"/>
                <w:sz w:val="12"/>
                <w:szCs w:val="12"/>
                <w:color w:val="auto"/>
                <w:w w:val="93"/>
              </w:rPr>
              <w:t>10/26/2018   Personal, Food and Miscellaneous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12.25%</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10,600,000</w:t>
            </w: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10,399,101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10,653,423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2"/>
                <w:szCs w:val="12"/>
                <w:color w:val="auto"/>
                <w:w w:val="86"/>
              </w:rPr>
              <w:t>Services</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Escort, Inc.</w:t>
            </w:r>
          </w:p>
        </w:tc>
        <w:tc>
          <w:tcPr>
            <w:tcW w:w="1720" w:type="dxa"/>
            <w:vAlign w:val="bottom"/>
            <w:shd w:val="clear" w:color="auto" w:fill="CCEEFF"/>
          </w:tcPr>
          <w:p>
            <w:pPr>
              <w:jc w:val="center"/>
              <w:ind w:left="1042"/>
              <w:spacing w:after="0" w:line="129" w:lineRule="exact"/>
              <w:rPr>
                <w:sz w:val="20"/>
                <w:szCs w:val="20"/>
                <w:color w:val="auto"/>
              </w:rPr>
            </w:pPr>
            <w:r>
              <w:rPr>
                <w:rFonts w:ascii="Arial" w:cs="Arial" w:eastAsia="Arial" w:hAnsi="Arial"/>
                <w:sz w:val="12"/>
                <w:szCs w:val="12"/>
                <w:color w:val="auto"/>
                <w:w w:val="89"/>
              </w:rPr>
              <w:t>06/01/2016</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14.75%</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25,965,563</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25,579,621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26,484,875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2.75%)</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720" w:type="dxa"/>
            <w:vAlign w:val="bottom"/>
          </w:tcPr>
          <w:p>
            <w:pPr>
              <w:jc w:val="center"/>
              <w:ind w:left="1042"/>
              <w:spacing w:after="0" w:line="129" w:lineRule="exact"/>
              <w:rPr>
                <w:sz w:val="20"/>
                <w:szCs w:val="20"/>
                <w:color w:val="auto"/>
              </w:rPr>
            </w:pPr>
            <w:r>
              <w:rPr>
                <w:rFonts w:ascii="Arial" w:cs="Arial" w:eastAsia="Arial" w:hAnsi="Arial"/>
                <w:sz w:val="12"/>
                <w:szCs w:val="12"/>
                <w:color w:val="auto"/>
                <w:w w:val="89"/>
              </w:rPr>
              <w:t>06/30/2017</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17,517,386</w:t>
            </w: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17,160,955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17,517,386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(PIK 2.00%)</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Learning Care Group (US) Inc.</w:t>
            </w:r>
          </w:p>
        </w:tc>
        <w:tc>
          <w:tcPr>
            <w:tcW w:w="1720" w:type="dxa"/>
            <w:vAlign w:val="bottom"/>
            <w:shd w:val="clear" w:color="auto" w:fill="CCEEFF"/>
          </w:tcPr>
          <w:p>
            <w:pPr>
              <w:jc w:val="center"/>
              <w:ind w:left="1042"/>
              <w:spacing w:after="0" w:line="136" w:lineRule="exact"/>
              <w:rPr>
                <w:sz w:val="20"/>
                <w:szCs w:val="20"/>
                <w:color w:val="auto"/>
              </w:rPr>
            </w:pPr>
            <w:r>
              <w:rPr>
                <w:rFonts w:ascii="Arial" w:cs="Arial" w:eastAsia="Arial" w:hAnsi="Arial"/>
                <w:sz w:val="12"/>
                <w:szCs w:val="12"/>
                <w:color w:val="auto"/>
                <w:w w:val="89"/>
              </w:rPr>
              <w:t>05/08/2020</w:t>
            </w:r>
          </w:p>
        </w:tc>
        <w:tc>
          <w:tcPr>
            <w:tcW w:w="182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9"/>
              </w:rPr>
              <w:t>Education</w:t>
            </w:r>
          </w:p>
        </w:tc>
        <w:tc>
          <w:tcPr>
            <w:tcW w:w="84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36" w:lineRule="exact"/>
              <w:rPr>
                <w:sz w:val="20"/>
                <w:szCs w:val="20"/>
                <w:color w:val="auto"/>
              </w:rPr>
            </w:pPr>
            <w:r>
              <w:rPr>
                <w:rFonts w:ascii="Arial" w:cs="Arial" w:eastAsia="Arial" w:hAnsi="Arial"/>
                <w:sz w:val="12"/>
                <w:szCs w:val="12"/>
                <w:color w:val="auto"/>
              </w:rPr>
              <w:t>7,215,989</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6,754,246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7,215,989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15.00%)</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LTI Flexible Products, Inc.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01/19/2019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12.50%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30,000,000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30,000,000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30,525,000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LTI Flexible Products, Inc. </w:t>
            </w:r>
            <w:r>
              <w:rPr>
                <w:rFonts w:ascii="Arial" w:cs="Arial" w:eastAsia="Arial" w:hAnsi="Arial"/>
                <w:sz w:val="9"/>
                <w:szCs w:val="9"/>
                <w:color w:val="auto"/>
              </w:rPr>
              <w:t>(9)</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86"/>
              </w:rPr>
              <w:t>01/11/2014</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4,825,000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5,087,500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MSPark, Inc.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06/15/2017</w:t>
            </w:r>
          </w:p>
        </w:tc>
        <w:tc>
          <w:tcPr>
            <w:tcW w:w="18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15,000,000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14,691,342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14,700,000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Varel International Energy Mezzanine Funding</w:t>
            </w:r>
          </w:p>
        </w:tc>
        <w:tc>
          <w:tcPr>
            <w:tcW w:w="1720" w:type="dxa"/>
            <w:vAlign w:val="bottom"/>
            <w:shd w:val="clear" w:color="auto" w:fill="CCEEFF"/>
          </w:tcPr>
          <w:p>
            <w:pPr>
              <w:jc w:val="center"/>
              <w:ind w:left="1042"/>
              <w:spacing w:after="0" w:line="129" w:lineRule="exact"/>
              <w:rPr>
                <w:sz w:val="20"/>
                <w:szCs w:val="20"/>
                <w:color w:val="auto"/>
              </w:rPr>
            </w:pPr>
            <w:r>
              <w:rPr>
                <w:rFonts w:ascii="Arial" w:cs="Arial" w:eastAsia="Arial" w:hAnsi="Arial"/>
                <w:sz w:val="12"/>
                <w:szCs w:val="12"/>
                <w:color w:val="auto"/>
                <w:w w:val="89"/>
              </w:rPr>
              <w:t>01/15/2018</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37,070,637</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36,441,726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36,720,586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Corp.</w:t>
            </w: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4.00%)</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Vestcom International, Inc.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06/27/2019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39,892,933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39,147,926</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39,827,248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7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270,087,700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260,809,374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Equity/Partnership Interests —1.2% </w:t>
            </w:r>
            <w:r>
              <w:rPr>
                <w:rFonts w:ascii="Arial" w:cs="Arial" w:eastAsia="Arial" w:hAnsi="Arial"/>
                <w:sz w:val="9"/>
                <w:szCs w:val="9"/>
                <w:b w:val="1"/>
                <w:bCs w:val="1"/>
                <w:color w:val="auto"/>
              </w:rPr>
              <w:t>(6)</w:t>
            </w: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815,133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AHC Mezzanine, LLC</w:t>
            </w:r>
          </w:p>
        </w:tc>
        <w:tc>
          <w:tcPr>
            <w:tcW w:w="1720" w:type="dxa"/>
            <w:vAlign w:val="bottom"/>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7,505</w:t>
            </w: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318,896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720" w:type="dxa"/>
            <w:vAlign w:val="bottom"/>
            <w:shd w:val="clear" w:color="auto" w:fill="CCEEFF"/>
          </w:tcPr>
          <w:p>
            <w:pPr>
              <w:jc w:val="center"/>
              <w:ind w:left="10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84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949</w:t>
            </w:r>
          </w:p>
        </w:tc>
        <w:tc>
          <w:tcPr>
            <w:tcW w:w="940" w:type="dxa"/>
            <w:vAlign w:val="bottom"/>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949,050</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805,697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Series A (Alegeus Technologies, LLC)</w:t>
            </w: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720" w:type="dxa"/>
            <w:vAlign w:val="bottom"/>
          </w:tcPr>
          <w:p>
            <w:pPr>
              <w:jc w:val="center"/>
              <w:ind w:left="10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76,357</w:t>
            </w:r>
          </w:p>
        </w:tc>
        <w:tc>
          <w:tcPr>
            <w:tcW w:w="940" w:type="dxa"/>
            <w:vAlign w:val="bottom"/>
            <w:gridSpan w:val="3"/>
          </w:tcPr>
          <w:p>
            <w:pPr>
              <w:jc w:val="right"/>
              <w:ind w:right="160"/>
              <w:spacing w:after="0" w:line="129" w:lineRule="exact"/>
              <w:rPr>
                <w:sz w:val="20"/>
                <w:szCs w:val="20"/>
                <w:color w:val="auto"/>
              </w:rPr>
            </w:pPr>
            <w:r>
              <w:rPr>
                <w:rFonts w:ascii="Arial" w:cs="Arial" w:eastAsia="Arial" w:hAnsi="Arial"/>
                <w:sz w:val="12"/>
                <w:szCs w:val="12"/>
                <w:color w:val="auto"/>
              </w:rPr>
              <w:t>765,307</w:t>
            </w: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1,187,410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140"/>
              <w:spacing w:after="0"/>
              <w:rPr>
                <w:sz w:val="20"/>
                <w:szCs w:val="20"/>
                <w:color w:val="auto"/>
              </w:rPr>
            </w:pPr>
            <w:r>
              <w:rPr>
                <w:rFonts w:ascii="Arial" w:cs="Arial" w:eastAsia="Arial" w:hAnsi="Arial"/>
                <w:sz w:val="12"/>
                <w:szCs w:val="12"/>
                <w:color w:val="auto"/>
              </w:rPr>
              <w:t>(Interactive Health Solutions, Inc.)</w:t>
            </w: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720" w:type="dxa"/>
            <w:vAlign w:val="bottom"/>
            <w:shd w:val="clear" w:color="auto" w:fill="CCEEFF"/>
          </w:tcPr>
          <w:p>
            <w:pPr>
              <w:jc w:val="center"/>
              <w:ind w:left="1022"/>
              <w:spacing w:after="0" w:line="136" w:lineRule="exact"/>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222"/>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36" w:lineRule="exact"/>
              <w:rPr>
                <w:sz w:val="20"/>
                <w:szCs w:val="20"/>
                <w:color w:val="auto"/>
              </w:rPr>
            </w:pPr>
            <w:r>
              <w:rPr>
                <w:rFonts w:ascii="Arial" w:cs="Arial" w:eastAsia="Arial" w:hAnsi="Arial"/>
                <w:sz w:val="12"/>
                <w:szCs w:val="12"/>
                <w:color w:val="auto"/>
              </w:rPr>
              <w:t>38,179</w:t>
            </w:r>
          </w:p>
        </w:tc>
        <w:tc>
          <w:tcPr>
            <w:tcW w:w="94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382,654</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593,705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(Interactive Health Solutions, Inc.)</w:t>
            </w: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720" w:type="dxa"/>
            <w:vAlign w:val="bottom"/>
          </w:tcPr>
          <w:p>
            <w:pPr>
              <w:jc w:val="center"/>
              <w:ind w:left="10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2,375</w:t>
            </w: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2,375,000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2,584,106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140"/>
              <w:spacing w:after="0"/>
              <w:rPr>
                <w:sz w:val="20"/>
                <w:szCs w:val="20"/>
                <w:color w:val="auto"/>
              </w:rPr>
            </w:pPr>
            <w:r>
              <w:rPr>
                <w:rFonts w:ascii="Arial" w:cs="Arial" w:eastAsia="Arial" w:hAnsi="Arial"/>
                <w:sz w:val="12"/>
                <w:szCs w:val="12"/>
                <w:color w:val="auto"/>
              </w:rPr>
              <w:t>(Convergint Technologies LLC)</w:t>
            </w: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CT Technologies Holdings, LLC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326,215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326,215</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326,215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HW Topco, Inc.</w:t>
            </w:r>
          </w:p>
        </w:tc>
        <w:tc>
          <w:tcPr>
            <w:tcW w:w="1720" w:type="dxa"/>
            <w:vAlign w:val="bottom"/>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3,591</w:t>
            </w: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24,177</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686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685,820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720" w:type="dxa"/>
            <w:vAlign w:val="bottom"/>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1,312</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1,312,006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VRide Holdings, Inc.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Personal Transportation</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1,824,167</w:t>
            </w:r>
          </w:p>
        </w:tc>
        <w:tc>
          <w:tcPr>
            <w:tcW w:w="1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1,824,167</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9,463,292</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8,051,870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Arial" w:cs="Arial" w:eastAsia="Arial" w:hAnsi="Arial"/>
                <w:sz w:val="12"/>
                <w:szCs w:val="12"/>
                <w:b w:val="1"/>
                <w:bCs w:val="1"/>
                <w:color w:val="auto"/>
                <w:w w:val="85"/>
              </w:rPr>
              <w:t>Basis Point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8"/>
              </w:rPr>
              <w:t>Spread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76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20" w:type="dxa"/>
            <w:vAlign w:val="bottom"/>
            <w:gridSpan w:val="2"/>
            <w:vMerge w:val="continue"/>
          </w:tcPr>
          <w:p>
            <w:pPr>
              <w:spacing w:after="0"/>
              <w:rPr>
                <w:sz w:val="12"/>
                <w:szCs w:val="12"/>
                <w:color w:val="auto"/>
              </w:rPr>
            </w:pPr>
          </w:p>
        </w:tc>
        <w:tc>
          <w:tcPr>
            <w:tcW w:w="1040" w:type="dxa"/>
            <w:vAlign w:val="bottom"/>
          </w:tcPr>
          <w:p>
            <w:pPr>
              <w:ind w:left="380"/>
              <w:spacing w:after="0"/>
              <w:rPr>
                <w:sz w:val="20"/>
                <w:szCs w:val="20"/>
                <w:color w:val="auto"/>
              </w:rPr>
            </w:pPr>
            <w:r>
              <w:rPr>
                <w:rFonts w:ascii="Arial" w:cs="Arial" w:eastAsia="Arial" w:hAnsi="Arial"/>
                <w:sz w:val="12"/>
                <w:szCs w:val="12"/>
                <w:b w:val="1"/>
                <w:bCs w:val="1"/>
                <w:color w:val="auto"/>
              </w:rPr>
              <w:t>Maturity</w:t>
            </w:r>
          </w:p>
        </w:tc>
        <w:tc>
          <w:tcPr>
            <w:tcW w:w="20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900" w:type="dxa"/>
            <w:vAlign w:val="bottom"/>
          </w:tcPr>
          <w:p>
            <w:pPr>
              <w:jc w:val="center"/>
              <w:ind w:right="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760" w:type="dxa"/>
            <w:vAlign w:val="bottom"/>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Equity/Warrants/Partnership Interests—10.1% </w:t>
            </w:r>
            <w:r>
              <w:rPr>
                <w:rFonts w:ascii="Arial" w:cs="Arial" w:eastAsia="Arial" w:hAnsi="Arial"/>
                <w:sz w:val="9"/>
                <w:szCs w:val="9"/>
                <w:b w:val="1"/>
                <w:bCs w:val="1"/>
                <w:color w:val="auto"/>
              </w:rPr>
              <w:t>(6)</w:t>
            </w:r>
          </w:p>
        </w:tc>
        <w:tc>
          <w:tcPr>
            <w:tcW w:w="1040" w:type="dxa"/>
            <w:vAlign w:val="bottom"/>
            <w:tcBorders>
              <w:top w:val="single" w:sz="8" w:color="auto"/>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(12)</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91"/>
              </w:rPr>
              <w:t>Electronics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1,998</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   2,000,000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1,572,603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 (Warrants)</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w w:val="89"/>
              </w:rPr>
              <w:t>03/23/2021</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753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2,499,319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9"/>
              </w:rPr>
              <w:t>Financial Services</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950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807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(Alegeus Technologies,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Autumn Games, LLC</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Broadcasting and Entertainment</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1,333,330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95"/>
              </w:rPr>
              <w:t>Distribution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1,505,000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1,505,000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2,308,777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23,416</w:t>
            </w:r>
          </w:p>
        </w:tc>
        <w:tc>
          <w:tcPr>
            <w:tcW w:w="106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234,693</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364,156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(Interactive Health Solutions, Inc.)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11,708</w:t>
            </w:r>
          </w:p>
        </w:tc>
        <w:tc>
          <w:tcPr>
            <w:tcW w:w="106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117,346</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182,078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(Interactive Health Solutions, Inc.)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Convergint Technologies Holdings, LLC</w:t>
            </w:r>
          </w:p>
        </w:tc>
        <w:tc>
          <w:tcPr>
            <w:tcW w:w="1040" w:type="dxa"/>
            <w:vAlign w:val="bottom"/>
            <w:shd w:val="clear" w:color="auto" w:fill="CCEEFF"/>
          </w:tcPr>
          <w:p>
            <w:pPr>
              <w:jc w:val="center"/>
              <w:ind w:left="158"/>
              <w:spacing w:after="0" w:line="136"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1"/>
              </w:rPr>
              <w:t>Electronics</w:t>
            </w:r>
          </w:p>
        </w:tc>
        <w:tc>
          <w:tcPr>
            <w:tcW w:w="660" w:type="dxa"/>
            <w:vAlign w:val="bottom"/>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2,375</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212,881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(Convergint Technologies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CT Technologies Holdings, LLC</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5,556</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1,918,346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7,285,399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HW Topco, Inc.</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Other Media</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386,770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2,697,835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3,400,855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Kadmon Holdings, LLC, Class A</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1,079,920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1,236,832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11,085,403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Kadmon Holdings, LLC, Class D</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1,079,920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1,028,807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1,028,807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Learning Care Group (US) Inc. (Warrants)</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w w:val="89"/>
              </w:rPr>
              <w:t>04/27/2020</w:t>
            </w:r>
          </w:p>
        </w:tc>
        <w:tc>
          <w:tcPr>
            <w:tcW w:w="2080" w:type="dxa"/>
            <w:vAlign w:val="bottom"/>
          </w:tcPr>
          <w:p>
            <w:pPr>
              <w:jc w:val="center"/>
              <w:spacing w:after="0"/>
              <w:rPr>
                <w:sz w:val="20"/>
                <w:szCs w:val="20"/>
                <w:color w:val="auto"/>
              </w:rPr>
            </w:pPr>
            <w:r>
              <w:rPr>
                <w:rFonts w:ascii="Arial" w:cs="Arial" w:eastAsia="Arial" w:hAnsi="Arial"/>
                <w:sz w:val="13"/>
                <w:szCs w:val="13"/>
                <w:color w:val="auto"/>
                <w:w w:val="86"/>
              </w:rPr>
              <w:t>Education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6,649</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779,920</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4,300,696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Oil and Gas</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1,221,932</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3,057,500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7,539,320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(Eureka Hunter Pipeline,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w w:val="89"/>
              </w:rPr>
              <w:t>10/14/2013</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7"/>
              </w:rPr>
              <w:t>Oil and Gas</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122,193</w:t>
            </w:r>
          </w:p>
        </w:tc>
        <w:tc>
          <w:tcPr>
            <w:tcW w:w="106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105,697</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(Warrants) (Eureka Hunter Pipeline,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Magnum Hunter Resources Corporation</w:t>
            </w:r>
          </w:p>
        </w:tc>
        <w:tc>
          <w:tcPr>
            <w:tcW w:w="1040" w:type="dxa"/>
            <w:vAlign w:val="bottom"/>
            <w:shd w:val="clear" w:color="auto" w:fill="CCEEFF"/>
          </w:tcPr>
          <w:p>
            <w:pPr>
              <w:jc w:val="center"/>
              <w:ind w:left="158"/>
              <w:spacing w:after="0" w:line="136" w:lineRule="exact"/>
              <w:rPr>
                <w:sz w:val="20"/>
                <w:szCs w:val="20"/>
                <w:color w:val="auto"/>
              </w:rPr>
            </w:pPr>
            <w:r>
              <w:rPr>
                <w:rFonts w:ascii="Arial" w:cs="Arial" w:eastAsia="Arial" w:hAnsi="Arial"/>
                <w:sz w:val="13"/>
                <w:szCs w:val="13"/>
                <w:color w:val="auto"/>
                <w:w w:val="89"/>
              </w:rPr>
              <w:t>04/16/2016</w:t>
            </w:r>
          </w:p>
        </w:tc>
        <w:tc>
          <w:tcPr>
            <w:tcW w:w="20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Oil and Gas</w:t>
            </w:r>
          </w:p>
        </w:tc>
        <w:tc>
          <w:tcPr>
            <w:tcW w:w="660" w:type="dxa"/>
            <w:vAlign w:val="bottom"/>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122,193</w:t>
            </w:r>
          </w:p>
        </w:tc>
        <w:tc>
          <w:tcPr>
            <w:tcW w:w="1060" w:type="dxa"/>
            <w:vAlign w:val="bottom"/>
            <w:gridSpan w:val="3"/>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182,499</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205,667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(Warrants) (Eureka Hunter Pipeline,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95"/>
              </w:rPr>
              <w:t>Distribution</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1,850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1,850,294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1,845,784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(JF Acquisition,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MidOcean PPL Holdings, Corp.</w:t>
            </w:r>
          </w:p>
        </w:tc>
        <w:tc>
          <w:tcPr>
            <w:tcW w:w="1040" w:type="dxa"/>
            <w:vAlign w:val="bottom"/>
            <w:shd w:val="clear" w:color="auto" w:fill="CCEEFF"/>
          </w:tcPr>
          <w:p>
            <w:pPr>
              <w:jc w:val="center"/>
              <w:ind w:left="158"/>
              <w:spacing w:after="0" w:line="128"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7"/>
              </w:rPr>
              <w:t>Personal, Food and Miscellaneous</w:t>
            </w:r>
          </w:p>
        </w:tc>
        <w:tc>
          <w:tcPr>
            <w:tcW w:w="660" w:type="dxa"/>
            <w:vAlign w:val="bottom"/>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8"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rPr>
              <w:t>3,000</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3,000,000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5,441,976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Legal Services, Inc.)</w:t>
            </w:r>
          </w:p>
        </w:tc>
        <w:tc>
          <w:tcPr>
            <w:tcW w:w="1040" w:type="dxa"/>
            <w:vAlign w:val="bottom"/>
            <w:shd w:val="clear" w:color="auto" w:fill="CCEEFF"/>
          </w:tcPr>
          <w:p>
            <w:pPr>
              <w:spacing w:after="0"/>
              <w:rPr>
                <w:sz w:val="14"/>
                <w:szCs w:val="14"/>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Paradigm Acquisition Corp.</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20,000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3,720,481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QMG HoldCo, LLC, Class A</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Other Media</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4,325</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1,306,167</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2,073,419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(Questex Media Group,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QMG HoldCo, LLC, Class B</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9"/>
              </w:rPr>
              <w:t>Other Media</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531</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254,563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(Questex Media Group,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SPG Boyd Holdings Corp.</w:t>
            </w:r>
          </w:p>
        </w:tc>
        <w:tc>
          <w:tcPr>
            <w:tcW w:w="1040" w:type="dxa"/>
            <w:vAlign w:val="bottom"/>
            <w:shd w:val="clear" w:color="auto" w:fill="CCEEFF"/>
          </w:tcPr>
          <w:p>
            <w:pPr>
              <w:jc w:val="center"/>
              <w:ind w:left="158"/>
              <w:spacing w:after="0" w:line="136"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Chemical, Plastic and Rubber</w:t>
            </w:r>
          </w:p>
        </w:tc>
        <w:tc>
          <w:tcPr>
            <w:tcW w:w="660" w:type="dxa"/>
            <w:vAlign w:val="bottom"/>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300,000</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3,000,000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5,571,120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(LTI Flexible Products, Inc.)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TRAK Acquisition Corp. (Warrants)</w:t>
            </w:r>
          </w:p>
        </w:tc>
        <w:tc>
          <w:tcPr>
            <w:tcW w:w="1040" w:type="dxa"/>
            <w:vAlign w:val="bottom"/>
          </w:tcPr>
          <w:p>
            <w:pPr>
              <w:ind w:left="380"/>
              <w:spacing w:after="0"/>
              <w:rPr>
                <w:sz w:val="20"/>
                <w:szCs w:val="20"/>
                <w:color w:val="auto"/>
              </w:rPr>
            </w:pPr>
            <w:r>
              <w:rPr>
                <w:rFonts w:ascii="Arial" w:cs="Arial" w:eastAsia="Arial" w:hAnsi="Arial"/>
                <w:sz w:val="12"/>
                <w:szCs w:val="12"/>
                <w:color w:val="auto"/>
              </w:rPr>
              <w:t>12/29/2019</w:t>
            </w:r>
          </w:p>
        </w:tc>
        <w:tc>
          <w:tcPr>
            <w:tcW w:w="20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3,500</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29,400</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606,681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(13)</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Cargo Transport</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137,923</w:t>
            </w:r>
          </w:p>
        </w:tc>
        <w:tc>
          <w:tcPr>
            <w:tcW w:w="106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2,111,588</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379,453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(Intermediate Transportation 100,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TZ Holdings, L.P.</w:t>
            </w:r>
          </w:p>
        </w:tc>
        <w:tc>
          <w:tcPr>
            <w:tcW w:w="1040" w:type="dxa"/>
            <w:vAlign w:val="bottom"/>
          </w:tcPr>
          <w:p>
            <w:pPr>
              <w:jc w:val="center"/>
              <w:ind w:left="138"/>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Insurance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2</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9,567</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Vestcom Parent Holdings, Inc.</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Printing and Publishing</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211,797</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2,325,555</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2,626,512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(Vestcom International, Inc.)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VRide Holdings Inc.</w:t>
            </w:r>
          </w:p>
        </w:tc>
        <w:tc>
          <w:tcPr>
            <w:tcW w:w="1040" w:type="dxa"/>
            <w:vAlign w:val="bottom"/>
          </w:tcPr>
          <w:p>
            <w:pPr>
              <w:jc w:val="center"/>
              <w:ind w:left="138"/>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6"/>
              </w:rPr>
              <w:t>Personal Transportation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9,166</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9,166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1040" w:type="dxa"/>
            <w:vAlign w:val="bottom"/>
            <w:shd w:val="clear" w:color="auto" w:fill="CCEEFF"/>
          </w:tcPr>
          <w:p>
            <w:pPr>
              <w:jc w:val="center"/>
              <w:ind w:left="138"/>
              <w:spacing w:after="0"/>
              <w:rPr>
                <w:sz w:val="20"/>
                <w:szCs w:val="20"/>
                <w:color w:val="auto"/>
              </w:rPr>
            </w:pPr>
            <w:r>
              <w:rPr>
                <w:rFonts w:ascii="Arial" w:cs="Arial" w:eastAsia="Arial" w:hAnsi="Arial"/>
                <w:sz w:val="12"/>
                <w:szCs w:val="12"/>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35,526</w:t>
            </w: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4,050,000</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5,966,074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Equity/Warrants/Partnership Interests</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37,557,162</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70,472,831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1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928,078,589</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968,471,042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jc w:val="center"/>
              <w:ind w:right="2"/>
              <w:spacing w:after="0"/>
              <w:rPr>
                <w:sz w:val="20"/>
                <w:szCs w:val="20"/>
                <w:color w:val="auto"/>
              </w:rPr>
            </w:pPr>
            <w:r>
              <w:rPr>
                <w:rFonts w:ascii="Arial" w:cs="Arial" w:eastAsia="Arial" w:hAnsi="Arial"/>
                <w:sz w:val="12"/>
                <w:szCs w:val="12"/>
                <w:b w:val="1"/>
                <w:bCs w:val="1"/>
                <w:color w:val="auto"/>
                <w:w w:val="85"/>
              </w:rPr>
              <w:t>Basis Point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8"/>
              </w:rPr>
              <w:t>Spread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60" w:type="dxa"/>
            <w:vAlign w:val="bottom"/>
            <w:gridSpan w:val="2"/>
            <w:vMerge w:val="continue"/>
          </w:tcPr>
          <w:p>
            <w:pPr>
              <w:spacing w:after="0"/>
              <w:rPr>
                <w:sz w:val="12"/>
                <w:szCs w:val="12"/>
                <w:color w:val="auto"/>
              </w:rPr>
            </w:pPr>
          </w:p>
        </w:tc>
        <w:tc>
          <w:tcPr>
            <w:tcW w:w="960" w:type="dxa"/>
            <w:vAlign w:val="bottom"/>
          </w:tcPr>
          <w:p>
            <w:pPr>
              <w:ind w:left="420"/>
              <w:spacing w:after="0"/>
              <w:rPr>
                <w:sz w:val="20"/>
                <w:szCs w:val="20"/>
                <w:color w:val="auto"/>
              </w:rPr>
            </w:pPr>
            <w:r>
              <w:rPr>
                <w:rFonts w:ascii="Arial" w:cs="Arial" w:eastAsia="Arial" w:hAnsi="Arial"/>
                <w:sz w:val="12"/>
                <w:szCs w:val="12"/>
                <w:b w:val="1"/>
                <w:bCs w:val="1"/>
                <w:color w:val="auto"/>
              </w:rPr>
              <w:t>Maturity</w:t>
            </w:r>
          </w:p>
        </w:tc>
        <w:tc>
          <w:tcPr>
            <w:tcW w:w="17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tcPr>
          <w:p>
            <w:pPr>
              <w:jc w:val="right"/>
              <w:ind w:right="322"/>
              <w:spacing w:after="0"/>
              <w:rPr>
                <w:sz w:val="20"/>
                <w:szCs w:val="20"/>
                <w:color w:val="auto"/>
              </w:rPr>
            </w:pPr>
            <w:r>
              <w:rPr>
                <w:rFonts w:ascii="Arial" w:cs="Arial" w:eastAsia="Arial" w:hAnsi="Arial"/>
                <w:sz w:val="12"/>
                <w:szCs w:val="12"/>
                <w:b w:val="1"/>
                <w:bCs w:val="1"/>
                <w:color w:val="auto"/>
              </w:rPr>
              <w:t>Coupon</w:t>
            </w:r>
          </w:p>
        </w:tc>
        <w:tc>
          <w:tcPr>
            <w:tcW w:w="820" w:type="dxa"/>
            <w:vAlign w:val="bottom"/>
          </w:tcPr>
          <w:p>
            <w:pPr>
              <w:jc w:val="center"/>
              <w:ind w:right="2"/>
              <w:spacing w:after="0"/>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9"/>
                <w:szCs w:val="9"/>
                <w:b w:val="1"/>
                <w:bCs w:val="1"/>
                <w:color w:val="auto"/>
                <w:w w:val="97"/>
              </w:rPr>
              <w:t>(4)</w:t>
            </w:r>
          </w:p>
        </w:tc>
        <w:tc>
          <w:tcPr>
            <w:tcW w:w="840" w:type="dxa"/>
            <w:vAlign w:val="bottom"/>
          </w:tcPr>
          <w:p>
            <w:pPr>
              <w:jc w:val="right"/>
              <w:ind w:right="262"/>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2"/>
                <w:szCs w:val="12"/>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8"/>
              </w:rPr>
              <w:t xml:space="preserve">Investments in Non-Controlled, Affiliated Portfolio Companies—11.0% </w:t>
            </w:r>
            <w:r>
              <w:rPr>
                <w:rFonts w:ascii="Arial" w:cs="Arial" w:eastAsia="Arial" w:hAnsi="Arial"/>
                <w:sz w:val="9"/>
                <w:szCs w:val="9"/>
                <w:b w:val="1"/>
                <w:bCs w:val="1"/>
                <w:color w:val="auto"/>
                <w:w w:val="98"/>
              </w:rPr>
              <w:t>(1), (2)</w:t>
            </w:r>
          </w:p>
        </w:tc>
        <w:tc>
          <w:tcPr>
            <w:tcW w:w="960" w:type="dxa"/>
            <w:vAlign w:val="bottom"/>
            <w:tcBorders>
              <w:top w:val="single" w:sz="8" w:color="auto"/>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Notes—5.7%</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82"/>
              <w:spacing w:after="0" w:line="129" w:lineRule="exact"/>
              <w:rPr>
                <w:sz w:val="20"/>
                <w:szCs w:val="20"/>
                <w:color w:val="auto"/>
              </w:rPr>
            </w:pPr>
            <w:r>
              <w:rPr>
                <w:rFonts w:ascii="Arial" w:cs="Arial" w:eastAsia="Arial" w:hAnsi="Arial"/>
                <w:sz w:val="12"/>
                <w:szCs w:val="12"/>
                <w:color w:val="auto"/>
                <w:w w:val="89"/>
              </w:rPr>
              <w:t>11/05/2019</w:t>
            </w:r>
          </w:p>
        </w:tc>
        <w:tc>
          <w:tcPr>
            <w:tcW w:w="17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8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12.00%</w:t>
            </w:r>
          </w:p>
        </w:tc>
        <w:tc>
          <w:tcPr>
            <w:tcW w:w="820" w:type="dxa"/>
            <w:vAlign w:val="bottom"/>
            <w:shd w:val="clear" w:color="auto" w:fill="CCEEFF"/>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11,428,224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11,428,224</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11,428,224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8"/>
              </w:rPr>
              <w:t>(PIK 12.00%)</w:t>
            </w: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Service Champ, Inc.</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9"/>
              </w:rPr>
              <w:t>10/02/2017</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Auto Sector</w:t>
            </w:r>
          </w:p>
        </w:tc>
        <w:tc>
          <w:tcPr>
            <w:tcW w:w="88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28,000,000</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27,474,713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28,248,043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38,902,937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39,676,267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 – 0.2%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PAS International Holdings, Inc.</w:t>
            </w:r>
          </w:p>
        </w:tc>
        <w:tc>
          <w:tcPr>
            <w:tcW w:w="960" w:type="dxa"/>
            <w:vAlign w:val="bottom"/>
            <w:shd w:val="clear" w:color="auto" w:fill="CCEEFF"/>
          </w:tcPr>
          <w:p>
            <w:pPr>
              <w:jc w:val="center"/>
              <w:ind w:left="282"/>
              <w:spacing w:after="0" w:line="136" w:lineRule="exact"/>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4"/>
              </w:rPr>
              <w:t>Aerospace and</w:t>
            </w:r>
          </w:p>
        </w:tc>
        <w:tc>
          <w:tcPr>
            <w:tcW w:w="880" w:type="dxa"/>
            <w:vAlign w:val="bottom"/>
            <w:shd w:val="clear" w:color="auto" w:fill="CCEEFF"/>
          </w:tcPr>
          <w:p>
            <w:pPr>
              <w:jc w:val="right"/>
              <w:ind w:right="242"/>
              <w:spacing w:after="0" w:line="136"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line="13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rPr>
              <w:t>53,071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20,059,340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1,694,296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Defense</w:t>
            </w: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Interest—5.1%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104,719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21,492,822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5,556,207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9"/>
              </w:rPr>
              <w:t>11/05/2022</w:t>
            </w:r>
          </w:p>
        </w:tc>
        <w:tc>
          <w:tcPr>
            <w:tcW w:w="178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15,486</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821,505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Environmental Services</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142,684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11,891,822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21,265,345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960" w:type="dxa"/>
            <w:vAlign w:val="bottom"/>
          </w:tcPr>
          <w:p>
            <w:pPr>
              <w:jc w:val="center"/>
              <w:ind w:left="282"/>
              <w:spacing w:after="0" w:line="129" w:lineRule="exact"/>
              <w:rPr>
                <w:sz w:val="20"/>
                <w:szCs w:val="20"/>
                <w:color w:val="auto"/>
              </w:rPr>
            </w:pPr>
            <w:r>
              <w:rPr>
                <w:rFonts w:ascii="Arial" w:cs="Arial" w:eastAsia="Arial" w:hAnsi="Arial"/>
                <w:sz w:val="12"/>
                <w:szCs w:val="12"/>
                <w:color w:val="auto"/>
                <w:w w:val="82"/>
              </w:rPr>
              <w:t>—</w:t>
            </w:r>
          </w:p>
        </w:tc>
        <w:tc>
          <w:tcPr>
            <w:tcW w:w="1780" w:type="dxa"/>
            <w:vAlign w:val="bottom"/>
          </w:tcPr>
          <w:p>
            <w:pPr>
              <w:jc w:val="center"/>
              <w:spacing w:after="0" w:line="129" w:lineRule="exact"/>
              <w:rPr>
                <w:sz w:val="20"/>
                <w:szCs w:val="20"/>
                <w:color w:val="auto"/>
              </w:rPr>
            </w:pPr>
            <w:r>
              <w:rPr>
                <w:rFonts w:ascii="Arial" w:cs="Arial" w:eastAsia="Arial" w:hAnsi="Arial"/>
                <w:sz w:val="12"/>
                <w:szCs w:val="12"/>
                <w:color w:val="auto"/>
                <w:w w:val="88"/>
              </w:rPr>
              <w:t>Leisure, Amusement,</w:t>
            </w:r>
          </w:p>
        </w:tc>
        <w:tc>
          <w:tcPr>
            <w:tcW w:w="88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375,000</w:t>
            </w: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3,750,000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2,500,165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Motion Pictures and Entertainment</w:t>
            </w: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New Service Champ Holdings, Inc.</w:t>
            </w:r>
          </w:p>
        </w:tc>
        <w:tc>
          <w:tcPr>
            <w:tcW w:w="960" w:type="dxa"/>
            <w:vAlign w:val="bottom"/>
            <w:shd w:val="clear" w:color="auto" w:fill="CCEEFF"/>
          </w:tcPr>
          <w:p>
            <w:pPr>
              <w:jc w:val="center"/>
              <w:ind w:left="282"/>
              <w:spacing w:after="0" w:line="129" w:lineRule="exact"/>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Auto Sector</w:t>
            </w:r>
          </w:p>
        </w:tc>
        <w:tc>
          <w:tcPr>
            <w:tcW w:w="88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16,800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2,721,600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5,222,015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(Service Champ, Inc.)</w:t>
            </w: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tcPr>
          <w:p>
            <w:pPr>
              <w:jc w:val="center"/>
              <w:spacing w:after="0"/>
              <w:rPr>
                <w:sz w:val="20"/>
                <w:szCs w:val="20"/>
                <w:color w:val="auto"/>
              </w:rPr>
            </w:pPr>
            <w:r>
              <w:rPr>
                <w:rFonts w:ascii="Arial" w:cs="Arial" w:eastAsia="Arial" w:hAnsi="Arial"/>
                <w:sz w:val="12"/>
                <w:szCs w:val="12"/>
                <w:color w:val="auto"/>
                <w:w w:val="86"/>
              </w:rPr>
              <w:t>Aerospace and Defense</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53,071</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202,620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40,058,864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35,365,237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99,021,141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76,735,800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Companies—4.7% </w:t>
            </w:r>
            <w:r>
              <w:rPr>
                <w:rFonts w:ascii="Arial" w:cs="Arial" w:eastAsia="Arial" w:hAnsi="Arial"/>
                <w:sz w:val="9"/>
                <w:szCs w:val="9"/>
                <w:b w:val="1"/>
                <w:bCs w:val="1"/>
                <w:color w:val="auto"/>
              </w:rPr>
              <w:t>(1), (2)</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b w:val="1"/>
                <w:bCs w:val="1"/>
                <w:color w:val="auto"/>
              </w:rPr>
              <w:t>First Lien Secured Debt—1.6%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9"/>
              </w:rPr>
              <w:t>06/30/2020</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9,250,000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9,556,385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 xml:space="preserve">Universal Pegasus International, LLC </w:t>
            </w:r>
            <w:r>
              <w:rPr>
                <w:rFonts w:ascii="Arial" w:cs="Arial" w:eastAsia="Arial" w:hAnsi="Arial"/>
                <w:sz w:val="9"/>
                <w:szCs w:val="9"/>
                <w:color w:val="auto"/>
              </w:rPr>
              <w:t>(9)</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9"/>
              </w:rPr>
              <w:t>12/31/2015</w:t>
            </w:r>
          </w:p>
        </w:tc>
        <w:tc>
          <w:tcPr>
            <w:tcW w:w="17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1,916,667</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1,787,941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1,916,667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11,037,941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11,473,052</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Debt—2.4%</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Universal Pegasus International, LLC</w:t>
            </w:r>
          </w:p>
        </w:tc>
        <w:tc>
          <w:tcPr>
            <w:tcW w:w="960" w:type="dxa"/>
            <w:vAlign w:val="bottom"/>
            <w:shd w:val="clear" w:color="auto" w:fill="CCEEFF"/>
          </w:tcPr>
          <w:p>
            <w:pPr>
              <w:jc w:val="center"/>
              <w:ind w:left="282"/>
              <w:spacing w:after="0" w:line="136" w:lineRule="exact"/>
              <w:rPr>
                <w:sz w:val="20"/>
                <w:szCs w:val="20"/>
                <w:color w:val="auto"/>
              </w:rPr>
            </w:pPr>
            <w:r>
              <w:rPr>
                <w:rFonts w:ascii="Arial" w:cs="Arial" w:eastAsia="Arial" w:hAnsi="Arial"/>
                <w:sz w:val="12"/>
                <w:szCs w:val="12"/>
                <w:color w:val="auto"/>
                <w:w w:val="89"/>
              </w:rPr>
              <w:t>12/31/2015</w:t>
            </w:r>
          </w:p>
        </w:tc>
        <w:tc>
          <w:tcPr>
            <w:tcW w:w="178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8"/>
              </w:rPr>
              <w:t>Oil and Gas</w:t>
            </w:r>
          </w:p>
        </w:tc>
        <w:tc>
          <w:tcPr>
            <w:tcW w:w="880" w:type="dxa"/>
            <w:vAlign w:val="bottom"/>
            <w:shd w:val="clear" w:color="auto" w:fill="CCEEFF"/>
          </w:tcPr>
          <w:p>
            <w:pPr>
              <w:jc w:val="right"/>
              <w:ind w:right="142"/>
              <w:spacing w:after="0" w:line="136" w:lineRule="exact"/>
              <w:rPr>
                <w:sz w:val="20"/>
                <w:szCs w:val="20"/>
                <w:color w:val="auto"/>
              </w:rPr>
            </w:pPr>
            <w:r>
              <w:rPr>
                <w:rFonts w:ascii="Arial" w:cs="Arial" w:eastAsia="Arial" w:hAnsi="Arial"/>
                <w:sz w:val="12"/>
                <w:szCs w:val="12"/>
                <w:color w:val="auto"/>
              </w:rPr>
              <w:t>15.00%</w:t>
            </w:r>
          </w:p>
        </w:tc>
        <w:tc>
          <w:tcPr>
            <w:tcW w:w="820" w:type="dxa"/>
            <w:vAlign w:val="bottom"/>
            <w:shd w:val="clear" w:color="auto" w:fill="CCEEFF"/>
          </w:tcPr>
          <w:p>
            <w:pPr>
              <w:ind w:left="600"/>
              <w:spacing w:after="0" w:line="13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w w:val="99"/>
              </w:rPr>
              <w:t>16,615,645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14,709,502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16,449,489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8"/>
              </w:rPr>
              <w:t>(PIK 15.00%)</w:t>
            </w: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9"/>
              </w:rPr>
              <w:t>06/30/2020</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2,250,000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1,961,667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14.00%</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2,000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1,981,948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Holdings, Inc.</w:t>
            </w:r>
          </w:p>
        </w:tc>
        <w:tc>
          <w:tcPr>
            <w:tcW w:w="960" w:type="dxa"/>
            <w:vAlign w:val="bottom"/>
          </w:tcPr>
          <w:p>
            <w:pPr>
              <w:jc w:val="center"/>
              <w:ind w:left="282"/>
              <w:spacing w:after="0" w:line="129" w:lineRule="exact"/>
              <w:rPr>
                <w:sz w:val="20"/>
                <w:szCs w:val="20"/>
                <w:color w:val="auto"/>
              </w:rPr>
            </w:pPr>
            <w:r>
              <w:rPr>
                <w:rFonts w:ascii="Arial" w:cs="Arial" w:eastAsia="Arial" w:hAnsi="Arial"/>
                <w:sz w:val="12"/>
                <w:szCs w:val="12"/>
                <w:color w:val="auto"/>
                <w:w w:val="82"/>
              </w:rPr>
              <w:t>—</w:t>
            </w:r>
          </w:p>
        </w:tc>
        <w:tc>
          <w:tcPr>
            <w:tcW w:w="178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8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8.00%</w:t>
            </w:r>
          </w:p>
        </w:tc>
        <w:tc>
          <w:tcPr>
            <w:tcW w:w="820" w:type="dxa"/>
            <w:vAlign w:val="bottom"/>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376,988</w:t>
            </w: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34,420,612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1,102,555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ind w:left="100"/>
              <w:spacing w:after="0"/>
              <w:rPr>
                <w:sz w:val="20"/>
                <w:szCs w:val="20"/>
                <w:color w:val="auto"/>
              </w:rPr>
            </w:pPr>
            <w:r>
              <w:rPr>
                <w:rFonts w:ascii="Arial" w:cs="Arial" w:eastAsia="Arial" w:hAnsi="Arial"/>
                <w:sz w:val="12"/>
                <w:szCs w:val="12"/>
                <w:color w:val="auto"/>
              </w:rPr>
              <w:t>(Universal Pegasus International, LLC)</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36,420,612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3,084,503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100</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64,418,155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32,968,711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Investments—154.6%</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8"/>
              </w:rPr>
              <w:t>1,091,517,885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8"/>
              </w:rPr>
              <w:t>1,078,175,553</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Equivalents—8.4%</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2,667,511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2,446,232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2,446,232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Cash Equivalents</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Equivalents—163.0%</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1,149,958,714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1,136,616,382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Assets—(63.0%)</w:t>
            </w: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w w:val="90"/>
              </w:rPr>
              <w:t>(439,110,183)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697,506,199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63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6" w:lineRule="exact"/>
        <w:rPr>
          <w:sz w:val="20"/>
          <w:szCs w:val="20"/>
          <w:color w:val="auto"/>
        </w:rPr>
      </w:pPr>
    </w:p>
    <w:p>
      <w:pPr>
        <w:ind w:left="340" w:hanging="332"/>
        <w:spacing w:after="0" w:line="243"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w:t>
      </w:r>
    </w:p>
    <w:p>
      <w:pPr>
        <w:ind w:left="340" w:hanging="332"/>
        <w:spacing w:after="0"/>
        <w:tabs>
          <w:tab w:leader="none" w:pos="340" w:val="left"/>
        </w:tabs>
        <w:numPr>
          <w:ilvl w:val="0"/>
          <w:numId w:val="95"/>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Coupon is subject to a LIBOR or Prime rate floor.</w:t>
      </w: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Investment is held through PNNT CI (Galls) Prime Investment Holdings, LLC, a consolidated subsidiary.</w:t>
      </w:r>
    </w:p>
    <w:p>
      <w:pPr>
        <w:ind w:left="340" w:hanging="332"/>
        <w:spacing w:after="0" w:line="234"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Investment is held through PNNT Acentia LLC, a consolidated subsidiary.</w:t>
      </w:r>
    </w:p>
    <w:p>
      <w:pPr>
        <w:ind w:left="340" w:hanging="332"/>
        <w:spacing w:after="0"/>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Investment is held through PNNT Transportation 100 Holdco, L.L.C., a consolidated subsidiary.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20" w:firstLine="685"/>
        <w:spacing w:after="0" w:line="256" w:lineRule="auto"/>
        <w:rPr>
          <w:sz w:val="20"/>
          <w:szCs w:val="20"/>
          <w:color w:val="auto"/>
        </w:rPr>
      </w:pPr>
      <w:r>
        <w:rPr>
          <w:rFonts w:ascii="Arial" w:cs="Arial" w:eastAsia="Arial" w:hAnsi="Arial"/>
          <w:sz w:val="13"/>
          <w:szCs w:val="13"/>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0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We have also entered into an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to SPH, under separate administration agreements. See Note 3.</w:t>
      </w:r>
    </w:p>
    <w:p>
      <w:pPr>
        <w:spacing w:after="0" w:line="101" w:lineRule="exact"/>
        <w:rPr>
          <w:sz w:val="20"/>
          <w:szCs w:val="20"/>
          <w:color w:val="auto"/>
        </w:rPr>
      </w:pPr>
    </w:p>
    <w:p>
      <w:pPr>
        <w:ind w:right="40" w:firstLine="685"/>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15" w:lineRule="exact"/>
        <w:rPr>
          <w:sz w:val="20"/>
          <w:szCs w:val="20"/>
          <w:color w:val="auto"/>
        </w:rPr>
      </w:pPr>
    </w:p>
    <w:p>
      <w:pPr>
        <w:ind w:right="80" w:firstLine="685"/>
        <w:spacing w:after="0" w:line="291"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83" w:lineRule="exact"/>
        <w:rPr>
          <w:sz w:val="20"/>
          <w:szCs w:val="20"/>
          <w:color w:val="auto"/>
        </w:rPr>
      </w:pPr>
    </w:p>
    <w:p>
      <w:pPr>
        <w:ind w:right="40" w:firstLine="685"/>
        <w:spacing w:after="0" w:line="253" w:lineRule="auto"/>
        <w:rPr>
          <w:sz w:val="20"/>
          <w:szCs w:val="20"/>
          <w:color w:val="auto"/>
        </w:rPr>
      </w:pPr>
      <w:r>
        <w:rPr>
          <w:rFonts w:ascii="Arial" w:cs="Arial" w:eastAsia="Arial" w:hAnsi="Arial"/>
          <w:sz w:val="14"/>
          <w:szCs w:val="14"/>
          <w:color w:val="auto"/>
        </w:rPr>
        <w:t>In September 2014, we completed a follow-on public offering of 8,500,000 shares of common stock at a public offering price of $11.63 per share for gross proceeds of $98.9 million and net proceeds of $95.4 million after the sales load and offering expenses.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685"/>
        <w:spacing w:after="0" w:line="251"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10"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8" w:lineRule="exact"/>
        <w:rPr>
          <w:sz w:val="20"/>
          <w:szCs w:val="20"/>
          <w:color w:val="auto"/>
        </w:rPr>
      </w:pPr>
    </w:p>
    <w:p>
      <w:pPr>
        <w:ind w:right="400" w:firstLine="685"/>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6" w:lineRule="exact"/>
        <w:rPr>
          <w:sz w:val="20"/>
          <w:szCs w:val="20"/>
          <w:color w:val="auto"/>
        </w:rPr>
      </w:pPr>
    </w:p>
    <w:p>
      <w:pPr>
        <w:ind w:left="800" w:right="80" w:hanging="576"/>
        <w:spacing w:after="0" w:line="253" w:lineRule="auto"/>
        <w:tabs>
          <w:tab w:leader="none" w:pos="8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576"/>
        <w:spacing w:after="0"/>
        <w:tabs>
          <w:tab w:leader="none" w:pos="8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360" w:hanging="576"/>
        <w:spacing w:after="0" w:line="264" w:lineRule="auto"/>
        <w:tabs>
          <w:tab w:leader="none" w:pos="8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240" w:hanging="576"/>
        <w:spacing w:after="0" w:line="238" w:lineRule="auto"/>
        <w:tabs>
          <w:tab w:leader="none" w:pos="8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400" w:hanging="576"/>
        <w:spacing w:after="0" w:line="253" w:lineRule="auto"/>
        <w:tabs>
          <w:tab w:leader="none" w:pos="8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0" w:lineRule="exact"/>
        <w:rPr>
          <w:sz w:val="20"/>
          <w:szCs w:val="20"/>
          <w:color w:val="auto"/>
        </w:rPr>
      </w:pPr>
    </w:p>
    <w:p>
      <w:pPr>
        <w:spacing w:after="0" w:line="262" w:lineRule="exact"/>
        <w:rPr>
          <w:sz w:val="20"/>
          <w:szCs w:val="20"/>
          <w:color w:val="auto"/>
        </w:rPr>
      </w:pPr>
    </w:p>
    <w:p>
      <w:pPr>
        <w:ind w:right="100" w:firstLine="685"/>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 / Unrealized Gains or Losses</w:t>
      </w:r>
    </w:p>
    <w:p>
      <w:pPr>
        <w:spacing w:after="0" w:line="136"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our 2019 Notes and our 2025 Notes during the reporting period, including any reversal of previously recorded unrealized appreciation or depreciation, when gains or losses are realized.</w:t>
      </w:r>
    </w:p>
    <w:p>
      <w:pPr>
        <w:spacing w:after="0" w:line="91"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120" w:firstLine="685"/>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taxation as a RIC, we do not anticipate paying any material level of federal income taxes in the future. Although we are not subject to federal income taxes as a RIC, we have elected to retain a portion of our calendar year income and accrue taxes of $0.1 million, $(0.1) million and $0.3 million for the fiscal years ended September 30, 2014, 2013 and 2012, respectively.</w:t>
      </w:r>
    </w:p>
    <w:p>
      <w:pPr>
        <w:spacing w:after="0" w:line="110"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115"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15" w:lineRule="exact"/>
        <w:rPr>
          <w:sz w:val="20"/>
          <w:szCs w:val="20"/>
          <w:color w:val="auto"/>
        </w:rPr>
      </w:pPr>
    </w:p>
    <w:p>
      <w:pPr>
        <w:ind w:right="20"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020" w:hanging="215"/>
        <w:spacing w:after="0"/>
        <w:tabs>
          <w:tab w:leader="none" w:pos="10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020" w:hanging="215"/>
        <w:spacing w:after="0"/>
        <w:tabs>
          <w:tab w:leader="none" w:pos="10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20" w:firstLine="685"/>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16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40"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17" w:lineRule="exact"/>
        <w:rPr>
          <w:sz w:val="20"/>
          <w:szCs w:val="20"/>
          <w:color w:val="auto"/>
        </w:rPr>
      </w:pPr>
    </w:p>
    <w:p>
      <w:pPr>
        <w:ind w:right="20" w:firstLine="685"/>
        <w:spacing w:after="0" w:line="247"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2014, 2013 and 2012, the Investment Adviser earned a base management fee of $24.3 million, $21.3 million and $17.5 million, respectively, from us.</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40" w:firstLine="685"/>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w:t>
      </w:r>
    </w:p>
    <w:p>
      <w:pPr>
        <w:spacing w:after="0" w:line="3" w:lineRule="exact"/>
        <w:rPr>
          <w:sz w:val="20"/>
          <w:szCs w:val="20"/>
          <w:color w:val="auto"/>
        </w:rPr>
      </w:pPr>
    </w:p>
    <w:p>
      <w:pPr>
        <w:ind w:right="100"/>
        <w:spacing w:after="0" w:line="232" w:lineRule="auto"/>
        <w:rPr>
          <w:sz w:val="20"/>
          <w:szCs w:val="20"/>
          <w:color w:val="auto"/>
        </w:rPr>
      </w:pPr>
      <w:r>
        <w:rPr>
          <w:rFonts w:ascii="Arial" w:cs="Arial" w:eastAsia="Arial" w:hAnsi="Arial"/>
          <w:sz w:val="14"/>
          <w:szCs w:val="14"/>
          <w:color w:val="auto"/>
        </w:rPr>
        <w:t>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years ended September 30, 2014, 2013 and 2012, the Investment Adviser received an incentive fee of $17.8 million, $16.8 million and $14.2 million, respectively, from us.</w:t>
      </w:r>
    </w:p>
    <w:p>
      <w:pPr>
        <w:spacing w:after="0" w:line="115"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2014, 2013 and 2012 the Investment Adviser did not earn an incentive fee on capital gains as calculated under the Investment Management Agreement (as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firstLine="685"/>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2014, 2013 and 2012, our unrealized and realized capital gains did not exceed our cumulative realized and unrealized losses and therefore resulted in no accrual for capital gains incentive fees under GAAP.</w:t>
      </w:r>
    </w:p>
    <w:p>
      <w:pPr>
        <w:spacing w:after="0" w:line="119" w:lineRule="exact"/>
        <w:rPr>
          <w:sz w:val="20"/>
          <w:szCs w:val="20"/>
          <w:color w:val="auto"/>
        </w:rPr>
      </w:pPr>
    </w:p>
    <w:p>
      <w:pPr>
        <w:ind w:right="40" w:firstLine="685"/>
        <w:spacing w:after="0" w:line="246"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2014, 2013 and 2012, the Investment Adviser was reimbursed $3.0 million, $2.9 million and $3.6 million, respectively, from us, including expenses incurred on behalf of the Administrator, for the services described above.</w:t>
      </w:r>
    </w:p>
    <w:p>
      <w:pPr>
        <w:spacing w:after="0" w:line="111" w:lineRule="exact"/>
        <w:rPr>
          <w:sz w:val="20"/>
          <w:szCs w:val="20"/>
          <w:color w:val="auto"/>
        </w:rPr>
      </w:pPr>
    </w:p>
    <w:p>
      <w:pPr>
        <w:ind w:right="80" w:firstLine="685"/>
        <w:spacing w:after="0" w:line="249"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2014, 2013 and 2012, PennantPark Investment was reimbursed $0.5 million, $0.4 million and $0.7 million, respectively, for the services described above.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Purchases of investments, including PIK, for the fiscal years ended September 30, 2014, 2013 and 2012 totaled $806.1 million, $516.2 million and $337.3 million, respectively. Sales and repayments of investments for the fiscal years ended September 30, 2014, 2013 and 2012 totaled $625.6 million, $437.1 million and $201.7 million, respectively.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 2013</w:t>
            </w:r>
          </w:p>
        </w:tc>
      </w:tr>
      <w:tr>
        <w:trPr>
          <w:trHeight w:val="142"/>
        </w:trPr>
        <w:tc>
          <w:tcPr>
            <w:tcW w:w="51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 Classification</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CCEEFF"/>
            </w:tcBorders>
            <w:shd w:val="clear" w:color="auto" w:fill="CCEEFF"/>
          </w:tcPr>
          <w:p>
            <w:pPr>
              <w:spacing w:after="0"/>
              <w:rPr>
                <w:sz w:val="12"/>
                <w:szCs w:val="12"/>
                <w:color w:val="auto"/>
              </w:rPr>
            </w:pPr>
          </w:p>
        </w:tc>
      </w:tr>
      <w:tr>
        <w:trPr>
          <w:trHeight w:val="142"/>
        </w:trPr>
        <w:tc>
          <w:tcPr>
            <w:tcW w:w="5180" w:type="dxa"/>
            <w:vAlign w:val="bottom"/>
          </w:tcPr>
          <w:p>
            <w:pPr>
              <w:spacing w:after="0" w:line="142" w:lineRule="exact"/>
              <w:rPr>
                <w:sz w:val="20"/>
                <w:szCs w:val="20"/>
                <w:color w:val="auto"/>
              </w:rPr>
            </w:pPr>
            <w:r>
              <w:rPr>
                <w:rFonts w:ascii="Arial" w:cs="Arial" w:eastAsia="Arial" w:hAnsi="Arial"/>
                <w:sz w:val="14"/>
                <w:szCs w:val="14"/>
                <w:color w:val="auto"/>
              </w:rPr>
              <w:t>First lien</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453,835,589</w:t>
            </w:r>
          </w:p>
        </w:tc>
        <w:tc>
          <w:tcPr>
            <w:tcW w:w="180" w:type="dxa"/>
            <w:vAlign w:val="bottom"/>
          </w:tcPr>
          <w:p>
            <w:pPr>
              <w:spacing w:after="0"/>
              <w:rPr>
                <w:sz w:val="12"/>
                <w:szCs w:val="12"/>
                <w:color w:val="auto"/>
              </w:rPr>
            </w:pPr>
          </w:p>
        </w:tc>
        <w:tc>
          <w:tcPr>
            <w:tcW w:w="24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2" w:lineRule="exact"/>
              <w:rPr>
                <w:sz w:val="20"/>
                <w:szCs w:val="20"/>
                <w:color w:val="auto"/>
              </w:rPr>
            </w:pPr>
            <w:r>
              <w:rPr>
                <w:rFonts w:ascii="Arial" w:cs="Arial" w:eastAsia="Arial" w:hAnsi="Arial"/>
                <w:sz w:val="14"/>
                <w:szCs w:val="14"/>
                <w:color w:val="auto"/>
              </w:rPr>
              <w:t>465,593,894</w:t>
            </w:r>
          </w:p>
        </w:tc>
        <w:tc>
          <w:tcPr>
            <w:tcW w:w="180" w:type="dxa"/>
            <w:vAlign w:val="bottom"/>
          </w:tcPr>
          <w:p>
            <w:pPr>
              <w:spacing w:after="0"/>
              <w:rPr>
                <w:sz w:val="12"/>
                <w:szCs w:val="12"/>
                <w:color w:val="auto"/>
              </w:rPr>
            </w:pPr>
          </w:p>
        </w:tc>
        <w:tc>
          <w:tcPr>
            <w:tcW w:w="300" w:type="dxa"/>
            <w:vAlign w:val="bottom"/>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290,000,430</w:t>
            </w:r>
          </w:p>
        </w:tc>
        <w:tc>
          <w:tcPr>
            <w:tcW w:w="16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299,516,291</w:t>
            </w:r>
          </w:p>
        </w:tc>
        <w:tc>
          <w:tcPr>
            <w:tcW w:w="80" w:type="dxa"/>
            <w:vAlign w:val="bottom"/>
          </w:tcPr>
          <w:p>
            <w:pPr>
              <w:spacing w:after="0"/>
              <w:rPr>
                <w:sz w:val="12"/>
                <w:szCs w:val="12"/>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489,813,322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493,360,024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346,717,448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357,543,217</w:t>
            </w:r>
          </w:p>
        </w:tc>
        <w:tc>
          <w:tcPr>
            <w:tcW w:w="80" w:type="dxa"/>
            <w:vAlign w:val="bottom"/>
            <w:shd w:val="clear" w:color="auto" w:fill="CCEEFF"/>
          </w:tcPr>
          <w:p>
            <w:pPr>
              <w:spacing w:after="0"/>
              <w:rPr>
                <w:sz w:val="12"/>
                <w:szCs w:val="12"/>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250,905,632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247,146,967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311,240,637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302,447,308</w:t>
            </w:r>
          </w:p>
        </w:tc>
        <w:tc>
          <w:tcPr>
            <w:tcW w:w="80" w:type="dxa"/>
            <w:vAlign w:val="bottom"/>
          </w:tcPr>
          <w:p>
            <w:pPr>
              <w:spacing w:after="0"/>
              <w:rPr>
                <w:sz w:val="12"/>
                <w:szCs w:val="12"/>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124,299,777</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111,953,881</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143,559,370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118,668,737</w:t>
            </w:r>
          </w:p>
        </w:tc>
        <w:tc>
          <w:tcPr>
            <w:tcW w:w="80" w:type="dxa"/>
            <w:vAlign w:val="bottom"/>
            <w:shd w:val="clear" w:color="auto" w:fill="CCEEFF"/>
          </w:tcPr>
          <w:p>
            <w:pPr>
              <w:spacing w:after="0"/>
              <w:rPr>
                <w:sz w:val="12"/>
                <w:szCs w:val="12"/>
                <w:color w:val="auto"/>
              </w:rPr>
            </w:pP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1,318,854,320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1,318,054,766</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1,091,517,885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1,078,175,553</w:t>
            </w:r>
          </w:p>
        </w:tc>
        <w:tc>
          <w:tcPr>
            <w:tcW w:w="80" w:type="dxa"/>
            <w:vAlign w:val="bottom"/>
          </w:tcPr>
          <w:p>
            <w:pPr>
              <w:spacing w:after="0"/>
              <w:rPr>
                <w:sz w:val="13"/>
                <w:szCs w:val="13"/>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66,600,195</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shd w:val="clear" w:color="auto" w:fill="CCEEFF"/>
          </w:tcPr>
          <w:p>
            <w:pPr>
              <w:spacing w:after="0"/>
              <w:rPr>
                <w:sz w:val="12"/>
                <w:szCs w:val="12"/>
                <w:color w:val="auto"/>
              </w:rPr>
            </w:pP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1,385,454,515</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1,384,573,448</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1,149,958,714</w:t>
            </w: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1,136,616,382</w:t>
            </w:r>
          </w:p>
        </w:tc>
        <w:tc>
          <w:tcPr>
            <w:tcW w:w="80" w:type="dxa"/>
            <w:vAlign w:val="bottom"/>
          </w:tcPr>
          <w:p>
            <w:pPr>
              <w:spacing w:after="0"/>
              <w:rPr>
                <w:sz w:val="13"/>
                <w:szCs w:val="13"/>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6"/>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828"/>
              <w:spacing w:after="0"/>
              <w:rPr>
                <w:sz w:val="20"/>
                <w:szCs w:val="20"/>
                <w:color w:val="auto"/>
              </w:rPr>
            </w:pPr>
            <w:r>
              <w:rPr>
                <w:rFonts w:ascii="Arial" w:cs="Arial" w:eastAsia="Arial" w:hAnsi="Arial"/>
                <w:sz w:val="14"/>
                <w:szCs w:val="14"/>
                <w:color w:val="auto"/>
              </w:rPr>
              <w:t>F-22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44" w:lineRule="exact"/>
        <w:rPr>
          <w:sz w:val="20"/>
          <w:szCs w:val="20"/>
          <w:color w:val="auto"/>
        </w:rPr>
      </w:pPr>
    </w:p>
    <w:tbl>
      <w:tblPr>
        <w:tblLayout w:type="fixed"/>
        <w:tblInd w:w="200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80" w:type="dxa"/>
            <w:vAlign w:val="bottom"/>
            <w:vMerge w:val="restart"/>
          </w:tcPr>
          <w:p>
            <w:pPr>
              <w:spacing w:after="0"/>
              <w:rPr>
                <w:sz w:val="14"/>
                <w:szCs w:val="14"/>
                <w:color w:val="auto"/>
              </w:rPr>
            </w:pPr>
          </w:p>
        </w:tc>
        <w:tc>
          <w:tcPr>
            <w:tcW w:w="212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Consumer Products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9%</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Oil and Gas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Building Materials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Media</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1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140" w:firstLine="685"/>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600" w:right="600" w:hanging="1025"/>
        <w:spacing w:after="0" w:line="238" w:lineRule="auto"/>
        <w:tabs>
          <w:tab w:leader="none" w:pos="15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600" w:right="840" w:hanging="1025"/>
        <w:spacing w:after="0" w:line="253" w:lineRule="auto"/>
        <w:tabs>
          <w:tab w:leader="none" w:pos="15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06" w:lineRule="exact"/>
        <w:rPr>
          <w:sz w:val="20"/>
          <w:szCs w:val="20"/>
          <w:color w:val="auto"/>
        </w:rPr>
      </w:pPr>
    </w:p>
    <w:p>
      <w:pPr>
        <w:ind w:right="20" w:firstLine="685"/>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1" w:lineRule="exact"/>
        <w:rPr>
          <w:sz w:val="20"/>
          <w:szCs w:val="20"/>
          <w:color w:val="auto"/>
        </w:rPr>
      </w:pPr>
    </w:p>
    <w:p>
      <w:pPr>
        <w:jc w:val="both"/>
        <w:ind w:right="160" w:firstLine="685"/>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59" w:lineRule="exact"/>
        <w:rPr>
          <w:sz w:val="20"/>
          <w:szCs w:val="20"/>
          <w:color w:val="auto"/>
        </w:rPr>
      </w:pPr>
    </w:p>
    <w:p>
      <w:pPr>
        <w:ind w:right="40" w:firstLine="685"/>
        <w:spacing w:after="0" w:line="229"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8" w:lineRule="exact"/>
        <w:rPr>
          <w:sz w:val="20"/>
          <w:szCs w:val="20"/>
          <w:color w:val="auto"/>
        </w:rPr>
      </w:pPr>
    </w:p>
    <w:p>
      <w:pPr>
        <w:ind w:right="100" w:firstLine="685"/>
        <w:spacing w:after="0" w:line="234"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years ended September 30, 2014 and 2013 has resulted in no and one reclassifications, respectively, from Level 3 to 2 as outlined in the table below.</w:t>
      </w:r>
    </w:p>
    <w:p>
      <w:pPr>
        <w:spacing w:after="0" w:line="115" w:lineRule="exact"/>
        <w:rPr>
          <w:sz w:val="20"/>
          <w:szCs w:val="20"/>
          <w:color w:val="auto"/>
        </w:rPr>
      </w:pPr>
    </w:p>
    <w:p>
      <w:pPr>
        <w:jc w:val="both"/>
        <w:ind w:right="20" w:firstLine="685"/>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2"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15" w:lineRule="exact"/>
        <w:rPr>
          <w:sz w:val="20"/>
          <w:szCs w:val="20"/>
          <w:color w:val="auto"/>
        </w:rPr>
      </w:pPr>
    </w:p>
    <w:p>
      <w:pPr>
        <w:ind w:right="100" w:firstLine="685"/>
        <w:spacing w:after="0" w:line="227" w:lineRule="auto"/>
        <w:rPr>
          <w:sz w:val="20"/>
          <w:szCs w:val="20"/>
          <w:color w:val="auto"/>
        </w:rPr>
      </w:pPr>
      <w:r>
        <w:rPr>
          <w:rFonts w:ascii="Arial" w:cs="Arial" w:eastAsia="Arial" w:hAnsi="Arial"/>
          <w:sz w:val="14"/>
          <w:szCs w:val="14"/>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Fair Value as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Unobservable Input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2014</w:t>
            </w:r>
          </w:p>
        </w:tc>
        <w:tc>
          <w:tcPr>
            <w:tcW w:w="162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480,344,879</w:t>
            </w:r>
          </w:p>
        </w:tc>
        <w:tc>
          <w:tcPr>
            <w:tcW w:w="3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4820" w:type="dxa"/>
            <w:vAlign w:val="bottom"/>
          </w:tcPr>
          <w:p>
            <w:pPr>
              <w:spacing w:after="0" w:line="130" w:lineRule="exact"/>
              <w:rPr>
                <w:sz w:val="20"/>
                <w:szCs w:val="20"/>
                <w:color w:val="auto"/>
              </w:rPr>
            </w:pPr>
            <w:r>
              <w:rPr>
                <w:rFonts w:ascii="Arial" w:cs="Arial" w:eastAsia="Arial" w:hAnsi="Arial"/>
                <w:sz w:val="14"/>
                <w:szCs w:val="14"/>
                <w:color w:val="auto"/>
              </w:rPr>
              <w:t>Debt investments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Arial" w:cs="Arial" w:eastAsia="Arial" w:hAnsi="Arial"/>
                <w:sz w:val="14"/>
                <w:szCs w:val="14"/>
                <w:color w:val="auto"/>
              </w:rPr>
              <w:t>681,131,020</w:t>
            </w:r>
          </w:p>
        </w:tc>
        <w:tc>
          <w:tcPr>
            <w:tcW w:w="300" w:type="dxa"/>
            <w:vAlign w:val="bottom"/>
          </w:tcPr>
          <w:p>
            <w:pPr>
              <w:spacing w:after="0"/>
              <w:rPr>
                <w:sz w:val="11"/>
                <w:szCs w:val="11"/>
                <w:color w:val="auto"/>
              </w:rPr>
            </w:pPr>
          </w:p>
        </w:tc>
        <w:tc>
          <w:tcPr>
            <w:tcW w:w="16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4"/>
              </w:rPr>
              <w:t>9.7% – 21.3%</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(13.2%)</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12,163,865</w:t>
            </w:r>
          </w:p>
        </w:tc>
        <w:tc>
          <w:tcPr>
            <w:tcW w:w="3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Broker/Dealer bid quotes</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4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99,698,372</w:t>
            </w:r>
          </w:p>
        </w:tc>
        <w:tc>
          <w:tcPr>
            <w:tcW w:w="300" w:type="dxa"/>
            <w:vAlign w:val="bottom"/>
          </w:tcPr>
          <w:p>
            <w:pPr>
              <w:spacing w:after="0"/>
              <w:rPr>
                <w:sz w:val="13"/>
                <w:szCs w:val="13"/>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3.3x – 14.0x (8.8x)</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Level 3 investments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1,273,338,136</w:t>
            </w:r>
          </w:p>
        </w:tc>
        <w:tc>
          <w:tcPr>
            <w:tcW w:w="1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0" w:type="dxa"/>
            <w:vAlign w:val="bottom"/>
          </w:tcPr>
          <w:p>
            <w:pPr>
              <w:spacing w:after="0" w:line="20" w:lineRule="exact"/>
              <w:rPr>
                <w:sz w:val="1"/>
                <w:szCs w:val="1"/>
                <w:color w:val="auto"/>
              </w:rPr>
            </w:pPr>
          </w:p>
        </w:tc>
      </w:tr>
      <w:tr>
        <w:trPr>
          <w:trHeight w:val="143"/>
        </w:trPr>
        <w:tc>
          <w:tcPr>
            <w:tcW w:w="4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53,497,620</w:t>
            </w:r>
          </w:p>
        </w:tc>
        <w:tc>
          <w:tcPr>
            <w:tcW w:w="3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2019 Notes</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251,350,250</w:t>
            </w:r>
          </w:p>
        </w:tc>
        <w:tc>
          <w:tcPr>
            <w:tcW w:w="3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4"/>
              </w:rPr>
              <w:t>Broker/Dealer bid quotes</w:t>
            </w:r>
          </w:p>
        </w:tc>
        <w:tc>
          <w:tcPr>
            <w:tcW w:w="13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 as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Unobservable Input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2013</w:t>
            </w:r>
          </w:p>
        </w:tc>
        <w:tc>
          <w:tcPr>
            <w:tcW w:w="162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9"/>
              </w:rPr>
              <w:t>448,842,468</w:t>
            </w:r>
          </w:p>
        </w:tc>
        <w:tc>
          <w:tcPr>
            <w:tcW w:w="3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4820" w:type="dxa"/>
            <w:vAlign w:val="bottom"/>
          </w:tcPr>
          <w:p>
            <w:pPr>
              <w:spacing w:after="0" w:line="130" w:lineRule="exact"/>
              <w:rPr>
                <w:sz w:val="20"/>
                <w:szCs w:val="20"/>
                <w:color w:val="auto"/>
              </w:rPr>
            </w:pPr>
            <w:r>
              <w:rPr>
                <w:rFonts w:ascii="Arial" w:cs="Arial" w:eastAsia="Arial" w:hAnsi="Arial"/>
                <w:sz w:val="14"/>
                <w:szCs w:val="14"/>
                <w:color w:val="auto"/>
              </w:rPr>
              <w:t>Debt investments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540"/>
              <w:spacing w:after="0" w:line="130" w:lineRule="exact"/>
              <w:rPr>
                <w:sz w:val="20"/>
                <w:szCs w:val="20"/>
                <w:color w:val="auto"/>
              </w:rPr>
            </w:pPr>
            <w:r>
              <w:rPr>
                <w:rFonts w:ascii="Arial" w:cs="Arial" w:eastAsia="Arial" w:hAnsi="Arial"/>
                <w:sz w:val="14"/>
                <w:szCs w:val="14"/>
                <w:color w:val="auto"/>
                <w:w w:val="89"/>
              </w:rPr>
              <w:t>466,571,947</w:t>
            </w:r>
          </w:p>
        </w:tc>
        <w:tc>
          <w:tcPr>
            <w:tcW w:w="300" w:type="dxa"/>
            <w:vAlign w:val="bottom"/>
          </w:tcPr>
          <w:p>
            <w:pPr>
              <w:spacing w:after="0"/>
              <w:rPr>
                <w:sz w:val="11"/>
                <w:szCs w:val="11"/>
                <w:color w:val="auto"/>
              </w:rPr>
            </w:pPr>
          </w:p>
        </w:tc>
        <w:tc>
          <w:tcPr>
            <w:tcW w:w="16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4"/>
              </w:rPr>
              <w:t>9.5% – 21.5%</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(13.5%)</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110,923,751</w:t>
            </w: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6.0x – 15.0x (9.0x)</w:t>
            </w:r>
          </w:p>
        </w:tc>
        <w:tc>
          <w:tcPr>
            <w:tcW w:w="0" w:type="dxa"/>
            <w:vAlign w:val="bottom"/>
          </w:tcPr>
          <w:p>
            <w:pPr>
              <w:spacing w:after="0"/>
              <w:rPr>
                <w:sz w:val="1"/>
                <w:szCs w:val="1"/>
                <w:color w:val="auto"/>
              </w:rPr>
            </w:pPr>
          </w:p>
        </w:tc>
      </w:tr>
      <w:tr>
        <w:trPr>
          <w:trHeight w:val="156"/>
        </w:trPr>
        <w:tc>
          <w:tcPr>
            <w:tcW w:w="4820" w:type="dxa"/>
            <w:vAlign w:val="bottom"/>
          </w:tcPr>
          <w:p>
            <w:pPr>
              <w:ind w:left="160"/>
              <w:spacing w:after="0" w:line="155" w:lineRule="exact"/>
              <w:rPr>
                <w:sz w:val="20"/>
                <w:szCs w:val="20"/>
                <w:color w:val="auto"/>
              </w:rPr>
            </w:pPr>
            <w:r>
              <w:rPr>
                <w:rFonts w:ascii="Arial" w:cs="Arial" w:eastAsia="Arial" w:hAnsi="Arial"/>
                <w:sz w:val="14"/>
                <w:szCs w:val="14"/>
                <w:color w:val="auto"/>
              </w:rPr>
              <w:t>Total Level 3 investments</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color w:val="auto"/>
                <w:w w:val="89"/>
              </w:rPr>
              <w:t>1,026,338,166</w:t>
            </w: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color w:val="auto"/>
              </w:rPr>
              <w:t>117,500,000</w:t>
            </w:r>
          </w:p>
        </w:tc>
        <w:tc>
          <w:tcPr>
            <w:tcW w:w="16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7"/>
              </w:rPr>
              <w:t>Market Yield</w:t>
            </w:r>
          </w:p>
        </w:tc>
        <w:tc>
          <w:tcPr>
            <w:tcW w:w="13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ind w:left="480"/>
              <w:spacing w:after="0"/>
              <w:rPr>
                <w:sz w:val="20"/>
                <w:szCs w:val="20"/>
                <w:color w:val="auto"/>
              </w:rPr>
            </w:pPr>
            <w:r>
              <w:rPr>
                <w:rFonts w:ascii="Arial" w:cs="Arial" w:eastAsia="Arial" w:hAnsi="Arial"/>
                <w:sz w:val="14"/>
                <w:szCs w:val="14"/>
                <w:color w:val="auto"/>
              </w:rPr>
              <w:t>F-24</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Our investments, cash and cash equivalents, Credit Facility, the 2019 Notes and the 2025 Notes were categorized as follows in the fair value hierarchy for ASC 820 purposes: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rPr>
              <w:t>Fair Value at September 30, 2014</w:t>
            </w: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1,206,100,885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44,624,986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1,161,475,899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111,953,881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91,644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111,862,237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1,318,054,766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44,716,630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1,273,338,136</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1,384,573,448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44,716,630</w:t>
            </w:r>
          </w:p>
        </w:tc>
        <w:tc>
          <w:tcPr>
            <w:tcW w:w="3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1,273,338,136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251,350,250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251,350,250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376,667,870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71,820,000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304,847,870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17"/>
          </w:tcPr>
          <w:p>
            <w:pPr>
              <w:jc w:val="right"/>
              <w:ind w:right="82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6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959,506,815</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44,092,400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left w:val="single" w:sz="8" w:color="CCEEF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118,668,738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7,539,320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0"/>
              <w:spacing w:after="0" w:line="149" w:lineRule="exact"/>
              <w:rPr>
                <w:sz w:val="20"/>
                <w:szCs w:val="20"/>
                <w:color w:val="auto"/>
              </w:rPr>
            </w:pPr>
            <w:r>
              <w:rPr>
                <w:rFonts w:ascii="Arial" w:cs="Arial" w:eastAsia="Arial" w:hAnsi="Arial"/>
                <w:sz w:val="14"/>
                <w:szCs w:val="14"/>
                <w:color w:val="auto"/>
              </w:rPr>
              <w:t>205,667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110,923,751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1,078,175,553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7,539,320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44,298,067</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1,026,338,166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4"/>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1,136,616,382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65,980,149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44,298,067</w:t>
            </w:r>
          </w:p>
        </w:tc>
        <w:tc>
          <w:tcPr>
            <w:tcW w:w="4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1,026,338,166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4"/>
                <w:szCs w:val="14"/>
                <w:color w:val="auto"/>
              </w:rPr>
              <w:t>Long-Term Credit Facility (excluding temporary draw of $28.0 million)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117,500,000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4"/>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188"/>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117,500,000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68,400,000</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68,400,000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Total debt</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185,900,000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68,400,000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117,500,000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0460" w:type="dxa"/>
            <w:vAlign w:val="bottom"/>
            <w:gridSpan w:val="23"/>
          </w:tcPr>
          <w:p>
            <w:pPr>
              <w:ind w:left="680"/>
              <w:spacing w:after="0"/>
              <w:rPr>
                <w:sz w:val="20"/>
                <w:szCs w:val="20"/>
                <w:color w:val="auto"/>
              </w:rPr>
            </w:pPr>
            <w:r>
              <w:rPr>
                <w:rFonts w:ascii="Arial" w:cs="Arial" w:eastAsia="Arial" w:hAnsi="Arial"/>
                <w:sz w:val="14"/>
                <w:szCs w:val="14"/>
                <w:color w:val="auto"/>
                <w:w w:val="95"/>
              </w:rPr>
              <w:t>The following tables show a reconciliation of the beginning and ending balances for fair valued investments measured using significant unobservable inputs (Level 3):</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Year Ended September 30, 2014</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jc w:val="right"/>
              <w:ind w:right="60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110,923,751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left w:val="single" w:sz="8" w:color="CCEEF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1,026,338,166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19,314,901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3,956,456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23,271,357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 appreciation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(10,373,678)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17,034,882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6,661,204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782,753,337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25,548,400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808,301,737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(545,633,076)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(45,601,252)</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(591,234,328)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10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1,161,475,899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111,862,237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1,273,338,136</w:t>
            </w:r>
          </w:p>
        </w:tc>
        <w:tc>
          <w:tcPr>
            <w:tcW w:w="0" w:type="dxa"/>
            <w:vAlign w:val="bottom"/>
          </w:tcPr>
          <w:p>
            <w:pPr>
              <w:spacing w:after="0"/>
              <w:rPr>
                <w:sz w:val="1"/>
                <w:szCs w:val="1"/>
                <w:color w:val="auto"/>
              </w:rPr>
            </w:pPr>
          </w:p>
        </w:tc>
      </w:tr>
      <w:tr>
        <w:trPr>
          <w:trHeight w:val="20"/>
        </w:trPr>
        <w:tc>
          <w:tcPr>
            <w:tcW w:w="7420" w:type="dxa"/>
            <w:vAlign w:val="bottom"/>
            <w:gridSpan w:val="6"/>
            <w:vMerge w:val="restart"/>
          </w:tcPr>
          <w:p>
            <w:pPr>
              <w:spacing w:after="0"/>
              <w:rPr>
                <w:sz w:val="20"/>
                <w:szCs w:val="20"/>
                <w:color w:val="auto"/>
              </w:rPr>
            </w:pPr>
            <w:r>
              <w:rPr>
                <w:rFonts w:ascii="Arial" w:cs="Arial" w:eastAsia="Arial" w:hAnsi="Arial"/>
                <w:sz w:val="14"/>
                <w:szCs w:val="14"/>
                <w:color w:val="auto"/>
                <w:w w:val="93"/>
              </w:rPr>
              <w:t>Net change in unrealized appreciation (depreciation) reported within the net change in unrealized appreciation on investments in</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gridSpan w:val="2"/>
          </w:tcPr>
          <w:p>
            <w:pPr>
              <w:ind w:left="140"/>
              <w:spacing w:after="0"/>
              <w:rPr>
                <w:sz w:val="20"/>
                <w:szCs w:val="20"/>
                <w:color w:val="auto"/>
              </w:rPr>
            </w:pPr>
            <w:r>
              <w:rPr>
                <w:rFonts w:ascii="Arial" w:cs="Arial" w:eastAsia="Arial" w:hAnsi="Arial"/>
                <w:sz w:val="14"/>
                <w:szCs w:val="14"/>
                <w:color w:val="auto"/>
                <w:w w:val="96"/>
              </w:rPr>
              <w:t>our Consolidated Statement of Operations attributable to our Level 3 assets still held at the reporting date.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2,129,283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color w:val="auto"/>
              </w:rPr>
              <w:t>(15,261,361)</w:t>
            </w:r>
          </w:p>
        </w:tc>
        <w:tc>
          <w:tcPr>
            <w:tcW w:w="4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(13,132,078)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Year Ended September 30, 2013</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jc w:val="right"/>
              <w:ind w:right="56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4"/>
                <w:szCs w:val="14"/>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848,424,071</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101,323,123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left w:val="single" w:sz="8" w:color="CCEEFF"/>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949,747,194</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6,721,638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3,311,652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10,033,290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 (depreciation)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35,227,586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(28,273,765)</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6,953,821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512,045,145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46,647,608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558,692,753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and repayments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(474,164,025)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(12,084,867)</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(486,248,892)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915,414,415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110,923,751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1,026,338,166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20" w:type="dxa"/>
            <w:vAlign w:val="bottom"/>
            <w:gridSpan w:val="6"/>
            <w:vMerge w:val="restart"/>
          </w:tcPr>
          <w:p>
            <w:pPr>
              <w:spacing w:after="0"/>
              <w:rPr>
                <w:sz w:val="20"/>
                <w:szCs w:val="20"/>
                <w:color w:val="auto"/>
              </w:rPr>
            </w:pPr>
            <w:r>
              <w:rPr>
                <w:rFonts w:ascii="Arial" w:cs="Arial" w:eastAsia="Arial" w:hAnsi="Arial"/>
                <w:sz w:val="14"/>
                <w:szCs w:val="14"/>
                <w:color w:val="auto"/>
                <w:w w:val="93"/>
              </w:rPr>
              <w:t>Net change in unrealized appreciation (depreciation) reported within the net change in unrealized appreciation (depreciation) on</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0" w:type="dxa"/>
            <w:vAlign w:val="bottom"/>
            <w:gridSpan w:val="5"/>
          </w:tcPr>
          <w:p>
            <w:pPr>
              <w:ind w:left="140"/>
              <w:spacing w:after="0"/>
              <w:rPr>
                <w:sz w:val="20"/>
                <w:szCs w:val="20"/>
                <w:color w:val="auto"/>
              </w:rPr>
            </w:pPr>
            <w:r>
              <w:rPr>
                <w:rFonts w:ascii="Arial" w:cs="Arial" w:eastAsia="Arial" w:hAnsi="Arial"/>
                <w:sz w:val="14"/>
                <w:szCs w:val="14"/>
                <w:color w:val="auto"/>
                <w:w w:val="96"/>
              </w:rPr>
              <w:t>investments in our Consolidated Statement of Operations attributable to our Level 3 assets still held at the reporting date.</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33,158,082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4"/>
                <w:szCs w:val="14"/>
                <w:color w:val="auto"/>
              </w:rPr>
              <w:t>(30,958,706)</w:t>
            </w:r>
          </w:p>
        </w:tc>
        <w:tc>
          <w:tcPr>
            <w:tcW w:w="4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2,199,376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2"/>
            <w:vMerge w:val="restart"/>
          </w:tcPr>
          <w:p>
            <w:pPr>
              <w:ind w:left="5560"/>
              <w:spacing w:after="0"/>
              <w:rPr>
                <w:sz w:val="20"/>
                <w:szCs w:val="20"/>
                <w:color w:val="auto"/>
              </w:rPr>
            </w:pPr>
            <w:r>
              <w:rPr>
                <w:rFonts w:ascii="Arial" w:cs="Arial" w:eastAsia="Arial" w:hAnsi="Arial"/>
                <w:sz w:val="14"/>
                <w:szCs w:val="14"/>
                <w:color w:val="auto"/>
              </w:rPr>
              <w:t>F-25</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 and 2019 Notes</w:t>
            </w:r>
          </w:p>
        </w:tc>
        <w:tc>
          <w:tcPr>
            <w:tcW w:w="240" w:type="dxa"/>
            <w:vAlign w:val="bottom"/>
          </w:tcPr>
          <w:p>
            <w:pPr>
              <w:spacing w:after="0"/>
              <w:rPr>
                <w:sz w:val="14"/>
                <w:szCs w:val="14"/>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29"/>
        </w:trPr>
        <w:tc>
          <w:tcPr>
            <w:tcW w:w="8720" w:type="dxa"/>
            <w:vAlign w:val="bottom"/>
            <w:gridSpan w:val="3"/>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8"/>
              <w:spacing w:after="0" w:line="129"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shd w:val="clear" w:color="auto" w:fill="000000"/>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7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(cost – $117,500,000 and $109,500,000, respectively)</w:t>
            </w:r>
          </w:p>
        </w:tc>
        <w:tc>
          <w:tcPr>
            <w:tcW w:w="240" w:type="dxa"/>
            <w:vAlign w:val="bottom"/>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117,500,000</w:t>
            </w: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108,952,500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Total unrealized appreciation included in earnings</w:t>
            </w:r>
          </w:p>
        </w:tc>
        <w:tc>
          <w:tcPr>
            <w:tcW w:w="240" w:type="dxa"/>
            <w:vAlign w:val="bottom"/>
          </w:tcPr>
          <w:p>
            <w:pPr>
              <w:spacing w:after="0"/>
              <w:rPr>
                <w:sz w:val="12"/>
                <w:szCs w:val="12"/>
                <w:color w:val="auto"/>
              </w:rPr>
            </w:pP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(378,430)</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2019 Notes</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250,000,000</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804,053,100</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660,800,000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(866,326,800)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(652,800,000)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$305,226,300 and $117,500,000, respectively)</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304,847,870</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117,500,000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Temporary draws outstanding, at cost</w:t>
            </w:r>
          </w:p>
        </w:tc>
        <w:tc>
          <w:tcPr>
            <w:tcW w:w="240" w:type="dxa"/>
            <w:vAlign w:val="bottom"/>
          </w:tcPr>
          <w:p>
            <w:pPr>
              <w:spacing w:after="0"/>
              <w:rPr>
                <w:sz w:val="13"/>
                <w:szCs w:val="13"/>
                <w:color w:val="auto"/>
              </w:rPr>
            </w:pP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$305,226,300 and $145,500,000, respectively)</w:t>
            </w:r>
          </w:p>
        </w:tc>
        <w:tc>
          <w:tcPr>
            <w:tcW w:w="24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304,847,870</w:t>
            </w:r>
          </w:p>
        </w:tc>
        <w:tc>
          <w:tcPr>
            <w:tcW w:w="420" w:type="dxa"/>
            <w:vAlign w:val="bottom"/>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145,500,000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63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136" w:lineRule="exact"/>
        <w:rPr>
          <w:sz w:val="20"/>
          <w:szCs w:val="20"/>
          <w:color w:val="auto"/>
        </w:rPr>
      </w:pPr>
    </w:p>
    <w:p>
      <w:pPr>
        <w:ind w:right="220" w:firstLine="685"/>
        <w:spacing w:after="0" w:line="253" w:lineRule="auto"/>
        <w:rPr>
          <w:sz w:val="20"/>
          <w:szCs w:val="20"/>
          <w:color w:val="auto"/>
        </w:rPr>
      </w:pPr>
      <w:r>
        <w:rPr>
          <w:rFonts w:ascii="Arial" w:cs="Arial" w:eastAsia="Arial" w:hAnsi="Arial"/>
          <w:sz w:val="14"/>
          <w:szCs w:val="14"/>
          <w:color w:val="auto"/>
        </w:rPr>
        <w:t>As of September 30, 2014, we had outstanding non-USD borrowing on our Credit Facility denominated in British Pounds. Net change in fair value on these outstanding borrowings is listed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Foreign Currency</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140" w:type="dxa"/>
            <w:vAlign w:val="bottom"/>
          </w:tcPr>
          <w:p>
            <w:pPr>
              <w:spacing w:after="0"/>
              <w:rPr>
                <w:sz w:val="14"/>
                <w:szCs w:val="14"/>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Original</w:t>
            </w:r>
          </w:p>
        </w:tc>
        <w:tc>
          <w:tcPr>
            <w:tcW w:w="160" w:type="dxa"/>
            <w:vAlign w:val="bottom"/>
          </w:tcPr>
          <w:p>
            <w:pPr>
              <w:spacing w:after="0"/>
              <w:rPr>
                <w:sz w:val="14"/>
                <w:szCs w:val="1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7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Reset Date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Change 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1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6"/>
        </w:trPr>
        <w:tc>
          <w:tcPr>
            <w:tcW w:w="1620" w:type="dxa"/>
            <w:vAlign w:val="bottom"/>
            <w:tcBorders>
              <w:top w:val="single" w:sz="8" w:color="CCEEFF"/>
            </w:tcBorders>
            <w:shd w:val="clear" w:color="auto" w:fill="CCEEFF"/>
          </w:tcPr>
          <w:p>
            <w:pPr>
              <w:ind w:left="80"/>
              <w:spacing w:after="0" w:line="136" w:lineRule="exact"/>
              <w:rPr>
                <w:sz w:val="20"/>
                <w:szCs w:val="20"/>
                <w:color w:val="auto"/>
              </w:rPr>
            </w:pPr>
            <w:r>
              <w:rPr>
                <w:rFonts w:ascii="Arial" w:cs="Arial" w:eastAsia="Arial" w:hAnsi="Arial"/>
                <w:sz w:val="14"/>
                <w:szCs w:val="14"/>
                <w:color w:val="auto"/>
              </w:rPr>
              <w:t>British Pound</w:t>
            </w:r>
          </w:p>
        </w:tc>
        <w:tc>
          <w:tcPr>
            <w:tcW w:w="1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33,000,000</w:t>
            </w:r>
          </w:p>
        </w:tc>
        <w:tc>
          <w:tcPr>
            <w:tcW w:w="6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55,226,300</w:t>
            </w: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53,497,620</w:t>
            </w:r>
          </w:p>
        </w:tc>
        <w:tc>
          <w:tcPr>
            <w:tcW w:w="6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1"/>
              </w:rPr>
              <w:t>October 1, 2014</w:t>
            </w:r>
          </w:p>
        </w:tc>
        <w:tc>
          <w:tcPr>
            <w:tcW w:w="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(1,728,680)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firstLine="685"/>
        <w:spacing w:after="0" w:line="225" w:lineRule="auto"/>
        <w:rPr>
          <w:sz w:val="20"/>
          <w:szCs w:val="20"/>
          <w:color w:val="auto"/>
        </w:rPr>
      </w:pPr>
      <w:r>
        <w:rPr>
          <w:rFonts w:ascii="Arial" w:cs="Arial" w:eastAsia="Arial" w:hAnsi="Arial"/>
          <w:sz w:val="14"/>
          <w:szCs w:val="14"/>
          <w:color w:val="auto"/>
        </w:rPr>
        <w:t>We adopted ASC 825-10, which provides companies with an option to report selected financial assets and liabilities at fair value, and made an irrevocable election to apply ASC 825-10 to our Credit Facility, our 2019 Notes and our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$8.3 million, $2.8 million and $5.4 million relating to debt issuance costs during the year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2019 Notes and 2025 Notes are reported in our Consolidated Statement of Operations. We elected not to apply ASC 825-10 to any other financial assets or liabilities, including the SBA debentures. For the fiscal years ended September 30, 2014, 2013 and 2012, our Credit Facility, 2019 Notes and 2025 Notes had a net change in unrealized (appreciation) depreciation of $(3.0) million, $2.3 million and $(1.6) million, respectively. As of September 30, 2014 and 2013, net unrealized (appreciation) depreciation on our Credit Facility, 2019 Notes and 2025 Notes totaled $(0.2) million and $2.8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200" w:firstLine="68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year ended September 30, 2014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Purchases of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Sale of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Advances to</w:t>
            </w:r>
          </w:p>
        </w:tc>
        <w:tc>
          <w:tcPr>
            <w:tcW w:w="16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Affiliates</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Accrued</w:t>
            </w:r>
          </w:p>
        </w:tc>
        <w:tc>
          <w:tcPr>
            <w:tcW w:w="1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 *</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21,942,989</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1,990,168</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21,210,823</w:t>
            </w:r>
          </w:p>
        </w:tc>
        <w:tc>
          <w:tcPr>
            <w:tcW w:w="3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1,659,972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8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17,552,044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22,592,260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(72,539,605)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4,059,881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8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17,805,936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1,329,930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(1,126,015)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1,341,888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11,283,172</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21,265,345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9,196,328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707,326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21,268,379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L.P.</w:t>
            </w:r>
          </w:p>
        </w:tc>
        <w:tc>
          <w:tcPr>
            <w:tcW w:w="18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2,500,165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1,694,296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1,650,729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33,470,058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3,634,291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33,645,241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107,787,844</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59,061,507</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(77,165,620)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13,393,526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103,058,344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63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Excluding delayed draws.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42"/>
        </w:trPr>
        <w:tc>
          <w:tcPr>
            <w:tcW w:w="79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r>
      <w:tr>
        <w:trPr>
          <w:trHeight w:val="142"/>
        </w:trPr>
        <w:tc>
          <w:tcPr>
            <w:tcW w:w="8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110,983,477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91,777,652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63,353,100</w:t>
            </w:r>
          </w:p>
        </w:tc>
        <w:tc>
          <w:tcPr>
            <w:tcW w:w="260" w:type="dxa"/>
            <w:vAlign w:val="bottom"/>
            <w:shd w:val="clear" w:color="auto" w:fill="CCEEFF"/>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Denominator for basic/diluted and weighted average shares</w:t>
            </w: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67,058,474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66,380,829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52,969,278*</w:t>
            </w:r>
          </w:p>
        </w:tc>
      </w:tr>
      <w:tr>
        <w:trPr>
          <w:trHeight w:val="149"/>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63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50" w:lineRule="exact"/>
        <w:rPr>
          <w:sz w:val="20"/>
          <w:szCs w:val="20"/>
          <w:color w:val="auto"/>
        </w:rPr>
      </w:pPr>
    </w:p>
    <w:p>
      <w:pPr>
        <w:ind w:left="180" w:hanging="100"/>
        <w:spacing w:after="0"/>
        <w:tabs>
          <w:tab w:leader="none" w:pos="1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denominator for diluted weighted average shares was 52,975,015 shares.</w:t>
      </w:r>
    </w:p>
    <w:p>
      <w:pPr>
        <w:spacing w:after="0" w:line="199" w:lineRule="exact"/>
        <w:rPr>
          <w:rFonts w:ascii="Arial" w:cs="Arial" w:eastAsia="Arial" w:hAnsi="Arial"/>
          <w:sz w:val="14"/>
          <w:szCs w:val="14"/>
          <w:color w:val="auto"/>
        </w:rPr>
      </w:pPr>
    </w:p>
    <w:p>
      <w:pPr>
        <w:ind w:left="160" w:hanging="152"/>
        <w:spacing w:after="0"/>
        <w:tabs>
          <w:tab w:leader="none" w:pos="160"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TAXES AND DISTRIBUTIONS</w:t>
      </w:r>
    </w:p>
    <w:p>
      <w:pPr>
        <w:spacing w:after="0" w:line="127"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Dividends from net realized capital gains, if any, are normally declared and paid annually, but the Company may make distributions on a more frequent basis to comply with the distribution requirements for RICs under the Code.</w:t>
      </w:r>
    </w:p>
    <w:p>
      <w:pPr>
        <w:spacing w:after="0" w:line="115" w:lineRule="exact"/>
        <w:rPr>
          <w:sz w:val="20"/>
          <w:szCs w:val="20"/>
          <w:color w:val="auto"/>
        </w:rPr>
      </w:pPr>
    </w:p>
    <w:p>
      <w:pPr>
        <w:ind w:right="360" w:firstLine="685"/>
        <w:spacing w:after="0" w:line="253" w:lineRule="auto"/>
        <w:rPr>
          <w:sz w:val="20"/>
          <w:szCs w:val="20"/>
          <w:color w:val="auto"/>
        </w:rPr>
      </w:pPr>
      <w:r>
        <w:rPr>
          <w:rFonts w:ascii="Arial" w:cs="Arial" w:eastAsia="Arial" w:hAnsi="Arial"/>
          <w:sz w:val="14"/>
          <w:szCs w:val="14"/>
          <w:color w:val="auto"/>
        </w:rPr>
        <w:t>As of September 30, 2014 and 2013, the cost of investments for federal income tax purposes was $1,316.9 million and $1,089.8 million, respectively, resulting in a gross unrealized appreciation of $70.1 million and $76.8 million, respectively, and depreciation of $68.9 million and $88.4 million,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40" w:type="dxa"/>
            <w:vAlign w:val="bottom"/>
          </w:tcPr>
          <w:p>
            <w:pPr>
              <w:ind w:left="700"/>
              <w:spacing w:after="0"/>
              <w:rPr>
                <w:sz w:val="20"/>
                <w:szCs w:val="20"/>
                <w:color w:val="auto"/>
              </w:rPr>
            </w:pPr>
            <w:r>
              <w:rPr>
                <w:rFonts w:ascii="Arial" w:cs="Arial" w:eastAsia="Arial" w:hAnsi="Arial"/>
                <w:sz w:val="14"/>
                <w:szCs w:val="14"/>
                <w:color w:val="auto"/>
              </w:rPr>
              <w:t>The following differences were reclassified for tax purposes: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96"/>
        </w:trPr>
        <w:tc>
          <w:tcPr>
            <w:tcW w:w="7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6"/>
              </w:rPr>
              <w:t>Year Ended September 30,</w:t>
            </w:r>
          </w:p>
        </w:tc>
        <w:tc>
          <w:tcPr>
            <w:tcW w:w="760" w:type="dxa"/>
            <w:vAlign w:val="bottom"/>
            <w:tcBorders>
              <w:bottom w:val="single" w:sz="8" w:color="auto"/>
            </w:tcBorders>
          </w:tcPr>
          <w:p>
            <w:pPr>
              <w:spacing w:after="0"/>
              <w:rPr>
                <w:sz w:val="24"/>
                <w:szCs w:val="24"/>
                <w:color w:val="auto"/>
              </w:rPr>
            </w:pPr>
          </w:p>
        </w:tc>
      </w:tr>
      <w:tr>
        <w:trPr>
          <w:trHeight w:val="156"/>
        </w:trPr>
        <w:tc>
          <w:tcPr>
            <w:tcW w:w="704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2012</w:t>
            </w:r>
          </w:p>
        </w:tc>
      </w:tr>
      <w:tr>
        <w:trPr>
          <w:trHeight w:val="142"/>
        </w:trPr>
        <w:tc>
          <w:tcPr>
            <w:tcW w:w="7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increase in paid-in capital</w:t>
            </w:r>
          </w:p>
        </w:tc>
        <w:tc>
          <w:tcPr>
            <w:tcW w:w="10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903,627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276,902</w:t>
            </w: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color w:val="auto"/>
              </w:rPr>
              <w:t>Increase (decrease) in accumulated net realized gain</w:t>
            </w:r>
          </w:p>
        </w:tc>
        <w:tc>
          <w:tcPr>
            <w:tcW w:w="10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1,519,280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(824,021)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2,176,918</w:t>
            </w:r>
          </w:p>
        </w:tc>
      </w:tr>
      <w:tr>
        <w:trPr>
          <w:trHeight w:val="149"/>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undistributed net investment income</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(1,518,119)</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(79,606)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(2,453,820)</w:t>
            </w:r>
          </w:p>
        </w:tc>
      </w:tr>
      <w:tr>
        <w:trPr>
          <w:trHeight w:val="299"/>
        </w:trPr>
        <w:tc>
          <w:tcPr>
            <w:tcW w:w="7040" w:type="dxa"/>
            <w:vAlign w:val="bottom"/>
          </w:tcPr>
          <w:p>
            <w:pPr>
              <w:ind w:left="70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9"/>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110,983,477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91,777,652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63,353,100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Net realized (gain) loss on investments not taxable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8"/>
              </w:rPr>
              <w:t>(30,235,265)</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(17,687,211)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on investments, Credit Facility, 2019 Notes and 2025 Notes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(9,419,695)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(7,092,320)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(19,081,794)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(4,459,940)</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(3,035,861)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2,444,817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8,419,651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2,715,980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307,990</w:t>
            </w:r>
          </w:p>
        </w:tc>
        <w:tc>
          <w:tcPr>
            <w:tcW w:w="0" w:type="dxa"/>
            <w:vAlign w:val="bottom"/>
          </w:tcPr>
          <w:p>
            <w:pPr>
              <w:spacing w:after="0"/>
              <w:rPr>
                <w:sz w:val="1"/>
                <w:szCs w:val="1"/>
                <w:color w:val="auto"/>
              </w:rPr>
            </w:pPr>
          </w:p>
        </w:tc>
      </w:tr>
      <w:tr>
        <w:trPr>
          <w:trHeight w:val="156"/>
        </w:trPr>
        <w:tc>
          <w:tcPr>
            <w:tcW w:w="8360" w:type="dxa"/>
            <w:vAlign w:val="bottom"/>
            <w:gridSpan w:val="3"/>
          </w:tcPr>
          <w:p>
            <w:pPr>
              <w:spacing w:after="0" w:line="155" w:lineRule="exact"/>
              <w:rPr>
                <w:sz w:val="20"/>
                <w:szCs w:val="20"/>
                <w:color w:val="auto"/>
              </w:rPr>
            </w:pPr>
            <w:r>
              <w:rPr>
                <w:rFonts w:ascii="Arial" w:cs="Arial" w:eastAsia="Arial" w:hAnsi="Arial"/>
                <w:sz w:val="14"/>
                <w:szCs w:val="14"/>
                <w:color w:val="auto"/>
              </w:rPr>
              <w:t>Taxable income before deductions for distributions</w:t>
            </w: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69"/>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75,288,228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66,678,240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59,822,148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520" w:type="dxa"/>
            <w:vAlign w:val="bottom"/>
            <w:gridSpan w:val="5"/>
          </w:tcPr>
          <w:p>
            <w:pPr>
              <w:jc w:val="right"/>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right"/>
              <w:ind w:right="48"/>
              <w:spacing w:after="0"/>
              <w:rPr>
                <w:sz w:val="20"/>
                <w:szCs w:val="20"/>
                <w:color w:val="auto"/>
              </w:rPr>
            </w:pPr>
            <w:r>
              <w:rPr>
                <w:rFonts w:ascii="Arial" w:cs="Arial" w:eastAsia="Arial" w:hAnsi="Arial"/>
                <w:sz w:val="14"/>
                <w:szCs w:val="14"/>
                <w:b w:val="1"/>
                <w:bCs w:val="1"/>
                <w:color w:val="auto"/>
                <w:w w:val="92"/>
              </w:rPr>
              <w:t>As of September 30,</w:t>
            </w: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Undistributed taxable income</w:t>
            </w:r>
          </w:p>
        </w:tc>
        <w:tc>
          <w:tcPr>
            <w:tcW w:w="4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16,082,048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15,325,379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18,634,553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Capital loss carry forward </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(8,518,111)</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(39,216,288)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(56,786,282)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(31,021,819)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(26,021,069)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(21,086,425)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appreciation (depreciation) of investments, Credit Facility, 2019 Notes and 2025 Notes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(1,072,637)</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(8,727,689)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(15,815,138)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accumulated deficit – book basis</w:t>
            </w:r>
          </w:p>
        </w:tc>
        <w:tc>
          <w:tcPr>
            <w:tcW w:w="180" w:type="dxa"/>
            <w:vAlign w:val="bottom"/>
            <w:gridSpan w:val="3"/>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(24,530,519)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(58,639,667)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(75,053,292)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00" w:hanging="320"/>
        <w:spacing w:after="0"/>
        <w:tabs>
          <w:tab w:leader="none" w:pos="400" w:val="left"/>
        </w:tabs>
        <w:numPr>
          <w:ilvl w:val="0"/>
          <w:numId w:val="99"/>
        </w:numPr>
        <w:rPr>
          <w:rFonts w:ascii="Arial" w:cs="Arial" w:eastAsia="Arial" w:hAnsi="Arial"/>
          <w:sz w:val="12"/>
          <w:szCs w:val="12"/>
          <w:color w:val="auto"/>
        </w:rPr>
      </w:pPr>
      <w:r>
        <w:rPr>
          <w:rFonts w:ascii="Arial" w:cs="Arial" w:eastAsia="Arial" w:hAnsi="Arial"/>
          <w:sz w:val="14"/>
          <w:szCs w:val="14"/>
          <w:color w:val="auto"/>
        </w:rPr>
        <w:t>As of September 30, 2014, the capital loss carry forward of $8.5 million expires, if not utilized against future capital gains in 2018.</w:t>
      </w:r>
    </w:p>
    <w:p>
      <w:pPr>
        <w:spacing w:after="0" w:line="123" w:lineRule="exact"/>
        <w:rPr>
          <w:sz w:val="20"/>
          <w:szCs w:val="20"/>
          <w:color w:val="auto"/>
        </w:rPr>
      </w:pPr>
    </w:p>
    <w:p>
      <w:pPr>
        <w:ind w:right="240" w:firstLine="685"/>
        <w:spacing w:after="0" w:line="253"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2014, 2013 and 2012 were solely from ordinary income and totaled $76.9 million, or $1.12 per share, $74.4 million, or $1.12 per share and $60.1 million, or $1.12 per share,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40" w:lineRule="exact"/>
        <w:rPr>
          <w:sz w:val="20"/>
          <w:szCs w:val="20"/>
          <w:color w:val="auto"/>
        </w:rPr>
      </w:pPr>
    </w:p>
    <w:p>
      <w:pPr>
        <w:ind w:right="4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2014 and 2013, cash and cash equivalents consisted of $66.5 million and $58.4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10.49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10.22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10.13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10.69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0.12</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Distributions of net investment income to stockholders </w:t>
            </w:r>
            <w:r>
              <w:rPr>
                <w:rFonts w:ascii="Arial" w:cs="Arial" w:eastAsia="Arial" w:hAnsi="Arial"/>
                <w:sz w:val="12"/>
                <w:szCs w:val="12"/>
                <w:color w:val="auto"/>
              </w:rPr>
              <w:t>(1), (2)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Accretive (Dilutive) effect of common stock</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issuance </w:t>
            </w:r>
            <w:r>
              <w:rPr>
                <w:rFonts w:ascii="Arial" w:cs="Arial" w:eastAsia="Arial" w:hAnsi="Arial"/>
                <w:sz w:val="12"/>
                <w:szCs w:val="12"/>
                <w:color w:val="auto"/>
              </w:rPr>
              <w:t>(1)</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0.03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0.30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63"/>
        </w:trPr>
        <w:tc>
          <w:tcPr>
            <w:tcW w:w="4220" w:type="dxa"/>
            <w:vAlign w:val="bottom"/>
            <w:gridSpan w:val="3"/>
          </w:tcPr>
          <w:p>
            <w:pPr>
              <w:spacing w:after="0" w:line="155" w:lineRule="exact"/>
              <w:rPr>
                <w:sz w:val="20"/>
                <w:szCs w:val="20"/>
                <w:color w:val="auto"/>
              </w:rPr>
            </w:pPr>
            <w:r>
              <w:rPr>
                <w:rFonts w:ascii="Arial" w:cs="Arial" w:eastAsia="Arial" w:hAnsi="Arial"/>
                <w:sz w:val="14"/>
                <w:szCs w:val="14"/>
                <w:color w:val="auto"/>
              </w:rPr>
              <w:t>Net asset value, end of year</w:t>
            </w:r>
          </w:p>
        </w:tc>
        <w:tc>
          <w:tcPr>
            <w:tcW w:w="5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w:t>
            </w: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5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year</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10.91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8.92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17.37%</w:t>
            </w:r>
          </w:p>
        </w:tc>
        <w:tc>
          <w:tcPr>
            <w:tcW w:w="12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28.71%</w:t>
            </w:r>
          </w:p>
        </w:tc>
        <w:tc>
          <w:tcPr>
            <w:tcW w:w="1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75,092,911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66,499,327</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65,514,503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45,689,781</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36,158,772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2.60%</w:t>
            </w:r>
          </w:p>
        </w:tc>
        <w:tc>
          <w:tcPr>
            <w:tcW w:w="12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3.08%</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9.60%</w:t>
            </w:r>
          </w:p>
        </w:tc>
        <w:tc>
          <w:tcPr>
            <w:tcW w:w="12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10.32%</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year</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828,009,949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697,506,199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669,717,047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462,657,196</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386,575,223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5"/>
              </w:rPr>
              <w:t>526,252,068</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363,246,849</w:t>
            </w:r>
          </w:p>
        </w:tc>
        <w:tc>
          <w:tcPr>
            <w:tcW w:w="4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5"/>
              </w:rPr>
              <w:t>340,868,033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278,294,433</w:t>
            </w:r>
          </w:p>
        </w:tc>
        <w:tc>
          <w:tcPr>
            <w:tcW w:w="3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246,216,548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(5)</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3,198</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4,261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5,636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2,937</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(7)</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24.51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24.79</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Portfolio turnover ratio</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50.66%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40.91%</w:t>
            </w:r>
          </w:p>
        </w:tc>
        <w:tc>
          <w:tcPr>
            <w:tcW w:w="12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40.89%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340" w:hanging="332"/>
        <w:spacing w:after="0" w:line="22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40" w:hanging="332"/>
        <w:spacing w:after="0" w:line="221"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340" w:right="180" w:hanging="332"/>
        <w:spacing w:after="0" w:line="238" w:lineRule="auto"/>
        <w:tabs>
          <w:tab w:leader="none" w:pos="34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340" w:right="200" w:hanging="332"/>
        <w:spacing w:after="0" w:line="237"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260" w:firstLine="685"/>
        <w:spacing w:after="0" w:line="234" w:lineRule="auto"/>
        <w:rPr>
          <w:sz w:val="20"/>
          <w:szCs w:val="20"/>
          <w:color w:val="auto"/>
        </w:rPr>
      </w:pPr>
      <w:r>
        <w:rPr>
          <w:rFonts w:ascii="Arial" w:cs="Arial" w:eastAsia="Arial" w:hAnsi="Arial"/>
          <w:sz w:val="14"/>
          <w:szCs w:val="14"/>
          <w:color w:val="auto"/>
        </w:rPr>
        <w:t>Our annualized weighted average cost of debt for the fiscal year ended September 30, 2014 and 2013, inclusive of the fee on the undrawn commitment on the Credit Facility and amortized upfront fees on SBA debentures but excluding debt issuance costs, was 3.85% and 4.24%,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23" w:lineRule="exact"/>
        <w:rPr>
          <w:sz w:val="20"/>
          <w:szCs w:val="20"/>
          <w:color w:val="auto"/>
        </w:rPr>
      </w:pPr>
    </w:p>
    <w:p>
      <w:pPr>
        <w:ind w:right="20" w:firstLine="685"/>
        <w:spacing w:after="0" w:line="228" w:lineRule="auto"/>
        <w:rPr>
          <w:sz w:val="20"/>
          <w:szCs w:val="20"/>
          <w:color w:val="auto"/>
        </w:rPr>
      </w:pPr>
      <w:r>
        <w:rPr>
          <w:rFonts w:ascii="Arial" w:cs="Arial" w:eastAsia="Arial" w:hAnsi="Arial"/>
          <w:sz w:val="14"/>
          <w:szCs w:val="14"/>
          <w:color w:val="auto"/>
        </w:rPr>
        <w:t>On June 25, 2014, we amended and restated our multi-currency Credit Facility to increase the amount available for borrowing from $445 million to $545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September 30, 2014 and September 30, 2013, there was $55.2 million and $145.5 million (including a temporary draw of $28.0 million), respectively, in outstanding borrowings under the Credit Facility, with a weighted average interest rate at the time of 2.80%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firstLine="685"/>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September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as part of a group of SBICs under common control may borrow a maximum of $225 million in the aggregate.</w:t>
      </w:r>
    </w:p>
    <w:p>
      <w:pPr>
        <w:spacing w:after="0" w:line="105"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As of September 30, 2014 and September 30, 2013, our SBIC Funds had $225 million and $150 million in debt commitments, respectively, and $150 million was drawn for each period. Both SBA debentures’ upfront fees of 3.43% consist of a commitment fee of 1.00% and an issuance discount of 2.43%, which are being amortized. Our fixed-rate SBA debentures as of September 30, 2014 and September 30, 2013 were as follows:</w:t>
      </w:r>
    </w:p>
    <w:p>
      <w:pPr>
        <w:spacing w:after="0" w:line="206" w:lineRule="exact"/>
        <w:rPr>
          <w:sz w:val="20"/>
          <w:szCs w:val="20"/>
          <w:color w:val="auto"/>
        </w:rPr>
      </w:pPr>
    </w:p>
    <w:tbl>
      <w:tblPr>
        <w:tblLayout w:type="fixed"/>
        <w:tblInd w:w="1500" w:type="dxa"/>
        <w:tblCellMar>
          <w:top w:w="0" w:type="dxa"/>
          <w:left w:w="0" w:type="dxa"/>
          <w:bottom w:w="0" w:type="dxa"/>
          <w:right w:w="0" w:type="dxa"/>
        </w:tblCellMar>
      </w:tblPr>
      <w:tr>
        <w:trPr>
          <w:trHeight w:val="185"/>
        </w:trPr>
        <w:tc>
          <w:tcPr>
            <w:tcW w:w="1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Issuance Dates</w:t>
            </w:r>
          </w:p>
        </w:tc>
        <w:tc>
          <w:tcPr>
            <w:tcW w:w="3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22, 2010</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34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1840"/>
              <w:spacing w:after="0" w:line="142"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March 29, 2011</w:t>
            </w:r>
          </w:p>
        </w:tc>
        <w:tc>
          <w:tcPr>
            <w:tcW w:w="1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1, 2021</w:t>
            </w:r>
          </w:p>
        </w:tc>
        <w:tc>
          <w:tcPr>
            <w:tcW w:w="2500" w:type="dxa"/>
            <w:vAlign w:val="bottom"/>
            <w:gridSpan w:val="2"/>
          </w:tcPr>
          <w:p>
            <w:pPr>
              <w:ind w:left="1840"/>
              <w:spacing w:after="0" w:line="149" w:lineRule="exact"/>
              <w:rPr>
                <w:sz w:val="20"/>
                <w:szCs w:val="20"/>
                <w:color w:val="auto"/>
              </w:rPr>
            </w:pPr>
            <w:r>
              <w:rPr>
                <w:rFonts w:ascii="Arial" w:cs="Arial" w:eastAsia="Arial" w:hAnsi="Arial"/>
                <w:sz w:val="14"/>
                <w:szCs w:val="14"/>
                <w:color w:val="auto"/>
              </w:rPr>
              <w:t>4.46</w:t>
            </w:r>
          </w:p>
        </w:tc>
        <w:tc>
          <w:tcPr>
            <w:tcW w:w="180" w:type="dxa"/>
            <w:vAlign w:val="bottom"/>
          </w:tcPr>
          <w:p>
            <w:pPr>
              <w:spacing w:after="0"/>
              <w:rPr>
                <w:sz w:val="12"/>
                <w:szCs w:val="12"/>
                <w:color w:val="auto"/>
              </w:rPr>
            </w:pPr>
          </w:p>
        </w:tc>
        <w:tc>
          <w:tcPr>
            <w:tcW w:w="1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September 21, 2011</w:t>
            </w:r>
          </w:p>
        </w:tc>
        <w:tc>
          <w:tcPr>
            <w:tcW w:w="1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September 1, 2021</w:t>
            </w:r>
          </w:p>
        </w:tc>
        <w:tc>
          <w:tcPr>
            <w:tcW w:w="2500" w:type="dxa"/>
            <w:vAlign w:val="bottom"/>
            <w:gridSpan w:val="2"/>
            <w:shd w:val="clear" w:color="auto" w:fill="CCEEFF"/>
          </w:tcPr>
          <w:p>
            <w:pPr>
              <w:ind w:left="1840"/>
              <w:spacing w:after="0" w:line="149" w:lineRule="exact"/>
              <w:rPr>
                <w:sz w:val="20"/>
                <w:szCs w:val="20"/>
                <w:color w:val="auto"/>
              </w:rPr>
            </w:pPr>
            <w:r>
              <w:rPr>
                <w:rFonts w:ascii="Arial" w:cs="Arial" w:eastAsia="Arial" w:hAnsi="Arial"/>
                <w:sz w:val="14"/>
                <w:szCs w:val="14"/>
                <w:color w:val="auto"/>
              </w:rPr>
              <w:t>3.38</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w w:val="98"/>
              </w:rPr>
              <w:t>Weighted Average Rate / Total</w:t>
            </w: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4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3.70%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12179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64" w:lineRule="exact"/>
        <w:rPr>
          <w:sz w:val="20"/>
          <w:szCs w:val="20"/>
          <w:color w:val="auto"/>
        </w:rPr>
      </w:pPr>
    </w:p>
    <w:p>
      <w:pPr>
        <w:ind w:left="1740" w:hanging="174"/>
        <w:spacing w:after="0"/>
        <w:tabs>
          <w:tab w:leader="none" w:pos="1740" w:val="left"/>
        </w:tabs>
        <w:numPr>
          <w:ilvl w:val="0"/>
          <w:numId w:val="101"/>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150"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2014, our SBIC Funds were in compliance with their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23" w:lineRule="exact"/>
        <w:rPr>
          <w:sz w:val="20"/>
          <w:szCs w:val="20"/>
          <w:color w:val="auto"/>
        </w:rPr>
      </w:pPr>
    </w:p>
    <w:p>
      <w:pPr>
        <w:ind w:right="380" w:firstLine="685"/>
        <w:spacing w:after="0" w:line="256" w:lineRule="auto"/>
        <w:rPr>
          <w:sz w:val="20"/>
          <w:szCs w:val="20"/>
          <w:color w:val="auto"/>
        </w:rPr>
      </w:pPr>
      <w:r>
        <w:rPr>
          <w:rFonts w:ascii="Arial" w:cs="Arial" w:eastAsia="Arial" w:hAnsi="Arial"/>
          <w:sz w:val="13"/>
          <w:szCs w:val="13"/>
          <w:color w:val="auto"/>
        </w:rPr>
        <w:t>In January 2013, we issued $71.3 million in aggregate principal amount of 2025 Notes, including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and/or revolving lines of credit, if any.</w:t>
      </w:r>
    </w:p>
    <w:p>
      <w:pPr>
        <w:spacing w:after="0" w:line="115" w:lineRule="exact"/>
        <w:rPr>
          <w:sz w:val="20"/>
          <w:szCs w:val="20"/>
          <w:color w:val="auto"/>
        </w:rPr>
      </w:pPr>
    </w:p>
    <w:p>
      <w:pPr>
        <w:ind w:right="120" w:firstLine="685"/>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September 30, 2014 our maximum guaranty is $11.3 million. Based on SPH’s and industry historical loss rates we believe the risk of loss is remote, thus, we have not recorded a liability associated with the guaranties. The current guaranties will decline over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 w:lineRule="exact"/>
        <w:rPr>
          <w:sz w:val="20"/>
          <w:szCs w:val="20"/>
          <w:color w:val="auto"/>
        </w:rPr>
      </w:pPr>
    </w:p>
    <w:p>
      <w:pPr>
        <w:ind w:left="720" w:hanging="50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17" w:lineRule="exact"/>
        <w:rPr>
          <w:sz w:val="20"/>
          <w:szCs w:val="20"/>
          <w:color w:val="auto"/>
        </w:rPr>
      </w:pPr>
    </w:p>
    <w:p>
      <w:pPr>
        <w:ind w:left="720" w:hanging="50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20" w:right="600" w:hanging="560"/>
        <w:spacing w:after="0" w:line="268"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77" w:lineRule="exact"/>
        <w:rPr>
          <w:rFonts w:ascii="Arial" w:cs="Arial" w:eastAsia="Arial" w:hAnsi="Arial"/>
          <w:sz w:val="18"/>
          <w:szCs w:val="18"/>
          <w:color w:val="auto"/>
        </w:rPr>
      </w:pPr>
    </w:p>
    <w:p>
      <w:pPr>
        <w:ind w:left="720" w:right="380" w:hanging="564"/>
        <w:spacing w:after="0" w:line="268"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November 13, 2013).</w:t>
      </w:r>
    </w:p>
    <w:p>
      <w:pPr>
        <w:spacing w:after="0" w:line="78" w:lineRule="exact"/>
        <w:rPr>
          <w:sz w:val="20"/>
          <w:szCs w:val="20"/>
          <w:color w:val="auto"/>
        </w:rPr>
      </w:pPr>
    </w:p>
    <w:p>
      <w:pPr>
        <w:ind w:left="720" w:right="600" w:hanging="659"/>
        <w:spacing w:after="0" w:line="268" w:lineRule="auto"/>
        <w:tabs>
          <w:tab w:leader="none" w:pos="700" w:val="left"/>
        </w:tabs>
        <w:rPr>
          <w:sz w:val="20"/>
          <w:szCs w:val="20"/>
          <w:color w:val="auto"/>
        </w:rPr>
      </w:pPr>
      <w:r>
        <w:rPr>
          <w:rFonts w:ascii="Arial" w:cs="Arial" w:eastAsia="Arial" w:hAnsi="Arial"/>
          <w:sz w:val="18"/>
          <w:szCs w:val="18"/>
          <w:color w:val="auto"/>
        </w:rPr>
        <w:t>(d)(1)</w:t>
        <w:tab/>
        <w:t>Form of Share Certificate (Incorporated by reference to Exhibit 99.(d)(1) to the Registrant’s Registration Statement on Form N-2 (File No. 333-150033), filed on April 2, 2008).</w:t>
      </w:r>
    </w:p>
    <w:p>
      <w:pPr>
        <w:spacing w:after="0" w:line="78" w:lineRule="exact"/>
        <w:rPr>
          <w:sz w:val="20"/>
          <w:szCs w:val="20"/>
          <w:color w:val="auto"/>
        </w:rPr>
      </w:pPr>
    </w:p>
    <w:p>
      <w:pPr>
        <w:ind w:left="720" w:right="540" w:hanging="659"/>
        <w:spacing w:after="0" w:line="268" w:lineRule="auto"/>
        <w:tabs>
          <w:tab w:leader="none" w:pos="7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78" w:lineRule="exact"/>
        <w:rPr>
          <w:sz w:val="20"/>
          <w:szCs w:val="20"/>
          <w:color w:val="auto"/>
        </w:rPr>
      </w:pPr>
    </w:p>
    <w:p>
      <w:pPr>
        <w:ind w:left="720" w:right="40" w:hanging="659"/>
        <w:spacing w:after="0" w:line="268" w:lineRule="auto"/>
        <w:tabs>
          <w:tab w:leader="none" w:pos="700" w:val="left"/>
        </w:tabs>
        <w:rPr>
          <w:sz w:val="20"/>
          <w:szCs w:val="20"/>
          <w:color w:val="auto"/>
        </w:rPr>
      </w:pPr>
      <w:r>
        <w:rPr>
          <w:rFonts w:ascii="Arial" w:cs="Arial" w:eastAsia="Arial" w:hAnsi="Arial"/>
          <w:sz w:val="18"/>
          <w:szCs w:val="18"/>
          <w:color w:val="auto"/>
        </w:rPr>
        <w:t>(d)(3)</w:t>
        <w:tab/>
        <w:t>Form of Subscription Agent Agreement (Incorporated by reference to Exhibit 99.(d)(4) to the Registrant’s Pre-Effective Amendment to the Registration Statement on Form N-2/A (File No. 333-150033), filed on May 30, 2008).</w:t>
      </w:r>
    </w:p>
    <w:p>
      <w:pPr>
        <w:spacing w:after="0" w:line="78" w:lineRule="exact"/>
        <w:rPr>
          <w:sz w:val="20"/>
          <w:szCs w:val="20"/>
          <w:color w:val="auto"/>
        </w:rPr>
      </w:pPr>
    </w:p>
    <w:p>
      <w:pPr>
        <w:ind w:left="720" w:right="80" w:hanging="659"/>
        <w:spacing w:after="0" w:line="268" w:lineRule="auto"/>
        <w:tabs>
          <w:tab w:leader="none" w:pos="700" w:val="left"/>
        </w:tabs>
        <w:rPr>
          <w:sz w:val="20"/>
          <w:szCs w:val="20"/>
          <w:color w:val="auto"/>
        </w:rPr>
      </w:pPr>
      <w:r>
        <w:rPr>
          <w:rFonts w:ascii="Arial" w:cs="Arial" w:eastAsia="Arial" w:hAnsi="Arial"/>
          <w:sz w:val="18"/>
          <w:szCs w:val="18"/>
          <w:color w:val="auto"/>
        </w:rPr>
        <w:t>(d)(4)</w:t>
        <w:tab/>
        <w:t>Form of Warrant Agreement (Incorporated by reference to Exhibit 99.(d)(5) to the Registrant’s Pre-Effective Amendment to the Registration Statement on Form N-2/A (File No. 333-150033), filed on May 30, 2008).</w:t>
      </w:r>
    </w:p>
    <w:p>
      <w:pPr>
        <w:spacing w:after="0" w:line="78" w:lineRule="exact"/>
        <w:rPr>
          <w:sz w:val="20"/>
          <w:szCs w:val="20"/>
          <w:color w:val="auto"/>
        </w:rPr>
      </w:pPr>
    </w:p>
    <w:p>
      <w:pPr>
        <w:ind w:left="720" w:right="200" w:hanging="659"/>
        <w:spacing w:after="0" w:line="268" w:lineRule="auto"/>
        <w:tabs>
          <w:tab w:leader="none" w:pos="700" w:val="left"/>
        </w:tabs>
        <w:rPr>
          <w:sz w:val="20"/>
          <w:szCs w:val="20"/>
          <w:color w:val="auto"/>
        </w:rPr>
      </w:pPr>
      <w:r>
        <w:rPr>
          <w:rFonts w:ascii="Arial" w:cs="Arial" w:eastAsia="Arial" w:hAnsi="Arial"/>
          <w:sz w:val="18"/>
          <w:szCs w:val="18"/>
          <w:color w:val="auto"/>
        </w:rPr>
        <w:t>(d)(5)</w:t>
        <w:tab/>
        <w:t>Form T-1 Statement of Eligibility with respect to the Form of Indenture (Incorporated by reference to Exhibit 2(d)(6) to the Registrant’s Pre-Effective Amendment to the Registration Statement on Form N-2/A (File No. 333-172524), filed August 22, 2011).</w:t>
      </w:r>
    </w:p>
    <w:p>
      <w:pPr>
        <w:spacing w:after="0" w:line="78" w:lineRule="exact"/>
        <w:rPr>
          <w:sz w:val="20"/>
          <w:szCs w:val="20"/>
          <w:color w:val="auto"/>
        </w:rPr>
      </w:pPr>
    </w:p>
    <w:p>
      <w:pPr>
        <w:ind w:left="720" w:right="680" w:hanging="659"/>
        <w:spacing w:after="0" w:line="268" w:lineRule="auto"/>
        <w:tabs>
          <w:tab w:leader="none" w:pos="700" w:val="left"/>
        </w:tabs>
        <w:rPr>
          <w:sz w:val="20"/>
          <w:szCs w:val="20"/>
          <w:color w:val="auto"/>
        </w:rPr>
      </w:pPr>
      <w:r>
        <w:rPr>
          <w:rFonts w:ascii="Arial" w:cs="Arial" w:eastAsia="Arial" w:hAnsi="Arial"/>
          <w:sz w:val="18"/>
          <w:szCs w:val="18"/>
          <w:color w:val="auto"/>
        </w:rPr>
        <w:t>(d)(6)</w:t>
        <w:tab/>
        <w:t>Form of Articles Supplementary (Incorporated by reference to Exhibit 2(d)(7) to the Registrant’s Pre-Effective Amendment to the Registration Statement on Form N-2/A (File No. 333-172524), filed August 22, 2011).</w:t>
      </w:r>
    </w:p>
    <w:p>
      <w:pPr>
        <w:spacing w:after="0" w:line="78" w:lineRule="exact"/>
        <w:rPr>
          <w:sz w:val="20"/>
          <w:szCs w:val="20"/>
          <w:color w:val="auto"/>
        </w:rPr>
      </w:pPr>
    </w:p>
    <w:p>
      <w:pPr>
        <w:ind w:left="720" w:right="80" w:hanging="659"/>
        <w:spacing w:after="0" w:line="259" w:lineRule="auto"/>
        <w:tabs>
          <w:tab w:leader="none" w:pos="700" w:val="left"/>
        </w:tabs>
        <w:rPr>
          <w:sz w:val="20"/>
          <w:szCs w:val="20"/>
          <w:color w:val="auto"/>
        </w:rPr>
      </w:pPr>
      <w:r>
        <w:rPr>
          <w:rFonts w:ascii="Arial" w:cs="Arial" w:eastAsia="Arial" w:hAnsi="Arial"/>
          <w:sz w:val="18"/>
          <w:szCs w:val="18"/>
          <w:color w:val="auto"/>
        </w:rPr>
        <w:t>(d)(7)</w:t>
        <w:tab/>
        <w:t>Base Indenture, dated as of January 22, 2013, relating to the 6.25% Senior Notes due 2025, between the Registrant and American Stock Transfer &amp; Trust Company, LLC, as trustee (Incorporated by reference to Exhibit 99.(d)(8) to the Registrant’s Post-Effective Amendment No. 4 to the Registration Statement on Form N-2/A (File No. 333-172524), filed on January 22, 2013).</w:t>
      </w:r>
    </w:p>
    <w:p>
      <w:pPr>
        <w:spacing w:after="0" w:line="86" w:lineRule="exact"/>
        <w:rPr>
          <w:sz w:val="20"/>
          <w:szCs w:val="20"/>
          <w:color w:val="auto"/>
        </w:rPr>
      </w:pPr>
    </w:p>
    <w:p>
      <w:pPr>
        <w:jc w:val="both"/>
        <w:ind w:left="720" w:right="180" w:hanging="659"/>
        <w:spacing w:after="0" w:line="259" w:lineRule="auto"/>
        <w:tabs>
          <w:tab w:leader="none" w:pos="700" w:val="left"/>
        </w:tabs>
        <w:rPr>
          <w:sz w:val="20"/>
          <w:szCs w:val="20"/>
          <w:color w:val="auto"/>
        </w:rPr>
      </w:pPr>
      <w:r>
        <w:rPr>
          <w:rFonts w:ascii="Arial" w:cs="Arial" w:eastAsia="Arial" w:hAnsi="Arial"/>
          <w:sz w:val="18"/>
          <w:szCs w:val="18"/>
          <w:color w:val="auto"/>
        </w:rPr>
        <w:t>(d)(8)</w:t>
        <w:tab/>
        <w:t>First Supplemental Indenture, dated as of January 22, 2013, relating to the 6.25% Senior Notes due 2025, between the Registrant and American Stock Transfer &amp; Trust Company, LLC, as trustee (Incorporated by reference to Exhibit 99.(d)(9) to the Registrant’s Post-Effective Amendment No. 4 to the Registration Statement on Form N-2/A (File No. 333-172524), filed on January 22, 2013).</w:t>
      </w:r>
    </w:p>
    <w:p>
      <w:pPr>
        <w:spacing w:after="0" w:line="86"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(d)(9)</w:t>
        <w:tab/>
        <w:t>Form of 6.25% Senior Notes due 2025 (included as part of Exhibit (d)(9)).</w:t>
      </w:r>
    </w:p>
    <w:p>
      <w:pPr>
        <w:spacing w:after="0" w:line="117" w:lineRule="exact"/>
        <w:rPr>
          <w:sz w:val="20"/>
          <w:szCs w:val="20"/>
          <w:color w:val="auto"/>
        </w:rPr>
      </w:pPr>
    </w:p>
    <w:p>
      <w:pPr>
        <w:jc w:val="both"/>
        <w:ind w:left="720" w:right="280" w:hanging="719"/>
        <w:spacing w:after="0" w:line="259" w:lineRule="auto"/>
        <w:tabs>
          <w:tab w:leader="none" w:pos="700" w:val="left"/>
        </w:tabs>
        <w:rPr>
          <w:sz w:val="20"/>
          <w:szCs w:val="20"/>
          <w:color w:val="auto"/>
        </w:rPr>
      </w:pPr>
      <w:r>
        <w:rPr>
          <w:rFonts w:ascii="Arial" w:cs="Arial" w:eastAsia="Arial" w:hAnsi="Arial"/>
          <w:sz w:val="18"/>
          <w:szCs w:val="18"/>
          <w:color w:val="auto"/>
        </w:rPr>
        <w:t>(d)(10)</w:t>
        <w:tab/>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p>
    <w:p>
      <w:pPr>
        <w:spacing w:after="0" w:line="86"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(d)(11)</w:t>
        <w:tab/>
        <w:t>Form of 4.50% Senior Notes due 2019 (included as part of Exhibit d(10)).</w:t>
      </w:r>
    </w:p>
    <w:p>
      <w:pPr>
        <w:spacing w:after="0" w:line="117" w:lineRule="exact"/>
        <w:rPr>
          <w:sz w:val="20"/>
          <w:szCs w:val="20"/>
          <w:color w:val="auto"/>
        </w:rPr>
      </w:pPr>
    </w:p>
    <w:p>
      <w:pPr>
        <w:ind w:left="720" w:right="580" w:hanging="560"/>
        <w:spacing w:after="0" w:line="268" w:lineRule="auto"/>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78" w:lineRule="exact"/>
        <w:rPr>
          <w:sz w:val="20"/>
          <w:szCs w:val="20"/>
          <w:color w:val="auto"/>
        </w:rPr>
      </w:pPr>
    </w:p>
    <w:p>
      <w:pPr>
        <w:ind w:left="720" w:hanging="564"/>
        <w:spacing w:after="0" w:line="268" w:lineRule="auto"/>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Investment Management Agreement between the Registrant and PennantPark Investment Advisers, LLC (Incorporated by reference to Exhibit 99.(G) to the Registrant’s Registration Statement on Form N-2 (File No. 333-150033), filed on April 2, 2008).</w:t>
      </w:r>
    </w:p>
    <w:p>
      <w:pPr>
        <w:spacing w:after="0" w:line="78" w:lineRule="exact"/>
        <w:rPr>
          <w:sz w:val="20"/>
          <w:szCs w:val="20"/>
          <w:color w:val="auto"/>
        </w:rPr>
      </w:pPr>
    </w:p>
    <w:p>
      <w:pPr>
        <w:ind w:left="720" w:right="580" w:hanging="659"/>
        <w:spacing w:after="0" w:line="268" w:lineRule="auto"/>
        <w:tabs>
          <w:tab w:leader="none" w:pos="70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Pre-Effective Amendment to the Registration Statement on Form N-2/A (File No. 333-150033), filed on May 30,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700" w:right="20" w:hanging="659"/>
        <w:spacing w:after="0" w:line="268" w:lineRule="auto"/>
        <w:tabs>
          <w:tab w:leader="none" w:pos="680" w:val="left"/>
        </w:tabs>
        <w:rPr>
          <w:sz w:val="20"/>
          <w:szCs w:val="20"/>
          <w:color w:val="auto"/>
        </w:rPr>
      </w:pPr>
      <w:r>
        <w:rPr>
          <w:rFonts w:ascii="Arial" w:cs="Arial" w:eastAsia="Arial" w:hAnsi="Arial"/>
          <w:sz w:val="18"/>
          <w:szCs w:val="18"/>
          <w:color w:val="auto"/>
        </w:rPr>
        <w:t>(h)(2)</w:t>
        <w:tab/>
        <w:t>Form of Underwriting Agreement for equity (Incorporated by reference to Exhibit 99.(H)(1) to the Registrant’s Post-Effective Amendment No. 4 to the Registration Statement on Form N-2/A (File No. 333-150033), filed on February 22, 2010).</w:t>
      </w:r>
    </w:p>
    <w:p>
      <w:pPr>
        <w:spacing w:after="0" w:line="145" w:lineRule="exact"/>
        <w:rPr>
          <w:sz w:val="20"/>
          <w:szCs w:val="20"/>
          <w:color w:val="auto"/>
        </w:rPr>
      </w:pPr>
    </w:p>
    <w:p>
      <w:pPr>
        <w:ind w:left="700" w:right="660" w:hanging="659"/>
        <w:spacing w:after="0" w:line="268" w:lineRule="auto"/>
        <w:tabs>
          <w:tab w:leader="none" w:pos="680" w:val="left"/>
        </w:tabs>
        <w:rPr>
          <w:sz w:val="20"/>
          <w:szCs w:val="20"/>
          <w:color w:val="auto"/>
        </w:rPr>
      </w:pPr>
      <w:r>
        <w:rPr>
          <w:rFonts w:ascii="Arial" w:cs="Arial" w:eastAsia="Arial" w:hAnsi="Arial"/>
          <w:sz w:val="18"/>
          <w:szCs w:val="18"/>
          <w:color w:val="auto"/>
        </w:rPr>
        <w:t>(h)(3)</w:t>
        <w:tab/>
        <w:t>Form of Underwriting Agreement for debt (Incorporated by reference to Exhibit 99.(H)(2) to the Registrant’s Pre-Effective Amendment to the Registration Statement on Form N-2/A (File No. 333-150033), filed on May 30, 2008).</w:t>
      </w:r>
    </w:p>
    <w:p>
      <w:pPr>
        <w:spacing w:after="0" w:line="145" w:lineRule="exact"/>
        <w:rPr>
          <w:sz w:val="20"/>
          <w:szCs w:val="20"/>
          <w:color w:val="auto"/>
        </w:rPr>
      </w:pPr>
    </w:p>
    <w:p>
      <w:pPr>
        <w:ind w:left="700" w:right="20" w:hanging="659"/>
        <w:spacing w:after="0" w:line="256" w:lineRule="auto"/>
        <w:tabs>
          <w:tab w:leader="none" w:pos="680" w:val="left"/>
        </w:tabs>
        <w:rPr>
          <w:sz w:val="20"/>
          <w:szCs w:val="20"/>
          <w:color w:val="auto"/>
        </w:rPr>
      </w:pPr>
      <w:r>
        <w:rPr>
          <w:rFonts w:ascii="Arial" w:cs="Arial" w:eastAsia="Arial" w:hAnsi="Arial"/>
          <w:sz w:val="18"/>
          <w:szCs w:val="18"/>
          <w:color w:val="auto"/>
        </w:rPr>
        <w:t>(h)(4)</w:t>
        <w:tab/>
        <w:t>Underwriting Agreement, dated as of September 9, 2014, by and among PennantPark Investment Corporation, PennantPark Investment Advisers, LLC, PennantPark Investment Administration, LLC, and the Representatives of the Several Underwriters named therein (Incorporated by reference to Exhibit 2(h)(4) of the Post-Effective Amendment No. 1 to the Registration Statement on Form N-2/A (File No. 333-192782), filed on September 8, 2014).</w:t>
      </w:r>
    </w:p>
    <w:p>
      <w:pPr>
        <w:spacing w:after="0" w:line="157" w:lineRule="exact"/>
        <w:rPr>
          <w:sz w:val="20"/>
          <w:szCs w:val="20"/>
          <w:color w:val="auto"/>
        </w:rPr>
      </w:pPr>
    </w:p>
    <w:p>
      <w:pPr>
        <w:ind w:left="700" w:right="120" w:hanging="659"/>
        <w:spacing w:after="0" w:line="256" w:lineRule="auto"/>
        <w:tabs>
          <w:tab w:leader="none" w:pos="680" w:val="left"/>
        </w:tabs>
        <w:rPr>
          <w:sz w:val="20"/>
          <w:szCs w:val="20"/>
          <w:color w:val="auto"/>
        </w:rPr>
      </w:pPr>
      <w:r>
        <w:rPr>
          <w:rFonts w:ascii="Arial" w:cs="Arial" w:eastAsia="Arial" w:hAnsi="Arial"/>
          <w:sz w:val="18"/>
          <w:szCs w:val="18"/>
          <w:color w:val="auto"/>
        </w:rPr>
        <w:t>(h)(5)</w:t>
        <w:tab/>
        <w:t>Underwriting Agreement, dated as of September 16, 2014, by and among PennantPark Investment Corporation, PennantPark Investment Advisers, LLC, PennantPark Investment Administration, LLC, and the Representatives of the Several Underwriters named therein (Incorporated by reference to Exhibit 2(h)(5) of the Post-Effective Amendment No. 2 to the Registration Statement on Form N-2/A (File No. 333-192782), filed on September 23, 2014).</w:t>
      </w:r>
    </w:p>
    <w:p>
      <w:pPr>
        <w:spacing w:after="0" w:line="157" w:lineRule="exact"/>
        <w:rPr>
          <w:sz w:val="20"/>
          <w:szCs w:val="20"/>
          <w:color w:val="auto"/>
        </w:rPr>
      </w:pPr>
    </w:p>
    <w:p>
      <w:pPr>
        <w:ind w:left="700" w:right="60" w:hanging="545"/>
        <w:spacing w:after="0" w:line="268"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45" w:lineRule="exact"/>
        <w:rPr>
          <w:sz w:val="20"/>
          <w:szCs w:val="20"/>
          <w:color w:val="auto"/>
        </w:rPr>
      </w:pPr>
    </w:p>
    <w:p>
      <w:pPr>
        <w:ind w:left="700" w:hanging="659"/>
        <w:spacing w:after="0" w:line="268" w:lineRule="auto"/>
        <w:tabs>
          <w:tab w:leader="none" w:pos="680" w:val="left"/>
        </w:tabs>
        <w:rPr>
          <w:sz w:val="20"/>
          <w:szCs w:val="20"/>
          <w:color w:val="auto"/>
        </w:rPr>
      </w:pPr>
      <w:r>
        <w:rPr>
          <w:rFonts w:ascii="Arial" w:cs="Arial" w:eastAsia="Arial" w:hAnsi="Arial"/>
          <w:sz w:val="18"/>
          <w:szCs w:val="18"/>
          <w:color w:val="auto"/>
        </w:rPr>
        <w:t>(k)(1)</w:t>
        <w:tab/>
        <w:t>Administration Agreement between the Registrant and PennantPark Investment Administration, LLC (Incorporated by reference to Exhibit 99.(K)(1) to the Registrant’s Registration Statement on Form N-2 (File No. 333-150033), filed on April 2, 2008).</w:t>
      </w:r>
    </w:p>
    <w:p>
      <w:pPr>
        <w:spacing w:after="0" w:line="1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(K)(2) to the Registrant’s Registration Statement on Form N-2 (File No. 333-150033), filed on April 2, 2008).</w:t>
      </w:r>
    </w:p>
    <w:p>
      <w:pPr>
        <w:spacing w:after="0" w:line="178" w:lineRule="exact"/>
        <w:rPr>
          <w:sz w:val="20"/>
          <w:szCs w:val="20"/>
          <w:color w:val="auto"/>
        </w:rPr>
      </w:pPr>
    </w:p>
    <w:p>
      <w:pPr>
        <w:jc w:val="both"/>
        <w:ind w:left="700" w:right="140" w:hanging="659"/>
        <w:spacing w:after="0" w:line="268" w:lineRule="auto"/>
        <w:tabs>
          <w:tab w:leader="none" w:pos="680" w:val="left"/>
        </w:tabs>
        <w:rPr>
          <w:sz w:val="20"/>
          <w:szCs w:val="20"/>
          <w:color w:val="auto"/>
        </w:rPr>
      </w:pPr>
      <w:r>
        <w:rPr>
          <w:rFonts w:ascii="Arial" w:cs="Arial" w:eastAsia="Arial" w:hAnsi="Arial"/>
          <w:sz w:val="18"/>
          <w:szCs w:val="18"/>
          <w:color w:val="auto"/>
        </w:rPr>
        <w:t>(k)(3)</w:t>
        <w:tab/>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jc w:val="both"/>
        <w:ind w:left="700" w:right="140" w:hanging="659"/>
        <w:spacing w:after="0" w:line="259" w:lineRule="auto"/>
        <w:tabs>
          <w:tab w:leader="none" w:pos="680" w:val="left"/>
        </w:tabs>
        <w:rPr>
          <w:sz w:val="20"/>
          <w:szCs w:val="20"/>
          <w:color w:val="auto"/>
        </w:rPr>
      </w:pPr>
      <w:r>
        <w:rPr>
          <w:rFonts w:ascii="Arial" w:cs="Arial" w:eastAsia="Arial" w:hAnsi="Arial"/>
          <w:sz w:val="18"/>
          <w:szCs w:val="18"/>
          <w:color w:val="auto"/>
        </w:rPr>
        <w:t>(k)(4)</w:t>
        <w:tab/>
        <w:t>Second Amended and Restated Senior Secured Revolving Credit Agreement, dated as of June 25, 2014, among PennantPark Investment Corporation, the lenders party hereto, SunTrust Bank, as administrative agent for the lenders (Incorporated by reference to Exhibit 99.2 to the Registrant’s Current Report on Form 8-K (File No. 814-00736), filed on June 30, 2014).</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920" w:hanging="571"/>
        <w:spacing w:after="0"/>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(l)(1)</w:t>
            </w:r>
          </w:p>
        </w:tc>
        <w:tc>
          <w:tcPr>
            <w:tcW w:w="10580" w:type="dxa"/>
            <w:vAlign w:val="bottom"/>
          </w:tcPr>
          <w:p>
            <w:pPr>
              <w:ind w:left="160"/>
              <w:spacing w:after="0"/>
              <w:rPr>
                <w:sz w:val="20"/>
                <w:szCs w:val="20"/>
                <w:color w:val="auto"/>
              </w:rPr>
            </w:pPr>
            <w:r>
              <w:rPr>
                <w:rFonts w:ascii="Arial" w:cs="Arial" w:eastAsia="Arial" w:hAnsi="Arial"/>
                <w:sz w:val="18"/>
                <w:szCs w:val="18"/>
                <w:color w:val="auto"/>
                <w:w w:val="89"/>
              </w:rPr>
              <w:t>Opinion and Consent of Venable LLP (Incorporated by reference to Exhibit 2(l)(1) to the Registrant’s Registration Statement on Form N-2 (File No.</w:t>
            </w:r>
          </w:p>
        </w:tc>
      </w:tr>
      <w:tr>
        <w:trPr>
          <w:trHeight w:val="222"/>
        </w:trPr>
        <w:tc>
          <w:tcPr>
            <w:tcW w:w="74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333-192782), filed December 11, 2013).</w:t>
            </w:r>
          </w:p>
        </w:tc>
      </w:tr>
      <w:tr>
        <w:trPr>
          <w:trHeight w:val="385"/>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(l)(2)</w:t>
            </w:r>
          </w:p>
        </w:tc>
        <w:tc>
          <w:tcPr>
            <w:tcW w:w="10580" w:type="dxa"/>
            <w:vAlign w:val="bottom"/>
          </w:tcPr>
          <w:p>
            <w:pPr>
              <w:ind w:left="160"/>
              <w:spacing w:after="0"/>
              <w:rPr>
                <w:sz w:val="20"/>
                <w:szCs w:val="20"/>
                <w:color w:val="auto"/>
              </w:rPr>
            </w:pPr>
            <w:r>
              <w:rPr>
                <w:rFonts w:ascii="Arial" w:cs="Arial" w:eastAsia="Arial" w:hAnsi="Arial"/>
                <w:sz w:val="18"/>
                <w:szCs w:val="18"/>
                <w:color w:val="auto"/>
                <w:w w:val="89"/>
              </w:rPr>
              <w:t>Opinion and Consent of Dechert LLP (Incorporated by reference to Exhibit 2(l)(2) to the Registrant’s Registration Statement on Form N-2 (File No.</w:t>
            </w:r>
          </w:p>
        </w:tc>
      </w:tr>
      <w:tr>
        <w:trPr>
          <w:trHeight w:val="222"/>
        </w:trPr>
        <w:tc>
          <w:tcPr>
            <w:tcW w:w="74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333-192782), filed December 11, 2013).</w:t>
            </w:r>
          </w:p>
        </w:tc>
      </w:tr>
      <w:tr>
        <w:trPr>
          <w:trHeight w:val="385"/>
        </w:trPr>
        <w:tc>
          <w:tcPr>
            <w:tcW w:w="740" w:type="dxa"/>
            <w:vAlign w:val="bottom"/>
          </w:tcPr>
          <w:p>
            <w:pPr>
              <w:jc w:val="center"/>
              <w:ind w:right="92"/>
              <w:spacing w:after="0"/>
              <w:rPr>
                <w:sz w:val="20"/>
                <w:szCs w:val="20"/>
                <w:color w:val="auto"/>
              </w:rPr>
            </w:pPr>
            <w:r>
              <w:rPr>
                <w:rFonts w:ascii="Arial" w:cs="Arial" w:eastAsia="Arial" w:hAnsi="Arial"/>
                <w:sz w:val="18"/>
                <w:szCs w:val="18"/>
                <w:color w:val="auto"/>
                <w:w w:val="90"/>
              </w:rPr>
              <w:t>(1)(3)</w:t>
            </w:r>
          </w:p>
        </w:tc>
        <w:tc>
          <w:tcPr>
            <w:tcW w:w="10580" w:type="dxa"/>
            <w:vAlign w:val="bottom"/>
          </w:tcPr>
          <w:p>
            <w:pPr>
              <w:ind w:left="160"/>
              <w:spacing w:after="0"/>
              <w:rPr>
                <w:sz w:val="20"/>
                <w:szCs w:val="20"/>
                <w:color w:val="auto"/>
              </w:rPr>
            </w:pPr>
            <w:r>
              <w:rPr>
                <w:rFonts w:ascii="Arial" w:cs="Arial" w:eastAsia="Arial" w:hAnsi="Arial"/>
                <w:sz w:val="18"/>
                <w:szCs w:val="18"/>
                <w:color w:val="auto"/>
                <w:w w:val="93"/>
              </w:rPr>
              <w:t>Opinion and Consent of Venable LLP (Incorporated by reference to Exhibit 2(l)(3) to the Registrant’s Post-Effective Amendment No. 1 to the</w:t>
            </w:r>
          </w:p>
        </w:tc>
      </w:tr>
      <w:tr>
        <w:trPr>
          <w:trHeight w:val="222"/>
        </w:trPr>
        <w:tc>
          <w:tcPr>
            <w:tcW w:w="74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Registration Statement on Form N-2/A (File No. 333-192782) filed on September 8, 2014).</w:t>
            </w:r>
          </w:p>
        </w:tc>
      </w:tr>
      <w:tr>
        <w:trPr>
          <w:trHeight w:val="385"/>
        </w:trPr>
        <w:tc>
          <w:tcPr>
            <w:tcW w:w="740" w:type="dxa"/>
            <w:vAlign w:val="bottom"/>
          </w:tcPr>
          <w:p>
            <w:pPr>
              <w:jc w:val="center"/>
              <w:ind w:right="92"/>
              <w:spacing w:after="0"/>
              <w:rPr>
                <w:sz w:val="20"/>
                <w:szCs w:val="20"/>
                <w:color w:val="auto"/>
              </w:rPr>
            </w:pPr>
            <w:r>
              <w:rPr>
                <w:rFonts w:ascii="Arial" w:cs="Arial" w:eastAsia="Arial" w:hAnsi="Arial"/>
                <w:sz w:val="18"/>
                <w:szCs w:val="18"/>
                <w:color w:val="auto"/>
                <w:w w:val="90"/>
              </w:rPr>
              <w:t>(1)(4)</w:t>
            </w:r>
          </w:p>
        </w:tc>
        <w:tc>
          <w:tcPr>
            <w:tcW w:w="10580" w:type="dxa"/>
            <w:vAlign w:val="bottom"/>
          </w:tcPr>
          <w:p>
            <w:pPr>
              <w:ind w:left="160"/>
              <w:spacing w:after="0"/>
              <w:rPr>
                <w:sz w:val="20"/>
                <w:szCs w:val="20"/>
                <w:color w:val="auto"/>
              </w:rPr>
            </w:pPr>
            <w:r>
              <w:rPr>
                <w:rFonts w:ascii="Arial" w:cs="Arial" w:eastAsia="Arial" w:hAnsi="Arial"/>
                <w:sz w:val="18"/>
                <w:szCs w:val="18"/>
                <w:color w:val="auto"/>
                <w:w w:val="93"/>
              </w:rPr>
              <w:t>Opinion and Consent of Venable LLP (Incorporated by reference to Exhibit 2(l)(4) to the Registrant’s Post-Effective Amendment No. 2 to the</w:t>
            </w:r>
          </w:p>
        </w:tc>
      </w:tr>
      <w:tr>
        <w:trPr>
          <w:trHeight w:val="222"/>
        </w:trPr>
        <w:tc>
          <w:tcPr>
            <w:tcW w:w="74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Registration Statement on Form N-2/A (File No. 333-192782) ) filed on September 23, 2014).</w:t>
            </w:r>
          </w:p>
        </w:tc>
      </w:tr>
      <w:tr>
        <w:trPr>
          <w:trHeight w:val="385"/>
        </w:trPr>
        <w:tc>
          <w:tcPr>
            <w:tcW w:w="740" w:type="dxa"/>
            <w:vAlign w:val="bottom"/>
          </w:tcPr>
          <w:p>
            <w:pPr>
              <w:jc w:val="center"/>
              <w:ind w:right="92"/>
              <w:spacing w:after="0"/>
              <w:rPr>
                <w:sz w:val="20"/>
                <w:szCs w:val="20"/>
                <w:color w:val="auto"/>
              </w:rPr>
            </w:pPr>
            <w:r>
              <w:rPr>
                <w:rFonts w:ascii="Arial" w:cs="Arial" w:eastAsia="Arial" w:hAnsi="Arial"/>
                <w:sz w:val="18"/>
                <w:szCs w:val="18"/>
                <w:color w:val="auto"/>
                <w:w w:val="90"/>
              </w:rPr>
              <w:t>(1)(5)</w:t>
            </w:r>
          </w:p>
        </w:tc>
        <w:tc>
          <w:tcPr>
            <w:tcW w:w="10580" w:type="dxa"/>
            <w:vAlign w:val="bottom"/>
          </w:tcPr>
          <w:p>
            <w:pPr>
              <w:ind w:left="160"/>
              <w:spacing w:after="0"/>
              <w:rPr>
                <w:sz w:val="20"/>
                <w:szCs w:val="20"/>
                <w:color w:val="auto"/>
              </w:rPr>
            </w:pPr>
            <w:r>
              <w:rPr>
                <w:rFonts w:ascii="Arial" w:cs="Arial" w:eastAsia="Arial" w:hAnsi="Arial"/>
                <w:sz w:val="18"/>
                <w:szCs w:val="18"/>
                <w:color w:val="auto"/>
                <w:w w:val="93"/>
              </w:rPr>
              <w:t>Opinion and Consent of Dechert LLP (Incorporated by reference to Exhibit 2(l)(5) to the Registrant’s Post-Effective Amendment No. 2 to the</w:t>
            </w:r>
          </w:p>
        </w:tc>
      </w:tr>
      <w:tr>
        <w:trPr>
          <w:trHeight w:val="222"/>
        </w:trPr>
        <w:tc>
          <w:tcPr>
            <w:tcW w:w="74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Registration Statement on Form N-2/A (File No. 333-192782) ) filed on September 23, 2014).</w:t>
            </w:r>
          </w:p>
        </w:tc>
      </w:tr>
      <w:tr>
        <w:trPr>
          <w:trHeight w:val="392"/>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(n)(1)**</w:t>
            </w:r>
          </w:p>
        </w:tc>
        <w:tc>
          <w:tcPr>
            <w:tcW w:w="10580" w:type="dxa"/>
            <w:vAlign w:val="bottom"/>
          </w:tcPr>
          <w:p>
            <w:pPr>
              <w:ind w:left="160"/>
              <w:spacing w:after="0"/>
              <w:rPr>
                <w:sz w:val="20"/>
                <w:szCs w:val="20"/>
                <w:color w:val="auto"/>
              </w:rPr>
            </w:pPr>
            <w:r>
              <w:rPr>
                <w:rFonts w:ascii="Arial" w:cs="Arial" w:eastAsia="Arial" w:hAnsi="Arial"/>
                <w:sz w:val="18"/>
                <w:szCs w:val="18"/>
                <w:color w:val="auto"/>
              </w:rPr>
              <w:t>Consent of KPMG LLP.</w:t>
            </w:r>
          </w:p>
        </w:tc>
      </w:tr>
      <w:tr>
        <w:trPr>
          <w:trHeight w:val="392"/>
        </w:trPr>
        <w:tc>
          <w:tcPr>
            <w:tcW w:w="740" w:type="dxa"/>
            <w:vAlign w:val="bottom"/>
          </w:tcPr>
          <w:p>
            <w:pPr>
              <w:jc w:val="center"/>
              <w:ind w:right="72"/>
              <w:spacing w:after="0"/>
              <w:rPr>
                <w:sz w:val="20"/>
                <w:szCs w:val="20"/>
                <w:color w:val="auto"/>
              </w:rPr>
            </w:pPr>
            <w:r>
              <w:rPr>
                <w:rFonts w:ascii="Arial" w:cs="Arial" w:eastAsia="Arial" w:hAnsi="Arial"/>
                <w:sz w:val="18"/>
                <w:szCs w:val="18"/>
                <w:color w:val="auto"/>
                <w:w w:val="99"/>
              </w:rPr>
              <w:t>(n)(2)**</w:t>
            </w:r>
          </w:p>
        </w:tc>
        <w:tc>
          <w:tcPr>
            <w:tcW w:w="10580" w:type="dxa"/>
            <w:vAlign w:val="bottom"/>
          </w:tcPr>
          <w:p>
            <w:pPr>
              <w:ind w:left="160"/>
              <w:spacing w:after="0"/>
              <w:rPr>
                <w:sz w:val="20"/>
                <w:szCs w:val="20"/>
                <w:color w:val="auto"/>
              </w:rPr>
            </w:pPr>
            <w:r>
              <w:rPr>
                <w:rFonts w:ascii="Arial" w:cs="Arial" w:eastAsia="Arial" w:hAnsi="Arial"/>
                <w:sz w:val="18"/>
                <w:szCs w:val="18"/>
                <w:color w:val="auto"/>
              </w:rPr>
              <w:t>Consent of McGladrey LLP.</w:t>
            </w:r>
          </w:p>
        </w:tc>
      </w:tr>
    </w:tbl>
    <w:p>
      <w:pPr>
        <w:spacing w:after="0" w:line="169" w:lineRule="exact"/>
        <w:rPr>
          <w:sz w:val="20"/>
          <w:szCs w:val="20"/>
          <w:color w:val="auto"/>
        </w:rPr>
      </w:pPr>
    </w:p>
    <w:p>
      <w:pPr>
        <w:ind w:left="920" w:right="620" w:hanging="703"/>
        <w:spacing w:after="0" w:line="332" w:lineRule="auto"/>
        <w:tabs>
          <w:tab w:leader="none" w:pos="9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12, 2014).</w:t>
      </w:r>
    </w:p>
    <w:p>
      <w:pPr>
        <w:spacing w:after="0" w:line="99" w:lineRule="exact"/>
        <w:rPr>
          <w:sz w:val="20"/>
          <w:szCs w:val="20"/>
          <w:color w:val="auto"/>
        </w:rPr>
      </w:pPr>
    </w:p>
    <w:p>
      <w:pPr>
        <w:ind w:left="920" w:right="560" w:hanging="799"/>
        <w:spacing w:after="0" w:line="332" w:lineRule="auto"/>
        <w:tabs>
          <w:tab w:leader="none" w:pos="9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2.(s)(1) to the Registrant’s Pre-Effective Amendment to the Registration Statement on Form N-2/A (File No. 333-172524), filed on August 22, 2011).</w:t>
      </w:r>
    </w:p>
    <w:p>
      <w:pPr>
        <w:spacing w:after="0" w:line="99" w:lineRule="exact"/>
        <w:rPr>
          <w:sz w:val="20"/>
          <w:szCs w:val="20"/>
          <w:color w:val="auto"/>
        </w:rPr>
      </w:pPr>
    </w:p>
    <w:p>
      <w:pPr>
        <w:ind w:left="920" w:right="560" w:hanging="799"/>
        <w:spacing w:after="0" w:line="332" w:lineRule="auto"/>
        <w:tabs>
          <w:tab w:leader="none" w:pos="90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2.(s)(2) to the Registrant’s Pre-Effective Amendment to the Registration Statement on Form N-2/A (File No. 333-172524), filed on August 22, 2011).</w:t>
      </w:r>
    </w:p>
    <w:p>
      <w:pPr>
        <w:spacing w:after="0" w:line="99" w:lineRule="exact"/>
        <w:rPr>
          <w:sz w:val="20"/>
          <w:szCs w:val="20"/>
          <w:color w:val="auto"/>
        </w:rPr>
      </w:pPr>
    </w:p>
    <w:p>
      <w:pPr>
        <w:ind w:left="920" w:right="220" w:hanging="799"/>
        <w:spacing w:after="0" w:line="268" w:lineRule="auto"/>
        <w:tabs>
          <w:tab w:leader="none" w:pos="90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2.(s)(3) to the Registrant’s Pre-Effective Amendment to the Registration Statement on Form N-2/A (File No. 333-172524), filed on August 22, 2011).</w:t>
      </w:r>
    </w:p>
    <w:p>
      <w:pPr>
        <w:spacing w:after="0" w:line="145" w:lineRule="exact"/>
        <w:rPr>
          <w:sz w:val="20"/>
          <w:szCs w:val="20"/>
          <w:color w:val="auto"/>
        </w:rPr>
      </w:pPr>
    </w:p>
    <w:p>
      <w:pPr>
        <w:ind w:left="920" w:right="100" w:hanging="799"/>
        <w:spacing w:after="0" w:line="268" w:lineRule="auto"/>
        <w:tabs>
          <w:tab w:leader="none" w:pos="9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Form of Prospectus Supplement For Rights Offerings (Incorporated by reference to Exhibit 2.(s)(4) to the Registrant’s Pre-Effective Amendment to the Registration Statement on Form N-2/A (File No. 333-172524), filed on August 22, 2011).</w:t>
      </w:r>
    </w:p>
    <w:p>
      <w:pPr>
        <w:spacing w:after="0" w:line="145" w:lineRule="exact"/>
        <w:rPr>
          <w:sz w:val="20"/>
          <w:szCs w:val="20"/>
          <w:color w:val="auto"/>
        </w:rPr>
      </w:pPr>
    </w:p>
    <w:p>
      <w:pPr>
        <w:ind w:left="920" w:hanging="799"/>
        <w:spacing w:after="0" w:line="268" w:lineRule="auto"/>
        <w:tabs>
          <w:tab w:leader="none" w:pos="900" w:val="left"/>
        </w:tabs>
        <w:rPr>
          <w:sz w:val="20"/>
          <w:szCs w:val="20"/>
          <w:color w:val="auto"/>
        </w:rPr>
      </w:pPr>
      <w:r>
        <w:rPr>
          <w:rFonts w:ascii="Arial" w:cs="Arial" w:eastAsia="Arial" w:hAnsi="Arial"/>
          <w:sz w:val="18"/>
          <w:szCs w:val="18"/>
          <w:color w:val="auto"/>
        </w:rPr>
        <w:t>(s)(5)</w:t>
      </w:r>
      <w:r>
        <w:rPr>
          <w:sz w:val="20"/>
          <w:szCs w:val="20"/>
          <w:color w:val="auto"/>
        </w:rPr>
        <w:tab/>
      </w:r>
      <w:r>
        <w:rPr>
          <w:rFonts w:ascii="Arial" w:cs="Arial" w:eastAsia="Arial" w:hAnsi="Arial"/>
          <w:sz w:val="18"/>
          <w:szCs w:val="18"/>
          <w:color w:val="auto"/>
        </w:rPr>
        <w:t>Form of Prospectus Supplement For Warrant Offerings (Incorporated by reference to Exhibit 2.(s)(5) to the Registrant’s Pre-Effective Amendment to the Registration Statement on Form N-2/A (File No. 333-172524), filed on August 22, 2011).</w:t>
      </w:r>
    </w:p>
    <w:p>
      <w:pPr>
        <w:spacing w:after="0" w:line="251" w:lineRule="exact"/>
        <w:rPr>
          <w:sz w:val="20"/>
          <w:szCs w:val="20"/>
          <w:color w:val="auto"/>
        </w:rPr>
      </w:pPr>
    </w:p>
    <w:p>
      <w:pPr>
        <w:ind w:left="580" w:hanging="572"/>
        <w:spacing w:after="0"/>
        <w:tabs>
          <w:tab w:leader="none" w:pos="5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Printing (other than certificates)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227"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550545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05450" cy="1714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PennantPark SBIC GP,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GP II,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LP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PennantPark SBIC II LP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Acentia,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Alabama Holdings Inc.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CI (FBM) Investment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CI (GALLS) Prime Investment Holdings,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ecoserve,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New Gulf Resources,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Power Products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RAM Energy LLC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PNNT Transportation 100 Holdco,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SuttonPark Holdings, Inc. (Delaware)</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SuttonPark Capital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12"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9"/>
          <w:szCs w:val="19"/>
          <w:color w:val="auto"/>
          <w:vertAlign w:val="superscript"/>
        </w:rPr>
      </w:pPr>
      <w:r>
        <w:rPr>
          <w:rFonts w:ascii="Arial" w:cs="Arial" w:eastAsia="Arial" w:hAnsi="Arial"/>
          <w:sz w:val="12"/>
          <w:szCs w:val="12"/>
          <w:color w:val="auto"/>
        </w:rPr>
        <w:t>The entity is directly owned 99% by us and 1% by PennantPark SBIC GP, LLC which is effectively wholly-owned by us.</w:t>
      </w:r>
    </w:p>
    <w:p>
      <w:pPr>
        <w:ind w:left="340" w:hanging="332"/>
        <w:spacing w:after="0" w:line="182" w:lineRule="auto"/>
        <w:tabs>
          <w:tab w:leader="none" w:pos="340" w:val="left"/>
        </w:tabs>
        <w:numPr>
          <w:ilvl w:val="0"/>
          <w:numId w:val="111"/>
        </w:numPr>
        <w:rPr>
          <w:rFonts w:ascii="Arial" w:cs="Arial" w:eastAsia="Arial" w:hAnsi="Arial"/>
          <w:sz w:val="17"/>
          <w:szCs w:val="17"/>
          <w:color w:val="auto"/>
          <w:vertAlign w:val="superscript"/>
        </w:rPr>
      </w:pPr>
      <w:r>
        <w:rPr>
          <w:rFonts w:ascii="Arial" w:cs="Arial" w:eastAsia="Arial" w:hAnsi="Arial"/>
          <w:sz w:val="11"/>
          <w:szCs w:val="11"/>
          <w:color w:val="auto"/>
        </w:rPr>
        <w:t>The entity is directly owned 99% by us and 1% by PennantPark SBIC GP II, LLC, which is effectively wholly-owned by us.</w:t>
      </w:r>
    </w:p>
    <w:p>
      <w:pPr>
        <w:ind w:left="340" w:hanging="332"/>
        <w:spacing w:after="0" w:line="182" w:lineRule="auto"/>
        <w:tabs>
          <w:tab w:leader="none" w:pos="340" w:val="left"/>
        </w:tabs>
        <w:numPr>
          <w:ilvl w:val="0"/>
          <w:numId w:val="111"/>
        </w:numPr>
        <w:rPr>
          <w:rFonts w:ascii="Arial" w:cs="Arial" w:eastAsia="Arial" w:hAnsi="Arial"/>
          <w:sz w:val="17"/>
          <w:szCs w:val="17"/>
          <w:color w:val="auto"/>
          <w:vertAlign w:val="superscript"/>
        </w:rPr>
      </w:pPr>
      <w:r>
        <w:rPr>
          <w:rFonts w:ascii="Arial" w:cs="Arial" w:eastAsia="Arial" w:hAnsi="Arial"/>
          <w:sz w:val="11"/>
          <w:szCs w:val="11"/>
          <w:color w:val="auto"/>
        </w:rPr>
        <w:t>This entity is not operational.</w:t>
      </w:r>
    </w:p>
    <w:p>
      <w:pPr>
        <w:ind w:left="340" w:hanging="332"/>
        <w:spacing w:after="0" w:line="182" w:lineRule="auto"/>
        <w:tabs>
          <w:tab w:leader="none" w:pos="340" w:val="left"/>
        </w:tabs>
        <w:numPr>
          <w:ilvl w:val="0"/>
          <w:numId w:val="111"/>
        </w:numPr>
        <w:rPr>
          <w:rFonts w:ascii="Arial" w:cs="Arial" w:eastAsia="Arial" w:hAnsi="Arial"/>
          <w:sz w:val="17"/>
          <w:szCs w:val="17"/>
          <w:color w:val="auto"/>
          <w:vertAlign w:val="superscript"/>
        </w:rPr>
      </w:pPr>
      <w:r>
        <w:rPr>
          <w:rFonts w:ascii="Arial" w:cs="Arial" w:eastAsia="Arial" w:hAnsi="Arial"/>
          <w:sz w:val="11"/>
          <w:szCs w:val="11"/>
          <w:color w:val="auto"/>
        </w:rPr>
        <w:t>This is a controlled affiliated investment.</w:t>
      </w:r>
    </w:p>
    <w:p>
      <w:pPr>
        <w:ind w:left="340" w:hanging="332"/>
        <w:spacing w:after="0" w:line="185" w:lineRule="auto"/>
        <w:tabs>
          <w:tab w:leader="none" w:pos="340" w:val="left"/>
        </w:tabs>
        <w:numPr>
          <w:ilvl w:val="0"/>
          <w:numId w:val="111"/>
        </w:numPr>
        <w:rPr>
          <w:rFonts w:ascii="Arial" w:cs="Arial" w:eastAsia="Arial" w:hAnsi="Arial"/>
          <w:sz w:val="18"/>
          <w:szCs w:val="18"/>
          <w:color w:val="auto"/>
          <w:vertAlign w:val="superscript"/>
        </w:rPr>
      </w:pPr>
      <w:r>
        <w:rPr>
          <w:rFonts w:ascii="Arial" w:cs="Arial" w:eastAsia="Arial" w:hAnsi="Arial"/>
          <w:sz w:val="12"/>
          <w:szCs w:val="12"/>
          <w:color w:val="auto"/>
        </w:rPr>
        <w:t>The entity is indirectly owned by us and directly owned by SuttonPark Holdings, Inc.</w:t>
      </w:r>
    </w:p>
    <w:p>
      <w:pPr>
        <w:spacing w:after="0" w:line="1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1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19"/>
        <w:spacing w:after="0"/>
        <w:rPr>
          <w:sz w:val="20"/>
          <w:szCs w:val="20"/>
          <w:color w:val="auto"/>
        </w:rPr>
      </w:pPr>
      <w:r>
        <w:rPr>
          <w:rFonts w:ascii="Arial" w:cs="Arial" w:eastAsia="Arial" w:hAnsi="Arial"/>
          <w:sz w:val="11"/>
          <w:szCs w:val="11"/>
          <w:b w:val="1"/>
          <w:bCs w:val="1"/>
          <w:u w:val="single" w:color="auto"/>
          <w:color w:val="auto"/>
        </w:rPr>
        <w:t>Owned Percentage</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(1)</w:t>
      </w:r>
    </w:p>
    <w:p>
      <w:pPr>
        <w:spacing w:after="0" w:line="50"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(2)</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(3)</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100%</w:t>
      </w:r>
    </w:p>
    <w:p>
      <w:pPr>
        <w:spacing w:after="0" w:line="50"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1"/>
          <w:szCs w:val="11"/>
          <w:color w:val="auto"/>
        </w:rPr>
        <w:t>(4)</w:t>
      </w:r>
    </w:p>
    <w:p>
      <w:pPr>
        <w:spacing w:after="0" w:line="36"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4"/>
          <w:szCs w:val="14"/>
          <w:color w:val="auto"/>
        </w:rPr>
        <w:t>N/A</w:t>
      </w:r>
      <w:r>
        <w:rPr>
          <w:sz w:val="20"/>
          <w:szCs w:val="20"/>
          <w:color w:val="auto"/>
        </w:rPr>
        <w:tab/>
      </w:r>
      <w:r>
        <w:rPr>
          <w:rFonts w:ascii="Arial" w:cs="Arial" w:eastAsia="Arial" w:hAnsi="Arial"/>
          <w:sz w:val="17"/>
          <w:szCs w:val="17"/>
          <w:color w:val="auto"/>
          <w:vertAlign w:val="superscript"/>
        </w:rPr>
        <w:t>(5)</w:t>
      </w:r>
    </w:p>
    <w:p>
      <w:pPr>
        <w:sectPr>
          <w:pgSz w:w="11900" w:h="16838" w:orient="portrait"/>
          <w:cols w:equalWidth="0" w:num="2">
            <w:col w:w="7400" w:space="720"/>
            <w:col w:w="2099"/>
          </w:cols>
          <w:pgMar w:left="240" w:top="460" w:right="1440"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980" w:type="dxa"/>
            <w:vAlign w:val="bottom"/>
            <w:gridSpan w:val="2"/>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700" w:type="dxa"/>
            <w:vAlign w:val="bottom"/>
            <w:gridSpan w:val="3"/>
          </w:tcPr>
          <w:p>
            <w:pPr>
              <w:ind w:left="580"/>
              <w:spacing w:after="0"/>
              <w:rPr>
                <w:sz w:val="20"/>
                <w:szCs w:val="20"/>
                <w:color w:val="auto"/>
              </w:rPr>
            </w:pPr>
            <w:r>
              <w:rPr>
                <w:rFonts w:ascii="Arial" w:cs="Arial" w:eastAsia="Arial" w:hAnsi="Arial"/>
                <w:sz w:val="18"/>
                <w:szCs w:val="18"/>
                <w:color w:val="auto"/>
              </w:rPr>
              <w:t>As of September 30, 2014</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980" w:type="dxa"/>
            <w:vAlign w:val="bottom"/>
            <w:gridSpan w:val="2"/>
            <w:vMerge w:val="restart"/>
          </w:tcPr>
          <w:p>
            <w:pPr>
              <w:jc w:val="center"/>
              <w:ind w:right="5380"/>
              <w:spacing w:after="0"/>
              <w:rPr>
                <w:sz w:val="20"/>
                <w:szCs w:val="20"/>
                <w:color w:val="auto"/>
              </w:rPr>
            </w:pPr>
            <w:r>
              <w:rPr>
                <w:rFonts w:ascii="Arial" w:cs="Arial" w:eastAsia="Arial" w:hAnsi="Arial"/>
                <w:sz w:val="14"/>
                <w:szCs w:val="14"/>
                <w:b w:val="1"/>
                <w:bCs w:val="1"/>
                <w:color w:val="auto"/>
                <w:w w:val="87"/>
              </w:rPr>
              <w:t>Title of Class</w:t>
            </w: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w w:val="86"/>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680" w:type="dxa"/>
            <w:vAlign w:val="bottom"/>
          </w:tcPr>
          <w:p>
            <w:pPr>
              <w:spacing w:after="0"/>
              <w:rPr>
                <w:sz w:val="18"/>
                <w:szCs w:val="18"/>
                <w:color w:val="auto"/>
              </w:rPr>
            </w:pPr>
          </w:p>
        </w:tc>
        <w:tc>
          <w:tcPr>
            <w:tcW w:w="1280" w:type="dxa"/>
            <w:vAlign w:val="bottom"/>
          </w:tcPr>
          <w:p>
            <w:pPr>
              <w:jc w:val="right"/>
              <w:ind w:right="482"/>
              <w:spacing w:after="0" w:line="202" w:lineRule="exact"/>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520"/>
          </w:cols>
          <w:pgMar w:left="240" w:top="460" w:right="11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60"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5580" w:right="2360" w:hanging="5001"/>
        <w:spacing w:after="0" w:line="440" w:lineRule="auto"/>
        <w:tabs>
          <w:tab w:leader="none" w:pos="8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 C-8</w:t>
      </w:r>
    </w:p>
    <w:p>
      <w:pPr>
        <w:sectPr>
          <w:pgSz w:w="11900" w:h="16838" w:orient="portrait"/>
          <w:cols w:equalWidth="0" w:num="1">
            <w:col w:w="10960"/>
          </w:cols>
          <w:pgMar w:left="240" w:top="460" w:right="6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60" w:right="1440"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120" w:firstLine="579"/>
        <w:spacing w:after="0" w:line="259" w:lineRule="auto"/>
        <w:tabs>
          <w:tab w:leader="none" w:pos="81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firstLine="579"/>
        <w:spacing w:after="0" w:line="294" w:lineRule="auto"/>
        <w:tabs>
          <w:tab w:leader="none" w:pos="8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000" w:hanging="207"/>
        <w:spacing w:after="0"/>
        <w:tabs>
          <w:tab w:leader="none" w:pos="10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240" w:firstLine="433"/>
        <w:spacing w:after="0" w:line="357" w:lineRule="auto"/>
        <w:tabs>
          <w:tab w:leader="none" w:pos="1061" w:val="left"/>
        </w:tabs>
        <w:numPr>
          <w:ilvl w:val="2"/>
          <w:numId w:val="11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360" w:right="180" w:firstLine="433"/>
        <w:spacing w:after="0" w:line="268" w:lineRule="auto"/>
        <w:tabs>
          <w:tab w:leader="none" w:pos="111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420" w:firstLine="579"/>
        <w:spacing w:after="0" w:line="268" w:lineRule="auto"/>
        <w:tabs>
          <w:tab w:leader="none" w:pos="8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360" w:right="400" w:firstLine="410"/>
        <w:spacing w:after="0" w:line="259" w:lineRule="auto"/>
        <w:tabs>
          <w:tab w:leader="none" w:pos="101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360" w:right="100" w:firstLine="410"/>
        <w:spacing w:after="0" w:line="268" w:lineRule="auto"/>
        <w:tabs>
          <w:tab w:leader="none" w:pos="102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60"/>
          </w:cols>
          <w:pgMar w:left="240" w:top="459" w:right="2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firstLine="410"/>
        <w:spacing w:after="0" w:line="290" w:lineRule="auto"/>
        <w:tabs>
          <w:tab w:leader="none" w:pos="101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left="360" w:right="120" w:firstLine="410"/>
        <w:spacing w:after="0" w:line="323" w:lineRule="auto"/>
        <w:tabs>
          <w:tab w:leader="none" w:pos="999" w:val="left"/>
        </w:tabs>
        <w:numPr>
          <w:ilvl w:val="1"/>
          <w:numId w:val="116"/>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6" w:lineRule="exact"/>
        <w:rPr>
          <w:rFonts w:ascii="Arial" w:cs="Arial" w:eastAsia="Arial" w:hAnsi="Arial"/>
          <w:sz w:val="15"/>
          <w:szCs w:val="15"/>
          <w:color w:val="auto"/>
        </w:rPr>
      </w:pPr>
    </w:p>
    <w:p>
      <w:pPr>
        <w:ind w:left="360" w:right="160" w:firstLine="433"/>
        <w:spacing w:after="0" w:line="268" w:lineRule="auto"/>
        <w:tabs>
          <w:tab w:leader="none" w:pos="101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360" w:right="220" w:firstLine="433"/>
        <w:spacing w:after="0" w:line="268" w:lineRule="auto"/>
        <w:tabs>
          <w:tab w:leader="none" w:pos="1061"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100" w:hanging="307"/>
        <w:spacing w:after="0"/>
        <w:tabs>
          <w:tab w:leader="none" w:pos="110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360" w:right="60" w:firstLine="410"/>
        <w:spacing w:after="0" w:line="305" w:lineRule="auto"/>
        <w:tabs>
          <w:tab w:leader="none" w:pos="1028" w:val="left"/>
        </w:tabs>
        <w:numPr>
          <w:ilvl w:val="1"/>
          <w:numId w:val="116"/>
        </w:numPr>
        <w:rPr>
          <w:rFonts w:ascii="Arial" w:cs="Arial" w:eastAsia="Arial" w:hAnsi="Arial"/>
          <w:sz w:val="15"/>
          <w:szCs w:val="15"/>
          <w:color w:val="auto"/>
        </w:rPr>
      </w:pPr>
      <w:r>
        <w:rPr>
          <w:rFonts w:ascii="Arial" w:cs="Arial" w:eastAsia="Arial" w:hAnsi="Arial"/>
          <w:sz w:val="15"/>
          <w:szCs w:val="15"/>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w:t>
      </w:r>
    </w:p>
    <w:p>
      <w:pPr>
        <w:ind w:left="360" w:right="140" w:hanging="10"/>
        <w:spacing w:after="0" w:line="254" w:lineRule="auto"/>
        <w:tabs>
          <w:tab w:leader="none" w:pos="59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59" w:lineRule="exact"/>
        <w:rPr>
          <w:sz w:val="20"/>
          <w:szCs w:val="20"/>
          <w:color w:val="auto"/>
        </w:rPr>
      </w:pPr>
    </w:p>
    <w:p>
      <w:pPr>
        <w:ind w:left="360" w:right="20" w:firstLine="410"/>
        <w:spacing w:after="0" w:line="259" w:lineRule="auto"/>
        <w:tabs>
          <w:tab w:leader="none" w:pos="10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60" w:firstLine="579"/>
        <w:spacing w:after="0" w:line="291" w:lineRule="auto"/>
        <w:tabs>
          <w:tab w:leader="none" w:pos="81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3 to the Registration Statement on Form N-2 to be signed on its behalf by the undersigned, thereunto duly authorized, in the City of New York, and State of New York, on the 24th day of November 2014.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7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4"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on Form N-2 has been signed by the following persons in the capacities set forth below on the 24th day of November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04"/>
        </w:trPr>
        <w:tc>
          <w:tcPr>
            <w:tcW w:w="5260" w:type="dxa"/>
            <w:vAlign w:val="bottom"/>
            <w:vMerge w:val="restart"/>
          </w:tcPr>
          <w:p>
            <w:pPr>
              <w:ind w:left="1560"/>
              <w:spacing w:after="0"/>
              <w:rPr>
                <w:sz w:val="20"/>
                <w:szCs w:val="20"/>
                <w:color w:val="auto"/>
              </w:rPr>
            </w:pPr>
            <w:r>
              <w:rPr>
                <w:rFonts w:ascii="Arial" w:cs="Arial" w:eastAsia="Arial" w:hAnsi="Arial"/>
                <w:sz w:val="18"/>
                <w:szCs w:val="18"/>
                <w:color w:val="auto"/>
              </w:rPr>
              <w:t>/S/  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 (Principal</w:t>
            </w:r>
          </w:p>
        </w:tc>
        <w:tc>
          <w:tcPr>
            <w:tcW w:w="0" w:type="dxa"/>
            <w:vAlign w:val="bottom"/>
          </w:tcPr>
          <w:p>
            <w:pPr>
              <w:spacing w:after="0"/>
              <w:rPr>
                <w:sz w:val="1"/>
                <w:szCs w:val="1"/>
                <w:color w:val="auto"/>
              </w:rPr>
            </w:pPr>
          </w:p>
        </w:tc>
      </w:tr>
      <w:tr>
        <w:trPr>
          <w:trHeight w:val="92"/>
        </w:trPr>
        <w:tc>
          <w:tcPr>
            <w:tcW w:w="5260" w:type="dxa"/>
            <w:vAlign w:val="bottom"/>
            <w:tcBorders>
              <w:bottom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115"/>
        </w:trPr>
        <w:tc>
          <w:tcPr>
            <w:tcW w:w="5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80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2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52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/S/  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c>
          <w:tcPr>
            <w:tcW w:w="0" w:type="dxa"/>
            <w:vAlign w:val="bottom"/>
          </w:tcPr>
          <w:p>
            <w:pPr>
              <w:spacing w:after="0"/>
              <w:rPr>
                <w:sz w:val="1"/>
                <w:szCs w:val="1"/>
                <w:color w:val="auto"/>
              </w:rPr>
            </w:pPr>
          </w:p>
        </w:tc>
      </w:tr>
      <w:tr>
        <w:trPr>
          <w:trHeight w:val="224"/>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800" w:type="dxa"/>
            <w:vAlign w:val="bottom"/>
          </w:tcPr>
          <w:p>
            <w:pPr>
              <w:spacing w:after="0"/>
              <w:rPr>
                <w:sz w:val="19"/>
                <w:szCs w:val="19"/>
                <w:color w:val="auto"/>
              </w:rPr>
            </w:pPr>
          </w:p>
        </w:tc>
        <w:tc>
          <w:tcPr>
            <w:tcW w:w="5360" w:type="dxa"/>
            <w:vAlign w:val="bottom"/>
          </w:tcPr>
          <w:p>
            <w:pPr>
              <w:jc w:val="center"/>
              <w:spacing w:after="0" w:line="202" w:lineRule="exact"/>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540" w:right="2040" w:hanging="5532"/>
        <w:spacing w:after="0" w:line="440" w:lineRule="auto"/>
        <w:tabs>
          <w:tab w:leader="none" w:pos="2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on December 11, 2013. C-12</w:t>
      </w:r>
    </w:p>
    <w:p>
      <w:pPr>
        <w:sectPr>
          <w:pgSz w:w="11900" w:h="16838" w:orient="portrait"/>
          <w:cols w:equalWidth="0" w:num="1">
            <w:col w:w="11420"/>
          </w:cols>
          <w:pgMar w:left="240" w:top="459"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consent to the use of our audit report dated November 13, 2013 with respect to the consolidated financial statements of PennantPark Investment Corporation and subsidiaries (the “Company”) as of September 30, 2013 and for each of the years in the two-year period ended September 30, 2013, included in the Registration Statement on Form N-2 and to the reference to our firm under the heading “Independent Registered Public Accounting Firm” in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2014</w:t>
      </w:r>
    </w:p>
    <w:p>
      <w:pPr>
        <w:sectPr>
          <w:pgSz w:w="11900" w:h="16838" w:orient="portrait"/>
          <w:cols w:equalWidth="0" w:num="1">
            <w:col w:w="11420"/>
          </w:cols>
          <w:pgMar w:left="240" w:top="12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(n)(2)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40" w:firstLine="571"/>
        <w:spacing w:after="0" w:line="259" w:lineRule="auto"/>
        <w:rPr>
          <w:sz w:val="20"/>
          <w:szCs w:val="20"/>
          <w:color w:val="auto"/>
        </w:rPr>
      </w:pPr>
      <w:r>
        <w:rPr>
          <w:rFonts w:ascii="Arial" w:cs="Arial" w:eastAsia="Arial" w:hAnsi="Arial"/>
          <w:sz w:val="18"/>
          <w:szCs w:val="18"/>
          <w:color w:val="auto"/>
        </w:rPr>
        <w:t>We consent to the use in this Registration Statement (No. 333-192782) on Form N-2 of PennantPark Investment Corporation and Subsidiaries of our reports dated November 12, 2014, relating to our audits of the consolidated financial statements and internal control over financial reporting, appearing in the Prospectus, which is part of this Registration Statement.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1)"/>
      <w:numFmt w:val="decimal"/>
      <w:start w:val="1"/>
    </w:lvl>
  </w:abstractNum>
  <w:abstractNum w:abstractNumId="2">
    <w:nsid w:val="3F6AB60F"/>
    <w:multiLevelType w:val="hybridMultilevel"/>
    <w:lvl w:ilvl="0">
      <w:lvlJc w:val="left"/>
      <w:lvlText w:val="(%1)"/>
      <w:numFmt w:val="decimal"/>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1."/>
      <w:numFmt w:val="decimal"/>
      <w:start w:val="820"/>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1)"/>
      <w:numFmt w:val="decimal"/>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1)"/>
      <w:numFmt w:val="decimal"/>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1)"/>
      <w:numFmt w:val="decimal"/>
      <w:start w:val="5"/>
    </w:lvl>
  </w:abstractNum>
  <w:abstractNum w:abstractNumId="23">
    <w:nsid w:val="42C296BD"/>
    <w:multiLevelType w:val="hybridMultilevel"/>
    <w:lvl w:ilvl="0">
      <w:lvlJc w:val="left"/>
      <w:lvlText w:val="%1."/>
      <w:numFmt w:val="decimal"/>
      <w:start w:val="1"/>
    </w:lvl>
  </w:abstractNum>
  <w:abstractNum w:abstractNumId="24">
    <w:nsid w:val="168E121F"/>
    <w:multiLevelType w:val="hybridMultilevel"/>
    <w:lvl w:ilvl="0">
      <w:lvlJc w:val="left"/>
      <w:lvlText w:val="(%1)"/>
      <w:numFmt w:val="decimal"/>
      <w:start w:val="1"/>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1)"/>
      <w:numFmt w:val="decimal"/>
      <w:start w:val="1"/>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1)"/>
      <w:numFmt w:val="decimal"/>
      <w:start w:val="2"/>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1)"/>
      <w:numFmt w:val="lowerLetter"/>
      <w:start w:val="1"/>
    </w:lvl>
  </w:abstractNum>
  <w:abstractNum w:abstractNumId="33">
    <w:nsid w:val="11447B73"/>
    <w:multiLevelType w:val="hybridMultilevel"/>
    <w:lvl w:ilvl="0">
      <w:lvlJc w:val="left"/>
      <w:lvlText w:val="%1)"/>
      <w:numFmt w:val="lowerLetter"/>
      <w:start w:val="2"/>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1)"/>
      <w:numFmt w:val="lowerLetter"/>
      <w:start w:val="3"/>
    </w:lvl>
  </w:abstractNum>
  <w:abstractNum w:abstractNumId="36">
    <w:nsid w:val="8F2B15E"/>
    <w:multiLevelType w:val="hybridMultilevel"/>
    <w:lvl w:ilvl="0">
      <w:lvlJc w:val="left"/>
      <w:lvlText w:val="%1)"/>
      <w:numFmt w:val="lowerLetter"/>
      <w:start w:val="4"/>
    </w:lvl>
  </w:abstractNum>
  <w:abstractNum w:abstractNumId="37">
    <w:nsid w:val="1A32234B"/>
    <w:multiLevelType w:val="hybridMultilevel"/>
    <w:lvl w:ilvl="0">
      <w:lvlJc w:val="left"/>
      <w:lvlText w:val="%1)"/>
      <w:numFmt w:val="lowerLetter"/>
      <w:start w:val="1"/>
    </w:lvl>
  </w:abstractNum>
  <w:abstractNum w:abstractNumId="38">
    <w:nsid w:val="3B0FD379"/>
    <w:multiLevelType w:val="hybridMultilevel"/>
    <w:lvl w:ilvl="0">
      <w:lvlJc w:val="left"/>
      <w:lvlText w:val="%1)"/>
      <w:numFmt w:val="lowerLetter"/>
      <w:start w:val="2"/>
    </w:lvl>
  </w:abstractNum>
  <w:abstractNum w:abstractNumId="39">
    <w:nsid w:val="68EB2F63"/>
    <w:multiLevelType w:val="hybridMultilevel"/>
    <w:lvl w:ilvl="0">
      <w:lvlJc w:val="left"/>
      <w:lvlText w:val="%1)"/>
      <w:numFmt w:val="lowerLetter"/>
      <w:start w:val="3"/>
    </w:lvl>
  </w:abstractNum>
  <w:abstractNum w:abstractNumId="40">
    <w:nsid w:val="4962813B"/>
    <w:multiLevelType w:val="hybridMultilevel"/>
    <w:lvl w:ilvl="0">
      <w:lvlJc w:val="left"/>
      <w:lvlText w:val="%1)"/>
      <w:numFmt w:val="lowerLetter"/>
      <w:start w:val="4"/>
    </w:lvl>
  </w:abstractNum>
  <w:abstractNum w:abstractNumId="41">
    <w:nsid w:val="60B6DF70"/>
    <w:multiLevelType w:val="hybridMultilevel"/>
    <w:lvl w:ilvl="0">
      <w:lvlJc w:val="left"/>
      <w:lvlText w:val="%1)"/>
      <w:numFmt w:val="lowerLetter"/>
      <w:start w:val="5"/>
    </w:lvl>
  </w:abstractNum>
  <w:abstractNum w:abstractNumId="42">
    <w:nsid w:val="6A5EE64"/>
    <w:multiLevelType w:val="hybridMultilevel"/>
    <w:lvl w:ilvl="0">
      <w:lvlJc w:val="left"/>
      <w:lvlText w:val="%1)"/>
      <w:numFmt w:val="lowerLetter"/>
      <w:start w:val="6"/>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1)"/>
      <w:numFmt w:val="decimal"/>
      <w:start w:val="1"/>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1)"/>
      <w:numFmt w:val="decimal"/>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1)"/>
      <w:numFmt w:val="decimal"/>
    </w:lvl>
    <w:lvl w:ilvl="1">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1)"/>
      <w:numFmt w:val="decimal"/>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1)"/>
      <w:numFmt w:val="lowerLetter"/>
      <w:start w:val="2"/>
    </w:lvl>
  </w:abstractNum>
  <w:abstractNum w:abstractNumId="60">
    <w:nsid w:val="2DF6D648"/>
    <w:multiLevelType w:val="hybridMultilevel"/>
    <w:lvl w:ilvl="0">
      <w:lvlJc w:val="left"/>
      <w:lvlText w:val="(%1)"/>
      <w:numFmt w:val="decimal"/>
      <w:start w:val="3"/>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1)"/>
      <w:numFmt w:val="decimal"/>
      <w:start w:val="2"/>
    </w:lvl>
  </w:abstractNum>
  <w:abstractNum w:abstractNumId="84">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3FA62ACA"/>
    <w:multiLevelType w:val="hybridMultilevel"/>
    <w:lvl w:ilvl="0">
      <w:lvlJc w:val="left"/>
      <w:lvlText w:val="(%1)"/>
      <w:numFmt w:val="decimal"/>
      <w:start w:val="2"/>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
      <w:numFmt w:val="bullet"/>
      <w:start w:val="1"/>
    </w:lvl>
    <w:lvl w:ilvl="1">
      <w:lvlJc w:val="left"/>
      <w:lvlText w:val="%2)"/>
      <w:numFmt w:val="decimal"/>
      <w:start w:val="1"/>
    </w:lvl>
  </w:abstractNum>
  <w:abstractNum w:abstractNumId="90">
    <w:nsid w:val="53299938"/>
    <w:multiLevelType w:val="hybridMultilevel"/>
    <w:lvl w:ilvl="0">
      <w:lvlJc w:val="left"/>
      <w:lvlText w:val="(%1)"/>
      <w:numFmt w:val="decimal"/>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decimal"/>
      <w:start w:val="1"/>
    </w:lvl>
  </w:abstractNum>
  <w:abstractNum w:abstractNumId="94">
    <w:nsid w:val="59ADEA3D"/>
    <w:multiLevelType w:val="hybridMultilevel"/>
    <w:lvl w:ilvl="0">
      <w:lvlJc w:val="left"/>
      <w:lvlText w:val="(%1)"/>
      <w:numFmt w:val="decimal"/>
      <w:start w:val="1"/>
    </w:lvl>
  </w:abstractNum>
  <w:abstractNum w:abstractNumId="95">
    <w:nsid w:val="288F1A34"/>
    <w:multiLevelType w:val="hybridMultilevel"/>
    <w:lvl w:ilvl="0">
      <w:lvlJc w:val="left"/>
      <w:lvlText w:val="(%1)"/>
      <w:numFmt w:val="decimal"/>
      <w:start w:val="1"/>
    </w:lvl>
  </w:abstractNum>
  <w:abstractNum w:abstractNumId="96">
    <w:nsid w:val="2A155DBC"/>
    <w:multiLevelType w:val="hybridMultilevel"/>
    <w:lvl w:ilvl="0">
      <w:lvlJc w:val="left"/>
      <w:lvlText w:val="%1."/>
      <w:numFmt w:val="decimal"/>
      <w:start w:val="1"/>
    </w:lvl>
  </w:abstractNum>
  <w:abstractNum w:abstractNumId="97">
    <w:nsid w:val="1D9F6E5F"/>
    <w:multiLevelType w:val="hybridMultilevel"/>
    <w:lvl w:ilvl="0">
      <w:lvlJc w:val="left"/>
      <w:lvlText w:val="%1."/>
      <w:numFmt w:val="decimal"/>
      <w:start w:val="7"/>
    </w:lvl>
    <w:lvl w:ilvl="1">
      <w:lvlJc w:val="left"/>
      <w:lvlText w:val="*"/>
      <w:numFmt w:val="bullet"/>
      <w:start w:val="1"/>
    </w:lvl>
  </w:abstractNum>
  <w:abstractNum w:abstractNumId="98">
    <w:nsid w:val="97E1B4E"/>
    <w:multiLevelType w:val="hybridMultilevel"/>
    <w:lvl w:ilvl="0">
      <w:lvlJc w:val="left"/>
      <w:lvlText w:val="(%1)"/>
      <w:numFmt w:val="decimal"/>
      <w:start w:val="1"/>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decimal"/>
      <w:start w:val="1"/>
    </w:lvl>
  </w:abstractNum>
  <w:abstractNum w:abstractNumId="101">
    <w:nsid w:val="53584BCB"/>
    <w:multiLevelType w:val="hybridMultilevel"/>
    <w:lvl w:ilvl="0">
      <w:lvlJc w:val="left"/>
      <w:lvlText w:val="1"/>
      <w:numFmt w:val="bullet"/>
      <w:start w:val="1"/>
    </w:lvl>
  </w:abstractNum>
  <w:abstractNum w:abstractNumId="102">
    <w:nsid w:val="415E286C"/>
    <w:multiLevelType w:val="hybridMultilevel"/>
    <w:lvl w:ilvl="0">
      <w:lvlJc w:val="left"/>
      <w:lvlText w:val="2"/>
      <w:numFmt w:val="bullet"/>
      <w:start w:val="1"/>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Letter"/>
      <w:start w:val="5"/>
    </w:lvl>
  </w:abstractNum>
  <w:abstractNum w:abstractNumId="105">
    <w:nsid w:val="45E6D486"/>
    <w:multiLevelType w:val="hybridMultilevel"/>
    <w:lvl w:ilvl="0">
      <w:lvlJc w:val="left"/>
      <w:lvlText w:val="(%1)"/>
      <w:numFmt w:val="lowerLetter"/>
      <w:start w:val="7"/>
    </w:lvl>
  </w:abstractNum>
  <w:abstractNum w:abstractNumId="106">
    <w:nsid w:val="5C10FE21"/>
    <w:multiLevelType w:val="hybridMultilevel"/>
    <w:lvl w:ilvl="0">
      <w:lvlJc w:val="left"/>
      <w:lvlText w:val="(%1)"/>
      <w:numFmt w:val="lowerLetter"/>
      <w:start w:val="10"/>
    </w:lvl>
  </w:abstractNum>
  <w:abstractNum w:abstractNumId="107">
    <w:nsid w:val="E7FFA2B"/>
    <w:multiLevelType w:val="hybridMultilevel"/>
    <w:lvl w:ilvl="0">
      <w:lvlJc w:val="left"/>
      <w:lvlText w:val="2"/>
      <w:numFmt w:val="bullet"/>
      <w:start w:val="1"/>
    </w:lvl>
  </w:abstractNum>
  <w:abstractNum w:abstractNumId="108">
    <w:nsid w:val="3C5991AA"/>
    <w:multiLevelType w:val="hybridMultilevel"/>
    <w:lvl w:ilvl="0">
      <w:lvlJc w:val="left"/>
      <w:lvlText w:val="(%1)"/>
      <w:numFmt w:val="lowerLetter"/>
      <w:start w:val="18"/>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decimal"/>
      <w:start w:val="1"/>
    </w:lvl>
  </w:abstractNum>
  <w:abstractNum w:abstractNumId="112">
    <w:nsid w:val="2B0D8DBE"/>
    <w:multiLevelType w:val="hybridMultilevel"/>
    <w:lvl w:ilvl="0">
      <w:lvlJc w:val="left"/>
      <w:lvlText w:val="(%1)"/>
      <w:numFmt w:val="decimal"/>
      <w:start w:val="1"/>
    </w:lvl>
  </w:abstractNum>
  <w:abstractNum w:abstractNumId="113">
    <w:nsid w:val="6C80EC70"/>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abstractNum>
  <w:abstractNum w:abstractNumId="114">
    <w:nsid w:val="379E21B5"/>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15">
    <w:nsid w:val="69E373"/>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16">
    <w:nsid w:val="2C27173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7">
    <w:nsid w:val="4C9B0904"/>
    <w:multiLevelType w:val="hybridMultilevel"/>
    <w:lvl w:ilvl="0">
      <w:lvlJc w:val="left"/>
      <w:lvlText w:val="%1"/>
      <w:numFmt w:val="decimal"/>
      <w:start w:val="1"/>
    </w:lvl>
    <w:lvl w:ilvl="1">
      <w:lvlJc w:val="left"/>
      <w:lvlText w:val="(%2)"/>
      <w:numFmt w:val="lowerLetter"/>
      <w:start w:val="2"/>
    </w:lvl>
  </w:abstractNum>
  <w:abstractNum w:abstractNumId="118">
    <w:nsid w:val="6AA7B75C"/>
    <w:multiLevelType w:val="hybridMultilevel"/>
    <w:lvl w:ilvl="0">
      <w:lvlJc w:val="left"/>
      <w:lvlText w:val="(%1)"/>
      <w:numFmt w:val="decimal"/>
      <w:start w:val="6"/>
    </w:lvl>
    <w:lvl w:ilvl="1">
      <w:lvlJc w:val="left"/>
      <w:lvlText w:val="%2"/>
      <w:numFmt w:val="lowerLetter"/>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2019-12-07T15:18:56Z</dcterms:created>
  <dcterms:modified xsi:type="dcterms:W3CDTF">2019-12-07T15:18:56Z</dcterms:modified>
</cp:coreProperties>
</file>