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February 02, 2011</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400"/>
        <w:spacing w:after="0" w:line="274" w:lineRule="auto"/>
        <w:rPr>
          <w:sz w:val="20"/>
          <w:szCs w:val="20"/>
          <w:color w:val="auto"/>
        </w:rPr>
      </w:pPr>
      <w:r>
        <w:rPr>
          <w:rFonts w:ascii="Arial" w:cs="Arial" w:eastAsia="Arial" w:hAnsi="Arial"/>
          <w:sz w:val="21"/>
          <w:szCs w:val="21"/>
          <w:color w:val="auto"/>
        </w:rPr>
        <w:t>On February 2, 2011, PennantPark Investment Corporation issued a press release announcing an increase of its second fiscal quarter 2011 distribution. A copy of the press release is furnished as Exhibit 99.1 to this Form 8-K.</w:t>
      </w:r>
    </w:p>
    <w:p>
      <w:pPr>
        <w:spacing w:after="0" w:line="178"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filling under the Securities Exchange Act of 1933, as amended, or the Exchange Act, except as shall be expressly set forth by specific reference in such filing.</w:t>
      </w:r>
    </w:p>
    <w:p>
      <w:pPr>
        <w:spacing w:after="0" w:line="181"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February 02, 2011</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ectPr>
          <w:pgSz w:w="11900" w:h="16874" w:orient="portrait"/>
          <w:cols w:equalWidth="0" w:num="1">
            <w:col w:w="11200"/>
          </w:cols>
          <w:pgMar w:left="320" w:top="828" w:right="379" w:bottom="0" w:gutter="0" w:footer="0" w:header="0"/>
        </w:sectPr>
      </w:pPr>
    </w:p>
    <w:bookmarkStart w:id="1" w:name="page2"/>
    <w:bookmarkEnd w:id="1"/>
    <w:p>
      <w:pPr>
        <w:ind w:right="20" w:firstLine="324"/>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920" w:type="dxa"/>
            <w:vAlign w:val="bottom"/>
          </w:tcPr>
          <w:p>
            <w:pPr>
              <w:spacing w:after="0"/>
              <w:rPr>
                <w:sz w:val="20"/>
                <w:szCs w:val="20"/>
                <w:color w:val="auto"/>
              </w:rPr>
            </w:pPr>
            <w:r>
              <w:rPr>
                <w:rFonts w:ascii="Arial" w:cs="Arial" w:eastAsia="Arial" w:hAnsi="Arial"/>
                <w:sz w:val="22"/>
                <w:szCs w:val="22"/>
                <w:color w:val="auto"/>
              </w:rPr>
              <w:t>Dated: February 02, 2011</w:t>
            </w:r>
          </w:p>
        </w:tc>
        <w:tc>
          <w:tcPr>
            <w:tcW w:w="6520" w:type="dxa"/>
            <w:vAlign w:val="bottom"/>
            <w:gridSpan w:val="3"/>
          </w:tcPr>
          <w:p>
            <w:pPr>
              <w:ind w:left="170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920" w:type="dxa"/>
            <w:vAlign w:val="bottom"/>
          </w:tcPr>
          <w:p>
            <w:pPr>
              <w:spacing w:after="0"/>
              <w:rPr>
                <w:sz w:val="24"/>
                <w:szCs w:val="24"/>
                <w:color w:val="auto"/>
              </w:rPr>
            </w:pPr>
          </w:p>
        </w:tc>
        <w:tc>
          <w:tcPr>
            <w:tcW w:w="6520" w:type="dxa"/>
            <w:vAlign w:val="bottom"/>
            <w:gridSpan w:val="3"/>
          </w:tcPr>
          <w:p>
            <w:pPr>
              <w:ind w:left="1700"/>
              <w:spacing w:after="0"/>
              <w:rPr>
                <w:sz w:val="20"/>
                <w:szCs w:val="20"/>
                <w:color w:val="auto"/>
              </w:rPr>
            </w:pPr>
            <w:r>
              <w:rPr>
                <w:rFonts w:ascii="Arial" w:cs="Arial" w:eastAsia="Arial" w:hAnsi="Arial"/>
                <w:sz w:val="22"/>
                <w:szCs w:val="22"/>
                <w:color w:val="auto"/>
              </w:rPr>
              <w:t>By: /s/ Aviv Efrat</w:t>
            </w:r>
          </w:p>
        </w:tc>
      </w:tr>
      <w:tr>
        <w:trPr>
          <w:trHeight w:val="20"/>
        </w:trPr>
        <w:tc>
          <w:tcPr>
            <w:tcW w:w="3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920" w:type="dxa"/>
            <w:vAlign w:val="bottom"/>
          </w:tcPr>
          <w:p>
            <w:pPr>
              <w:spacing w:after="0"/>
              <w:rPr>
                <w:sz w:val="21"/>
                <w:szCs w:val="21"/>
                <w:color w:val="auto"/>
              </w:rPr>
            </w:pPr>
          </w:p>
        </w:tc>
        <w:tc>
          <w:tcPr>
            <w:tcW w:w="6520" w:type="dxa"/>
            <w:vAlign w:val="bottom"/>
            <w:gridSpan w:val="3"/>
          </w:tcPr>
          <w:p>
            <w:pPr>
              <w:ind w:left="19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920" w:type="dxa"/>
            <w:vAlign w:val="bottom"/>
          </w:tcPr>
          <w:p>
            <w:pPr>
              <w:spacing w:after="0"/>
              <w:rPr>
                <w:sz w:val="23"/>
                <w:szCs w:val="23"/>
                <w:color w:val="auto"/>
              </w:rPr>
            </w:pPr>
          </w:p>
        </w:tc>
        <w:tc>
          <w:tcPr>
            <w:tcW w:w="6520" w:type="dxa"/>
            <w:vAlign w:val="bottom"/>
            <w:gridSpan w:val="3"/>
          </w:tcPr>
          <w:p>
            <w:pPr>
              <w:ind w:left="202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52"/>
              <w:spacing w:after="0"/>
              <w:rPr>
                <w:sz w:val="20"/>
                <w:szCs w:val="20"/>
                <w:color w:val="auto"/>
              </w:rPr>
            </w:pPr>
            <w:r>
              <w:rPr>
                <w:rFonts w:ascii="Arial" w:cs="Arial" w:eastAsia="Arial" w:hAnsi="Arial"/>
                <w:sz w:val="22"/>
                <w:szCs w:val="22"/>
                <w:color w:val="auto"/>
                <w:w w:val="87"/>
              </w:rPr>
              <w:t>February 02, 2011</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8" w:right="559" w:bottom="1440" w:gutter="0" w:footer="0" w:header="0"/>
        </w:sectPr>
      </w:pPr>
    </w:p>
    <w:bookmarkStart w:id="2" w:name="page3"/>
    <w:bookmarkEnd w:id="2"/>
    <w:p>
      <w:pPr>
        <w:spacing w:after="0"/>
        <w:rPr>
          <w:sz w:val="20"/>
          <w:szCs w:val="20"/>
          <w:color w:val="auto"/>
        </w:rPr>
      </w:pPr>
      <w:r>
        <w:rPr>
          <w:rFonts w:ascii="Arial" w:cs="Arial" w:eastAsia="Arial" w:hAnsi="Arial"/>
          <w:sz w:val="21"/>
          <w:szCs w:val="21"/>
          <w:b w:val="1"/>
          <w:bCs w:val="1"/>
          <w:color w:val="auto"/>
        </w:rPr>
        <w:t>PennantPark Investment Corporation Announces an Increase of Its Quarterly Distribution to $0.27 per Share</w:t>
      </w:r>
    </w:p>
    <w:p>
      <w:pPr>
        <w:spacing w:after="0" w:line="224"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NEW YORK, NY -- (Marketwire - February 02, 2011) - PennantPark Investment Corporation (the "Company") (NASDAQ: PNNT) declares an increase of its second fiscal quarter 2011 distribution to $0.27 per share, payable on April 1, 2011 to stockholders of record as of March 15, 2011. Distributions are paid from taxable earnings and may include return of capital. The specific tax characteristics of the distribution will be reported to stockholders on Form 1099 after the end of the calendar year.</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8"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From time to time, the Company may also invest in public companies whose securities are thinly traded. PennantPark Investment Corporation is managed by PennantPark Investment Advisers, LLC.</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8"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rPr>
          <w:sz w:val="20"/>
          <w:szCs w:val="20"/>
          <w:color w:val="auto"/>
        </w:rPr>
      </w:pPr>
      <w:r>
        <w:rPr>
          <w:rFonts w:ascii="Courier New" w:cs="Courier New" w:eastAsia="Courier New" w:hAnsi="Courier New"/>
          <w:sz w:val="18"/>
          <w:szCs w:val="18"/>
          <w:color w:val="auto"/>
        </w:rPr>
        <w:t>Aviv Efrat</w:t>
      </w:r>
    </w:p>
    <w:p>
      <w:pPr>
        <w:spacing w:after="0" w:line="3" w:lineRule="exact"/>
        <w:rPr>
          <w:sz w:val="20"/>
          <w:szCs w:val="20"/>
          <w:color w:val="auto"/>
        </w:rPr>
      </w:pPr>
    </w:p>
    <w:p>
      <w:pPr>
        <w:ind w:right="922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2020-05-05T15:07:06Z</dcterms:created>
  <dcterms:modified xsi:type="dcterms:W3CDTF">2020-05-05T15:07:06Z</dcterms:modified>
</cp:coreProperties>
</file>