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22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-7620</wp:posOffset>
            </wp:positionV>
            <wp:extent cx="905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551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jc w:val="center"/>
              <w:ind w:left="699"/>
              <w:spacing w:after="0"/>
              <w:rPr>
                <w:sz w:val="20"/>
                <w:szCs w:val="20"/>
                <w:color w:val="auto"/>
              </w:rPr>
            </w:pPr>
            <w:r>
              <w:rPr>
                <w:rFonts w:ascii="Arial" w:cs="Arial" w:eastAsia="Arial" w:hAnsi="Arial"/>
                <w:sz w:val="18"/>
                <w:szCs w:val="18"/>
                <w:b w:val="1"/>
                <w:bCs w:val="1"/>
                <w:color w:val="auto"/>
              </w:rPr>
              <w:t>MARYLAND</w:t>
            </w:r>
          </w:p>
        </w:tc>
        <w:tc>
          <w:tcPr>
            <w:tcW w:w="2480" w:type="dxa"/>
            <w:vAlign w:val="bottom"/>
          </w:tcPr>
          <w:p>
            <w:pPr>
              <w:spacing w:after="0"/>
              <w:rPr>
                <w:sz w:val="20"/>
                <w:szCs w:val="20"/>
                <w:color w:val="auto"/>
              </w:rPr>
            </w:pPr>
          </w:p>
        </w:tc>
        <w:tc>
          <w:tcPr>
            <w:tcW w:w="3880" w:type="dxa"/>
            <w:vAlign w:val="bottom"/>
          </w:tcPr>
          <w:p>
            <w:pPr>
              <w:jc w:val="right"/>
              <w:ind w:right="2179"/>
              <w:spacing w:after="0"/>
              <w:rPr>
                <w:sz w:val="20"/>
                <w:szCs w:val="20"/>
                <w:color w:val="auto"/>
              </w:rPr>
            </w:pPr>
            <w:r>
              <w:rPr>
                <w:rFonts w:ascii="Arial" w:cs="Arial" w:eastAsia="Arial" w:hAnsi="Arial"/>
                <w:sz w:val="18"/>
                <w:szCs w:val="18"/>
                <w:b w:val="1"/>
                <w:bCs w:val="1"/>
                <w:color w:val="auto"/>
              </w:rPr>
              <w:t>20-8250744</w:t>
            </w:r>
          </w:p>
        </w:tc>
      </w:tr>
      <w:tr>
        <w:trPr>
          <w:trHeight w:val="190"/>
        </w:trPr>
        <w:tc>
          <w:tcPr>
            <w:tcW w:w="4880" w:type="dxa"/>
            <w:vAlign w:val="bottom"/>
          </w:tcPr>
          <w:p>
            <w:pPr>
              <w:jc w:val="center"/>
              <w:ind w:left="67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480" w:type="dxa"/>
            <w:vAlign w:val="bottom"/>
          </w:tcPr>
          <w:p>
            <w:pPr>
              <w:spacing w:after="0"/>
              <w:rPr>
                <w:sz w:val="16"/>
                <w:szCs w:val="16"/>
                <w:color w:val="auto"/>
              </w:rPr>
            </w:pPr>
          </w:p>
        </w:tc>
        <w:tc>
          <w:tcPr>
            <w:tcW w:w="3880" w:type="dxa"/>
            <w:vAlign w:val="bottom"/>
          </w:tcPr>
          <w:p>
            <w:pPr>
              <w:jc w:val="center"/>
              <w:ind w:right="143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12"/>
        </w:trPr>
        <w:tc>
          <w:tcPr>
            <w:tcW w:w="4880" w:type="dxa"/>
            <w:vAlign w:val="bottom"/>
          </w:tcPr>
          <w:p>
            <w:pPr>
              <w:jc w:val="center"/>
              <w:ind w:left="679"/>
              <w:spacing w:after="0"/>
              <w:rPr>
                <w:sz w:val="20"/>
                <w:szCs w:val="20"/>
                <w:color w:val="auto"/>
              </w:rPr>
            </w:pPr>
            <w:r>
              <w:rPr>
                <w:rFonts w:ascii="Arial" w:cs="Arial" w:eastAsia="Arial" w:hAnsi="Arial"/>
                <w:sz w:val="18"/>
                <w:szCs w:val="18"/>
                <w:b w:val="1"/>
                <w:bCs w:val="1"/>
                <w:color w:val="auto"/>
                <w:w w:val="91"/>
              </w:rPr>
              <w:t>590 Madison Avenue, 15</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24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12"/>
        </w:trPr>
        <w:tc>
          <w:tcPr>
            <w:tcW w:w="4880" w:type="dxa"/>
            <w:vAlign w:val="bottom"/>
          </w:tcPr>
          <w:p>
            <w:pPr>
              <w:jc w:val="center"/>
              <w:ind w:left="679"/>
              <w:spacing w:after="0"/>
              <w:rPr>
                <w:sz w:val="20"/>
                <w:szCs w:val="20"/>
                <w:color w:val="auto"/>
              </w:rPr>
            </w:pPr>
            <w:r>
              <w:rPr>
                <w:rFonts w:ascii="Arial" w:cs="Arial" w:eastAsia="Arial" w:hAnsi="Arial"/>
                <w:sz w:val="18"/>
                <w:szCs w:val="18"/>
                <w:b w:val="1"/>
                <w:bCs w:val="1"/>
                <w:color w:val="auto"/>
                <w:w w:val="94"/>
              </w:rPr>
              <w:t>New York, N.Y.</w:t>
            </w:r>
          </w:p>
        </w:tc>
        <w:tc>
          <w:tcPr>
            <w:tcW w:w="2480" w:type="dxa"/>
            <w:vAlign w:val="bottom"/>
          </w:tcPr>
          <w:p>
            <w:pPr>
              <w:spacing w:after="0"/>
              <w:rPr>
                <w:sz w:val="18"/>
                <w:szCs w:val="18"/>
                <w:color w:val="auto"/>
              </w:rPr>
            </w:pPr>
          </w:p>
        </w:tc>
        <w:tc>
          <w:tcPr>
            <w:tcW w:w="3880" w:type="dxa"/>
            <w:vAlign w:val="bottom"/>
          </w:tcPr>
          <w:p>
            <w:pPr>
              <w:jc w:val="right"/>
              <w:ind w:right="2379"/>
              <w:spacing w:after="0"/>
              <w:rPr>
                <w:sz w:val="20"/>
                <w:szCs w:val="20"/>
                <w:color w:val="auto"/>
              </w:rPr>
            </w:pPr>
            <w:r>
              <w:rPr>
                <w:rFonts w:ascii="Arial" w:cs="Arial" w:eastAsia="Arial" w:hAnsi="Arial"/>
                <w:sz w:val="18"/>
                <w:szCs w:val="18"/>
                <w:b w:val="1"/>
                <w:bCs w:val="1"/>
                <w:color w:val="auto"/>
              </w:rPr>
              <w:t>10022</w:t>
            </w:r>
          </w:p>
        </w:tc>
      </w:tr>
      <w:tr>
        <w:trPr>
          <w:trHeight w:val="186"/>
        </w:trPr>
        <w:tc>
          <w:tcPr>
            <w:tcW w:w="4880" w:type="dxa"/>
            <w:vAlign w:val="bottom"/>
          </w:tcPr>
          <w:p>
            <w:pPr>
              <w:jc w:val="center"/>
              <w:ind w:left="6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80" w:type="dxa"/>
            <w:vAlign w:val="bottom"/>
          </w:tcPr>
          <w:p>
            <w:pPr>
              <w:spacing w:after="0"/>
              <w:rPr>
                <w:sz w:val="16"/>
                <w:szCs w:val="16"/>
                <w:color w:val="auto"/>
              </w:rPr>
            </w:pPr>
          </w:p>
        </w:tc>
        <w:tc>
          <w:tcPr>
            <w:tcW w:w="3880" w:type="dxa"/>
            <w:vAlign w:val="bottom"/>
          </w:tcPr>
          <w:p>
            <w:pPr>
              <w:jc w:val="center"/>
              <w:ind w:right="1419"/>
              <w:spacing w:after="0"/>
              <w:rPr>
                <w:sz w:val="20"/>
                <w:szCs w:val="20"/>
                <w:color w:val="auto"/>
              </w:rPr>
            </w:pPr>
            <w:r>
              <w:rPr>
                <w:rFonts w:ascii="Arial" w:cs="Arial" w:eastAsia="Arial" w:hAnsi="Arial"/>
                <w:sz w:val="14"/>
                <w:szCs w:val="14"/>
                <w:b w:val="1"/>
                <w:bCs w:val="1"/>
                <w:color w:val="auto"/>
                <w:w w:val="95"/>
              </w:rPr>
              <w:t>(Zip Code)</w:t>
            </w:r>
          </w:p>
        </w:tc>
      </w:tr>
      <w:tr>
        <w:trPr>
          <w:trHeight w:val="192"/>
        </w:trPr>
        <w:tc>
          <w:tcPr>
            <w:tcW w:w="4880" w:type="dxa"/>
            <w:vAlign w:val="bottom"/>
          </w:tcPr>
          <w:p>
            <w:pPr>
              <w:spacing w:after="0"/>
              <w:rPr>
                <w:sz w:val="16"/>
                <w:szCs w:val="16"/>
                <w:color w:val="auto"/>
              </w:rPr>
            </w:pPr>
          </w:p>
        </w:tc>
        <w:tc>
          <w:tcPr>
            <w:tcW w:w="2480" w:type="dxa"/>
            <w:vAlign w:val="bottom"/>
          </w:tcPr>
          <w:p>
            <w:pPr>
              <w:jc w:val="right"/>
              <w:ind w:right="1201"/>
              <w:spacing w:after="0"/>
              <w:rPr>
                <w:sz w:val="20"/>
                <w:szCs w:val="20"/>
                <w:color w:val="auto"/>
              </w:rPr>
            </w:pPr>
            <w:r>
              <w:rPr>
                <w:rFonts w:ascii="Arial" w:cs="Arial" w:eastAsia="Arial" w:hAnsi="Arial"/>
                <w:sz w:val="14"/>
                <w:szCs w:val="14"/>
                <w:b w:val="1"/>
                <w:bCs w:val="1"/>
                <w:color w:val="auto"/>
              </w:rPr>
              <w:t>(212) 905-1000</w:t>
            </w:r>
          </w:p>
        </w:tc>
        <w:tc>
          <w:tcPr>
            <w:tcW w:w="3880" w:type="dxa"/>
            <w:vAlign w:val="bottom"/>
          </w:tcPr>
          <w:p>
            <w:pPr>
              <w:spacing w:after="0"/>
              <w:rPr>
                <w:sz w:val="16"/>
                <w:szCs w:val="16"/>
                <w:color w:val="auto"/>
              </w:rPr>
            </w:pPr>
          </w:p>
        </w:tc>
      </w:tr>
      <w:tr>
        <w:trPr>
          <w:trHeight w:val="186"/>
        </w:trPr>
        <w:tc>
          <w:tcPr>
            <w:tcW w:w="7360" w:type="dxa"/>
            <w:vAlign w:val="bottom"/>
            <w:gridSpan w:val="2"/>
          </w:tcPr>
          <w:p>
            <w:pPr>
              <w:jc w:val="center"/>
              <w:ind w:left="379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3880" w:type="dxa"/>
            <w:vAlign w:val="bottom"/>
          </w:tcPr>
          <w:p>
            <w:pPr>
              <w:spacing w:after="0"/>
              <w:rPr>
                <w:sz w:val="16"/>
                <w:szCs w:val="16"/>
                <w:color w:val="auto"/>
              </w:rPr>
            </w:pPr>
          </w:p>
        </w:tc>
      </w:tr>
      <w:tr>
        <w:trPr>
          <w:trHeight w:val="66"/>
        </w:trPr>
        <w:tc>
          <w:tcPr>
            <w:tcW w:w="488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3880" w:type="dxa"/>
            <w:vAlign w:val="bottom"/>
            <w:tcBorders>
              <w:bottom w:val="single" w:sz="8" w:color="auto"/>
            </w:tcBorders>
          </w:tcPr>
          <w:p>
            <w:pPr>
              <w:spacing w:after="0"/>
              <w:rPr>
                <w:sz w:val="5"/>
                <w:szCs w:val="5"/>
                <w:color w:val="auto"/>
              </w:rPr>
            </w:pPr>
          </w:p>
        </w:tc>
      </w:tr>
      <w:tr>
        <w:trPr>
          <w:trHeight w:val="200"/>
        </w:trPr>
        <w:tc>
          <w:tcPr>
            <w:tcW w:w="4880" w:type="dxa"/>
            <w:vAlign w:val="bottom"/>
          </w:tcPr>
          <w:p>
            <w:pPr>
              <w:ind w:left="500"/>
              <w:spacing w:after="0"/>
              <w:rPr>
                <w:sz w:val="20"/>
                <w:szCs w:val="20"/>
                <w:color w:val="auto"/>
              </w:rPr>
            </w:pPr>
            <w:r>
              <w:rPr>
                <w:rFonts w:ascii="Arial" w:cs="Arial" w:eastAsia="Arial" w:hAnsi="Arial"/>
                <w:sz w:val="16"/>
                <w:szCs w:val="16"/>
                <w:color w:val="auto"/>
              </w:rPr>
              <w:t>Securities registered pursuant to Section 12(b) of the Act:</w:t>
            </w:r>
          </w:p>
        </w:tc>
        <w:tc>
          <w:tcPr>
            <w:tcW w:w="248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70"/>
        </w:trPr>
        <w:tc>
          <w:tcPr>
            <w:tcW w:w="4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Title of Each Class</w:t>
            </w:r>
          </w:p>
        </w:tc>
        <w:tc>
          <w:tcPr>
            <w:tcW w:w="2480" w:type="dxa"/>
            <w:vAlign w:val="bottom"/>
          </w:tcPr>
          <w:p>
            <w:pPr>
              <w:jc w:val="center"/>
              <w:ind w:right="721"/>
              <w:spacing w:after="0"/>
              <w:rPr>
                <w:sz w:val="20"/>
                <w:szCs w:val="20"/>
                <w:color w:val="auto"/>
              </w:rPr>
            </w:pPr>
            <w:r>
              <w:rPr>
                <w:rFonts w:ascii="Arial" w:cs="Arial" w:eastAsia="Arial" w:hAnsi="Arial"/>
                <w:sz w:val="16"/>
                <w:szCs w:val="16"/>
                <w:b w:val="1"/>
                <w:bCs w:val="1"/>
                <w:color w:val="auto"/>
                <w:w w:val="91"/>
              </w:rPr>
              <w:t>Trading Symbol(s)</w:t>
            </w:r>
          </w:p>
        </w:tc>
        <w:tc>
          <w:tcPr>
            <w:tcW w:w="3880" w:type="dxa"/>
            <w:vAlign w:val="bottom"/>
          </w:tcPr>
          <w:p>
            <w:pPr>
              <w:jc w:val="center"/>
              <w:ind w:right="51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3"/>
        </w:trPr>
        <w:tc>
          <w:tcPr>
            <w:tcW w:w="4880" w:type="dxa"/>
            <w:vAlign w:val="bottom"/>
          </w:tcPr>
          <w:p>
            <w:pPr>
              <w:jc w:val="center"/>
              <w:ind w:right="119"/>
              <w:spacing w:after="0"/>
              <w:rPr>
                <w:sz w:val="20"/>
                <w:szCs w:val="20"/>
                <w:color w:val="auto"/>
              </w:rPr>
            </w:pPr>
            <w:r>
              <w:rPr>
                <w:rFonts w:ascii="Arial" w:cs="Arial" w:eastAsia="Arial" w:hAnsi="Arial"/>
                <w:sz w:val="16"/>
                <w:szCs w:val="16"/>
                <w:color w:val="auto"/>
                <w:w w:val="90"/>
              </w:rPr>
              <w:t>Common Stock, par value $0.001 per share</w:t>
            </w:r>
          </w:p>
        </w:tc>
        <w:tc>
          <w:tcPr>
            <w:tcW w:w="2480" w:type="dxa"/>
            <w:vAlign w:val="bottom"/>
          </w:tcPr>
          <w:p>
            <w:pPr>
              <w:jc w:val="center"/>
              <w:ind w:right="721"/>
              <w:spacing w:after="0"/>
              <w:rPr>
                <w:sz w:val="20"/>
                <w:szCs w:val="20"/>
                <w:color w:val="auto"/>
              </w:rPr>
            </w:pPr>
            <w:r>
              <w:rPr>
                <w:rFonts w:ascii="Arial" w:cs="Arial" w:eastAsia="Arial" w:hAnsi="Arial"/>
                <w:sz w:val="16"/>
                <w:szCs w:val="16"/>
                <w:color w:val="auto"/>
              </w:rPr>
              <w:t>PNNT</w:t>
            </w:r>
          </w:p>
        </w:tc>
        <w:tc>
          <w:tcPr>
            <w:tcW w:w="3880" w:type="dxa"/>
            <w:vAlign w:val="bottom"/>
          </w:tcPr>
          <w:p>
            <w:pPr>
              <w:jc w:val="center"/>
              <w:ind w:right="519"/>
              <w:spacing w:after="0"/>
              <w:rPr>
                <w:sz w:val="20"/>
                <w:szCs w:val="20"/>
                <w:color w:val="auto"/>
              </w:rPr>
            </w:pPr>
            <w:r>
              <w:rPr>
                <w:rFonts w:ascii="Arial" w:cs="Arial" w:eastAsia="Arial" w:hAnsi="Arial"/>
                <w:sz w:val="16"/>
                <w:szCs w:val="16"/>
                <w:color w:val="auto"/>
                <w:w w:val="93"/>
              </w:rPr>
              <w:t>The Nasdaq Stock Market LLC</w:t>
            </w:r>
          </w:p>
        </w:tc>
      </w:tr>
      <w:tr>
        <w:trPr>
          <w:trHeight w:val="206"/>
        </w:trPr>
        <w:tc>
          <w:tcPr>
            <w:tcW w:w="4880" w:type="dxa"/>
            <w:vAlign w:val="bottom"/>
          </w:tcPr>
          <w:p>
            <w:pPr>
              <w:jc w:val="center"/>
              <w:ind w:right="119"/>
              <w:spacing w:after="0"/>
              <w:rPr>
                <w:sz w:val="20"/>
                <w:szCs w:val="20"/>
                <w:color w:val="auto"/>
              </w:rPr>
            </w:pPr>
            <w:r>
              <w:rPr>
                <w:rFonts w:ascii="Arial" w:cs="Arial" w:eastAsia="Arial" w:hAnsi="Arial"/>
                <w:sz w:val="16"/>
                <w:szCs w:val="16"/>
                <w:color w:val="auto"/>
                <w:w w:val="90"/>
              </w:rPr>
              <w:t>5.50% Notes due 2024</w:t>
            </w:r>
          </w:p>
        </w:tc>
        <w:tc>
          <w:tcPr>
            <w:tcW w:w="2480" w:type="dxa"/>
            <w:vAlign w:val="bottom"/>
          </w:tcPr>
          <w:p>
            <w:pPr>
              <w:jc w:val="center"/>
              <w:ind w:right="741"/>
              <w:spacing w:after="0"/>
              <w:rPr>
                <w:sz w:val="20"/>
                <w:szCs w:val="20"/>
                <w:color w:val="auto"/>
              </w:rPr>
            </w:pPr>
            <w:r>
              <w:rPr>
                <w:rFonts w:ascii="Arial" w:cs="Arial" w:eastAsia="Arial" w:hAnsi="Arial"/>
                <w:sz w:val="16"/>
                <w:szCs w:val="16"/>
                <w:color w:val="auto"/>
                <w:w w:val="96"/>
              </w:rPr>
              <w:t>PNNTG</w:t>
            </w:r>
          </w:p>
        </w:tc>
        <w:tc>
          <w:tcPr>
            <w:tcW w:w="3880" w:type="dxa"/>
            <w:vAlign w:val="bottom"/>
          </w:tcPr>
          <w:p>
            <w:pPr>
              <w:jc w:val="center"/>
              <w:ind w:right="519"/>
              <w:spacing w:after="0"/>
              <w:rPr>
                <w:sz w:val="20"/>
                <w:szCs w:val="20"/>
                <w:color w:val="auto"/>
              </w:rPr>
            </w:pPr>
            <w:r>
              <w:rPr>
                <w:rFonts w:ascii="Arial" w:cs="Arial" w:eastAsia="Arial" w:hAnsi="Arial"/>
                <w:sz w:val="16"/>
                <w:szCs w:val="16"/>
                <w:color w:val="auto"/>
                <w:w w:val="93"/>
              </w:rPr>
              <w:t>The Nasdaq Stock Market LLC</w:t>
            </w:r>
          </w:p>
        </w:tc>
      </w:tr>
    </w:tbl>
    <w:p>
      <w:pPr>
        <w:spacing w:after="0" w:line="158" w:lineRule="exact"/>
        <w:rPr>
          <w:sz w:val="24"/>
          <w:szCs w:val="24"/>
          <w:color w:val="auto"/>
        </w:rPr>
      </w:pPr>
    </w:p>
    <w:p>
      <w:pPr>
        <w:ind w:right="180" w:firstLine="496"/>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firstLine="496"/>
        <w:spacing w:after="0" w:line="32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w:t>
      </w:r>
    </w:p>
    <w:p>
      <w:pPr>
        <w:spacing w:after="0" w:line="1" w:lineRule="exact"/>
        <w:rPr>
          <w:sz w:val="24"/>
          <w:szCs w:val="24"/>
          <w:color w:val="auto"/>
        </w:rPr>
      </w:pPr>
    </w:p>
    <w:p>
      <w:pPr>
        <w:jc w:val="both"/>
        <w:ind w:right="260" w:firstLine="496"/>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59" w:lineRule="exact"/>
        <w:rPr>
          <w:sz w:val="24"/>
          <w:szCs w:val="24"/>
          <w:color w:val="auto"/>
        </w:rPr>
      </w:pPr>
    </w:p>
    <w:p>
      <w:pPr>
        <w:jc w:val="both"/>
        <w:ind w:right="80" w:firstLine="496"/>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00" w:right="192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of the registrant’s common stock, $0.001 par value per share, outstanding as of February 6, 2020 was 67,045,105.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ind w:left="460"/>
        <w:spacing w:after="0"/>
        <w:rPr>
          <w:sz w:val="20"/>
          <w:szCs w:val="20"/>
          <w:color w:val="auto"/>
        </w:rPr>
      </w:pPr>
      <w:r>
        <w:rPr>
          <w:rFonts w:ascii="Arial" w:cs="Arial" w:eastAsia="Arial" w:hAnsi="Arial"/>
          <w:sz w:val="14"/>
          <w:szCs w:val="14"/>
          <w:b w:val="1"/>
          <w:bCs w:val="1"/>
          <w:color w:val="auto"/>
        </w:rPr>
        <w:t>PENNANTPARK INVESTMENT CORPORATION</w:t>
      </w:r>
    </w:p>
    <w:p>
      <w:pPr>
        <w:jc w:val="center"/>
        <w:ind w:left="460"/>
        <w:spacing w:after="0" w:line="226" w:lineRule="auto"/>
        <w:rPr>
          <w:sz w:val="20"/>
          <w:szCs w:val="20"/>
          <w:color w:val="auto"/>
        </w:rPr>
      </w:pPr>
      <w:r>
        <w:rPr>
          <w:rFonts w:ascii="Arial" w:cs="Arial" w:eastAsia="Arial" w:hAnsi="Arial"/>
          <w:sz w:val="14"/>
          <w:szCs w:val="14"/>
          <w:b w:val="1"/>
          <w:bCs w:val="1"/>
          <w:color w:val="auto"/>
        </w:rPr>
        <w:t>FORM 10-Q FOR THE QUARTER ENDED DECEMBER 31, 2019</w:t>
      </w:r>
    </w:p>
    <w:p>
      <w:pPr>
        <w:jc w:val="center"/>
        <w:ind w:left="46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0" w:type="dxa"/>
            <w:vAlign w:val="bottom"/>
          </w:tcPr>
          <w:p>
            <w:pPr>
              <w:ind w:left="35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60" w:type="dxa"/>
            <w:vAlign w:val="bottom"/>
          </w:tcPr>
          <w:p>
            <w:pPr>
              <w:spacing w:after="0"/>
              <w:rPr>
                <w:sz w:val="16"/>
                <w:szCs w:val="16"/>
                <w:color w:val="auto"/>
              </w:rPr>
            </w:pPr>
          </w:p>
        </w:tc>
      </w:tr>
      <w:tr>
        <w:trPr>
          <w:trHeight w:val="459"/>
        </w:trPr>
        <w:tc>
          <w:tcPr>
            <w:tcW w:w="92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60" w:type="dxa"/>
            <w:vAlign w:val="bottom"/>
          </w:tcPr>
          <w:p>
            <w:pPr>
              <w:spacing w:after="0"/>
              <w:rPr>
                <w:sz w:val="24"/>
                <w:szCs w:val="24"/>
                <w:color w:val="auto"/>
              </w:rPr>
            </w:pPr>
          </w:p>
        </w:tc>
      </w:tr>
      <w:tr>
        <w:trPr>
          <w:trHeight w:val="418"/>
        </w:trPr>
        <w:tc>
          <w:tcPr>
            <w:tcW w:w="9200" w:type="dxa"/>
            <w:vAlign w:val="bottom"/>
          </w:tcPr>
          <w:p>
            <w:pPr>
              <w:ind w:left="36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December 31, 2019 (unaudited) and September 30, 2019</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418"/>
        </w:trPr>
        <w:tc>
          <w:tcPr>
            <w:tcW w:w="9200" w:type="dxa"/>
            <w:vAlign w:val="bottom"/>
          </w:tcPr>
          <w:p>
            <w:pPr>
              <w:ind w:left="36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months ended December 31, 2019 and 2018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418"/>
        </w:trPr>
        <w:tc>
          <w:tcPr>
            <w:tcW w:w="9200" w:type="dxa"/>
            <w:vAlign w:val="bottom"/>
          </w:tcPr>
          <w:p>
            <w:pPr>
              <w:ind w:left="36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months ended December 31, 2019 and 2018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418"/>
        </w:trPr>
        <w:tc>
          <w:tcPr>
            <w:tcW w:w="9200" w:type="dxa"/>
            <w:vAlign w:val="bottom"/>
          </w:tcPr>
          <w:p>
            <w:pPr>
              <w:ind w:left="36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three months ended December 31, 2019 and 2018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500"/>
        </w:trPr>
        <w:tc>
          <w:tcPr>
            <w:tcW w:w="9200" w:type="dxa"/>
            <w:vAlign w:val="bottom"/>
          </w:tcPr>
          <w:p>
            <w:pPr>
              <w:ind w:left="36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December 31, 2019 (unaudited) and September 30, 2019</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418"/>
        </w:trPr>
        <w:tc>
          <w:tcPr>
            <w:tcW w:w="9200" w:type="dxa"/>
            <w:vAlign w:val="bottom"/>
          </w:tcPr>
          <w:p>
            <w:pPr>
              <w:ind w:left="36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418"/>
        </w:trPr>
        <w:tc>
          <w:tcPr>
            <w:tcW w:w="9200" w:type="dxa"/>
            <w:vAlign w:val="bottom"/>
          </w:tcPr>
          <w:p>
            <w:pPr>
              <w:ind w:left="360"/>
              <w:spacing w:after="0"/>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Report of Independent Registered Public Accounting Firm</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418"/>
        </w:trPr>
        <w:tc>
          <w:tcPr>
            <w:tcW w:w="9200" w:type="dxa"/>
            <w:vAlign w:val="bottom"/>
          </w:tcPr>
          <w:p>
            <w:pPr>
              <w:spacing w:after="0"/>
              <w:rPr>
                <w:rFonts w:ascii="Arial" w:cs="Arial" w:eastAsia="Arial" w:hAnsi="Arial"/>
                <w:sz w:val="14"/>
                <w:szCs w:val="14"/>
                <w:b w:val="1"/>
                <w:bCs w:val="1"/>
                <w:u w:val="single" w:color="auto"/>
                <w:color w:val="0000EE"/>
              </w:rPr>
            </w:pPr>
            <w:hyperlink w:anchor="page26">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418"/>
        </w:trPr>
        <w:tc>
          <w:tcPr>
            <w:tcW w:w="92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3. Quantitative and Qualitative Disclosures About Market Risk</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418"/>
        </w:trPr>
        <w:tc>
          <w:tcPr>
            <w:tcW w:w="92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4. Controls and Procedures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459"/>
        </w:trPr>
        <w:tc>
          <w:tcPr>
            <w:tcW w:w="9200" w:type="dxa"/>
            <w:vAlign w:val="bottom"/>
          </w:tcPr>
          <w:p>
            <w:pPr>
              <w:ind w:left="4240"/>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PART II. OTHER INFORMATION</w:t>
              </w:r>
            </w:hyperlink>
          </w:p>
        </w:tc>
        <w:tc>
          <w:tcPr>
            <w:tcW w:w="2060" w:type="dxa"/>
            <w:vAlign w:val="bottom"/>
          </w:tcPr>
          <w:p>
            <w:pPr>
              <w:spacing w:after="0"/>
              <w:rPr>
                <w:sz w:val="24"/>
                <w:szCs w:val="24"/>
                <w:color w:val="auto"/>
              </w:rPr>
            </w:pPr>
          </w:p>
        </w:tc>
      </w:tr>
      <w:tr>
        <w:trPr>
          <w:trHeight w:val="419"/>
        </w:trPr>
        <w:tc>
          <w:tcPr>
            <w:tcW w:w="92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1. Legal Proceedings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418"/>
        </w:trPr>
        <w:tc>
          <w:tcPr>
            <w:tcW w:w="92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1A. Risk Factors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418"/>
        </w:trPr>
        <w:tc>
          <w:tcPr>
            <w:tcW w:w="92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2. 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419"/>
        </w:trPr>
        <w:tc>
          <w:tcPr>
            <w:tcW w:w="92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3. Defaults Upon Senior Securities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418"/>
        </w:trPr>
        <w:tc>
          <w:tcPr>
            <w:tcW w:w="92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4. Mine Safety Disclosures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418"/>
        </w:trPr>
        <w:tc>
          <w:tcPr>
            <w:tcW w:w="92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5. Other Information</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419"/>
        </w:trPr>
        <w:tc>
          <w:tcPr>
            <w:tcW w:w="920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6. Exhibits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418"/>
        </w:trPr>
        <w:tc>
          <w:tcPr>
            <w:tcW w:w="9200" w:type="dxa"/>
            <w:vAlign w:val="bottom"/>
          </w:tcPr>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SIGNATURES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743"/>
        </w:trPr>
        <w:tc>
          <w:tcPr>
            <w:tcW w:w="9200" w:type="dxa"/>
            <w:vAlign w:val="bottom"/>
          </w:tcPr>
          <w:p>
            <w:pPr>
              <w:ind w:left="5580"/>
              <w:spacing w:after="0"/>
              <w:rPr>
                <w:sz w:val="20"/>
                <w:szCs w:val="20"/>
                <w:color w:val="auto"/>
              </w:rPr>
            </w:pPr>
            <w:r>
              <w:rPr>
                <w:rFonts w:ascii="Arial" w:cs="Arial" w:eastAsia="Arial" w:hAnsi="Arial"/>
                <w:sz w:val="14"/>
                <w:szCs w:val="14"/>
                <w:color w:val="auto"/>
              </w:rPr>
              <w:t>2</w:t>
            </w:r>
          </w:p>
        </w:tc>
        <w:tc>
          <w:tcPr>
            <w:tcW w:w="2060" w:type="dxa"/>
            <w:vAlign w:val="bottom"/>
          </w:tcPr>
          <w:p>
            <w:pPr>
              <w:spacing w:after="0"/>
              <w:rPr>
                <w:sz w:val="24"/>
                <w:szCs w:val="24"/>
                <w:color w:val="auto"/>
              </w:rPr>
            </w:pPr>
          </w:p>
        </w:tc>
      </w:tr>
      <w:tr>
        <w:trPr>
          <w:trHeight w:val="100"/>
        </w:trPr>
        <w:tc>
          <w:tcPr>
            <w:tcW w:w="920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00" w:lineRule="exact"/>
        <w:rPr>
          <w:sz w:val="20"/>
          <w:szCs w:val="20"/>
          <w:color w:val="auto"/>
        </w:rPr>
      </w:pPr>
    </w:p>
    <w:p>
      <w:pPr>
        <w:spacing w:after="0" w:line="251" w:lineRule="exact"/>
        <w:rPr>
          <w:sz w:val="20"/>
          <w:szCs w:val="20"/>
          <w:color w:val="auto"/>
        </w:rPr>
      </w:pPr>
    </w:p>
    <w:p>
      <w:pPr>
        <w:ind w:firstLine="438"/>
        <w:spacing w:after="0" w:line="225" w:lineRule="auto"/>
        <w:rPr>
          <w:sz w:val="20"/>
          <w:szCs w:val="20"/>
          <w:color w:val="auto"/>
        </w:rPr>
      </w:pPr>
      <w:r>
        <w:rPr>
          <w:rFonts w:ascii="Arial" w:cs="Arial" w:eastAsia="Arial" w:hAnsi="Arial"/>
          <w:sz w:val="14"/>
          <w:szCs w:val="14"/>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 to PennantPark Investment Corporation and its consolidated subsidiaries; “PennantPark Investment” refers to only PennantPark Investment Corporation; “our SBIC Fund” refers collectively to our consolidated subsidiaries, PennantPark SBIC II LP, or SBIC II, and its general partner, PennantPark SBIC GP II, LLC; “Funding I” refers to PennantPark Investment Funding I, LLC; “Taxable Subsidiaries” refers to PNNT Cascade Environmental Holdings, LLC, PNNT CI (Galls) Prime Investment Holdings, LLC, PNNT ecoserve, LLC, PNNT Investment Holdings, LLC and PNNT New Gulf Resources,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“Truist Credit Facility” refers to our multi-currency, senior secured revolving credit facility with Truist Bank (formerly SunTrust Bank), as amended and restated; “Credit Facilities” refers to the BNP Credit Facility and Truist Credit Facility collectively; “2019 Notes” refers to our 4.50% notes due 2019, which we redeemed in March 2019; “2024 Notes” refers to our 5.50% Notes due 2024;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SBIC II and other consolidated subsidiaries.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December 31, 2019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2019</w:t>
            </w:r>
          </w:p>
        </w:tc>
        <w:tc>
          <w:tcPr>
            <w:tcW w:w="0" w:type="dxa"/>
            <w:vAlign w:val="bottom"/>
          </w:tcPr>
          <w:p>
            <w:pPr>
              <w:spacing w:after="0"/>
              <w:rPr>
                <w:sz w:val="1"/>
                <w:szCs w:val="1"/>
                <w:color w:val="auto"/>
              </w:rPr>
            </w:pPr>
          </w:p>
        </w:tc>
      </w:tr>
      <w:tr>
        <w:trPr>
          <w:trHeight w:val="171"/>
        </w:trPr>
        <w:tc>
          <w:tcPr>
            <w:tcW w:w="7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CFF"/>
          </w:tcPr>
          <w:p>
            <w:pPr>
              <w:spacing w:after="0"/>
              <w:rPr>
                <w:sz w:val="13"/>
                <w:szCs w:val="13"/>
                <w:color w:val="auto"/>
              </w:rPr>
            </w:pPr>
          </w:p>
        </w:tc>
        <w:tc>
          <w:tcPr>
            <w:tcW w:w="138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(cost—$1,042,324,490 and $922,304,099, respectively)</w:t>
            </w:r>
          </w:p>
        </w:tc>
        <w:tc>
          <w:tcPr>
            <w:tcW w:w="120" w:type="dxa"/>
            <w:vAlign w:val="bottom"/>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1,073,644,309</w:t>
            </w:r>
          </w:p>
        </w:tc>
        <w:tc>
          <w:tcPr>
            <w:tcW w:w="280" w:type="dxa"/>
            <w:vAlign w:val="bottom"/>
            <w:shd w:val="clear" w:color="auto" w:fill="CCECFF"/>
          </w:tcPr>
          <w:p>
            <w:pPr>
              <w:spacing w:after="0"/>
              <w:rPr>
                <w:sz w:val="14"/>
                <w:szCs w:val="14"/>
                <w:color w:val="auto"/>
              </w:rPr>
            </w:pPr>
          </w:p>
        </w:tc>
        <w:tc>
          <w:tcPr>
            <w:tcW w:w="1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936,632,099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60"/>
              <w:spacing w:after="0"/>
              <w:rPr>
                <w:sz w:val="20"/>
                <w:szCs w:val="20"/>
                <w:color w:val="auto"/>
              </w:rPr>
            </w:pPr>
            <w:r>
              <w:rPr>
                <w:rFonts w:ascii="Arial" w:cs="Arial" w:eastAsia="Arial" w:hAnsi="Arial"/>
                <w:sz w:val="14"/>
                <w:szCs w:val="14"/>
                <w:color w:val="auto"/>
              </w:rPr>
              <w:t>Non-controlled, affiliated investments (cost—$77,600,816 and $77,600,816, respectively)</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48,994,005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49,349,338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(cost—$272,955,525 and $257,117,800, respectively)</w:t>
            </w:r>
          </w:p>
        </w:tc>
        <w:tc>
          <w:tcPr>
            <w:tcW w:w="120" w:type="dxa"/>
            <w:vAlign w:val="bottom"/>
            <w:tcBorders>
              <w:bottom w:val="single" w:sz="8" w:color="auto"/>
            </w:tcBorders>
            <w:shd w:val="clear" w:color="auto" w:fill="CCECFF"/>
          </w:tcPr>
          <w:p>
            <w:pPr>
              <w:spacing w:after="0"/>
              <w:rPr>
                <w:sz w:val="14"/>
                <w:szCs w:val="14"/>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256,214,645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233,451,359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tcPr>
          <w:p>
            <w:pPr>
              <w:ind w:left="260"/>
              <w:spacing w:after="0" w:line="155" w:lineRule="exact"/>
              <w:rPr>
                <w:sz w:val="20"/>
                <w:szCs w:val="20"/>
                <w:color w:val="auto"/>
              </w:rPr>
            </w:pPr>
            <w:r>
              <w:rPr>
                <w:rFonts w:ascii="Arial" w:cs="Arial" w:eastAsia="Arial" w:hAnsi="Arial"/>
                <w:sz w:val="14"/>
                <w:szCs w:val="14"/>
                <w:color w:val="auto"/>
              </w:rPr>
              <w:t>Total of investments (cost—$1,392,880,831 and $1,257,022,715, respectively)</w:t>
            </w:r>
          </w:p>
        </w:tc>
        <w:tc>
          <w:tcPr>
            <w:tcW w:w="12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1,378,852,959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1,219,432,796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Cash and cash equivalents (cost—$32,075,367 and $59,546,438, respectively)</w:t>
            </w: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32,107,649</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59,516,236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Interest receivable</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6,055,204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6,226,539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tcBorders>
              <w:bottom w:val="single" w:sz="8" w:color="auto"/>
            </w:tcBorders>
            <w:shd w:val="clear" w:color="auto" w:fill="CCECFF"/>
          </w:tcPr>
          <w:p>
            <w:pPr>
              <w:spacing w:after="0"/>
              <w:rPr>
                <w:sz w:val="14"/>
                <w:szCs w:val="14"/>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1,034,351</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662,442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1,418,050,163</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1,285,838,013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CFF"/>
          </w:tcPr>
          <w:p>
            <w:pPr>
              <w:spacing w:after="0"/>
              <w:rPr>
                <w:sz w:val="13"/>
                <w:szCs w:val="13"/>
                <w:color w:val="auto"/>
              </w:rPr>
            </w:pPr>
          </w:p>
        </w:tc>
        <w:tc>
          <w:tcPr>
            <w:tcW w:w="13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Distributions payable</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12,068,119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12,068,119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62,528,206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BNP Credit Facility payable, at fair value (cost—$203,500,000 and $171,000,000, respectively) (See Notes 5 and 10)</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202,584,250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170,145,000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Truist Credit Facility payable, at fair value (cost—$330,636,000 and $301,636,000, respectively) (See Notes 5 and 10)</w:t>
            </w: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326,877,285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295,245,214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2024 Notes payable, net (par—$86,250,000 and $75,000,000, respectively) (See Notes 5 and 10)</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83,338,434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72,256,607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SBA debentures payable, net (par—$133,500,000 and $150,000,000, respectively) (See Notes 5 and 10)</w:t>
            </w: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130,187,808</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146,111,055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Base management fee payable, net (See Note 3)</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4,742,430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4,641,480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Performance-based incentive fee payable, net (See Note 3)</w:t>
            </w: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744,626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Interest payable on debt</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5,287,890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2,895,695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120" w:type="dxa"/>
            <w:vAlign w:val="bottom"/>
            <w:tcBorders>
              <w:bottom w:val="single" w:sz="8" w:color="auto"/>
            </w:tcBorders>
            <w:shd w:val="clear" w:color="auto" w:fill="CCECFF"/>
          </w:tcPr>
          <w:p>
            <w:pPr>
              <w:spacing w:after="0"/>
              <w:rPr>
                <w:sz w:val="14"/>
                <w:szCs w:val="14"/>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651,056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569,175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829,010,104</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703,932,345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120" w:type="dxa"/>
            <w:vAlign w:val="bottom"/>
            <w:shd w:val="clear" w:color="auto" w:fill="CCECFF"/>
          </w:tcPr>
          <w:p>
            <w:pPr>
              <w:spacing w:after="0"/>
              <w:rPr>
                <w:sz w:val="13"/>
                <w:szCs w:val="13"/>
                <w:color w:val="auto"/>
              </w:rPr>
            </w:pPr>
          </w:p>
        </w:tc>
        <w:tc>
          <w:tcPr>
            <w:tcW w:w="13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b w:val="1"/>
                <w:bCs w:val="1"/>
                <w:color w:val="auto"/>
              </w:rPr>
              <w:t>Net assets</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2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Common stock, 67,045,105 and 67,045,105 shares issued and outstanding, respectively</w:t>
            </w:r>
          </w:p>
        </w:tc>
        <w:tc>
          <w:tcPr>
            <w:tcW w:w="120" w:type="dxa"/>
            <w:vAlign w:val="bottom"/>
            <w:shd w:val="clear" w:color="auto" w:fill="CCECFF"/>
          </w:tcPr>
          <w:p>
            <w:pPr>
              <w:spacing w:after="0"/>
              <w:rPr>
                <w:sz w:val="12"/>
                <w:szCs w:val="12"/>
                <w:color w:val="auto"/>
              </w:rPr>
            </w:pPr>
          </w:p>
        </w:tc>
        <w:tc>
          <w:tcPr>
            <w:tcW w:w="13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67,045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67,045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Paid-in capital in excess of par value</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788,192,159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788,192,159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Accumulated distributable net loss</w:t>
            </w:r>
          </w:p>
        </w:tc>
        <w:tc>
          <w:tcPr>
            <w:tcW w:w="120" w:type="dxa"/>
            <w:vAlign w:val="bottom"/>
            <w:shd w:val="clear" w:color="auto" w:fill="CCECFF"/>
          </w:tcPr>
          <w:p>
            <w:pPr>
              <w:spacing w:after="0"/>
              <w:rPr>
                <w:sz w:val="14"/>
                <w:szCs w:val="14"/>
                <w:color w:val="auto"/>
              </w:rPr>
            </w:pPr>
          </w:p>
        </w:tc>
        <w:tc>
          <w:tcPr>
            <w:tcW w:w="16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(199,219,145)</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(206,353,536)</w:t>
            </w:r>
          </w:p>
        </w:tc>
        <w:tc>
          <w:tcPr>
            <w:tcW w:w="0" w:type="dxa"/>
            <w:vAlign w:val="bottom"/>
          </w:tcPr>
          <w:p>
            <w:pPr>
              <w:spacing w:after="0"/>
              <w:rPr>
                <w:sz w:val="1"/>
                <w:szCs w:val="1"/>
                <w:color w:val="auto"/>
              </w:rPr>
            </w:pPr>
          </w:p>
        </w:tc>
      </w:tr>
      <w:tr>
        <w:trPr>
          <w:trHeight w:val="155"/>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net assets</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589,040,059</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581,905,668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tcBorders>
              <w:bottom w:val="single" w:sz="8" w:color="CCECFF"/>
            </w:tcBorders>
            <w:shd w:val="clear" w:color="auto" w:fill="CCECFF"/>
          </w:tcPr>
          <w:p>
            <w:pPr>
              <w:ind w:left="100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1,418,050,163</w:t>
            </w:r>
          </w:p>
        </w:tc>
        <w:tc>
          <w:tcPr>
            <w:tcW w:w="28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1,285,838,013</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20" w:type="dxa"/>
            <w:vAlign w:val="bottom"/>
            <w:vMerge w:val="continue"/>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8.79</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Three Months Ended December 31,</w:t>
            </w:r>
          </w:p>
        </w:tc>
        <w:tc>
          <w:tcPr>
            <w:tcW w:w="0" w:type="dxa"/>
            <w:vAlign w:val="bottom"/>
          </w:tcPr>
          <w:p>
            <w:pPr>
              <w:spacing w:after="0"/>
              <w:rPr>
                <w:sz w:val="1"/>
                <w:szCs w:val="1"/>
                <w:color w:val="auto"/>
              </w:rPr>
            </w:pPr>
          </w:p>
        </w:tc>
      </w:tr>
      <w:tr>
        <w:trPr>
          <w:trHeight w:val="156"/>
        </w:trPr>
        <w:tc>
          <w:tcPr>
            <w:tcW w:w="818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CFF"/>
            </w:tcBorders>
          </w:tcPr>
          <w:p>
            <w:pPr>
              <w:spacing w:after="0"/>
              <w:rPr>
                <w:sz w:val="13"/>
                <w:szCs w:val="13"/>
                <w:color w:val="auto"/>
              </w:rPr>
            </w:pPr>
          </w:p>
        </w:tc>
        <w:tc>
          <w:tcPr>
            <w:tcW w:w="2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4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20,384,914</w:t>
            </w:r>
          </w:p>
        </w:tc>
        <w:tc>
          <w:tcPr>
            <w:tcW w:w="28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214"/>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23,508,581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Payment-in-kind</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1,884,506</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1,246,016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189,918</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618,071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20"/>
                <w:szCs w:val="20"/>
                <w:color w:val="auto"/>
              </w:rPr>
            </w:pPr>
            <w:r>
              <w:rPr>
                <w:rFonts w:ascii="Arial" w:cs="Arial" w:eastAsia="Arial" w:hAnsi="Arial"/>
                <w:sz w:val="14"/>
                <w:szCs w:val="14"/>
                <w:color w:val="auto"/>
              </w:rPr>
              <w:t>From non-controlled, affiliated investments: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4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105,105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Payment-in-kind</w:t>
            </w:r>
          </w:p>
        </w:tc>
        <w:tc>
          <w:tcPr>
            <w:tcW w:w="24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108,625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spacing w:after="0"/>
              <w:rPr>
                <w:sz w:val="20"/>
                <w:szCs w:val="20"/>
                <w:color w:val="auto"/>
              </w:rPr>
            </w:pPr>
            <w:r>
              <w:rPr>
                <w:rFonts w:ascii="Arial" w:cs="Arial" w:eastAsia="Arial" w:hAnsi="Arial"/>
                <w:sz w:val="14"/>
                <w:szCs w:val="14"/>
                <w:color w:val="auto"/>
              </w:rPr>
              <w:t>From controlled, affiliated investments:</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Interest</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635,615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1,788,603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Payment-in-kind</w:t>
            </w:r>
          </w:p>
        </w:tc>
        <w:tc>
          <w:tcPr>
            <w:tcW w:w="24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2,908,812</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1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26,003,765</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27,380,001</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4,742,430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4,419,262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744,626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2,667,270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8,866,549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6,278,847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521,520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521,625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643,480</w:t>
            </w:r>
          </w:p>
        </w:tc>
        <w:tc>
          <w:tcPr>
            <w:tcW w:w="2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618,367</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18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provision for taxes</w:t>
            </w:r>
          </w:p>
        </w:tc>
        <w:tc>
          <w:tcPr>
            <w:tcW w:w="24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15,518,605</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14,505,371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Provision for taxes</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300,000</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300,000</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8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expenses</w:t>
            </w:r>
          </w:p>
        </w:tc>
        <w:tc>
          <w:tcPr>
            <w:tcW w:w="24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15,818,605</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14,805,371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10,185,160</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12,574,630</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gain (loss) on investments and debt:</w:t>
            </w:r>
          </w:p>
        </w:tc>
        <w:tc>
          <w:tcPr>
            <w:tcW w:w="24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20"/>
                <w:szCs w:val="20"/>
                <w:color w:val="auto"/>
              </w:rPr>
            </w:pPr>
            <w:r>
              <w:rPr>
                <w:rFonts w:ascii="Arial" w:cs="Arial" w:eastAsia="Arial" w:hAnsi="Arial"/>
                <w:sz w:val="14"/>
                <w:szCs w:val="14"/>
                <w:color w:val="auto"/>
              </w:rPr>
              <w:t>Net realized (loss) gain on investments on:</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4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(12,034,153)</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3,737,919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24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4,792,067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18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realized (loss) gain on investments</w:t>
            </w: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(12,034,153)</w:t>
            </w:r>
          </w:p>
        </w:tc>
        <w:tc>
          <w:tcPr>
            <w:tcW w:w="2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8,529,986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tcPr>
          <w:p>
            <w:pPr>
              <w:spacing w:after="0" w:line="155" w:lineRule="exact"/>
              <w:rPr>
                <w:sz w:val="20"/>
                <w:szCs w:val="20"/>
                <w:color w:val="auto"/>
              </w:rPr>
            </w:pPr>
            <w:r>
              <w:rPr>
                <w:rFonts w:ascii="Arial" w:cs="Arial" w:eastAsia="Arial" w:hAnsi="Arial"/>
                <w:sz w:val="14"/>
                <w:szCs w:val="14"/>
                <w:color w:val="auto"/>
              </w:rPr>
              <w:t>Net change in unrealized appreciation (depreciation) on:</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17,052,596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(6,929,882)</w:t>
            </w: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6,570,228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(13,462,697)</w:t>
            </w: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(appreciation) depreciation (See Notes 5 and 10)</w:t>
            </w:r>
          </w:p>
        </w:tc>
        <w:tc>
          <w:tcPr>
            <w:tcW w:w="24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(2,571,321)</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6,066,152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1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21,051,503</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(14,326,427)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24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9,017,350</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(5,796,441)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18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19,202,510</w:t>
            </w:r>
          </w:p>
        </w:tc>
        <w:tc>
          <w:tcPr>
            <w:tcW w:w="28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6,778,189</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1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240" w:type="dxa"/>
            <w:vAlign w:val="bottom"/>
            <w:tcBorders>
              <w:bottom w:val="single" w:sz="8" w:color="auto"/>
            </w:tcBorders>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0.29</w:t>
            </w:r>
          </w:p>
        </w:tc>
        <w:tc>
          <w:tcPr>
            <w:tcW w:w="28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80" w:type="dxa"/>
            <w:vAlign w:val="bottom"/>
            <w:vMerge w:val="continue"/>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0.15</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10,185,160</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12,574,630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(loss) gain on investments</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(12,034,153)</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8,529,986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23,622,824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(20,392,579)</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(appreciation) depreciation on debt</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(2,571,321)</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6,066,152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19,202,510</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6,778,189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3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(12,068,119)</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(12,244,957)</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Repurchase of common stock</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(7,494,022)</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(decrease) in net assets</w:t>
            </w: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7,134,391</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(12,960,790)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581,905,668</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628,901,895</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589,040,059</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615,941,105</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Capital share activity:</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Shares of common stock repurchased</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(1,026,421)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C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used for operating activities: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increase in net assets resulting from operations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19,202,510</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6,778,189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in net assets resulting from</w:t>
            </w: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600"/>
              <w:spacing w:after="0"/>
              <w:rPr>
                <w:sz w:val="20"/>
                <w:szCs w:val="20"/>
                <w:color w:val="auto"/>
              </w:rPr>
            </w:pPr>
            <w:r>
              <w:rPr>
                <w:rFonts w:ascii="Arial" w:cs="Arial" w:eastAsia="Arial" w:hAnsi="Arial"/>
                <w:sz w:val="14"/>
                <w:szCs w:val="14"/>
                <w:color w:val="auto"/>
              </w:rPr>
              <w:t>operations to net cash used by operating activities: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change in net unrealized (appreciation) depreciation on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(23,622,824)</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20,392,579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change in unrealized appreciation (depreciation) on debt</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2,571,321</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(6,066,152)</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realized loss (gain) on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12,034,153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(8,529,986)</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accretion of discount and amortization of premium</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(568,692)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(729,769)</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Purchases of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(173,691,052)</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(194,455,970)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Payment-in-kind income</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(4,792,602)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(1,922,358)</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Proceeds from dispositions of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31,151,013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125,791,017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Amortization of deferred financing costs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746,080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416,548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 interest receivable</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171,335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2,100,400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decrease in prepaid expenses and other assets</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(371,909)</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767,691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in payable for investments purchased</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62,528,206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18,172,125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(decrease) in interest payable on debt</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2,392,195</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(1,569,299)</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in base management fee payable, net</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100,950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332,431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(decrease) in performance-based incentive fee payable, net</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744,626</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(296,995)</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1000"/>
              <w:spacing w:after="0"/>
              <w:rPr>
                <w:sz w:val="20"/>
                <w:szCs w:val="20"/>
                <w:color w:val="auto"/>
              </w:rPr>
            </w:pPr>
            <w:r>
              <w:rPr>
                <w:rFonts w:ascii="Arial" w:cs="Arial" w:eastAsia="Arial" w:hAnsi="Arial"/>
                <w:sz w:val="14"/>
                <w:szCs w:val="14"/>
                <w:color w:val="auto"/>
              </w:rPr>
              <w:t>Increase in accrued other expenses</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81,881</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188,868</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used for operating activities</w:t>
            </w:r>
          </w:p>
        </w:tc>
        <w:tc>
          <w:tcPr>
            <w:tcW w:w="3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(71,322,809)</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(38,630,681)</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Repurchase of common stock</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(7,494,022)</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Distributions paid to stockholders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(12,068,119)</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(12,429,712)</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Proceeds from 2024 Notes issuance</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10,912,500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under SBA debentures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(16,500,000)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(30,000,000)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BNP Credit Facility</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48,500,000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under BNP Credit Facility</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(16,000,000)</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Truist Credit Facility</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63,000,000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217,000,000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under Truist Credit Facility</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(34,000,000)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(123,384,000)</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43,844,381</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43,692,266</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increase in cash and cash equivalents</w:t>
            </w:r>
          </w:p>
        </w:tc>
        <w:tc>
          <w:tcPr>
            <w:tcW w:w="3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(27,478,428)</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5,061,585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69,841</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86,150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59,516,236</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19,506,154</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32,107,649</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24,653,889</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340" w:type="dxa"/>
            <w:vAlign w:val="bottom"/>
            <w:tcBorders>
              <w:bottom w:val="single" w:sz="8" w:color="auto"/>
            </w:tcBorders>
            <w:shd w:val="clear" w:color="auto" w:fill="CCECFF"/>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5,727,794</w:t>
            </w:r>
          </w:p>
        </w:tc>
        <w:tc>
          <w:tcPr>
            <w:tcW w:w="28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7,431,597</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40" w:type="dxa"/>
            <w:vAlign w:val="bottom"/>
            <w:tcBorders>
              <w:bottom w:val="single" w:sz="8" w:color="auto"/>
            </w:tcBorders>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180,700</w:t>
            </w:r>
          </w:p>
        </w:tc>
        <w:tc>
          <w:tcPr>
            <w:tcW w:w="280" w:type="dxa"/>
            <w:vAlign w:val="bottom"/>
            <w:tcBorders>
              <w:bottom w:val="single" w:sz="8" w:color="CCECFF"/>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3,617</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340" w:type="dxa"/>
            <w:vAlign w:val="bottom"/>
            <w:tcBorders>
              <w:bottom w:val="single" w:sz="8" w:color="auto"/>
            </w:tcBorders>
            <w:shd w:val="clear" w:color="auto" w:fill="CCECFF"/>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47,919,106</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12,697,510</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Spread</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1180" w:type="dxa"/>
            <w:vAlign w:val="bottom"/>
          </w:tcPr>
          <w:p>
            <w:pPr>
              <w:ind w:left="480"/>
              <w:spacing w:after="0" w:line="122" w:lineRule="exact"/>
              <w:rPr>
                <w:sz w:val="20"/>
                <w:szCs w:val="20"/>
                <w:color w:val="auto"/>
              </w:rPr>
            </w:pPr>
            <w:r>
              <w:rPr>
                <w:rFonts w:ascii="Arial" w:cs="Arial" w:eastAsia="Arial" w:hAnsi="Arial"/>
                <w:sz w:val="11"/>
                <w:szCs w:val="11"/>
                <w:b w:val="1"/>
                <w:bCs w:val="1"/>
                <w:color w:val="auto"/>
              </w:rPr>
              <w:t>Maturity /</w:t>
            </w:r>
          </w:p>
        </w:tc>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Above</w:t>
            </w:r>
          </w:p>
        </w:tc>
        <w:tc>
          <w:tcPr>
            <w:tcW w:w="6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180" w:type="dxa"/>
            <w:vAlign w:val="bottom"/>
          </w:tcPr>
          <w:p>
            <w:pPr>
              <w:ind w:left="480"/>
              <w:spacing w:after="0"/>
              <w:rPr>
                <w:sz w:val="20"/>
                <w:szCs w:val="20"/>
                <w:color w:val="auto"/>
              </w:rPr>
            </w:pPr>
            <w:r>
              <w:rPr>
                <w:rFonts w:ascii="Arial" w:cs="Arial" w:eastAsia="Arial" w:hAnsi="Arial"/>
                <w:sz w:val="11"/>
                <w:szCs w:val="11"/>
                <w:b w:val="1"/>
                <w:bCs w:val="1"/>
                <w:color w:val="auto"/>
              </w:rPr>
              <w:t>Expiration</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Industry</w:t>
            </w:r>
          </w:p>
        </w:tc>
        <w:tc>
          <w:tcPr>
            <w:tcW w:w="8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68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c>
          <w:tcPr>
            <w:tcW w:w="0" w:type="dxa"/>
            <w:vAlign w:val="bottom"/>
          </w:tcPr>
          <w:p>
            <w:pPr>
              <w:spacing w:after="0"/>
              <w:rPr>
                <w:sz w:val="1"/>
                <w:szCs w:val="1"/>
                <w:color w:val="auto"/>
              </w:rPr>
            </w:pPr>
          </w:p>
        </w:tc>
      </w:tr>
      <w:tr>
        <w:trPr>
          <w:trHeight w:val="129"/>
        </w:trPr>
        <w:tc>
          <w:tcPr>
            <w:tcW w:w="39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1"/>
                <w:szCs w:val="11"/>
                <w:b w:val="1"/>
                <w:bCs w:val="1"/>
                <w:color w:val="auto"/>
                <w:w w:val="93"/>
              </w:rPr>
              <w:t xml:space="preserve">Investments in Non-Controlled, Non-Affiliated Portfolio Companies—182.3 </w:t>
            </w:r>
            <w:r>
              <w:rPr>
                <w:rFonts w:ascii="Arial" w:cs="Arial" w:eastAsia="Arial" w:hAnsi="Arial"/>
                <w:sz w:val="9"/>
                <w:szCs w:val="9"/>
                <w:b w:val="1"/>
                <w:bCs w:val="1"/>
                <w:color w:val="auto"/>
                <w:w w:val="93"/>
              </w:rPr>
              <w:t>(1), (2)</w:t>
            </w:r>
          </w:p>
        </w:tc>
        <w:tc>
          <w:tcPr>
            <w:tcW w:w="26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First Lien Secured Debt—121.2%</w:t>
            </w:r>
          </w:p>
        </w:tc>
        <w:tc>
          <w:tcPr>
            <w:tcW w:w="11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Advantage Sales &amp; Marketing </w:t>
            </w:r>
            <w:r>
              <w:rPr>
                <w:rFonts w:ascii="Arial" w:cs="Arial" w:eastAsia="Arial" w:hAnsi="Arial"/>
                <w:sz w:val="9"/>
                <w:szCs w:val="9"/>
                <w:color w:val="auto"/>
              </w:rPr>
              <w:t>(5)</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07/23/2021</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6"/>
              </w:rPr>
              <w:t>Grocery</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5.01%</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L+325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10,597,123</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10,126,215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   10,221,772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Altamira Technologies, LLC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07/24/2025</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7.93%</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993,750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979,428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993,750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07/24/2025</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187,500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12/21/2023</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7.79%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30,966,000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30,454,351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30,346,680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12/21/2023</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1,350,649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1"/>
                <w:szCs w:val="11"/>
                <w:color w:val="auto"/>
              </w:rPr>
              <w:t>(27,013)</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Bazaarvoice, Inc.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02/01/2024</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90"/>
              </w:rPr>
              <w:t>Printing and Publishing</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7.45%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14,738,904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14,621,749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14,591,515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Bottom Line Systems, LLC </w:t>
            </w:r>
            <w:r>
              <w:rPr>
                <w:rFonts w:ascii="Arial" w:cs="Arial" w:eastAsia="Arial" w:hAnsi="Arial"/>
                <w:sz w:val="9"/>
                <w:szCs w:val="9"/>
                <w:color w:val="auto"/>
              </w:rPr>
              <w:t>(5)</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02/13/2023</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7.80%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L+600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21,722,525</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21,523,583</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21,700,803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Broder Bros., Co.</w:t>
            </w:r>
          </w:p>
        </w:tc>
        <w:tc>
          <w:tcPr>
            <w:tcW w:w="1180" w:type="dxa"/>
            <w:vAlign w:val="bottom"/>
          </w:tcPr>
          <w:p>
            <w:pPr>
              <w:ind w:left="480"/>
              <w:spacing w:after="0"/>
              <w:rPr>
                <w:sz w:val="20"/>
                <w:szCs w:val="20"/>
                <w:color w:val="auto"/>
              </w:rPr>
            </w:pPr>
            <w:r>
              <w:rPr>
                <w:rFonts w:ascii="Arial" w:cs="Arial" w:eastAsia="Arial" w:hAnsi="Arial"/>
                <w:sz w:val="11"/>
                <w:szCs w:val="11"/>
                <w:color w:val="auto"/>
              </w:rPr>
              <w:t>12/02/2022</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10.47%</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L+850</w:t>
            </w:r>
          </w:p>
        </w:tc>
        <w:tc>
          <w:tcPr>
            <w:tcW w:w="680" w:type="dxa"/>
            <w:vAlign w:val="bottom"/>
          </w:tcPr>
          <w:p>
            <w:pPr>
              <w:jc w:val="right"/>
              <w:spacing w:after="0"/>
              <w:rPr>
                <w:sz w:val="20"/>
                <w:szCs w:val="20"/>
                <w:color w:val="auto"/>
              </w:rPr>
            </w:pPr>
            <w:r>
              <w:rPr>
                <w:rFonts w:ascii="Arial" w:cs="Arial" w:eastAsia="Arial" w:hAnsi="Arial"/>
                <w:sz w:val="11"/>
                <w:szCs w:val="11"/>
                <w:color w:val="auto"/>
              </w:rPr>
              <w:t>27,075,004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27,075,158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27,075,004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Cano Health, LLC </w:t>
            </w:r>
            <w:r>
              <w:rPr>
                <w:rFonts w:ascii="Arial" w:cs="Arial" w:eastAsia="Arial" w:hAnsi="Arial"/>
                <w:sz w:val="9"/>
                <w:szCs w:val="9"/>
                <w:color w:val="auto"/>
              </w:rPr>
              <w:t>(5)</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12/23/2021</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7.97%</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38,505,824</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38,157,270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38,505,824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DermaRite Industries LLC</w:t>
            </w:r>
          </w:p>
        </w:tc>
        <w:tc>
          <w:tcPr>
            <w:tcW w:w="1180" w:type="dxa"/>
            <w:vAlign w:val="bottom"/>
          </w:tcPr>
          <w:p>
            <w:pPr>
              <w:ind w:left="480"/>
              <w:spacing w:after="0"/>
              <w:rPr>
                <w:sz w:val="20"/>
                <w:szCs w:val="20"/>
                <w:color w:val="auto"/>
              </w:rPr>
            </w:pPr>
            <w:r>
              <w:rPr>
                <w:rFonts w:ascii="Arial" w:cs="Arial" w:eastAsia="Arial" w:hAnsi="Arial"/>
                <w:sz w:val="11"/>
                <w:szCs w:val="11"/>
                <w:color w:val="auto"/>
              </w:rPr>
              <w:t>03/03/2022</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90"/>
              </w:rPr>
              <w:t>Manufacturing / Basic Industries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8.80%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80" w:type="dxa"/>
            <w:vAlign w:val="bottom"/>
          </w:tcPr>
          <w:p>
            <w:pPr>
              <w:jc w:val="right"/>
              <w:spacing w:after="0"/>
              <w:rPr>
                <w:sz w:val="20"/>
                <w:szCs w:val="20"/>
                <w:color w:val="auto"/>
              </w:rPr>
            </w:pPr>
            <w:r>
              <w:rPr>
                <w:rFonts w:ascii="Arial" w:cs="Arial" w:eastAsia="Arial" w:hAnsi="Arial"/>
                <w:sz w:val="11"/>
                <w:szCs w:val="11"/>
                <w:color w:val="auto"/>
              </w:rPr>
              <w:t>9,725,000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9,644,618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9,231,943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DRS Holdings III, Inc. </w:t>
            </w:r>
            <w:r>
              <w:rPr>
                <w:rFonts w:ascii="Arial" w:cs="Arial" w:eastAsia="Arial" w:hAnsi="Arial"/>
                <w:sz w:val="9"/>
                <w:szCs w:val="9"/>
                <w:color w:val="auto"/>
              </w:rPr>
              <w:t>(5)</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11/03/2025</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7.61%</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L+575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13,667,230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13,531,815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13,533,291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DRS Holdings III, Inc. (Revolver)</w:t>
            </w:r>
          </w:p>
        </w:tc>
        <w:tc>
          <w:tcPr>
            <w:tcW w:w="1180" w:type="dxa"/>
            <w:vAlign w:val="bottom"/>
          </w:tcPr>
          <w:p>
            <w:pPr>
              <w:ind w:left="480"/>
              <w:spacing w:after="0"/>
              <w:rPr>
                <w:sz w:val="20"/>
                <w:szCs w:val="20"/>
                <w:color w:val="auto"/>
              </w:rPr>
            </w:pPr>
            <w:r>
              <w:rPr>
                <w:rFonts w:ascii="Arial" w:cs="Arial" w:eastAsia="Arial" w:hAnsi="Arial"/>
                <w:sz w:val="11"/>
                <w:szCs w:val="11"/>
                <w:color w:val="auto"/>
              </w:rPr>
              <w:t>11/03/2025</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7.55%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61,124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61,124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60,525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(7)</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11/03/2025</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1,466,978</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1"/>
                <w:szCs w:val="11"/>
                <w:color w:val="auto"/>
              </w:rPr>
              <w:t>(14,377)</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ECM Industries, LLC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12/23/2025</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92"/>
              </w:rPr>
              <w:t>Electronics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6.29%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2,887,628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2,858,751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2,858,751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ECM Industries, LLC (Revolver)</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12/23/2025</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92"/>
              </w:rPr>
              <w:t>Electronics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6.29%</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175,594</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175,594</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175,594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12/23/2025</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92"/>
              </w:rPr>
              <w:t>Electronics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342,000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Holdco Sands Intermediate, LLC </w:t>
            </w:r>
            <w:r>
              <w:rPr>
                <w:rFonts w:ascii="Arial" w:cs="Arial" w:eastAsia="Arial" w:hAnsi="Arial"/>
                <w:sz w:val="9"/>
                <w:szCs w:val="9"/>
                <w:color w:val="auto"/>
              </w:rPr>
              <w:t>(5)</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12/19/2025</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7.76%</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12,285,714</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12,101,429</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12,101,429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HW Holdco, LLC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12/10/2024</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8.14%</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17,436,774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17,281,207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17,436,774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HW Holdco, LLC (Revolver)</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12/10/2024</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3"/>
              </w:rPr>
              <w:t>Media</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8.14%</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L+625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216,774</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216,774</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216,774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12/10/2024</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3,170,323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Impact Group, LLC </w:t>
            </w:r>
            <w:r>
              <w:rPr>
                <w:rFonts w:ascii="Arial" w:cs="Arial" w:eastAsia="Arial" w:hAnsi="Arial"/>
                <w:sz w:val="9"/>
                <w:szCs w:val="9"/>
                <w:color w:val="auto"/>
              </w:rPr>
              <w:t>(5)</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06/27/2023</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6"/>
              </w:rPr>
              <w:t>Personal, Food and Miscellaneous Services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8.41%</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L+650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20,048,550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19,953,096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19,747,822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Juniper Landscaping of Florida, LLC</w:t>
            </w:r>
          </w:p>
        </w:tc>
        <w:tc>
          <w:tcPr>
            <w:tcW w:w="1180" w:type="dxa"/>
            <w:vAlign w:val="bottom"/>
          </w:tcPr>
          <w:p>
            <w:pPr>
              <w:ind w:left="480"/>
              <w:spacing w:after="0"/>
              <w:rPr>
                <w:sz w:val="20"/>
                <w:szCs w:val="20"/>
                <w:color w:val="auto"/>
              </w:rPr>
            </w:pPr>
            <w:r>
              <w:rPr>
                <w:rFonts w:ascii="Arial" w:cs="Arial" w:eastAsia="Arial" w:hAnsi="Arial"/>
                <w:sz w:val="11"/>
                <w:szCs w:val="11"/>
                <w:color w:val="auto"/>
              </w:rPr>
              <w:t>12/22/2021</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Personal, Food and Miscellaneous Services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10.20%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14,442,047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14,297,097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14,442,047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9"/>
                <w:szCs w:val="9"/>
                <w:color w:val="auto"/>
              </w:rPr>
              <w:t>(5)</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12/20/2023</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8"/>
              </w:rPr>
              <w:t>Chemicals, Plastics and Rubber</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7.05%</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L+525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26,862,000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26,528,024</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26,413,404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K2 Pure Solutions NoCal, L.P. (Revolver)</w:t>
            </w:r>
          </w:p>
        </w:tc>
        <w:tc>
          <w:tcPr>
            <w:tcW w:w="1180" w:type="dxa"/>
            <w:vAlign w:val="bottom"/>
          </w:tcPr>
          <w:p>
            <w:pPr>
              <w:ind w:left="480"/>
              <w:spacing w:after="0"/>
              <w:rPr>
                <w:sz w:val="20"/>
                <w:szCs w:val="20"/>
                <w:color w:val="auto"/>
              </w:rPr>
            </w:pPr>
            <w:r>
              <w:rPr>
                <w:rFonts w:ascii="Arial" w:cs="Arial" w:eastAsia="Arial" w:hAnsi="Arial"/>
                <w:sz w:val="11"/>
                <w:szCs w:val="11"/>
                <w:color w:val="auto"/>
              </w:rPr>
              <w:t>12/20/2023</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Chemicals, Plastics and Rubber</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7.05%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969,048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969,048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952,865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12/20/2023</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8"/>
              </w:rPr>
              <w:t>Chemicals, Plastics and Rubber</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969,048</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1"/>
                <w:szCs w:val="11"/>
                <w:color w:val="auto"/>
              </w:rPr>
              <w:t>(16,183)</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03/07/2025</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Hotels, Motels, Inns and Gaming</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9.94%</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L+800</w:t>
            </w:r>
          </w:p>
        </w:tc>
        <w:tc>
          <w:tcPr>
            <w:tcW w:w="680" w:type="dxa"/>
            <w:vAlign w:val="bottom"/>
          </w:tcPr>
          <w:p>
            <w:pPr>
              <w:jc w:val="right"/>
              <w:spacing w:after="0"/>
              <w:rPr>
                <w:sz w:val="20"/>
                <w:szCs w:val="20"/>
                <w:color w:val="auto"/>
              </w:rPr>
            </w:pPr>
            <w:r>
              <w:rPr>
                <w:rFonts w:ascii="Arial" w:cs="Arial" w:eastAsia="Arial" w:hAnsi="Arial"/>
                <w:sz w:val="11"/>
                <w:szCs w:val="11"/>
                <w:color w:val="auto"/>
              </w:rPr>
              <w:t>10,024,046</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9,834,351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10,024,046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03/07/2025</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8"/>
              </w:rPr>
              <w:t>Hotels, Motels, Inns and Gaming</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2,482,759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Lash Opco, LLC - Term Loan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12/12/2024</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9.25%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P+450</w:t>
            </w:r>
          </w:p>
        </w:tc>
        <w:tc>
          <w:tcPr>
            <w:tcW w:w="680" w:type="dxa"/>
            <w:vAlign w:val="bottom"/>
          </w:tcPr>
          <w:p>
            <w:pPr>
              <w:jc w:val="right"/>
              <w:spacing w:after="0"/>
              <w:rPr>
                <w:sz w:val="20"/>
                <w:szCs w:val="20"/>
                <w:color w:val="auto"/>
              </w:rPr>
            </w:pPr>
            <w:r>
              <w:rPr>
                <w:rFonts w:ascii="Arial" w:cs="Arial" w:eastAsia="Arial" w:hAnsi="Arial"/>
                <w:sz w:val="11"/>
                <w:szCs w:val="11"/>
                <w:color w:val="auto"/>
              </w:rPr>
              <w:t>9,911,671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9,616,414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9,614,320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Lash Opco, LLC (Revolver)</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12/12/2024</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9.25%</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P+450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655,322</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655,322</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655,322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12/12/2024</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388,011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LAV Gear Holdings, Inc.</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10/31/2024</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9"/>
              </w:rPr>
              <w:t>Leisure, Amusement, Motion Pictures, Entertainment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7.44%</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2,000,000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1,980,477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2,008,800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Lombart Brothers, Inc.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04/13/2023</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8.19%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17,048,964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16,866,989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16,878,474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Lombart Brothers, Inc. (Revolver)</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04/13/2023</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9.75%</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P+500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728,787</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728,787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725,143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04/13/2023</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1,041,125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1"/>
                <w:szCs w:val="11"/>
                <w:color w:val="auto"/>
              </w:rPr>
              <w:t>(5,206)</w:t>
            </w: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MeritDirect, LLC </w:t>
            </w:r>
            <w:r>
              <w:rPr>
                <w:rFonts w:ascii="Arial" w:cs="Arial" w:eastAsia="Arial" w:hAnsi="Arial"/>
                <w:sz w:val="9"/>
                <w:szCs w:val="9"/>
                <w:color w:val="auto"/>
              </w:rPr>
              <w:t>(5)</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05/23/2024</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3"/>
              </w:rPr>
              <w:t>Media</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7.44%</w:t>
            </w:r>
          </w:p>
        </w:tc>
        <w:tc>
          <w:tcPr>
            <w:tcW w:w="9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3ML+550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19,292,325</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19,032,248</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19,099,402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05/23/2024</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2,518,345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1"/>
                <w:szCs w:val="11"/>
                <w:color w:val="auto"/>
              </w:rPr>
              <w:t>(25,183)</w:t>
            </w: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Montreign Operating Company, LLC</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01/24/2023</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8"/>
              </w:rPr>
              <w:t>Hotels, Motels, Inns and Gaming</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10.01%</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L+825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8,360,733</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7,161,829</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7,185,047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Ox Two, LLC</w:t>
            </w:r>
          </w:p>
        </w:tc>
        <w:tc>
          <w:tcPr>
            <w:tcW w:w="1180" w:type="dxa"/>
            <w:vAlign w:val="bottom"/>
          </w:tcPr>
          <w:p>
            <w:pPr>
              <w:ind w:left="480"/>
              <w:spacing w:after="0"/>
              <w:rPr>
                <w:sz w:val="20"/>
                <w:szCs w:val="20"/>
                <w:color w:val="auto"/>
              </w:rPr>
            </w:pPr>
            <w:r>
              <w:rPr>
                <w:rFonts w:ascii="Arial" w:cs="Arial" w:eastAsia="Arial" w:hAnsi="Arial"/>
                <w:sz w:val="11"/>
                <w:szCs w:val="11"/>
                <w:color w:val="auto"/>
              </w:rPr>
              <w:t>02/27/2023</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8.05%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21,677,123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21,373,053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21,677,123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Ox Two, LLC (Revolver)</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02/27/2023</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8.05%</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1,038,000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1,038,000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1,038,000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02/27/2023</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1,462,000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Peninsula Pacific Entertainment LLC</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11/13/2024</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8"/>
              </w:rPr>
              <w:t>Hotels, Motels, Inns and Gaming</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9.19%</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L+725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8,495,190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8,480,326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8,452,714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PlayPower, Inc.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05/08/2026</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7.46%</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4,179,000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4,139,034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4,126,763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PRA Events, Inc.</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08/08/2022</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8.95%</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L+700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19,280,420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19,057,388</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19,280,420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PRA Events, Inc. (Revolver)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08/08/2022</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2,000,000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Provation Medical, Inc.</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03/11/2024</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92"/>
              </w:rPr>
              <w:t>Electronics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8.98%</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L+700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26,730,000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26,219,848</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26,446,663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Questex, LLC</w:t>
            </w:r>
          </w:p>
        </w:tc>
        <w:tc>
          <w:tcPr>
            <w:tcW w:w="1180" w:type="dxa"/>
            <w:vAlign w:val="bottom"/>
          </w:tcPr>
          <w:p>
            <w:pPr>
              <w:ind w:left="480"/>
              <w:spacing w:after="0"/>
              <w:rPr>
                <w:sz w:val="20"/>
                <w:szCs w:val="20"/>
                <w:color w:val="auto"/>
              </w:rPr>
            </w:pPr>
            <w:r>
              <w:rPr>
                <w:rFonts w:ascii="Arial" w:cs="Arial" w:eastAsia="Arial" w:hAnsi="Arial"/>
                <w:sz w:val="11"/>
                <w:szCs w:val="11"/>
                <w:color w:val="auto"/>
              </w:rPr>
              <w:t>09/09/2024</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6.89%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22,218,750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21,851,410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21,996,563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Questex, LLC (Revolver)</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09/09/2024</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3"/>
              </w:rPr>
              <w:t>Media</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6.91%</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957,447</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957,447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947,872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09/09/2024</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2,632,979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1"/>
                <w:szCs w:val="11"/>
                <w:color w:val="auto"/>
              </w:rPr>
              <w:t>(26,330)</w:t>
            </w: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Radius Aerospace, Inc. </w:t>
            </w:r>
            <w:r>
              <w:rPr>
                <w:rFonts w:ascii="Arial" w:cs="Arial" w:eastAsia="Arial" w:hAnsi="Arial"/>
                <w:sz w:val="9"/>
                <w:szCs w:val="9"/>
                <w:color w:val="auto"/>
              </w:rPr>
              <w:t>(5)</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03/31/2025</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7.70%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13,884,143</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13,688,534</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13,734,194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Radius Aerospace, Inc. (Revolver)</w:t>
            </w:r>
          </w:p>
        </w:tc>
        <w:tc>
          <w:tcPr>
            <w:tcW w:w="1180" w:type="dxa"/>
            <w:vAlign w:val="bottom"/>
          </w:tcPr>
          <w:p>
            <w:pPr>
              <w:ind w:left="480"/>
              <w:spacing w:after="0"/>
              <w:rPr>
                <w:sz w:val="20"/>
                <w:szCs w:val="20"/>
                <w:color w:val="auto"/>
              </w:rPr>
            </w:pPr>
            <w:r>
              <w:rPr>
                <w:rFonts w:ascii="Arial" w:cs="Arial" w:eastAsia="Arial" w:hAnsi="Arial"/>
                <w:sz w:val="11"/>
                <w:szCs w:val="11"/>
                <w:color w:val="auto"/>
              </w:rPr>
              <w:t>03/31/2025</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9.03%</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P+525</w:t>
            </w:r>
          </w:p>
        </w:tc>
        <w:tc>
          <w:tcPr>
            <w:tcW w:w="680" w:type="dxa"/>
            <w:vAlign w:val="bottom"/>
          </w:tcPr>
          <w:p>
            <w:pPr>
              <w:jc w:val="right"/>
              <w:spacing w:after="0"/>
              <w:rPr>
                <w:sz w:val="20"/>
                <w:szCs w:val="20"/>
                <w:color w:val="auto"/>
              </w:rPr>
            </w:pPr>
            <w:r>
              <w:rPr>
                <w:rFonts w:ascii="Arial" w:cs="Arial" w:eastAsia="Arial" w:hAnsi="Arial"/>
                <w:sz w:val="11"/>
                <w:szCs w:val="11"/>
                <w:color w:val="auto"/>
              </w:rPr>
              <w:t>273,290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273,290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270,339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Radius Aerospace, Inc. (Revolver) </w:t>
            </w:r>
            <w:r>
              <w:rPr>
                <w:rFonts w:ascii="Arial" w:cs="Arial" w:eastAsia="Arial" w:hAnsi="Arial"/>
                <w:sz w:val="9"/>
                <w:szCs w:val="9"/>
                <w:color w:val="auto"/>
              </w:rPr>
              <w:t>(7)</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03/31/2025</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1,953,852</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1"/>
                <w:szCs w:val="11"/>
                <w:color w:val="auto"/>
              </w:rPr>
              <w:t>(21,101)</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Research Horizons, LLC</w:t>
            </w:r>
          </w:p>
        </w:tc>
        <w:tc>
          <w:tcPr>
            <w:tcW w:w="1180" w:type="dxa"/>
            <w:vAlign w:val="bottom"/>
          </w:tcPr>
          <w:p>
            <w:pPr>
              <w:ind w:left="480"/>
              <w:spacing w:after="0"/>
              <w:rPr>
                <w:sz w:val="20"/>
                <w:szCs w:val="20"/>
                <w:color w:val="auto"/>
              </w:rPr>
            </w:pPr>
            <w:r>
              <w:rPr>
                <w:rFonts w:ascii="Arial" w:cs="Arial" w:eastAsia="Arial" w:hAnsi="Arial"/>
                <w:sz w:val="11"/>
                <w:szCs w:val="11"/>
                <w:color w:val="auto"/>
              </w:rPr>
              <w:t>06/28/2022</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7.95%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30,732,264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30,430,917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29,810,295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74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1180" w:type="dxa"/>
            <w:vAlign w:val="bottom"/>
            <w:vMerge w:val="restart"/>
            <w:shd w:val="clear" w:color="auto" w:fill="CFF0FC"/>
          </w:tcPr>
          <w:p>
            <w:pPr>
              <w:ind w:left="480"/>
              <w:spacing w:after="0"/>
              <w:rPr>
                <w:sz w:val="20"/>
                <w:szCs w:val="20"/>
                <w:color w:val="auto"/>
              </w:rPr>
            </w:pPr>
            <w:r>
              <w:rPr>
                <w:rFonts w:ascii="Arial" w:cs="Arial" w:eastAsia="Arial" w:hAnsi="Arial"/>
                <w:sz w:val="11"/>
                <w:szCs w:val="11"/>
                <w:color w:val="auto"/>
              </w:rPr>
              <w:t>12/20/2024</w:t>
            </w:r>
          </w:p>
        </w:tc>
        <w:tc>
          <w:tcPr>
            <w:tcW w:w="2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740" w:type="dxa"/>
            <w:vAlign w:val="bottom"/>
            <w:vMerge w:val="restart"/>
            <w:shd w:val="clear" w:color="auto" w:fill="CFF0FC"/>
          </w:tcPr>
          <w:p>
            <w:pPr>
              <w:ind w:left="80"/>
              <w:spacing w:after="0"/>
              <w:rPr>
                <w:sz w:val="20"/>
                <w:szCs w:val="20"/>
                <w:color w:val="auto"/>
              </w:rPr>
            </w:pPr>
            <w:r>
              <w:rPr>
                <w:rFonts w:ascii="Arial" w:cs="Arial" w:eastAsia="Arial" w:hAnsi="Arial"/>
                <w:sz w:val="11"/>
                <w:szCs w:val="11"/>
                <w:color w:val="auto"/>
              </w:rPr>
              <w:t>Sampling International LLC (5)</w:t>
            </w:r>
          </w:p>
        </w:tc>
        <w:tc>
          <w:tcPr>
            <w:tcW w:w="1180" w:type="dxa"/>
            <w:vAlign w:val="bottom"/>
            <w:vMerge w:val="continue"/>
            <w:shd w:val="clear" w:color="auto" w:fill="CFF0FC"/>
          </w:tcPr>
          <w:p>
            <w:pPr>
              <w:spacing w:after="0"/>
              <w:rPr>
                <w:sz w:val="5"/>
                <w:szCs w:val="5"/>
                <w:color w:val="auto"/>
              </w:rPr>
            </w:pPr>
          </w:p>
        </w:tc>
        <w:tc>
          <w:tcPr>
            <w:tcW w:w="2780" w:type="dxa"/>
            <w:vAlign w:val="bottom"/>
            <w:gridSpan w:val="2"/>
            <w:vMerge w:val="restart"/>
            <w:shd w:val="clear" w:color="auto" w:fill="CFF0FC"/>
          </w:tcPr>
          <w:p>
            <w:pPr>
              <w:jc w:val="center"/>
              <w:ind w:right="16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7.41%</w:t>
            </w:r>
          </w:p>
        </w:tc>
        <w:tc>
          <w:tcPr>
            <w:tcW w:w="9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17,898,034</w:t>
            </w:r>
          </w:p>
        </w:tc>
        <w:tc>
          <w:tcPr>
            <w:tcW w:w="2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17,759,720</w:t>
            </w: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17,871,187</w:t>
            </w: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740" w:type="dxa"/>
            <w:vAlign w:val="bottom"/>
            <w:vMerge w:val="continue"/>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2780" w:type="dxa"/>
            <w:vAlign w:val="bottom"/>
            <w:gridSpan w:val="2"/>
            <w:vMerge w:val="continue"/>
            <w:shd w:val="clear" w:color="auto" w:fill="CFF0FC"/>
          </w:tcPr>
          <w:p>
            <w:pPr>
              <w:spacing w:after="0"/>
              <w:rPr>
                <w:sz w:val="5"/>
                <w:szCs w:val="5"/>
                <w:color w:val="auto"/>
              </w:rPr>
            </w:pPr>
          </w:p>
        </w:tc>
        <w:tc>
          <w:tcPr>
            <w:tcW w:w="880" w:type="dxa"/>
            <w:vAlign w:val="bottom"/>
            <w:gridSpan w:val="2"/>
            <w:vMerge w:val="continue"/>
            <w:shd w:val="clear" w:color="auto" w:fill="CFF0FC"/>
          </w:tcPr>
          <w:p>
            <w:pPr>
              <w:spacing w:after="0"/>
              <w:rPr>
                <w:sz w:val="5"/>
                <w:szCs w:val="5"/>
                <w:color w:val="auto"/>
              </w:rPr>
            </w:pPr>
          </w:p>
        </w:tc>
        <w:tc>
          <w:tcPr>
            <w:tcW w:w="980" w:type="dxa"/>
            <w:vAlign w:val="bottom"/>
            <w:gridSpan w:val="2"/>
            <w:vMerge w:val="continue"/>
            <w:shd w:val="clear" w:color="auto" w:fill="CFF0FC"/>
          </w:tcPr>
          <w:p>
            <w:pPr>
              <w:spacing w:after="0"/>
              <w:rPr>
                <w:sz w:val="5"/>
                <w:szCs w:val="5"/>
                <w:color w:val="auto"/>
              </w:rPr>
            </w:pPr>
          </w:p>
        </w:tc>
        <w:tc>
          <w:tcPr>
            <w:tcW w:w="680" w:type="dxa"/>
            <w:vAlign w:val="bottom"/>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600" w:type="dxa"/>
            <w:vAlign w:val="bottom"/>
            <w:vMerge w:val="continue"/>
            <w:shd w:val="clear" w:color="auto" w:fill="CFF0FC"/>
          </w:tcPr>
          <w:p>
            <w:pPr>
              <w:spacing w:after="0"/>
              <w:rPr>
                <w:sz w:val="5"/>
                <w:szCs w:val="5"/>
                <w:color w:val="auto"/>
              </w:rPr>
            </w:pPr>
          </w:p>
        </w:tc>
        <w:tc>
          <w:tcPr>
            <w:tcW w:w="920" w:type="dxa"/>
            <w:vAlign w:val="bottom"/>
            <w:gridSpan w:val="2"/>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Riverpoint Medical, LLC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06/20/2025</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6.97%</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1,990,000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1,971,377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1,975,473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06/20/2025</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363,636</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1"/>
                <w:szCs w:val="11"/>
                <w:color w:val="auto"/>
              </w:rPr>
              <w:t>(2,655)</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Sargent &amp; Greenleaf Inc.</w:t>
            </w:r>
          </w:p>
        </w:tc>
        <w:tc>
          <w:tcPr>
            <w:tcW w:w="1180" w:type="dxa"/>
            <w:vAlign w:val="bottom"/>
          </w:tcPr>
          <w:p>
            <w:pPr>
              <w:ind w:left="480"/>
              <w:spacing w:after="0"/>
              <w:rPr>
                <w:sz w:val="20"/>
                <w:szCs w:val="20"/>
                <w:color w:val="auto"/>
              </w:rPr>
            </w:pPr>
            <w:r>
              <w:rPr>
                <w:rFonts w:ascii="Arial" w:cs="Arial" w:eastAsia="Arial" w:hAnsi="Arial"/>
                <w:sz w:val="11"/>
                <w:szCs w:val="11"/>
                <w:color w:val="auto"/>
              </w:rPr>
              <w:t>12/20/2024</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92"/>
              </w:rPr>
              <w:t>Electronics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7.20%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5,531,455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5,449,015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5,448,483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9"/>
                <w:szCs w:val="9"/>
                <w:color w:val="auto"/>
              </w:rPr>
              <w:t>(7)</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12/20/2024</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92"/>
              </w:rPr>
              <w:t>Electronics</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597,943</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Sales Benchmark Index LLC</w:t>
            </w:r>
          </w:p>
        </w:tc>
        <w:tc>
          <w:tcPr>
            <w:tcW w:w="1180" w:type="dxa"/>
            <w:vAlign w:val="bottom"/>
          </w:tcPr>
          <w:p>
            <w:pPr>
              <w:ind w:left="480"/>
              <w:spacing w:after="0"/>
              <w:rPr>
                <w:sz w:val="20"/>
                <w:szCs w:val="20"/>
                <w:color w:val="auto"/>
              </w:rPr>
            </w:pPr>
            <w:r>
              <w:rPr>
                <w:rFonts w:ascii="Arial" w:cs="Arial" w:eastAsia="Arial" w:hAnsi="Arial"/>
                <w:sz w:val="11"/>
                <w:szCs w:val="11"/>
                <w:color w:val="auto"/>
              </w:rPr>
              <w:t>01/03/2025</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7.76%</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7,926,829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7,768,293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7,768,293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Sales Benchmark Index LLC </w:t>
            </w:r>
            <w:r>
              <w:rPr>
                <w:rFonts w:ascii="Arial" w:cs="Arial" w:eastAsia="Arial" w:hAnsi="Arial"/>
                <w:sz w:val="9"/>
                <w:szCs w:val="9"/>
                <w:color w:val="auto"/>
              </w:rPr>
              <w:t>(7)</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06/03/2021</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1,829,268</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01/03/2025</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731,707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Schlesinger Global, Inc. </w:t>
            </w:r>
            <w:r>
              <w:rPr>
                <w:rFonts w:ascii="Arial" w:cs="Arial" w:eastAsia="Arial" w:hAnsi="Arial"/>
                <w:sz w:val="9"/>
                <w:szCs w:val="9"/>
                <w:color w:val="auto"/>
              </w:rPr>
              <w:t>(5)</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07/14/2025</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6.79%</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595,941</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588,540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595,941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w:t>
            </w:r>
          </w:p>
        </w:tc>
        <w:tc>
          <w:tcPr>
            <w:tcW w:w="1180" w:type="dxa"/>
            <w:vAlign w:val="bottom"/>
          </w:tcPr>
          <w:p>
            <w:pPr>
              <w:ind w:left="480"/>
              <w:spacing w:after="0"/>
              <w:rPr>
                <w:sz w:val="20"/>
                <w:szCs w:val="20"/>
                <w:color w:val="auto"/>
              </w:rPr>
            </w:pPr>
            <w:r>
              <w:rPr>
                <w:rFonts w:ascii="Arial" w:cs="Arial" w:eastAsia="Arial" w:hAnsi="Arial"/>
                <w:sz w:val="11"/>
                <w:szCs w:val="11"/>
                <w:color w:val="auto"/>
              </w:rPr>
              <w:t>07/14/2025</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38,040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Signature Systems Holding Company </w:t>
            </w:r>
            <w:r>
              <w:rPr>
                <w:rFonts w:ascii="Arial" w:cs="Arial" w:eastAsia="Arial" w:hAnsi="Arial"/>
                <w:sz w:val="9"/>
                <w:szCs w:val="9"/>
                <w:color w:val="auto"/>
              </w:rPr>
              <w:t>(5)</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05/03/2024</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8"/>
              </w:rPr>
              <w:t>Chemicals, Plastics and Rubber</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8.44%</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L+650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14,812,500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14,618,378</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14,812,500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Signature Systems Holding Company (Revolver)</w:t>
            </w:r>
          </w:p>
        </w:tc>
        <w:tc>
          <w:tcPr>
            <w:tcW w:w="1180" w:type="dxa"/>
            <w:vAlign w:val="bottom"/>
          </w:tcPr>
          <w:p>
            <w:pPr>
              <w:ind w:left="480"/>
              <w:spacing w:after="0"/>
              <w:rPr>
                <w:sz w:val="20"/>
                <w:szCs w:val="20"/>
                <w:color w:val="auto"/>
              </w:rPr>
            </w:pPr>
            <w:r>
              <w:rPr>
                <w:rFonts w:ascii="Arial" w:cs="Arial" w:eastAsia="Arial" w:hAnsi="Arial"/>
                <w:sz w:val="11"/>
                <w:szCs w:val="11"/>
                <w:color w:val="auto"/>
              </w:rPr>
              <w:t>05/03/2024</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Chemicals, Plastics and Rubber</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7.44%</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887,097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887,097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887,097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05/03/2024</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8"/>
              </w:rPr>
              <w:t>Chemicals, Plastics and Rubber</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1,129,032</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Solutionreach, Inc.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01/17/2024</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90"/>
              </w:rPr>
              <w:t>Communications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7.55%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13,220,100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12,994,496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13,150,034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01/17/2024</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90"/>
              </w:rPr>
              <w:t>Communications</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1,665,000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1"/>
                <w:szCs w:val="11"/>
                <w:color w:val="auto"/>
              </w:rPr>
              <w:t>(8,824)</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Spectacle Gary Holdings, LLC</w:t>
            </w:r>
          </w:p>
        </w:tc>
        <w:tc>
          <w:tcPr>
            <w:tcW w:w="1180" w:type="dxa"/>
            <w:vAlign w:val="bottom"/>
          </w:tcPr>
          <w:p>
            <w:pPr>
              <w:ind w:left="480"/>
              <w:spacing w:after="0"/>
              <w:rPr>
                <w:sz w:val="20"/>
                <w:szCs w:val="20"/>
                <w:color w:val="auto"/>
              </w:rPr>
            </w:pPr>
            <w:r>
              <w:rPr>
                <w:rFonts w:ascii="Arial" w:cs="Arial" w:eastAsia="Arial" w:hAnsi="Arial"/>
                <w:sz w:val="11"/>
                <w:szCs w:val="11"/>
                <w:color w:val="auto"/>
              </w:rPr>
              <w:t>12/20/2025</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Hotels, Motels, Inns and Gaming</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11.00%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L+900</w:t>
            </w:r>
          </w:p>
        </w:tc>
        <w:tc>
          <w:tcPr>
            <w:tcW w:w="680" w:type="dxa"/>
            <w:vAlign w:val="bottom"/>
          </w:tcPr>
          <w:p>
            <w:pPr>
              <w:jc w:val="right"/>
              <w:spacing w:after="0"/>
              <w:rPr>
                <w:sz w:val="20"/>
                <w:szCs w:val="20"/>
                <w:color w:val="auto"/>
              </w:rPr>
            </w:pPr>
            <w:r>
              <w:rPr>
                <w:rFonts w:ascii="Arial" w:cs="Arial" w:eastAsia="Arial" w:hAnsi="Arial"/>
                <w:sz w:val="11"/>
                <w:szCs w:val="11"/>
                <w:color w:val="auto"/>
              </w:rPr>
              <w:t>15,478,378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15,014,027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15,633,162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Spectacle Gary Holdings, LLC </w:t>
            </w:r>
            <w:r>
              <w:rPr>
                <w:rFonts w:ascii="Arial" w:cs="Arial" w:eastAsia="Arial" w:hAnsi="Arial"/>
                <w:sz w:val="9"/>
                <w:szCs w:val="9"/>
                <w:color w:val="auto"/>
              </w:rPr>
              <w:t>(7)</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12/20/2025</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8"/>
              </w:rPr>
              <w:t>Hotels, Motels, Inns and Gaming</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1,121,622</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11,216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STV Group Incorporated </w:t>
            </w:r>
            <w:r>
              <w:rPr>
                <w:rFonts w:ascii="Arial" w:cs="Arial" w:eastAsia="Arial" w:hAnsi="Arial"/>
                <w:sz w:val="9"/>
                <w:szCs w:val="9"/>
                <w:color w:val="auto"/>
              </w:rPr>
              <w:t>(5)</w:t>
            </w:r>
          </w:p>
        </w:tc>
        <w:tc>
          <w:tcPr>
            <w:tcW w:w="1180" w:type="dxa"/>
            <w:vAlign w:val="bottom"/>
          </w:tcPr>
          <w:p>
            <w:pPr>
              <w:ind w:left="480"/>
              <w:spacing w:after="0"/>
              <w:rPr>
                <w:sz w:val="20"/>
                <w:szCs w:val="20"/>
                <w:color w:val="auto"/>
              </w:rPr>
            </w:pPr>
            <w:r>
              <w:rPr>
                <w:rFonts w:ascii="Arial" w:cs="Arial" w:eastAsia="Arial" w:hAnsi="Arial"/>
                <w:sz w:val="11"/>
                <w:szCs w:val="11"/>
                <w:color w:val="auto"/>
              </w:rPr>
              <w:t>12/11/2026</w:t>
            </w:r>
          </w:p>
        </w:tc>
        <w:tc>
          <w:tcPr>
            <w:tcW w:w="2780" w:type="dxa"/>
            <w:vAlign w:val="bottom"/>
            <w:gridSpan w:val="2"/>
          </w:tcPr>
          <w:p>
            <w:pPr>
              <w:jc w:val="center"/>
              <w:ind w:right="160"/>
              <w:spacing w:after="0"/>
              <w:rPr>
                <w:sz w:val="20"/>
                <w:szCs w:val="20"/>
                <w:color w:val="auto"/>
              </w:rPr>
            </w:pPr>
            <w:r>
              <w:rPr>
                <w:rFonts w:ascii="Arial" w:cs="Arial" w:eastAsia="Arial" w:hAnsi="Arial"/>
                <w:sz w:val="11"/>
                <w:szCs w:val="11"/>
                <w:color w:val="auto"/>
                <w:w w:val="87"/>
              </w:rPr>
              <w:t>Transportation</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7.01%</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12,730,354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12,603,051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12,603,051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TeleGuam Holdings, LLC </w:t>
            </w:r>
            <w:r>
              <w:rPr>
                <w:rFonts w:ascii="Arial" w:cs="Arial" w:eastAsia="Arial" w:hAnsi="Arial"/>
                <w:sz w:val="9"/>
                <w:szCs w:val="9"/>
                <w:color w:val="auto"/>
              </w:rPr>
              <w:t>(5)</w:t>
            </w:r>
          </w:p>
        </w:tc>
        <w:tc>
          <w:tcPr>
            <w:tcW w:w="1180" w:type="dxa"/>
            <w:vAlign w:val="bottom"/>
            <w:shd w:val="clear" w:color="auto" w:fill="CFF0FC"/>
          </w:tcPr>
          <w:p>
            <w:pPr>
              <w:ind w:left="480"/>
              <w:spacing w:after="0"/>
              <w:rPr>
                <w:sz w:val="20"/>
                <w:szCs w:val="20"/>
                <w:color w:val="auto"/>
              </w:rPr>
            </w:pPr>
            <w:r>
              <w:rPr>
                <w:rFonts w:ascii="Arial" w:cs="Arial" w:eastAsia="Arial" w:hAnsi="Arial"/>
                <w:sz w:val="11"/>
                <w:szCs w:val="11"/>
                <w:color w:val="auto"/>
              </w:rPr>
              <w:t>11/20/2025</w:t>
            </w:r>
          </w:p>
        </w:tc>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9"/>
              </w:rPr>
              <w:t>Telecommunications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6.20%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5,154,751</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5,103,570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5,128,977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Maturity /</w:t>
            </w: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6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0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FF0FC"/>
            </w:tcBorders>
          </w:tcPr>
          <w:p>
            <w:pPr>
              <w:spacing w:after="0"/>
              <w:rPr>
                <w:sz w:val="11"/>
                <w:szCs w:val="11"/>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Expiration</w:t>
            </w:r>
          </w:p>
        </w:tc>
        <w:tc>
          <w:tcPr>
            <w:tcW w:w="240" w:type="dxa"/>
            <w:vAlign w:val="bottom"/>
            <w:tcBorders>
              <w:bottom w:val="single" w:sz="8" w:color="CFF0FC"/>
            </w:tcBorders>
          </w:tcPr>
          <w:p>
            <w:pPr>
              <w:spacing w:after="0"/>
              <w:rPr>
                <w:sz w:val="11"/>
                <w:szCs w:val="11"/>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FF0FC"/>
            </w:tcBorders>
          </w:tcPr>
          <w:p>
            <w:pPr>
              <w:spacing w:after="0"/>
              <w:rPr>
                <w:sz w:val="11"/>
                <w:szCs w:val="11"/>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Coupon</w:t>
            </w:r>
          </w:p>
        </w:tc>
        <w:tc>
          <w:tcPr>
            <w:tcW w:w="280" w:type="dxa"/>
            <w:vAlign w:val="bottom"/>
            <w:tcBorders>
              <w:bottom w:val="single" w:sz="8" w:color="CFF0FC"/>
            </w:tcBorders>
          </w:tcPr>
          <w:p>
            <w:pPr>
              <w:spacing w:after="0"/>
              <w:rPr>
                <w:sz w:val="11"/>
                <w:szCs w:val="11"/>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20" w:type="dxa"/>
            <w:vAlign w:val="bottom"/>
            <w:tcBorders>
              <w:bottom w:val="single" w:sz="8" w:color="CFF0FC"/>
            </w:tcBorders>
          </w:tcPr>
          <w:p>
            <w:pPr>
              <w:spacing w:after="0"/>
              <w:rPr>
                <w:sz w:val="11"/>
                <w:szCs w:val="11"/>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c>
          <w:tcPr>
            <w:tcW w:w="100" w:type="dxa"/>
            <w:vAlign w:val="bottom"/>
            <w:tcBorders>
              <w:bottom w:val="single" w:sz="8" w:color="CFF0FC"/>
            </w:tcBorders>
          </w:tcPr>
          <w:p>
            <w:pPr>
              <w:spacing w:after="0"/>
              <w:rPr>
                <w:sz w:val="11"/>
                <w:szCs w:val="11"/>
                <w:color w:val="auto"/>
              </w:rPr>
            </w:pPr>
          </w:p>
        </w:tc>
      </w:tr>
      <w:tr>
        <w:trPr>
          <w:trHeight w:val="128"/>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Teneo Holdings LLC </w:t>
            </w:r>
            <w:r>
              <w:rPr>
                <w:rFonts w:ascii="Arial" w:cs="Arial" w:eastAsia="Arial" w:hAnsi="Arial"/>
                <w:sz w:val="9"/>
                <w:szCs w:val="9"/>
                <w:color w:val="auto"/>
              </w:rPr>
              <w:t>(5)</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07/18/2025</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7"/>
              </w:rPr>
              <w:t>Financial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6.99%</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L+525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1,995,000</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1,875,795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1,890,263</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9"/>
                <w:szCs w:val="9"/>
                <w:color w:val="auto"/>
              </w:rPr>
              <w:t>(5),(8),(11)</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11/24/2025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Food</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7.02%</w:t>
            </w:r>
          </w:p>
        </w:tc>
        <w:tc>
          <w:tcPr>
            <w:tcW w:w="420" w:type="dxa"/>
            <w:vAlign w:val="bottom"/>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L+525</w:t>
            </w:r>
          </w:p>
        </w:tc>
        <w:tc>
          <w:tcPr>
            <w:tcW w:w="680" w:type="dxa"/>
            <w:vAlign w:val="bottom"/>
          </w:tcPr>
          <w:p>
            <w:pPr>
              <w:jc w:val="right"/>
              <w:spacing w:after="0"/>
              <w:rPr>
                <w:sz w:val="20"/>
                <w:szCs w:val="20"/>
                <w:color w:val="auto"/>
              </w:rPr>
            </w:pPr>
            <w:r>
              <w:rPr>
                <w:rFonts w:ascii="Arial" w:cs="Arial" w:eastAsia="Arial" w:hAnsi="Arial"/>
                <w:sz w:val="11"/>
                <w:szCs w:val="11"/>
                <w:color w:val="auto"/>
              </w:rPr>
              <w:t>7,495,482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7,438,554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7,455,755</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Triad Manufacturing, Inc.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12/28/2020</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0"/>
              </w:rPr>
              <w:t>Manufacturing / Basic Industries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13.05%</w:t>
            </w:r>
          </w:p>
        </w:tc>
        <w:tc>
          <w:tcPr>
            <w:tcW w:w="9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3M L+1,125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20,480,105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20,368,630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20,480,105</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(5)</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01/18/2024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7.30%</w:t>
            </w:r>
          </w:p>
        </w:tc>
        <w:tc>
          <w:tcPr>
            <w:tcW w:w="420" w:type="dxa"/>
            <w:vAlign w:val="bottom"/>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L+550</w:t>
            </w:r>
          </w:p>
        </w:tc>
        <w:tc>
          <w:tcPr>
            <w:tcW w:w="680" w:type="dxa"/>
            <w:vAlign w:val="bottom"/>
          </w:tcPr>
          <w:p>
            <w:pPr>
              <w:jc w:val="right"/>
              <w:spacing w:after="0"/>
              <w:rPr>
                <w:sz w:val="20"/>
                <w:szCs w:val="20"/>
                <w:color w:val="auto"/>
              </w:rPr>
            </w:pPr>
            <w:r>
              <w:rPr>
                <w:rFonts w:ascii="Arial" w:cs="Arial" w:eastAsia="Arial" w:hAnsi="Arial"/>
                <w:sz w:val="11"/>
                <w:szCs w:val="11"/>
                <w:color w:val="auto"/>
              </w:rPr>
              <w:t>32,877,349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32,325,211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32,877,349</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(7)</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01/18/2024</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4,053,227</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TVC Enterprises, LLC (Revolver)</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01/18/2024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7.30%</w:t>
            </w:r>
          </w:p>
        </w:tc>
        <w:tc>
          <w:tcPr>
            <w:tcW w:w="420" w:type="dxa"/>
            <w:vAlign w:val="bottom"/>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L+550</w:t>
            </w:r>
          </w:p>
        </w:tc>
        <w:tc>
          <w:tcPr>
            <w:tcW w:w="680" w:type="dxa"/>
            <w:vAlign w:val="bottom"/>
          </w:tcPr>
          <w:p>
            <w:pPr>
              <w:jc w:val="right"/>
              <w:spacing w:after="0"/>
              <w:rPr>
                <w:sz w:val="20"/>
                <w:szCs w:val="20"/>
                <w:color w:val="auto"/>
              </w:rPr>
            </w:pPr>
            <w:r>
              <w:rPr>
                <w:rFonts w:ascii="Arial" w:cs="Arial" w:eastAsia="Arial" w:hAnsi="Arial"/>
                <w:sz w:val="11"/>
                <w:szCs w:val="11"/>
                <w:color w:val="auto"/>
              </w:rPr>
              <w:t>1,519,709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1,519,709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1,519,709</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01/18/2024</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1,182,443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TWS Acquisition Corporation </w:t>
            </w:r>
            <w:r>
              <w:rPr>
                <w:rFonts w:ascii="Arial" w:cs="Arial" w:eastAsia="Arial" w:hAnsi="Arial"/>
                <w:sz w:val="9"/>
                <w:szCs w:val="9"/>
                <w:color w:val="auto"/>
              </w:rPr>
              <w:t>(5)</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06/16/2025</w:t>
            </w:r>
          </w:p>
        </w:tc>
        <w:tc>
          <w:tcPr>
            <w:tcW w:w="24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7.99%</w:t>
            </w:r>
          </w:p>
        </w:tc>
        <w:tc>
          <w:tcPr>
            <w:tcW w:w="420" w:type="dxa"/>
            <w:vAlign w:val="bottom"/>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L+625</w:t>
            </w:r>
          </w:p>
        </w:tc>
        <w:tc>
          <w:tcPr>
            <w:tcW w:w="680" w:type="dxa"/>
            <w:vAlign w:val="bottom"/>
          </w:tcPr>
          <w:p>
            <w:pPr>
              <w:jc w:val="right"/>
              <w:spacing w:after="0"/>
              <w:rPr>
                <w:sz w:val="20"/>
                <w:szCs w:val="20"/>
                <w:color w:val="auto"/>
              </w:rPr>
            </w:pPr>
            <w:r>
              <w:rPr>
                <w:rFonts w:ascii="Arial" w:cs="Arial" w:eastAsia="Arial" w:hAnsi="Arial"/>
                <w:sz w:val="11"/>
                <w:szCs w:val="11"/>
                <w:color w:val="auto"/>
              </w:rPr>
              <w:t>8,850,000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8,646,920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8,850,000</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TWS Acquisition Corporation (Revolver)</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06/16/2025</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7.99%</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L+625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505,714</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505,714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505,714</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06/16/2025</w:t>
            </w:r>
          </w:p>
        </w:tc>
        <w:tc>
          <w:tcPr>
            <w:tcW w:w="24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1,137,857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Tyto Athene, LLC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08/27/2024</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7.55%</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L+575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6,187,375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6,160,438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5,964,011</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UBEO, LLC </w:t>
            </w:r>
            <w:r>
              <w:rPr>
                <w:rFonts w:ascii="Arial" w:cs="Arial" w:eastAsia="Arial" w:hAnsi="Arial"/>
                <w:sz w:val="9"/>
                <w:szCs w:val="9"/>
                <w:color w:val="auto"/>
              </w:rPr>
              <w:t>(5)</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04/03/2024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6.59%</w:t>
            </w:r>
          </w:p>
        </w:tc>
        <w:tc>
          <w:tcPr>
            <w:tcW w:w="420" w:type="dxa"/>
            <w:vAlign w:val="bottom"/>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L+450</w:t>
            </w:r>
          </w:p>
        </w:tc>
        <w:tc>
          <w:tcPr>
            <w:tcW w:w="680" w:type="dxa"/>
            <w:vAlign w:val="bottom"/>
          </w:tcPr>
          <w:p>
            <w:pPr>
              <w:jc w:val="right"/>
              <w:spacing w:after="0"/>
              <w:rPr>
                <w:sz w:val="20"/>
                <w:szCs w:val="20"/>
                <w:color w:val="auto"/>
              </w:rPr>
            </w:pPr>
            <w:r>
              <w:rPr>
                <w:rFonts w:ascii="Arial" w:cs="Arial" w:eastAsia="Arial" w:hAnsi="Arial"/>
                <w:sz w:val="11"/>
                <w:szCs w:val="11"/>
                <w:color w:val="auto"/>
              </w:rPr>
              <w:t>4,794,788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4,750,526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4,746,840</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US Med Acquisition, Inc.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08/13/2021</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10.44%</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L+850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8,367,188</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8,367,188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8,367,188</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Vision Purchaser Corporation </w:t>
            </w:r>
            <w:r>
              <w:rPr>
                <w:rFonts w:ascii="Arial" w:cs="Arial" w:eastAsia="Arial" w:hAnsi="Arial"/>
                <w:sz w:val="9"/>
                <w:szCs w:val="9"/>
                <w:color w:val="auto"/>
              </w:rPr>
              <w:t>(5)</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06/10/2025</w:t>
            </w:r>
          </w:p>
        </w:tc>
        <w:tc>
          <w:tcPr>
            <w:tcW w:w="24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8.05%</w:t>
            </w:r>
          </w:p>
        </w:tc>
        <w:tc>
          <w:tcPr>
            <w:tcW w:w="420" w:type="dxa"/>
            <w:vAlign w:val="bottom"/>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L+625</w:t>
            </w:r>
          </w:p>
        </w:tc>
        <w:tc>
          <w:tcPr>
            <w:tcW w:w="680" w:type="dxa"/>
            <w:vAlign w:val="bottom"/>
          </w:tcPr>
          <w:p>
            <w:pPr>
              <w:jc w:val="right"/>
              <w:spacing w:after="0"/>
              <w:rPr>
                <w:sz w:val="20"/>
                <w:szCs w:val="20"/>
                <w:color w:val="auto"/>
              </w:rPr>
            </w:pPr>
            <w:r>
              <w:rPr>
                <w:rFonts w:ascii="Arial" w:cs="Arial" w:eastAsia="Arial" w:hAnsi="Arial"/>
                <w:sz w:val="11"/>
                <w:szCs w:val="11"/>
                <w:color w:val="auto"/>
              </w:rPr>
              <w:t>14,467,175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14,183,729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14,177,831</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Walker Edison Furniture Company LLC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09/26/2024</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1"/>
              </w:rPr>
              <w:t>Home and Office Furnishings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8.60%</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L+650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21,937,500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21,571,066</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22,069,125</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(5)</w:t>
            </w:r>
          </w:p>
        </w:tc>
        <w:tc>
          <w:tcPr>
            <w:tcW w:w="620" w:type="dxa"/>
            <w:vAlign w:val="bottom"/>
            <w:tcBorders>
              <w:bottom w:val="single" w:sz="8" w:color="CFF0FC"/>
            </w:tcBorders>
            <w:gridSpan w:val="2"/>
          </w:tcPr>
          <w:p>
            <w:pPr>
              <w:ind w:left="120"/>
              <w:spacing w:after="0"/>
              <w:rPr>
                <w:sz w:val="20"/>
                <w:szCs w:val="20"/>
                <w:color w:val="auto"/>
              </w:rPr>
            </w:pPr>
            <w:r>
              <w:rPr>
                <w:rFonts w:ascii="Arial" w:cs="Arial" w:eastAsia="Arial" w:hAnsi="Arial"/>
                <w:sz w:val="11"/>
                <w:szCs w:val="11"/>
                <w:color w:val="auto"/>
                <w:w w:val="87"/>
              </w:rPr>
              <w:t>10/18/2022</w:t>
            </w:r>
          </w:p>
        </w:tc>
        <w:tc>
          <w:tcPr>
            <w:tcW w:w="240" w:type="dxa"/>
            <w:vAlign w:val="bottom"/>
            <w:tcBorders>
              <w:bottom w:val="single" w:sz="8" w:color="CFF0FC"/>
            </w:tcBorders>
          </w:tcPr>
          <w:p>
            <w:pPr>
              <w:spacing w:after="0"/>
              <w:rPr>
                <w:sz w:val="11"/>
                <w:szCs w:val="11"/>
                <w:color w:val="auto"/>
              </w:rPr>
            </w:pPr>
          </w:p>
        </w:tc>
        <w:tc>
          <w:tcPr>
            <w:tcW w:w="276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1"/>
                <w:szCs w:val="11"/>
                <w:color w:val="auto"/>
              </w:rPr>
              <w:t>9.30%</w:t>
            </w:r>
          </w:p>
        </w:tc>
        <w:tc>
          <w:tcPr>
            <w:tcW w:w="42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rPr>
              <w:t>1M</w:t>
            </w:r>
          </w:p>
        </w:tc>
        <w:tc>
          <w:tcPr>
            <w:tcW w:w="54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1"/>
                <w:szCs w:val="11"/>
                <w:color w:val="auto"/>
                <w:w w:val="90"/>
              </w:rPr>
              <w:t>L+750</w:t>
            </w: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rPr>
              <w:t>14,762,517</w:t>
            </w:r>
          </w:p>
        </w:tc>
        <w:tc>
          <w:tcPr>
            <w:tcW w:w="2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14,536,375</w:t>
            </w:r>
          </w:p>
        </w:tc>
        <w:tc>
          <w:tcPr>
            <w:tcW w:w="2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14,762,517</w:t>
            </w:r>
          </w:p>
        </w:tc>
        <w:tc>
          <w:tcPr>
            <w:tcW w:w="100" w:type="dxa"/>
            <w:vAlign w:val="bottom"/>
            <w:tcBorders>
              <w:bottom w:val="single" w:sz="8" w:color="CFF0FC"/>
            </w:tcBorders>
          </w:tcPr>
          <w:p>
            <w:pPr>
              <w:spacing w:after="0"/>
              <w:rPr>
                <w:sz w:val="11"/>
                <w:szCs w:val="11"/>
                <w:color w:val="auto"/>
              </w:rPr>
            </w:pPr>
          </w:p>
        </w:tc>
      </w:tr>
      <w:tr>
        <w:trPr>
          <w:trHeight w:val="128"/>
        </w:trPr>
        <w:tc>
          <w:tcPr>
            <w:tcW w:w="30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4"/>
              </w:rPr>
              <w:t>710,949,414</w:t>
            </w: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1"/>
              </w:rPr>
              <w:t>713,983,016</w:t>
            </w:r>
          </w:p>
        </w:tc>
        <w:tc>
          <w:tcPr>
            <w:tcW w:w="100" w:type="dxa"/>
            <w:vAlign w:val="bottom"/>
            <w:shd w:val="clear" w:color="auto" w:fill="CFF0FC"/>
          </w:tcPr>
          <w:p>
            <w:pPr>
              <w:spacing w:after="0"/>
              <w:rPr>
                <w:sz w:val="11"/>
                <w:szCs w:val="11"/>
                <w:color w:val="auto"/>
              </w:rPr>
            </w:pPr>
          </w:p>
        </w:tc>
      </w:tr>
      <w:tr>
        <w:trPr>
          <w:trHeight w:val="128"/>
        </w:trPr>
        <w:tc>
          <w:tcPr>
            <w:tcW w:w="3040" w:type="dxa"/>
            <w:vAlign w:val="bottom"/>
          </w:tcPr>
          <w:p>
            <w:pPr>
              <w:spacing w:after="0"/>
              <w:rPr>
                <w:sz w:val="20"/>
                <w:szCs w:val="20"/>
                <w:color w:val="auto"/>
              </w:rPr>
            </w:pPr>
            <w:r>
              <w:rPr>
                <w:rFonts w:ascii="Arial" w:cs="Arial" w:eastAsia="Arial" w:hAnsi="Arial"/>
                <w:sz w:val="11"/>
                <w:szCs w:val="11"/>
                <w:b w:val="1"/>
                <w:bCs w:val="1"/>
                <w:color w:val="auto"/>
              </w:rPr>
              <w:t>Second Lien Secured Debt—37.8%</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Condor Borrower, LLC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04/25/2025</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10.68%</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L+875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10,344,828</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10,181,320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10,241,379</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Confie Seguros Holding Co.</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10/31/2025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10.63%</w:t>
            </w:r>
          </w:p>
        </w:tc>
        <w:tc>
          <w:tcPr>
            <w:tcW w:w="420" w:type="dxa"/>
            <w:vAlign w:val="bottom"/>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L+850</w:t>
            </w:r>
          </w:p>
        </w:tc>
        <w:tc>
          <w:tcPr>
            <w:tcW w:w="680" w:type="dxa"/>
            <w:vAlign w:val="bottom"/>
          </w:tcPr>
          <w:p>
            <w:pPr>
              <w:jc w:val="right"/>
              <w:spacing w:after="0"/>
              <w:rPr>
                <w:sz w:val="20"/>
                <w:szCs w:val="20"/>
                <w:color w:val="auto"/>
              </w:rPr>
            </w:pPr>
            <w:r>
              <w:rPr>
                <w:rFonts w:ascii="Arial" w:cs="Arial" w:eastAsia="Arial" w:hAnsi="Arial"/>
                <w:sz w:val="11"/>
                <w:szCs w:val="11"/>
                <w:color w:val="auto"/>
              </w:rPr>
              <w:t>14,500,000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14,253,573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14,210,000</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DecoPac, Inc.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03/31/2025</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10.19%</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L+825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19,627,143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19,353,915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19,627,143</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Halo Buyer, Inc.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07/06/2026</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10.05%</w:t>
            </w:r>
          </w:p>
        </w:tc>
        <w:tc>
          <w:tcPr>
            <w:tcW w:w="420" w:type="dxa"/>
            <w:vAlign w:val="bottom"/>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L+825</w:t>
            </w:r>
          </w:p>
        </w:tc>
        <w:tc>
          <w:tcPr>
            <w:tcW w:w="680" w:type="dxa"/>
            <w:vAlign w:val="bottom"/>
          </w:tcPr>
          <w:p>
            <w:pPr>
              <w:jc w:val="right"/>
              <w:spacing w:after="0"/>
              <w:rPr>
                <w:sz w:val="20"/>
                <w:szCs w:val="20"/>
                <w:color w:val="auto"/>
              </w:rPr>
            </w:pPr>
            <w:r>
              <w:rPr>
                <w:rFonts w:ascii="Arial" w:cs="Arial" w:eastAsia="Arial" w:hAnsi="Arial"/>
                <w:sz w:val="11"/>
                <w:szCs w:val="11"/>
                <w:color w:val="auto"/>
              </w:rPr>
              <w:t>32,500,000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32,038,222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32,012,500</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Infogroup, Inc.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04/03/2024</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9"/>
              </w:rPr>
              <w:t>Other Media</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11.19%</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L+925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20,400,000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20,115,476</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20,094,000</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MailSouth, Inc.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10/23/2024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420" w:type="dxa"/>
            <w:vAlign w:val="bottom"/>
          </w:tcPr>
          <w:p>
            <w:pPr>
              <w:jc w:val="right"/>
              <w:spacing w:after="0"/>
              <w:rPr>
                <w:sz w:val="20"/>
                <w:szCs w:val="20"/>
                <w:color w:val="auto"/>
              </w:rPr>
            </w:pPr>
            <w:r>
              <w:rPr>
                <w:rFonts w:ascii="Arial" w:cs="Arial" w:eastAsia="Arial" w:hAnsi="Arial"/>
                <w:sz w:val="11"/>
                <w:szCs w:val="11"/>
                <w:color w:val="auto"/>
              </w:rPr>
              <w:t>12M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L+925</w:t>
            </w:r>
          </w:p>
        </w:tc>
        <w:tc>
          <w:tcPr>
            <w:tcW w:w="680" w:type="dxa"/>
            <w:vAlign w:val="bottom"/>
          </w:tcPr>
          <w:p>
            <w:pPr>
              <w:jc w:val="right"/>
              <w:spacing w:after="0"/>
              <w:rPr>
                <w:sz w:val="20"/>
                <w:szCs w:val="20"/>
                <w:color w:val="auto"/>
              </w:rPr>
            </w:pPr>
            <w:r>
              <w:rPr>
                <w:rFonts w:ascii="Arial" w:cs="Arial" w:eastAsia="Arial" w:hAnsi="Arial"/>
                <w:sz w:val="11"/>
                <w:szCs w:val="11"/>
                <w:color w:val="auto"/>
              </w:rPr>
              <w:t>36,828,975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36,221,052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35,724,106</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MBS Holdings, Inc.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01/02/2024</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10.19%</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L+850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19,623,649</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19,304,200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19,623,649</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Shift4 Payments, LLC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11/28/2025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Financial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10.43%</w:t>
            </w:r>
          </w:p>
        </w:tc>
        <w:tc>
          <w:tcPr>
            <w:tcW w:w="420" w:type="dxa"/>
            <w:vAlign w:val="bottom"/>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L+850</w:t>
            </w:r>
          </w:p>
        </w:tc>
        <w:tc>
          <w:tcPr>
            <w:tcW w:w="680" w:type="dxa"/>
            <w:vAlign w:val="bottom"/>
          </w:tcPr>
          <w:p>
            <w:pPr>
              <w:jc w:val="right"/>
              <w:spacing w:after="0"/>
              <w:rPr>
                <w:sz w:val="20"/>
                <w:szCs w:val="20"/>
                <w:color w:val="auto"/>
              </w:rPr>
            </w:pPr>
            <w:r>
              <w:rPr>
                <w:rFonts w:ascii="Arial" w:cs="Arial" w:eastAsia="Arial" w:hAnsi="Arial"/>
                <w:sz w:val="11"/>
                <w:szCs w:val="11"/>
                <w:color w:val="auto"/>
              </w:rPr>
              <w:t>27,000,000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26,948,374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26,595,000</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VT Topco, Inc.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08/24/2026</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9.10%</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L+700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9,954,060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9,950,000</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Winter Park Intermediate, Inc.</w:t>
            </w:r>
          </w:p>
        </w:tc>
        <w:tc>
          <w:tcPr>
            <w:tcW w:w="620" w:type="dxa"/>
            <w:vAlign w:val="bottom"/>
            <w:tcBorders>
              <w:bottom w:val="single" w:sz="8" w:color="CFF0FC"/>
            </w:tcBorders>
            <w:gridSpan w:val="2"/>
          </w:tcPr>
          <w:p>
            <w:pPr>
              <w:ind w:left="120"/>
              <w:spacing w:after="0"/>
              <w:rPr>
                <w:sz w:val="20"/>
                <w:szCs w:val="20"/>
                <w:color w:val="auto"/>
              </w:rPr>
            </w:pPr>
            <w:r>
              <w:rPr>
                <w:rFonts w:ascii="Arial" w:cs="Arial" w:eastAsia="Arial" w:hAnsi="Arial"/>
                <w:sz w:val="11"/>
                <w:szCs w:val="11"/>
                <w:color w:val="auto"/>
                <w:w w:val="87"/>
              </w:rPr>
              <w:t>04/06/2026</w:t>
            </w:r>
          </w:p>
        </w:tc>
        <w:tc>
          <w:tcPr>
            <w:tcW w:w="240" w:type="dxa"/>
            <w:vAlign w:val="bottom"/>
            <w:tcBorders>
              <w:bottom w:val="single" w:sz="8" w:color="CFF0FC"/>
            </w:tcBorders>
          </w:tcPr>
          <w:p>
            <w:pPr>
              <w:spacing w:after="0"/>
              <w:rPr>
                <w:sz w:val="11"/>
                <w:szCs w:val="11"/>
                <w:color w:val="auto"/>
              </w:rPr>
            </w:pPr>
          </w:p>
        </w:tc>
        <w:tc>
          <w:tcPr>
            <w:tcW w:w="2760" w:type="dxa"/>
            <w:vAlign w:val="bottom"/>
            <w:tcBorders>
              <w:bottom w:val="single" w:sz="8" w:color="CFF0FC"/>
            </w:tcBorders>
            <w:gridSpan w:val="2"/>
          </w:tcPr>
          <w:p>
            <w:pPr>
              <w:jc w:val="center"/>
              <w:ind w:right="120"/>
              <w:spacing w:after="0"/>
              <w:rPr>
                <w:sz w:val="20"/>
                <w:szCs w:val="20"/>
                <w:color w:val="auto"/>
              </w:rPr>
            </w:pPr>
            <w:r>
              <w:rPr>
                <w:rFonts w:ascii="Arial" w:cs="Arial" w:eastAsia="Arial" w:hAnsi="Arial"/>
                <w:sz w:val="11"/>
                <w:szCs w:val="11"/>
                <w:color w:val="auto"/>
                <w:w w:val="90"/>
              </w:rPr>
              <w:t>Auto Sector</w:t>
            </w:r>
          </w:p>
        </w:tc>
        <w:tc>
          <w:tcPr>
            <w:tcW w:w="94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1"/>
                <w:szCs w:val="11"/>
                <w:color w:val="auto"/>
              </w:rPr>
              <w:t>10.30%</w:t>
            </w:r>
          </w:p>
        </w:tc>
        <w:tc>
          <w:tcPr>
            <w:tcW w:w="42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rPr>
              <w:t>1M</w:t>
            </w:r>
          </w:p>
        </w:tc>
        <w:tc>
          <w:tcPr>
            <w:tcW w:w="54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1"/>
                <w:szCs w:val="11"/>
                <w:color w:val="auto"/>
                <w:w w:val="90"/>
              </w:rPr>
              <w:t>L+850</w:t>
            </w: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rPr>
              <w:t>35,300,000</w:t>
            </w:r>
          </w:p>
        </w:tc>
        <w:tc>
          <w:tcPr>
            <w:tcW w:w="2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34,755,277</w:t>
            </w:r>
          </w:p>
        </w:tc>
        <w:tc>
          <w:tcPr>
            <w:tcW w:w="2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34,858,750</w:t>
            </w:r>
          </w:p>
        </w:tc>
        <w:tc>
          <w:tcPr>
            <w:tcW w:w="100" w:type="dxa"/>
            <w:vAlign w:val="bottom"/>
            <w:tcBorders>
              <w:bottom w:val="single" w:sz="8" w:color="CFF0FC"/>
            </w:tcBorders>
          </w:tcPr>
          <w:p>
            <w:pPr>
              <w:spacing w:after="0"/>
              <w:rPr>
                <w:sz w:val="11"/>
                <w:szCs w:val="11"/>
                <w:color w:val="auto"/>
              </w:rPr>
            </w:pPr>
          </w:p>
        </w:tc>
      </w:tr>
      <w:tr>
        <w:trPr>
          <w:trHeight w:val="128"/>
        </w:trPr>
        <w:tc>
          <w:tcPr>
            <w:tcW w:w="30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4"/>
              </w:rPr>
              <w:t>223,125,469</w:t>
            </w: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1"/>
              </w:rPr>
              <w:t>222,936,527</w:t>
            </w:r>
          </w:p>
        </w:tc>
        <w:tc>
          <w:tcPr>
            <w:tcW w:w="100" w:type="dxa"/>
            <w:vAlign w:val="bottom"/>
            <w:shd w:val="clear" w:color="auto" w:fill="CFF0FC"/>
          </w:tcPr>
          <w:p>
            <w:pPr>
              <w:spacing w:after="0"/>
              <w:rPr>
                <w:sz w:val="11"/>
                <w:szCs w:val="11"/>
                <w:color w:val="auto"/>
              </w:rPr>
            </w:pPr>
          </w:p>
        </w:tc>
      </w:tr>
      <w:tr>
        <w:trPr>
          <w:trHeight w:val="128"/>
        </w:trPr>
        <w:tc>
          <w:tcPr>
            <w:tcW w:w="3040" w:type="dxa"/>
            <w:vAlign w:val="bottom"/>
          </w:tcPr>
          <w:p>
            <w:pPr>
              <w:spacing w:after="0"/>
              <w:rPr>
                <w:sz w:val="20"/>
                <w:szCs w:val="20"/>
                <w:color w:val="auto"/>
              </w:rPr>
            </w:pPr>
            <w:r>
              <w:rPr>
                <w:rFonts w:ascii="Arial" w:cs="Arial" w:eastAsia="Arial" w:hAnsi="Arial"/>
                <w:sz w:val="11"/>
                <w:szCs w:val="11"/>
                <w:b w:val="1"/>
                <w:bCs w:val="1"/>
                <w:color w:val="auto"/>
              </w:rPr>
              <w:t>Subordinated Debt/Corporate Notes—10.7%</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Blackhawk Industrial Distribution, Inc.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03/17/2025</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12.00%</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13,842,967</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13,608,155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13,842,967</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(PIK 2.00%)</w:t>
            </w: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Cascade Environmental LLC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08/20/2021</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Environmental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15.00%</w:t>
            </w:r>
          </w:p>
        </w:tc>
        <w:tc>
          <w:tcPr>
            <w:tcW w:w="42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50,196,089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49,850,013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49,192,168</w:t>
            </w:r>
          </w:p>
        </w:tc>
        <w:tc>
          <w:tcPr>
            <w:tcW w:w="100" w:type="dxa"/>
            <w:vAlign w:val="bottom"/>
          </w:tcPr>
          <w:p>
            <w:pPr>
              <w:spacing w:after="0"/>
              <w:rPr>
                <w:sz w:val="12"/>
                <w:szCs w:val="12"/>
                <w:color w:val="auto"/>
              </w:rPr>
            </w:pPr>
          </w:p>
        </w:tc>
      </w:tr>
      <w:tr>
        <w:trPr>
          <w:trHeight w:val="131"/>
        </w:trPr>
        <w:tc>
          <w:tcPr>
            <w:tcW w:w="30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50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6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94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1"/>
                <w:szCs w:val="11"/>
                <w:color w:val="auto"/>
              </w:rPr>
              <w:t>(PIK 15.00%)</w:t>
            </w:r>
          </w:p>
        </w:tc>
        <w:tc>
          <w:tcPr>
            <w:tcW w:w="420" w:type="dxa"/>
            <w:vAlign w:val="bottom"/>
            <w:tcBorders>
              <w:bottom w:val="single" w:sz="8" w:color="CFF0FC"/>
            </w:tcBorders>
          </w:tcPr>
          <w:p>
            <w:pPr>
              <w:spacing w:after="0"/>
              <w:rPr>
                <w:sz w:val="11"/>
                <w:szCs w:val="11"/>
                <w:color w:val="auto"/>
              </w:rPr>
            </w:pPr>
          </w:p>
        </w:tc>
        <w:tc>
          <w:tcPr>
            <w:tcW w:w="3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r>
      <w:tr>
        <w:trPr>
          <w:trHeight w:val="128"/>
        </w:trPr>
        <w:tc>
          <w:tcPr>
            <w:tcW w:w="30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Subordinated Debt/Corporate Notes</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63,458,168</w:t>
            </w: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63,035,135</w:t>
            </w:r>
          </w:p>
        </w:tc>
        <w:tc>
          <w:tcPr>
            <w:tcW w:w="100" w:type="dxa"/>
            <w:vAlign w:val="bottom"/>
            <w:shd w:val="clear" w:color="auto" w:fill="CFF0FC"/>
          </w:tcPr>
          <w:p>
            <w:pPr>
              <w:spacing w:after="0"/>
              <w:rPr>
                <w:sz w:val="11"/>
                <w:szCs w:val="11"/>
                <w:color w:val="auto"/>
              </w:rPr>
            </w:pPr>
          </w:p>
        </w:tc>
      </w:tr>
      <w:tr>
        <w:trPr>
          <w:trHeight w:val="129"/>
        </w:trPr>
        <w:tc>
          <w:tcPr>
            <w:tcW w:w="304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Equity/Partnership Interests—0.6%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AH Holdings, Inc.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6.00%</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211</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500,000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499,247</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556,000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64,277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64,275</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9"/>
                <w:szCs w:val="9"/>
                <w:color w:val="auto"/>
              </w:rPr>
              <w:t>(8), (11)</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556,000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491,723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491,723</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540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540,000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580,768</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NXOF Holdings, Inc. (Tyto Athene,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107</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106,823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76,016</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1,347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1,346,530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1,348,886</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(8),(11)</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7"/>
              </w:rPr>
              <w:t>Food</w:t>
            </w: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219</w:t>
            </w:r>
          </w:p>
        </w:tc>
        <w:tc>
          <w:tcPr>
            <w:tcW w:w="24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219,012</w:t>
            </w: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220,107</w:t>
            </w:r>
          </w:p>
        </w:tc>
        <w:tc>
          <w:tcPr>
            <w:tcW w:w="100" w:type="dxa"/>
            <w:vAlign w:val="bottom"/>
            <w:shd w:val="clear" w:color="auto" w:fill="CFF0FC"/>
          </w:tcPr>
          <w:p>
            <w:pPr>
              <w:spacing w:after="0"/>
              <w:rPr>
                <w:sz w:val="11"/>
                <w:szCs w:val="11"/>
                <w:color w:val="auto"/>
              </w:rPr>
            </w:pPr>
          </w:p>
        </w:tc>
      </w:tr>
      <w:tr>
        <w:trPr>
          <w:trHeight w:val="128"/>
        </w:trPr>
        <w:tc>
          <w:tcPr>
            <w:tcW w:w="304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tcBorders>
              <w:bottom w:val="single" w:sz="8" w:color="CFF0FC"/>
            </w:tcBorders>
          </w:tcPr>
          <w:p>
            <w:pPr>
              <w:spacing w:after="0"/>
              <w:rPr>
                <w:sz w:val="11"/>
                <w:szCs w:val="11"/>
                <w:color w:val="auto"/>
              </w:rPr>
            </w:pPr>
          </w:p>
        </w:tc>
        <w:tc>
          <w:tcPr>
            <w:tcW w:w="50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6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60" w:type="dxa"/>
            <w:vAlign w:val="bottom"/>
            <w:tcBorders>
              <w:bottom w:val="single" w:sz="8" w:color="CFF0FC"/>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3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3,268,365</w:t>
            </w:r>
          </w:p>
        </w:tc>
        <w:tc>
          <w:tcPr>
            <w:tcW w:w="2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3,281,022</w:t>
            </w:r>
          </w:p>
        </w:tc>
        <w:tc>
          <w:tcPr>
            <w:tcW w:w="100" w:type="dxa"/>
            <w:vAlign w:val="bottom"/>
            <w:tcBorders>
              <w:bottom w:val="single" w:sz="8" w:color="CFF0FC"/>
            </w:tcBorders>
          </w:tcPr>
          <w:p>
            <w:pPr>
              <w:spacing w:after="0"/>
              <w:rPr>
                <w:sz w:val="11"/>
                <w:szCs w:val="11"/>
                <w:color w:val="auto"/>
              </w:rPr>
            </w:pPr>
          </w:p>
        </w:tc>
      </w:tr>
      <w:tr>
        <w:trPr>
          <w:trHeight w:val="129"/>
        </w:trPr>
        <w:tc>
          <w:tcPr>
            <w:tcW w:w="30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w w:val="99"/>
              </w:rPr>
              <w:t xml:space="preserve">Common Equity/Partnership Interests/Warrants—12.0% </w:t>
            </w:r>
            <w:r>
              <w:rPr>
                <w:rFonts w:ascii="Arial" w:cs="Arial" w:eastAsia="Arial" w:hAnsi="Arial"/>
                <w:sz w:val="9"/>
                <w:szCs w:val="9"/>
                <w:b w:val="1"/>
                <w:bCs w:val="1"/>
                <w:color w:val="auto"/>
                <w:w w:val="99"/>
              </w:rPr>
              <w:t>(6)</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Affinion Group Holdings, Inc. (Warrants)</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04/10/2024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77,190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2,126,399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574,718</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714,652</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714,652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714,652</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285,348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AH Holdings, Inc. (Warrants)</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03/23/2021</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Altamira Intermediate Company II,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125,000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125,000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133,503</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ASP LCG Holdings, Inc. (Warrants)</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05/05/2026</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586,975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2,558,619</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Cascade Environmental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Environmental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33,901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2,852,080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204,771</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CI (Allied) Investment Holdings,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120,962</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1,243,217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1,607,180</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CI (Summit) Investment Holdings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Buildings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114,646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1,171,206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1,491,246</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(SFP Holdings, Inc.)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Cowboy Parent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22,500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2,250,000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1,798,340</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(Blackhawk Industrial Distribution, Inc.)</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DecoPac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3,449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3,448,658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6,891,626</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2"/>
              </w:rPr>
              <w:t>Electronics</w:t>
            </w: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136,209</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136,209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136,209</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1,004,625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1,623,069</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Faraday Holdings,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4,277</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217,635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1,171,312</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Gauge Lash Coinvest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652,084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652,084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652,084</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Gauge Schlesinger Coinvest,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8,197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11,344</w:t>
            </w:r>
          </w:p>
        </w:tc>
        <w:tc>
          <w:tcPr>
            <w:tcW w:w="10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Gauge TVC Coinvest,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810,645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810,645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799,345</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(TVC Enterprises, LLC)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Go Dawgs Capital III, LP</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675,325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675,325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702,338</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Green Veracity Holdings, LP - Class A</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15,000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2,813,833</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(VT Topco, Inc.)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Infogroup Parent Holdings, Inc.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9"/>
              </w:rPr>
              <w:t>Other Media</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181,495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2,040,000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1,842,940</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292,903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4,317,307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9,564,738</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(7), (9)</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15,931</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JWC-WE Holdings, L.P.</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Home and Office Furnishings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1,906,433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1,906,433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5,218,926</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Kadmon Holdings, Inc. </w:t>
            </w:r>
            <w:r>
              <w:rPr>
                <w:rFonts w:ascii="Arial" w:cs="Arial" w:eastAsia="Arial" w:hAnsi="Arial"/>
                <w:sz w:val="9"/>
                <w:szCs w:val="9"/>
                <w:color w:val="auto"/>
              </w:rPr>
              <w:t>(12)</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252,014</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2,265,639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1,141,623</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Kentucky Racing Holdco, LLC (Warrants)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161,252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358,417</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Environmental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363,656</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363,656</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433,794</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540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137,873</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NXOF Holdings, Inc.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(Tyto Athene, LLC)</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Basis Point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5"/>
              </w:rPr>
              <w:t>Spread</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Maturity /</w:t>
            </w: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Above</w:t>
            </w:r>
          </w:p>
        </w:tc>
        <w:tc>
          <w:tcPr>
            <w:tcW w:w="100" w:type="dxa"/>
            <w:vAlign w:val="bottom"/>
          </w:tcPr>
          <w:p>
            <w:pPr>
              <w:spacing w:after="0"/>
              <w:rPr>
                <w:sz w:val="10"/>
                <w:szCs w:val="10"/>
                <w:color w:val="auto"/>
              </w:rPr>
            </w:pPr>
          </w:p>
        </w:tc>
        <w:tc>
          <w:tcPr>
            <w:tcW w:w="78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Par /</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2"/>
              </w:rPr>
              <w:t>Expiration</w:t>
            </w:r>
          </w:p>
        </w:tc>
        <w:tc>
          <w:tcPr>
            <w:tcW w:w="220" w:type="dxa"/>
            <w:vAlign w:val="bottom"/>
            <w:tcBorders>
              <w:bottom w:val="single" w:sz="8" w:color="CFF0FC"/>
            </w:tcBorders>
          </w:tcPr>
          <w:p>
            <w:pPr>
              <w:spacing w:after="0"/>
              <w:rPr>
                <w:sz w:val="11"/>
                <w:szCs w:val="11"/>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Shares</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(3)</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w w:val="99"/>
              </w:rPr>
              <w:t>SBI Holdings Investments LLC (Sales Benchmark Index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36,585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365,854</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365,854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70,870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1,500,000</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1,620,000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Class A (US Dominion, Inc.)</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00" w:type="dxa"/>
            <w:vAlign w:val="bottom"/>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2,777,384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00" w:type="dxa"/>
            <w:vAlign w:val="bottom"/>
          </w:tcPr>
          <w:p>
            <w:pPr>
              <w:ind w:left="140"/>
              <w:spacing w:after="0"/>
              <w:rPr>
                <w:sz w:val="20"/>
                <w:szCs w:val="20"/>
                <w:color w:val="auto"/>
              </w:rPr>
            </w:pPr>
            <w:r>
              <w:rPr>
                <w:rFonts w:ascii="Arial" w:cs="Arial" w:eastAsia="Arial" w:hAnsi="Arial"/>
                <w:sz w:val="11"/>
                <w:szCs w:val="11"/>
                <w:color w:val="auto"/>
              </w:rPr>
              <w:t>Class B (US Dominion,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7"/>
              </w:rPr>
              <w:t>Food</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11,527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11,527</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6,455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 xml:space="preserve">U.S. Well Services, Inc. - Class A </w:t>
            </w:r>
            <w:r>
              <w:rPr>
                <w:rFonts w:ascii="Arial" w:cs="Arial" w:eastAsia="Arial" w:hAnsi="Arial"/>
                <w:sz w:val="9"/>
                <w:szCs w:val="9"/>
                <w:color w:val="auto"/>
              </w:rPr>
              <w:t>(11), (12)</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1,261,201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3,021,880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2,383,670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WBB Equity,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628,571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628,571</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2,816,000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00" w:type="dxa"/>
            <w:vAlign w:val="bottom"/>
          </w:tcPr>
          <w:p>
            <w:pPr>
              <w:spacing w:after="0"/>
              <w:rPr>
                <w:sz w:val="20"/>
                <w:szCs w:val="20"/>
                <w:color w:val="auto"/>
              </w:rPr>
            </w:pPr>
            <w:r>
              <w:rPr>
                <w:rFonts w:ascii="Arial" w:cs="Arial" w:eastAsia="Arial" w:hAnsi="Arial"/>
                <w:sz w:val="11"/>
                <w:szCs w:val="11"/>
                <w:color w:val="auto"/>
              </w:rPr>
              <w:t>Wheel Pros Holdings, L.P.</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0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3,778,704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4,450,000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15,999,866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00" w:type="dxa"/>
            <w:vAlign w:val="bottom"/>
          </w:tcPr>
          <w:p>
            <w:pPr>
              <w:ind w:left="140"/>
              <w:spacing w:after="0"/>
              <w:rPr>
                <w:sz w:val="20"/>
                <w:szCs w:val="20"/>
                <w:color w:val="auto"/>
              </w:rPr>
            </w:pPr>
            <w:r>
              <w:rPr>
                <w:rFonts w:ascii="Arial" w:cs="Arial" w:eastAsia="Arial" w:hAnsi="Arial"/>
                <w:sz w:val="11"/>
                <w:szCs w:val="11"/>
                <w:color w:val="auto"/>
              </w:rPr>
              <w:t>(Winter Park Intermediate,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ZS Juniper L.P.</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Personal, Food and Miscellaneous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1,056</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1,056,250</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1,856,880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(Juniper Landscaping of Florida,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6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41,523,074</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70,408,609</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60" w:type="dxa"/>
            <w:vAlign w:val="bottom"/>
            <w:gridSpan w:val="4"/>
            <w:shd w:val="clear" w:color="auto" w:fill="CFF0FC"/>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0"/>
              </w:rPr>
              <w:t>1,042,324,490</w:t>
            </w: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1,073,644,309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60" w:type="dxa"/>
            <w:vAlign w:val="bottom"/>
            <w:gridSpan w:val="4"/>
          </w:tcPr>
          <w:p>
            <w:pPr>
              <w:spacing w:after="0"/>
              <w:rPr>
                <w:sz w:val="20"/>
                <w:szCs w:val="20"/>
                <w:color w:val="auto"/>
              </w:rPr>
            </w:pPr>
            <w:r>
              <w:rPr>
                <w:rFonts w:ascii="Arial" w:cs="Arial" w:eastAsia="Arial" w:hAnsi="Arial"/>
                <w:sz w:val="11"/>
                <w:szCs w:val="11"/>
                <w:b w:val="1"/>
                <w:bCs w:val="1"/>
                <w:color w:val="auto"/>
                <w:w w:val="98"/>
              </w:rPr>
              <w:t xml:space="preserve">Investments in Non-Controlled, Affiliated Portfolio Companies—8.3% </w:t>
            </w:r>
            <w:r>
              <w:rPr>
                <w:rFonts w:ascii="Arial" w:cs="Arial" w:eastAsia="Arial" w:hAnsi="Arial"/>
                <w:sz w:val="9"/>
                <w:szCs w:val="9"/>
                <w:b w:val="1"/>
                <w:bCs w:val="1"/>
                <w:color w:val="auto"/>
                <w:w w:val="98"/>
              </w:rPr>
              <w:t>(1), (2)</w:t>
            </w: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 xml:space="preserve">Preferred Equity/Partnership Interests—7.8% </w:t>
            </w:r>
            <w:r>
              <w:rPr>
                <w:rFonts w:ascii="Arial" w:cs="Arial" w:eastAsia="Arial" w:hAnsi="Arial"/>
                <w:sz w:val="9"/>
                <w:szCs w:val="9"/>
                <w:b w:val="1"/>
                <w:bCs w:val="1"/>
                <w:color w:val="auto"/>
              </w:rPr>
              <w:t>(6)</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ETX Energy, LLC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61,732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6,173,200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19,334,462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0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153,922</w:t>
            </w: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15,392,189</w:t>
            </w: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26,669,038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6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21,565,389</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46,003,500</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w w:val="99"/>
              </w:rPr>
              <w:t xml:space="preserve">Common Equity/Partnership Interests/Warrants—0.5% </w:t>
            </w:r>
            <w:r>
              <w:rPr>
                <w:rFonts w:ascii="Arial" w:cs="Arial" w:eastAsia="Arial" w:hAnsi="Arial"/>
                <w:sz w:val="9"/>
                <w:szCs w:val="9"/>
                <w:b w:val="1"/>
                <w:bCs w:val="1"/>
                <w:color w:val="auto"/>
                <w:w w:val="99"/>
              </w:rPr>
              <w:t>(6)</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1,658,389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29,711,576</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ETX Energy Management Company,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Oil and Gas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1,754,104</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1,562,020</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tcBorders>
              <w:bottom w:val="single" w:sz="8" w:color="CFF0FC"/>
            </w:tcBorders>
            <w:gridSpan w:val="2"/>
          </w:tcPr>
          <w:p>
            <w:pPr>
              <w:jc w:val="center"/>
              <w:ind w:right="100"/>
              <w:spacing w:after="0"/>
              <w:rPr>
                <w:sz w:val="20"/>
                <w:szCs w:val="20"/>
                <w:color w:val="auto"/>
              </w:rPr>
            </w:pPr>
            <w:r>
              <w:rPr>
                <w:rFonts w:ascii="Arial" w:cs="Arial" w:eastAsia="Arial" w:hAnsi="Arial"/>
                <w:sz w:val="11"/>
                <w:szCs w:val="11"/>
                <w:color w:val="auto"/>
                <w:w w:val="94"/>
              </w:rPr>
              <w:t>Distribution</w:t>
            </w:r>
          </w:p>
        </w:tc>
        <w:tc>
          <w:tcPr>
            <w:tcW w:w="94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rPr>
              <w:t>65,933</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24,761,831</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2,990,505</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56,035,427</w:t>
            </w: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2,990,505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60" w:type="dxa"/>
            <w:vAlign w:val="bottom"/>
            <w:tcBorders>
              <w:bottom w:val="single" w:sz="8" w:color="CFF0FC"/>
            </w:tcBorders>
            <w:gridSpan w:val="4"/>
          </w:tcPr>
          <w:p>
            <w:pPr>
              <w:spacing w:after="0"/>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26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77,600,816</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48,994,005</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60" w:type="dxa"/>
            <w:vAlign w:val="bottom"/>
            <w:gridSpan w:val="4"/>
            <w:shd w:val="clear" w:color="auto" w:fill="CFF0FC"/>
          </w:tcPr>
          <w:p>
            <w:pPr>
              <w:spacing w:after="0"/>
              <w:rPr>
                <w:sz w:val="20"/>
                <w:szCs w:val="20"/>
                <w:color w:val="auto"/>
              </w:rPr>
            </w:pPr>
            <w:r>
              <w:rPr>
                <w:rFonts w:ascii="Arial" w:cs="Arial" w:eastAsia="Arial" w:hAnsi="Arial"/>
                <w:sz w:val="11"/>
                <w:szCs w:val="11"/>
                <w:b w:val="1"/>
                <w:bCs w:val="1"/>
                <w:color w:val="auto"/>
              </w:rPr>
              <w:t xml:space="preserve">Investments in Controlled, Affiliated Portfolio Companies—43.5% </w:t>
            </w:r>
            <w:r>
              <w:rPr>
                <w:rFonts w:ascii="Arial" w:cs="Arial" w:eastAsia="Arial" w:hAnsi="Arial"/>
                <w:sz w:val="9"/>
                <w:szCs w:val="9"/>
                <w:b w:val="1"/>
                <w:bCs w:val="1"/>
                <w:color w:val="auto"/>
              </w:rPr>
              <w:t>(1), (2)</w:t>
            </w: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b w:val="1"/>
                <w:bCs w:val="1"/>
                <w:color w:val="auto"/>
              </w:rPr>
              <w:t>First Lien Secured Debt—13.2%</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640" w:type="dxa"/>
            <w:vAlign w:val="bottom"/>
            <w:gridSpan w:val="2"/>
            <w:shd w:val="clear" w:color="auto" w:fill="CFF0FC"/>
          </w:tcPr>
          <w:p>
            <w:pPr>
              <w:ind w:left="140"/>
              <w:spacing w:after="0"/>
              <w:rPr>
                <w:sz w:val="20"/>
                <w:szCs w:val="20"/>
                <w:color w:val="auto"/>
              </w:rPr>
            </w:pPr>
            <w:r>
              <w:rPr>
                <w:rFonts w:ascii="Arial" w:cs="Arial" w:eastAsia="Arial" w:hAnsi="Arial"/>
                <w:sz w:val="11"/>
                <w:szCs w:val="11"/>
                <w:color w:val="auto"/>
                <w:w w:val="87"/>
              </w:rPr>
              <w:t>03/13/2024</w:t>
            </w:r>
          </w:p>
        </w:tc>
        <w:tc>
          <w:tcPr>
            <w:tcW w:w="220" w:type="dxa"/>
            <w:vAlign w:val="bottom"/>
            <w:shd w:val="clear" w:color="auto" w:fill="CFF0FC"/>
          </w:tcPr>
          <w:p>
            <w:pPr>
              <w:spacing w:after="0"/>
              <w:rPr>
                <w:sz w:val="11"/>
                <w:szCs w:val="11"/>
                <w:color w:val="auto"/>
              </w:rPr>
            </w:pP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6.54%</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L+575</w:t>
            </w:r>
          </w:p>
        </w:tc>
        <w:tc>
          <w:tcPr>
            <w:tcW w:w="100" w:type="dxa"/>
            <w:vAlign w:val="bottom"/>
            <w:shd w:val="clear" w:color="auto" w:fill="CFF0FC"/>
          </w:tcPr>
          <w:p>
            <w:pPr>
              <w:jc w:val="right"/>
              <w:ind w:right="33"/>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28,000,000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39,051,600</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37,093,000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RAM Energy LLC (Revolver)</w:t>
            </w:r>
          </w:p>
        </w:tc>
        <w:tc>
          <w:tcPr>
            <w:tcW w:w="640" w:type="dxa"/>
            <w:vAlign w:val="bottom"/>
            <w:tcBorders>
              <w:bottom w:val="single" w:sz="8" w:color="CFF0FC"/>
            </w:tcBorders>
            <w:gridSpan w:val="2"/>
          </w:tcPr>
          <w:p>
            <w:pPr>
              <w:ind w:left="140"/>
              <w:spacing w:after="0"/>
              <w:rPr>
                <w:sz w:val="20"/>
                <w:szCs w:val="20"/>
                <w:color w:val="auto"/>
              </w:rPr>
            </w:pPr>
            <w:r>
              <w:rPr>
                <w:rFonts w:ascii="Arial" w:cs="Arial" w:eastAsia="Arial" w:hAnsi="Arial"/>
                <w:sz w:val="11"/>
                <w:szCs w:val="11"/>
                <w:color w:val="auto"/>
                <w:w w:val="87"/>
              </w:rPr>
              <w:t>07/01/2022</w:t>
            </w:r>
          </w:p>
        </w:tc>
        <w:tc>
          <w:tcPr>
            <w:tcW w:w="220" w:type="dxa"/>
            <w:vAlign w:val="bottom"/>
            <w:tcBorders>
              <w:bottom w:val="single" w:sz="8" w:color="CFF0FC"/>
            </w:tcBorders>
          </w:tcPr>
          <w:p>
            <w:pPr>
              <w:spacing w:after="0"/>
              <w:rPr>
                <w:sz w:val="11"/>
                <w:szCs w:val="11"/>
                <w:color w:val="auto"/>
              </w:rPr>
            </w:pPr>
          </w:p>
        </w:tc>
        <w:tc>
          <w:tcPr>
            <w:tcW w:w="2740" w:type="dxa"/>
            <w:vAlign w:val="bottom"/>
            <w:tcBorders>
              <w:bottom w:val="single" w:sz="8" w:color="CFF0FC"/>
            </w:tcBorders>
            <w:gridSpan w:val="2"/>
          </w:tcPr>
          <w:p>
            <w:pPr>
              <w:jc w:val="center"/>
              <w:ind w:right="120"/>
              <w:spacing w:after="0"/>
              <w:rPr>
                <w:sz w:val="20"/>
                <w:szCs w:val="20"/>
                <w:color w:val="auto"/>
              </w:rPr>
            </w:pPr>
            <w:r>
              <w:rPr>
                <w:rFonts w:ascii="Arial" w:cs="Arial" w:eastAsia="Arial" w:hAnsi="Arial"/>
                <w:sz w:val="11"/>
                <w:szCs w:val="11"/>
                <w:color w:val="auto"/>
                <w:w w:val="90"/>
              </w:rPr>
              <w:t>Energy and Utilities</w:t>
            </w:r>
          </w:p>
        </w:tc>
        <w:tc>
          <w:tcPr>
            <w:tcW w:w="94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1"/>
                <w:szCs w:val="11"/>
                <w:color w:val="auto"/>
              </w:rPr>
              <w:t>8.00%</w:t>
            </w:r>
          </w:p>
        </w:tc>
        <w:tc>
          <w:tcPr>
            <w:tcW w:w="98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w w:val="94"/>
              </w:rPr>
              <w:t>40,817,778</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40,817,778</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40,817,778</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79,869,378</w:t>
            </w: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77,910,778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b w:val="1"/>
                <w:bCs w:val="1"/>
                <w:color w:val="auto"/>
              </w:rPr>
              <w:t>Second Lien Secured Debt—8.1%</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PT Network Intermediate Holdings, LLC</w:t>
            </w:r>
          </w:p>
        </w:tc>
        <w:tc>
          <w:tcPr>
            <w:tcW w:w="640" w:type="dxa"/>
            <w:vAlign w:val="bottom"/>
            <w:gridSpan w:val="2"/>
            <w:shd w:val="clear" w:color="auto" w:fill="CFF0FC"/>
          </w:tcPr>
          <w:p>
            <w:pPr>
              <w:ind w:left="140"/>
              <w:spacing w:after="0"/>
              <w:rPr>
                <w:sz w:val="20"/>
                <w:szCs w:val="20"/>
                <w:color w:val="auto"/>
              </w:rPr>
            </w:pPr>
            <w:r>
              <w:rPr>
                <w:rFonts w:ascii="Arial" w:cs="Arial" w:eastAsia="Arial" w:hAnsi="Arial"/>
                <w:sz w:val="11"/>
                <w:szCs w:val="11"/>
                <w:color w:val="auto"/>
                <w:w w:val="87"/>
              </w:rPr>
              <w:t>11/30/2024</w:t>
            </w:r>
          </w:p>
        </w:tc>
        <w:tc>
          <w:tcPr>
            <w:tcW w:w="220" w:type="dxa"/>
            <w:vAlign w:val="bottom"/>
            <w:shd w:val="clear" w:color="auto" w:fill="CFF0FC"/>
          </w:tcPr>
          <w:p>
            <w:pPr>
              <w:spacing w:after="0"/>
              <w:rPr>
                <w:sz w:val="11"/>
                <w:szCs w:val="11"/>
                <w:color w:val="auto"/>
              </w:rPr>
            </w:pP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12.30%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L+1,000</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48,075,740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47,641,605</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47,835,361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(PIK 12.30%)</w:t>
            </w: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6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47,641,605</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47,835,361</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 xml:space="preserve">Preferred Equity—1.9% </w:t>
            </w:r>
            <w:r>
              <w:rPr>
                <w:rFonts w:ascii="Arial" w:cs="Arial" w:eastAsia="Arial" w:hAnsi="Arial"/>
                <w:sz w:val="9"/>
                <w:szCs w:val="9"/>
                <w:b w:val="1"/>
                <w:bCs w:val="1"/>
                <w:color w:val="auto"/>
              </w:rPr>
              <w:t>(6)</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0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36,450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546,750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11,623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0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11.94%</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L+1,000</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833</w:t>
            </w: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10,725,000</w:t>
            </w: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11,313,752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Preferred Equity</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6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11,271,750</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11,325,375</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 xml:space="preserve">Common Equity—20.2% </w:t>
            </w:r>
            <w:r>
              <w:rPr>
                <w:rFonts w:ascii="Arial" w:cs="Arial" w:eastAsia="Arial" w:hAnsi="Arial"/>
                <w:sz w:val="9"/>
                <w:szCs w:val="9"/>
                <w:b w:val="1"/>
                <w:bCs w:val="1"/>
                <w:color w:val="auto"/>
              </w:rPr>
              <w:t>(6)</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950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132,497</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3,671,677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333,333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7,150,000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18,546,515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RAM Energy Holdings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90"/>
              </w:rPr>
              <w:t>Energy and Utilities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135,447</w:t>
            </w: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121,890,295</w:t>
            </w: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96,924,940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Common Equity</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6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134,172,792</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119,143,132</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w w:val="90"/>
              </w:rPr>
              <w:t>Total Investments in Controlled, Affiliated Portfolio Companies</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272,955,525</w:t>
            </w: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256,214,645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Investments—234.1%</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6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1,392,880,831</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1,378,852,959</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Cash and Cash Equivalents—5.5%</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24,214,243</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24,214,243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BNY Mellon Cash Reserve and Cash</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7,861,124</w:t>
            </w: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7,893,406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6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32,075,367</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32,107,649</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Total Investments and Cash Equivalents—239.5%</w:t>
            </w: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6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0"/>
              </w:rPr>
              <w:t>1,424,956,198</w:t>
            </w: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1,410,960,608</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1"/>
                <w:szCs w:val="11"/>
                <w:b w:val="1"/>
                <w:bCs w:val="1"/>
                <w:color w:val="auto"/>
              </w:rPr>
              <w:t>Liabilities in Excess of Other Assets—(139.5%)</w:t>
            </w: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(821,920,549)</w:t>
            </w:r>
          </w:p>
        </w:tc>
        <w:tc>
          <w:tcPr>
            <w:tcW w:w="0" w:type="dxa"/>
            <w:vAlign w:val="bottom"/>
          </w:tcPr>
          <w:p>
            <w:pPr>
              <w:spacing w:after="0"/>
              <w:rPr>
                <w:sz w:val="1"/>
                <w:szCs w:val="1"/>
                <w:color w:val="auto"/>
              </w:rPr>
            </w:pPr>
          </w:p>
        </w:tc>
      </w:tr>
      <w:tr>
        <w:trPr>
          <w:trHeight w:val="135"/>
        </w:trPr>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Net Assets—100.0%</w:t>
            </w: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6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589,040,059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455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3" w:lineRule="exact"/>
        <w:rPr>
          <w:sz w:val="20"/>
          <w:szCs w:val="20"/>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right="120" w:hanging="372"/>
        <w:spacing w:after="0" w:line="269"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spacing w:after="0" w:line="13" w:lineRule="exact"/>
        <w:rPr>
          <w:rFonts w:ascii="Arial" w:cs="Arial" w:eastAsia="Arial" w:hAnsi="Arial"/>
          <w:sz w:val="11"/>
          <w:szCs w:val="11"/>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securities, or a portion thereof, are pledged as collateral under the BNP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spacing w:after="0" w:line="37" w:lineRule="exact"/>
        <w:rPr>
          <w:rFonts w:ascii="Arial" w:cs="Arial" w:eastAsia="Arial" w:hAnsi="Arial"/>
          <w:sz w:val="12"/>
          <w:szCs w:val="12"/>
          <w:color w:val="auto"/>
        </w:rPr>
      </w:pPr>
    </w:p>
    <w:p>
      <w:pPr>
        <w:ind w:left="380" w:right="20" w:hanging="372"/>
        <w:spacing w:after="0" w:line="294"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2019, qualifying assets represent 96% of the Company’s total assets and non-qualifying assets represent 4% of the Company’s total assets.</w:t>
      </w: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7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Spread</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740" w:type="dxa"/>
            <w:vAlign w:val="bottom"/>
          </w:tcPr>
          <w:p>
            <w:pPr>
              <w:spacing w:after="0"/>
              <w:rPr>
                <w:sz w:val="10"/>
                <w:szCs w:val="10"/>
                <w:color w:val="auto"/>
              </w:rPr>
            </w:pPr>
          </w:p>
        </w:tc>
        <w:tc>
          <w:tcPr>
            <w:tcW w:w="1300" w:type="dxa"/>
            <w:vAlign w:val="bottom"/>
          </w:tcPr>
          <w:p>
            <w:pPr>
              <w:ind w:left="500"/>
              <w:spacing w:after="0" w:line="122" w:lineRule="exact"/>
              <w:rPr>
                <w:sz w:val="20"/>
                <w:szCs w:val="20"/>
                <w:color w:val="auto"/>
              </w:rPr>
            </w:pPr>
            <w:r>
              <w:rPr>
                <w:rFonts w:ascii="Arial" w:cs="Arial" w:eastAsia="Arial" w:hAnsi="Arial"/>
                <w:sz w:val="11"/>
                <w:szCs w:val="11"/>
                <w:b w:val="1"/>
                <w:bCs w:val="1"/>
                <w:color w:val="auto"/>
              </w:rPr>
              <w:t>Maturity /</w:t>
            </w: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Above</w:t>
            </w:r>
          </w:p>
        </w:tc>
        <w:tc>
          <w:tcPr>
            <w:tcW w:w="6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300" w:type="dxa"/>
            <w:vAlign w:val="bottom"/>
          </w:tcPr>
          <w:p>
            <w:pPr>
              <w:ind w:left="480"/>
              <w:spacing w:after="0"/>
              <w:rPr>
                <w:sz w:val="20"/>
                <w:szCs w:val="20"/>
                <w:color w:val="auto"/>
              </w:rPr>
            </w:pPr>
            <w:r>
              <w:rPr>
                <w:rFonts w:ascii="Arial" w:cs="Arial" w:eastAsia="Arial" w:hAnsi="Arial"/>
                <w:sz w:val="11"/>
                <w:szCs w:val="11"/>
                <w:b w:val="1"/>
                <w:bCs w:val="1"/>
                <w:color w:val="auto"/>
              </w:rPr>
              <w:t>Expiration</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68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r>
      <w:tr>
        <w:trPr>
          <w:trHeight w:val="128"/>
        </w:trPr>
        <w:tc>
          <w:tcPr>
            <w:tcW w:w="40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1"/>
                <w:szCs w:val="11"/>
                <w:b w:val="1"/>
                <w:bCs w:val="1"/>
                <w:color w:val="auto"/>
                <w:w w:val="96"/>
              </w:rPr>
              <w:t xml:space="preserve">Investments in Non-Controlled, Non-Affiliated Portfolio Companies—161.0 </w:t>
            </w:r>
            <w:r>
              <w:rPr>
                <w:rFonts w:ascii="Arial" w:cs="Arial" w:eastAsia="Arial" w:hAnsi="Arial"/>
                <w:sz w:val="9"/>
                <w:szCs w:val="9"/>
                <w:b w:val="1"/>
                <w:bCs w:val="1"/>
                <w:color w:val="auto"/>
                <w:w w:val="96"/>
              </w:rPr>
              <w:t>(1), (2)</w:t>
            </w:r>
          </w:p>
        </w:tc>
        <w:tc>
          <w:tcPr>
            <w:tcW w:w="25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First Lien Secured Debt—100.7%</w:t>
            </w:r>
          </w:p>
        </w:tc>
        <w:tc>
          <w:tcPr>
            <w:tcW w:w="13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Altamira Technologies, LLC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07/24/2025</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8.28%</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1,000,000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985,250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1,000,000</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07/24/2025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187,500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12/21/2023</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8.10%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31,044,000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30,504,462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30,578,340</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12/21/2023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1,350,649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(20,260)</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Bazaarvoice, Inc.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02/01/2024</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0"/>
              </w:rPr>
              <w:t>Printing and Publishing</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7.79%</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L+575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14,775,844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14,652,557</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14,628,085</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Bottom Line Systems,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02/13/2023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8.04%</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L+600</w:t>
            </w:r>
          </w:p>
        </w:tc>
        <w:tc>
          <w:tcPr>
            <w:tcW w:w="680" w:type="dxa"/>
            <w:vAlign w:val="bottom"/>
          </w:tcPr>
          <w:p>
            <w:pPr>
              <w:jc w:val="right"/>
              <w:spacing w:after="0"/>
              <w:rPr>
                <w:sz w:val="20"/>
                <w:szCs w:val="20"/>
                <w:color w:val="auto"/>
              </w:rPr>
            </w:pPr>
            <w:r>
              <w:rPr>
                <w:rFonts w:ascii="Arial" w:cs="Arial" w:eastAsia="Arial" w:hAnsi="Arial"/>
                <w:sz w:val="11"/>
                <w:szCs w:val="11"/>
                <w:color w:val="auto"/>
              </w:rPr>
              <w:t>21,722,525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21,510,208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21,718,181</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Broder Bros., Co.</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12/02/2022</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10.60%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L+850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27,218,672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27,219,280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27,218,672</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Cano Health,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12/23/2021</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8.36%</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29,073,557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28,790,688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29,073,557</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DermaRite Industries LLC</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03/03/2022</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0"/>
              </w:rPr>
              <w:t>Manufacturing / Basic Industries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9.04%</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L+700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9,750,000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9,663,494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9,255,675</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Deva Holdings, Inc.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10/31/2023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7.54%</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4,486,071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4,421,743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4,486,071</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Deva Holdings, Inc.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10/31/2022</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385,000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HW Holdco,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12/10/2024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8.39%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17,480,806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17,317,655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17,480,806</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HW Holdco, LLC (Revolver)</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12/10/2024</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8.39%</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L+625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487,742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487,742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487,742</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12/10/2024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2,899,355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Impact Group, LLC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06/27/2023</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7"/>
              </w:rPr>
              <w:t>Personal, Food and Miscellaneous Services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8.72%</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L+650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20,101,907</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20,001,084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19,900,888</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Juniper Landscaping of Florida,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12/22/2021</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87"/>
              </w:rPr>
              <w:t>Personal, Food and Miscellaneous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10.61%</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14,627,202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14,463,765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14,627,202</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12/20/2023</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7.33%</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L+475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26,929,833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26,577,555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26,603,982</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K2 Pure Solutions NoCal, L.P.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12/20/2023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7.30%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678,333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678,333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670,125</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12/20/2023</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1,259,762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(15,243)</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03/07/2025</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0"/>
              </w:rPr>
              <w:t>Hotels, Motels, Inns and Gaming</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10.60%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10,024,046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9,831,274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10,024,046</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03/07/2025</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0"/>
              </w:rPr>
              <w:t>Hotels, Motels, Inns and Gaming</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2,482,759</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Lombart Brothers, Inc.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04/13/2023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8.35%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17,093,818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16,900,562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16,922,880</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Lombart Brothers, Inc. (Revolver)</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04/13/2023</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10.00%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P+500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624,675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624,675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621,551</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04/13/2023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1,145,237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(5,726)</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MeritDirect, LLC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05/23/2024</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8.06%</w:t>
            </w:r>
          </w:p>
        </w:tc>
        <w:tc>
          <w:tcPr>
            <w:tcW w:w="9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3ML+550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19,539,663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19,263,565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19,246,568</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05/23/2024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2,518,345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(37,775)</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Ox Two, LLC</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02/27/2023</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8.29%</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21,785,448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21,461,501</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21,785,448</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Ox Two, LLC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02/27/2023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12.25%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P+725</w:t>
            </w:r>
          </w:p>
        </w:tc>
        <w:tc>
          <w:tcPr>
            <w:tcW w:w="680" w:type="dxa"/>
            <w:vAlign w:val="bottom"/>
          </w:tcPr>
          <w:p>
            <w:pPr>
              <w:jc w:val="right"/>
              <w:spacing w:after="0"/>
              <w:rPr>
                <w:sz w:val="20"/>
                <w:szCs w:val="20"/>
                <w:color w:val="auto"/>
              </w:rPr>
            </w:pPr>
            <w:r>
              <w:rPr>
                <w:rFonts w:ascii="Arial" w:cs="Arial" w:eastAsia="Arial" w:hAnsi="Arial"/>
                <w:sz w:val="11"/>
                <w:szCs w:val="11"/>
                <w:color w:val="auto"/>
              </w:rPr>
              <w:t>2,288,000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2,288,000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2,288,000</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02/27/2023</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212,000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Peninsula Pacific Entertainment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11/13/2024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0"/>
              </w:rPr>
              <w:t>Hotels, Motels, Inns and Gaming</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9.35%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L+725</w:t>
            </w:r>
          </w:p>
        </w:tc>
        <w:tc>
          <w:tcPr>
            <w:tcW w:w="680" w:type="dxa"/>
            <w:vAlign w:val="bottom"/>
          </w:tcPr>
          <w:p>
            <w:pPr>
              <w:jc w:val="right"/>
              <w:spacing w:after="0"/>
              <w:rPr>
                <w:sz w:val="20"/>
                <w:szCs w:val="20"/>
                <w:color w:val="auto"/>
              </w:rPr>
            </w:pPr>
            <w:r>
              <w:rPr>
                <w:rFonts w:ascii="Arial" w:cs="Arial" w:eastAsia="Arial" w:hAnsi="Arial"/>
                <w:sz w:val="11"/>
                <w:szCs w:val="11"/>
                <w:color w:val="auto"/>
              </w:rPr>
              <w:t>8,495,190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8,480,683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8,495,190</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Pestell Minerals and Ingredients Inc. </w:t>
            </w:r>
            <w:r>
              <w:rPr>
                <w:rFonts w:ascii="Arial" w:cs="Arial" w:eastAsia="Arial" w:hAnsi="Arial"/>
                <w:sz w:val="9"/>
                <w:szCs w:val="9"/>
                <w:color w:val="auto"/>
              </w:rPr>
              <w:t>(5), (8), (11)</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06/01/2023</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Beverage, Food and Tobacco</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7.57%</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5,458,750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5,411,313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5,404,163</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PlayPower, Inc.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05/08/2026</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7.60%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4,189,500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4,148,451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4,184,263</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PRA Events, Inc.</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08/08/2022</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9.11%</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L+700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19,380,021</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19,137,807</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19,380,021</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PRA Events, Inc.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08/08/2022</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Provation Medical, Inc.</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03/11/2024</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Electronics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9.34%</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L+700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26,797,500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26,265,386</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26,422,335</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Quantum Spatial, Inc. </w:t>
            </w:r>
            <w:r>
              <w:rPr>
                <w:rFonts w:ascii="Arial" w:cs="Arial" w:eastAsia="Arial" w:hAnsi="Arial"/>
                <w:sz w:val="9"/>
                <w:szCs w:val="9"/>
                <w:color w:val="auto"/>
              </w:rPr>
              <w:t>(5)</w:t>
            </w:r>
          </w:p>
        </w:tc>
        <w:tc>
          <w:tcPr>
            <w:tcW w:w="1300" w:type="dxa"/>
            <w:vAlign w:val="bottom"/>
          </w:tcPr>
          <w:p>
            <w:pPr>
              <w:jc w:val="center"/>
              <w:ind w:left="106"/>
              <w:spacing w:after="0"/>
              <w:rPr>
                <w:sz w:val="20"/>
                <w:szCs w:val="20"/>
                <w:color w:val="auto"/>
              </w:rPr>
            </w:pPr>
            <w:r>
              <w:rPr>
                <w:rFonts w:ascii="Arial" w:cs="Arial" w:eastAsia="Arial" w:hAnsi="Arial"/>
                <w:sz w:val="11"/>
                <w:szCs w:val="11"/>
                <w:color w:val="auto"/>
                <w:w w:val="88"/>
              </w:rPr>
              <w:t>09/04/24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7.32%</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15,000,000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14,777,156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14,775,000</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Questex, LLC</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09/09/2024</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7.11%</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22,275,000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21,892,186</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22,052,250</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09/09/2024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3,590,426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(35,904)</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Radius Aerospace, Inc.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03/31/2025</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7.85%</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8,528,572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8,408,418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8,464,608</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Radius Aerospace, Inc.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03/31/2025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8.61%</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428,571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428,571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425,358</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Radius Aerospace, Inc. (Revolver)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03/31/2025</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(7,498)</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Research Horizons,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06/28/2022</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8.36%</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31,036,318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30,707,239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30,415,591</w:t>
            </w:r>
          </w:p>
        </w:tc>
        <w:tc>
          <w:tcPr>
            <w:tcW w:w="120" w:type="dxa"/>
            <w:vAlign w:val="bottom"/>
          </w:tcPr>
          <w:p>
            <w:pPr>
              <w:spacing w:after="0"/>
              <w:rPr>
                <w:sz w:val="11"/>
                <w:szCs w:val="11"/>
                <w:color w:val="auto"/>
              </w:rPr>
            </w:pPr>
          </w:p>
        </w:tc>
      </w:tr>
      <w:tr>
        <w:trPr>
          <w:trHeight w:val="125"/>
        </w:trPr>
        <w:tc>
          <w:tcPr>
            <w:tcW w:w="274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1300" w:type="dxa"/>
            <w:vAlign w:val="bottom"/>
            <w:shd w:val="clear" w:color="auto" w:fill="CFF0FC"/>
          </w:tcPr>
          <w:p>
            <w:pPr>
              <w:spacing w:after="0"/>
              <w:rPr>
                <w:sz w:val="10"/>
                <w:szCs w:val="10"/>
                <w:color w:val="auto"/>
              </w:rPr>
            </w:pPr>
          </w:p>
        </w:tc>
        <w:tc>
          <w:tcPr>
            <w:tcW w:w="2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31"/>
        </w:trPr>
        <w:tc>
          <w:tcPr>
            <w:tcW w:w="2740" w:type="dxa"/>
            <w:vAlign w:val="bottom"/>
            <w:shd w:val="clear" w:color="auto" w:fill="CFF0FC"/>
          </w:tcPr>
          <w:p>
            <w:pPr>
              <w:ind w:left="80"/>
              <w:spacing w:after="0"/>
              <w:rPr>
                <w:sz w:val="20"/>
                <w:szCs w:val="20"/>
                <w:color w:val="auto"/>
              </w:rPr>
            </w:pPr>
            <w:r>
              <w:rPr>
                <w:rFonts w:ascii="Arial" w:cs="Arial" w:eastAsia="Arial" w:hAnsi="Arial"/>
                <w:sz w:val="11"/>
                <w:szCs w:val="11"/>
                <w:color w:val="auto"/>
              </w:rPr>
              <w:t>Sampling International LLC (5)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12/20/2024</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7.75%</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9,924,242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9,782,674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9,939,724</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Riverpoint Medical,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06/20/2025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7.39%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1,995,000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1,975,739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1,984,626</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06/20/2025</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363,636</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(1,891)</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Schlesinger Global, Inc.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07/14/2025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7.10%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371,318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365,869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371,318</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Schlesinger Global, Inc.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07/14/2025</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81,514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Schlesinger Global, Inc.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07/14/2025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7.82%</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13,586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13,586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13,586</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07/14/2025</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24,454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Signature Systems Holding Company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05/03/2024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8.60%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P+650</w:t>
            </w:r>
          </w:p>
        </w:tc>
        <w:tc>
          <w:tcPr>
            <w:tcW w:w="680" w:type="dxa"/>
            <w:vAlign w:val="bottom"/>
          </w:tcPr>
          <w:p>
            <w:pPr>
              <w:jc w:val="right"/>
              <w:spacing w:after="0"/>
              <w:rPr>
                <w:sz w:val="20"/>
                <w:szCs w:val="20"/>
                <w:color w:val="auto"/>
              </w:rPr>
            </w:pPr>
            <w:r>
              <w:rPr>
                <w:rFonts w:ascii="Arial" w:cs="Arial" w:eastAsia="Arial" w:hAnsi="Arial"/>
                <w:sz w:val="11"/>
                <w:szCs w:val="11"/>
                <w:color w:val="auto"/>
              </w:rPr>
              <w:t>14,906,271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14,699,927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14,906,271</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05/03/2024</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2,016,129</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Solutionreach, Inc.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01/17/2024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90"/>
              </w:rPr>
              <w:t>Communications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7.79%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13,253,400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13,015,745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13,082,432</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01/17/2024</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0"/>
              </w:rPr>
              <w:t>Communications</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1,665,000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(21,478)</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Triad Manufacturing, Inc.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12/28/2020</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90"/>
              </w:rPr>
              <w:t>Manufacturing / Basic Industries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13.29%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L+1,125</w:t>
            </w:r>
          </w:p>
        </w:tc>
        <w:tc>
          <w:tcPr>
            <w:tcW w:w="680" w:type="dxa"/>
            <w:vAlign w:val="bottom"/>
          </w:tcPr>
          <w:p>
            <w:pPr>
              <w:jc w:val="right"/>
              <w:spacing w:after="0"/>
              <w:rPr>
                <w:sz w:val="20"/>
                <w:szCs w:val="20"/>
                <w:color w:val="auto"/>
              </w:rPr>
            </w:pPr>
            <w:r>
              <w:rPr>
                <w:rFonts w:ascii="Arial" w:cs="Arial" w:eastAsia="Arial" w:hAnsi="Arial"/>
                <w:sz w:val="11"/>
                <w:szCs w:val="11"/>
                <w:color w:val="auto"/>
              </w:rPr>
              <w:t>21,589,610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21,447,963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21,373,714</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01/18/2024</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7"/>
              </w:rPr>
              <w:t>Transportation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7.55%</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32,960,373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32,378,623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32,960,373</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01/18/2024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7"/>
              </w:rPr>
              <w:t>Transportation</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4,053,227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TVC Enterprises, LLC (Revolver)</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01/18/2024</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7"/>
              </w:rPr>
              <w:t>Transportation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7.61%</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967,902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967,902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967,902</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01/18/2024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7"/>
              </w:rPr>
              <w:t>Transportation</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1,734,249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TWS Acquisition Corporation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06/16/2025</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Education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8.28%</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8,850,000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8,640,294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8,673,000</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TWS Acquisition Corporation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06/16/2025</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Education</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8.28%</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505,714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505,714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495,600</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06/16/2025</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Education</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1,137,857</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(22,757)</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Tyto Athene,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08/27/2024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7.80%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6,203,031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6,175,004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6,018,180</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UBEO, LLC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04/03/2024</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0"/>
              </w:rPr>
              <w:t>Printing and Publishing</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6.78%</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2,300,400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2,279,160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2,277,396</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US Med Acquisition, Inc.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08/13/2021</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11.10%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L+900</w:t>
            </w:r>
          </w:p>
        </w:tc>
        <w:tc>
          <w:tcPr>
            <w:tcW w:w="680" w:type="dxa"/>
            <w:vAlign w:val="bottom"/>
          </w:tcPr>
          <w:p>
            <w:pPr>
              <w:jc w:val="right"/>
              <w:spacing w:after="0"/>
              <w:rPr>
                <w:sz w:val="20"/>
                <w:szCs w:val="20"/>
                <w:color w:val="auto"/>
              </w:rPr>
            </w:pPr>
            <w:r>
              <w:rPr>
                <w:rFonts w:ascii="Arial" w:cs="Arial" w:eastAsia="Arial" w:hAnsi="Arial"/>
                <w:sz w:val="11"/>
                <w:szCs w:val="11"/>
                <w:color w:val="auto"/>
              </w:rPr>
              <w:t>8,389,063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8,389,063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8,389,063</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Vision Purchaser Corporation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06/10/2025</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8.30%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3,440,998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3,374,373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3,406,588</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Walker Edison Furniture Company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09/26/2024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Home and Office Furnishings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8.83%</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L+650</w:t>
            </w:r>
          </w:p>
        </w:tc>
        <w:tc>
          <w:tcPr>
            <w:tcW w:w="680" w:type="dxa"/>
            <w:vAlign w:val="bottom"/>
          </w:tcPr>
          <w:p>
            <w:pPr>
              <w:jc w:val="right"/>
              <w:spacing w:after="0"/>
              <w:rPr>
                <w:sz w:val="20"/>
                <w:szCs w:val="20"/>
                <w:color w:val="auto"/>
              </w:rPr>
            </w:pPr>
            <w:r>
              <w:rPr>
                <w:rFonts w:ascii="Arial" w:cs="Arial" w:eastAsia="Arial" w:hAnsi="Arial"/>
                <w:sz w:val="11"/>
                <w:szCs w:val="11"/>
                <w:color w:val="auto"/>
              </w:rPr>
              <w:t>22,078,125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21,695,009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22,243,711</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10/18/2022</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9.55%</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L+750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10,204,866</w:t>
            </w:r>
          </w:p>
        </w:tc>
        <w:tc>
          <w:tcPr>
            <w:tcW w:w="24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10,061,266</w:t>
            </w:r>
          </w:p>
        </w:tc>
        <w:tc>
          <w:tcPr>
            <w:tcW w:w="24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10,204,866</w:t>
            </w:r>
          </w:p>
        </w:tc>
        <w:tc>
          <w:tcPr>
            <w:tcW w:w="120" w:type="dxa"/>
            <w:vAlign w:val="bottom"/>
            <w:shd w:val="clear" w:color="auto" w:fill="CFF0FC"/>
          </w:tcPr>
          <w:p>
            <w:pPr>
              <w:spacing w:after="0"/>
              <w:rPr>
                <w:sz w:val="11"/>
                <w:szCs w:val="11"/>
                <w:color w:val="auto"/>
              </w:rPr>
            </w:pPr>
          </w:p>
        </w:tc>
      </w:tr>
      <w:tr>
        <w:trPr>
          <w:trHeight w:val="129"/>
        </w:trPr>
        <w:tc>
          <w:tcPr>
            <w:tcW w:w="2740" w:type="dxa"/>
            <w:vAlign w:val="bottom"/>
          </w:tcPr>
          <w:p>
            <w:pPr>
              <w:spacing w:after="0"/>
              <w:rPr>
                <w:sz w:val="20"/>
                <w:szCs w:val="20"/>
                <w:color w:val="auto"/>
              </w:rPr>
            </w:pPr>
            <w:r>
              <w:rPr>
                <w:rFonts w:ascii="Arial" w:cs="Arial" w:eastAsia="Arial" w:hAnsi="Arial"/>
                <w:sz w:val="11"/>
                <w:szCs w:val="11"/>
                <w:b w:val="1"/>
                <w:bCs w:val="1"/>
                <w:color w:val="auto"/>
              </w:rPr>
              <w:t>Total First Lien Secured Debt</w:t>
            </w:r>
          </w:p>
        </w:tc>
        <w:tc>
          <w:tcPr>
            <w:tcW w:w="13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583,068,514</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585,776,415</w:t>
            </w:r>
          </w:p>
        </w:tc>
        <w:tc>
          <w:tcPr>
            <w:tcW w:w="120" w:type="dxa"/>
            <w:vAlign w:val="bottom"/>
          </w:tcPr>
          <w:p>
            <w:pPr>
              <w:spacing w:after="0"/>
              <w:rPr>
                <w:sz w:val="11"/>
                <w:szCs w:val="1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Maturity /</w:t>
            </w: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Expiration</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Coupon</w:t>
            </w: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68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9"/>
                <w:szCs w:val="9"/>
                <w:b w:val="1"/>
                <w:bCs w:val="1"/>
                <w:color w:val="auto"/>
              </w:rPr>
              <w:t>(3)</w:t>
            </w:r>
          </w:p>
        </w:tc>
      </w:tr>
      <w:tr>
        <w:trPr>
          <w:trHeight w:val="128"/>
        </w:trPr>
        <w:tc>
          <w:tcPr>
            <w:tcW w:w="3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1"/>
                <w:szCs w:val="11"/>
                <w:b w:val="1"/>
                <w:bCs w:val="1"/>
                <w:color w:val="auto"/>
              </w:rPr>
              <w:t>Second Lien Secured Debt—38.4%</w:t>
            </w:r>
          </w:p>
        </w:tc>
        <w:tc>
          <w:tcPr>
            <w:tcW w:w="12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6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Condor Borrower, LLC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04/25/2025</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11.01%</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L+875</w:t>
            </w:r>
          </w:p>
        </w:tc>
        <w:tc>
          <w:tcPr>
            <w:tcW w:w="660" w:type="dxa"/>
            <w:vAlign w:val="bottom"/>
          </w:tcPr>
          <w:p>
            <w:pPr>
              <w:jc w:val="right"/>
              <w:spacing w:after="0"/>
              <w:rPr>
                <w:sz w:val="20"/>
                <w:szCs w:val="20"/>
                <w:color w:val="auto"/>
              </w:rPr>
            </w:pPr>
            <w:r>
              <w:rPr>
                <w:rFonts w:ascii="Arial" w:cs="Arial" w:eastAsia="Arial" w:hAnsi="Arial"/>
                <w:sz w:val="11"/>
                <w:szCs w:val="11"/>
                <w:color w:val="auto"/>
              </w:rPr>
              <w:t>10,344,828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   10,176,236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   10,241,379</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Confie Seguros Holding Co.</w:t>
            </w:r>
          </w:p>
        </w:tc>
        <w:tc>
          <w:tcPr>
            <w:tcW w:w="6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0"/>
              </w:rPr>
              <w:t>10/31/2025</w:t>
            </w:r>
          </w:p>
        </w:tc>
        <w:tc>
          <w:tcPr>
            <w:tcW w:w="220" w:type="dxa"/>
            <w:vAlign w:val="bottom"/>
            <w:shd w:val="clear" w:color="auto" w:fill="CFF0FC"/>
          </w:tcPr>
          <w:p>
            <w:pPr>
              <w:spacing w:after="0"/>
              <w:rPr>
                <w:sz w:val="11"/>
                <w:szCs w:val="11"/>
                <w:color w:val="auto"/>
              </w:rPr>
            </w:pP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11.02%</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14,500,000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14,244,005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13,593,750</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DecoPac,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03/31/2025</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10.35%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tcPr>
          <w:p>
            <w:pPr>
              <w:jc w:val="right"/>
              <w:spacing w:after="0"/>
              <w:rPr>
                <w:sz w:val="20"/>
                <w:szCs w:val="20"/>
                <w:color w:val="auto"/>
              </w:rPr>
            </w:pPr>
            <w:r>
              <w:rPr>
                <w:rFonts w:ascii="Arial" w:cs="Arial" w:eastAsia="Arial" w:hAnsi="Arial"/>
                <w:sz w:val="11"/>
                <w:szCs w:val="11"/>
                <w:color w:val="auto"/>
              </w:rPr>
              <w:t>19,627,143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19,345,304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19,627,143</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Halo Buyer, Inc.</w:t>
            </w:r>
          </w:p>
        </w:tc>
        <w:tc>
          <w:tcPr>
            <w:tcW w:w="6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0"/>
              </w:rPr>
              <w:t>07/06/2026</w:t>
            </w:r>
          </w:p>
        </w:tc>
        <w:tc>
          <w:tcPr>
            <w:tcW w:w="220" w:type="dxa"/>
            <w:vAlign w:val="bottom"/>
            <w:shd w:val="clear" w:color="auto" w:fill="CFF0FC"/>
          </w:tcPr>
          <w:p>
            <w:pPr>
              <w:spacing w:after="0"/>
              <w:rPr>
                <w:sz w:val="11"/>
                <w:szCs w:val="11"/>
                <w:color w:val="auto"/>
              </w:rPr>
            </w:pP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10.29%</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L+825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32,500,000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32,034,317</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32,012,500</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Infogroup,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04/03/2024</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11.35%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L+925</w:t>
            </w:r>
          </w:p>
        </w:tc>
        <w:tc>
          <w:tcPr>
            <w:tcW w:w="660" w:type="dxa"/>
            <w:vAlign w:val="bottom"/>
          </w:tcPr>
          <w:p>
            <w:pPr>
              <w:jc w:val="right"/>
              <w:spacing w:after="0"/>
              <w:rPr>
                <w:sz w:val="20"/>
                <w:szCs w:val="20"/>
                <w:color w:val="auto"/>
              </w:rPr>
            </w:pPr>
            <w:r>
              <w:rPr>
                <w:rFonts w:ascii="Arial" w:cs="Arial" w:eastAsia="Arial" w:hAnsi="Arial"/>
                <w:sz w:val="11"/>
                <w:szCs w:val="11"/>
                <w:color w:val="auto"/>
              </w:rPr>
              <w:t>20,400,000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20,103,563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20,094,000</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MailSouth, Inc.</w:t>
            </w:r>
          </w:p>
        </w:tc>
        <w:tc>
          <w:tcPr>
            <w:tcW w:w="6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0"/>
              </w:rPr>
              <w:t>10/23/2024</w:t>
            </w:r>
          </w:p>
        </w:tc>
        <w:tc>
          <w:tcPr>
            <w:tcW w:w="220" w:type="dxa"/>
            <w:vAlign w:val="bottom"/>
            <w:shd w:val="clear" w:color="auto" w:fill="CFF0FC"/>
          </w:tcPr>
          <w:p>
            <w:pPr>
              <w:spacing w:after="0"/>
              <w:rPr>
                <w:sz w:val="11"/>
                <w:szCs w:val="11"/>
                <w:color w:val="auto"/>
              </w:rPr>
            </w:pP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12.00%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12M L+925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36,828,975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36,207,203</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35,724,106</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MBS Holdings,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01/02/2024</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10.60%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tcPr>
          <w:p>
            <w:pPr>
              <w:jc w:val="right"/>
              <w:spacing w:after="0"/>
              <w:rPr>
                <w:sz w:val="20"/>
                <w:szCs w:val="20"/>
                <w:color w:val="auto"/>
              </w:rPr>
            </w:pPr>
            <w:r>
              <w:rPr>
                <w:rFonts w:ascii="Arial" w:cs="Arial" w:eastAsia="Arial" w:hAnsi="Arial"/>
                <w:sz w:val="11"/>
                <w:szCs w:val="11"/>
                <w:color w:val="auto"/>
              </w:rPr>
              <w:t>19,623,649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19,288,817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19,623,649</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Shift4 Payments, LLC</w:t>
            </w:r>
          </w:p>
        </w:tc>
        <w:tc>
          <w:tcPr>
            <w:tcW w:w="6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0"/>
              </w:rPr>
              <w:t>11/28/2025</w:t>
            </w:r>
          </w:p>
        </w:tc>
        <w:tc>
          <w:tcPr>
            <w:tcW w:w="220" w:type="dxa"/>
            <w:vAlign w:val="bottom"/>
            <w:shd w:val="clear" w:color="auto" w:fill="CFF0FC"/>
          </w:tcPr>
          <w:p>
            <w:pPr>
              <w:spacing w:after="0"/>
              <w:rPr>
                <w:sz w:val="11"/>
                <w:szCs w:val="11"/>
                <w:color w:val="auto"/>
              </w:rPr>
            </w:pP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10.76%</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27,000,000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26,945,207</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27,000,000</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VT Topco,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08/24/2026</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9.10%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tcPr>
          <w:p>
            <w:pPr>
              <w:jc w:val="right"/>
              <w:spacing w:after="0"/>
              <w:rPr>
                <w:sz w:val="20"/>
                <w:szCs w:val="20"/>
                <w:color w:val="auto"/>
              </w:rPr>
            </w:pPr>
            <w:r>
              <w:rPr>
                <w:rFonts w:ascii="Arial" w:cs="Arial" w:eastAsia="Arial" w:hAnsi="Arial"/>
                <w:sz w:val="11"/>
                <w:szCs w:val="11"/>
                <w:color w:val="auto"/>
              </w:rPr>
              <w:t>10,000,000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9,953,252</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9,950,000</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Winter Park Intermediate, Inc.</w:t>
            </w:r>
          </w:p>
        </w:tc>
        <w:tc>
          <w:tcPr>
            <w:tcW w:w="6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0"/>
              </w:rPr>
              <w:t>04/06/2026</w:t>
            </w:r>
          </w:p>
        </w:tc>
        <w:tc>
          <w:tcPr>
            <w:tcW w:w="220" w:type="dxa"/>
            <w:vAlign w:val="bottom"/>
            <w:shd w:val="clear" w:color="auto" w:fill="CFF0FC"/>
          </w:tcPr>
          <w:p>
            <w:pPr>
              <w:spacing w:after="0"/>
              <w:rPr>
                <w:sz w:val="11"/>
                <w:szCs w:val="11"/>
                <w:color w:val="auto"/>
              </w:rPr>
            </w:pP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10.54%</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35,300,000</w:t>
            </w:r>
          </w:p>
        </w:tc>
        <w:tc>
          <w:tcPr>
            <w:tcW w:w="24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34,742,373</w:t>
            </w:r>
          </w:p>
        </w:tc>
        <w:tc>
          <w:tcPr>
            <w:tcW w:w="240" w:type="dxa"/>
            <w:vAlign w:val="bottom"/>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35,300,000</w:t>
            </w:r>
          </w:p>
        </w:tc>
        <w:tc>
          <w:tcPr>
            <w:tcW w:w="120" w:type="dxa"/>
            <w:vAlign w:val="bottom"/>
            <w:shd w:val="clear" w:color="auto" w:fill="CFF0FC"/>
          </w:tcPr>
          <w:p>
            <w:pPr>
              <w:spacing w:after="0"/>
              <w:rPr>
                <w:sz w:val="11"/>
                <w:szCs w:val="11"/>
                <w:color w:val="auto"/>
              </w:rPr>
            </w:pPr>
          </w:p>
        </w:tc>
      </w:tr>
      <w:tr>
        <w:trPr>
          <w:trHeight w:val="128"/>
        </w:trPr>
        <w:tc>
          <w:tcPr>
            <w:tcW w:w="3040" w:type="dxa"/>
            <w:vAlign w:val="bottom"/>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223,040,278</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223,166,527</w:t>
            </w:r>
          </w:p>
        </w:tc>
        <w:tc>
          <w:tcPr>
            <w:tcW w:w="120" w:type="dxa"/>
            <w:vAlign w:val="bottom"/>
          </w:tcPr>
          <w:p>
            <w:pPr>
              <w:spacing w:after="0"/>
              <w:rPr>
                <w:sz w:val="11"/>
                <w:szCs w:val="11"/>
                <w:color w:val="auto"/>
              </w:rPr>
            </w:pPr>
          </w:p>
        </w:tc>
      </w:tr>
      <w:tr>
        <w:trPr>
          <w:trHeight w:val="128"/>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Subordinated Debt/Corporate Notes—10.5%</w:t>
            </w:r>
          </w:p>
        </w:tc>
        <w:tc>
          <w:tcPr>
            <w:tcW w:w="12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6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Blackhawk Industrial Distribution,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03/17/2025</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13,773,533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13,529,203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13,773,533</w:t>
            </w:r>
          </w:p>
        </w:tc>
        <w:tc>
          <w:tcPr>
            <w:tcW w:w="120" w:type="dxa"/>
            <w:vAlign w:val="bottom"/>
          </w:tcPr>
          <w:p>
            <w:pPr>
              <w:spacing w:after="0"/>
              <w:rPr>
                <w:sz w:val="12"/>
                <w:szCs w:val="12"/>
                <w:color w:val="auto"/>
              </w:rPr>
            </w:pPr>
          </w:p>
        </w:tc>
      </w:tr>
      <w:tr>
        <w:trPr>
          <w:trHeight w:val="131"/>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2.00%)</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Cascade Environmental LLC</w:t>
            </w:r>
          </w:p>
        </w:tc>
        <w:tc>
          <w:tcPr>
            <w:tcW w:w="6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0"/>
              </w:rPr>
              <w:t>08/20/2021</w:t>
            </w:r>
          </w:p>
        </w:tc>
        <w:tc>
          <w:tcPr>
            <w:tcW w:w="220" w:type="dxa"/>
            <w:vAlign w:val="bottom"/>
            <w:shd w:val="clear" w:color="auto" w:fill="CFF0FC"/>
          </w:tcPr>
          <w:p>
            <w:pPr>
              <w:spacing w:after="0"/>
              <w:rPr>
                <w:sz w:val="11"/>
                <w:szCs w:val="11"/>
                <w:color w:val="auto"/>
              </w:rPr>
            </w:pP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15.00%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48,381,773</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47,992,863</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47,414,137</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(PIK 15.00%)</w:t>
            </w: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29"/>
        </w:trPr>
        <w:tc>
          <w:tcPr>
            <w:tcW w:w="3040" w:type="dxa"/>
            <w:vAlign w:val="bottom"/>
          </w:tcPr>
          <w:p>
            <w:pPr>
              <w:spacing w:after="0"/>
              <w:rPr>
                <w:sz w:val="20"/>
                <w:szCs w:val="20"/>
                <w:color w:val="auto"/>
              </w:rPr>
            </w:pPr>
            <w:r>
              <w:rPr>
                <w:rFonts w:ascii="Arial" w:cs="Arial" w:eastAsia="Arial" w:hAnsi="Arial"/>
                <w:sz w:val="11"/>
                <w:szCs w:val="11"/>
                <w:b w:val="1"/>
                <w:bCs w:val="1"/>
                <w:color w:val="auto"/>
              </w:rPr>
              <w:t>Total Subordinated Debt/Corporate Notes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61,522,066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61,187,670</w:t>
            </w:r>
          </w:p>
        </w:tc>
        <w:tc>
          <w:tcPr>
            <w:tcW w:w="120" w:type="dxa"/>
            <w:vAlign w:val="bottom"/>
          </w:tcPr>
          <w:p>
            <w:pPr>
              <w:spacing w:after="0"/>
              <w:rPr>
                <w:sz w:val="11"/>
                <w:szCs w:val="11"/>
                <w:color w:val="auto"/>
              </w:rPr>
            </w:pPr>
          </w:p>
        </w:tc>
      </w:tr>
      <w:tr>
        <w:trPr>
          <w:trHeight w:val="128"/>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 xml:space="preserve">Preferred Equity/Partnership Interests—0.5% </w:t>
            </w:r>
            <w:r>
              <w:rPr>
                <w:rFonts w:ascii="Arial" w:cs="Arial" w:eastAsia="Arial" w:hAnsi="Arial"/>
                <w:sz w:val="9"/>
                <w:szCs w:val="9"/>
                <w:b w:val="1"/>
                <w:bCs w:val="1"/>
                <w:color w:val="auto"/>
              </w:rPr>
              <w:t>(6)</w:t>
            </w:r>
          </w:p>
        </w:tc>
        <w:tc>
          <w:tcPr>
            <w:tcW w:w="12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6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AH Holdings, Inc.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322,850</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9"/>
                <w:szCs w:val="9"/>
                <w:color w:val="auto"/>
              </w:rPr>
              <w:t>(8), (11)</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556,000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64,277</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71,556</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556,000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491,723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547,406</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MeritDirect Holdings, LP</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540,000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563,657</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NXOF Holdings, Inc. (Tyto Athene, LLC)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106,823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79,190</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12.00%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1,347</w:t>
            </w:r>
          </w:p>
        </w:tc>
        <w:tc>
          <w:tcPr>
            <w:tcW w:w="24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1,346,530</w:t>
            </w:r>
          </w:p>
        </w:tc>
        <w:tc>
          <w:tcPr>
            <w:tcW w:w="240" w:type="dxa"/>
            <w:vAlign w:val="bottom"/>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1,413,300</w:t>
            </w:r>
          </w:p>
        </w:tc>
        <w:tc>
          <w:tcPr>
            <w:tcW w:w="120" w:type="dxa"/>
            <w:vAlign w:val="bottom"/>
            <w:shd w:val="clear" w:color="auto" w:fill="CFF0FC"/>
          </w:tcPr>
          <w:p>
            <w:pPr>
              <w:spacing w:after="0"/>
              <w:rPr>
                <w:sz w:val="11"/>
                <w:szCs w:val="11"/>
                <w:color w:val="auto"/>
              </w:rPr>
            </w:pPr>
          </w:p>
        </w:tc>
      </w:tr>
      <w:tr>
        <w:trPr>
          <w:trHeight w:val="128"/>
        </w:trPr>
        <w:tc>
          <w:tcPr>
            <w:tcW w:w="3040" w:type="dxa"/>
            <w:vAlign w:val="bottom"/>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3,049,353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2,997,959</w:t>
            </w:r>
          </w:p>
        </w:tc>
        <w:tc>
          <w:tcPr>
            <w:tcW w:w="120" w:type="dxa"/>
            <w:vAlign w:val="bottom"/>
          </w:tcPr>
          <w:p>
            <w:pPr>
              <w:spacing w:after="0"/>
              <w:rPr>
                <w:sz w:val="11"/>
                <w:szCs w:val="11"/>
                <w:color w:val="auto"/>
              </w:rPr>
            </w:pPr>
          </w:p>
        </w:tc>
      </w:tr>
      <w:tr>
        <w:trPr>
          <w:trHeight w:val="128"/>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w w:val="99"/>
              </w:rPr>
              <w:t xml:space="preserve">Common Equity/Partnership Interests/Warrants—10.9% </w:t>
            </w:r>
            <w:r>
              <w:rPr>
                <w:rFonts w:ascii="Arial" w:cs="Arial" w:eastAsia="Arial" w:hAnsi="Arial"/>
                <w:sz w:val="9"/>
                <w:szCs w:val="9"/>
                <w:b w:val="1"/>
                <w:bCs w:val="1"/>
                <w:color w:val="auto"/>
                <w:w w:val="99"/>
              </w:rPr>
              <w:t>(6)</w:t>
            </w:r>
          </w:p>
        </w:tc>
        <w:tc>
          <w:tcPr>
            <w:tcW w:w="12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6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Affinion Group Holdings, Inc. (Warrants)</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04/10/2024</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77,190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2,126,399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817,028</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714,652</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714,652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714,652</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(9)</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285,348</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AH Holdings, Inc. (Warrants)</w:t>
            </w:r>
          </w:p>
        </w:tc>
        <w:tc>
          <w:tcPr>
            <w:tcW w:w="6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0"/>
              </w:rPr>
              <w:t>03/23/2021</w:t>
            </w:r>
          </w:p>
        </w:tc>
        <w:tc>
          <w:tcPr>
            <w:tcW w:w="220" w:type="dxa"/>
            <w:vAlign w:val="bottom"/>
            <w:shd w:val="clear" w:color="auto" w:fill="CFF0FC"/>
          </w:tcPr>
          <w:p>
            <w:pPr>
              <w:spacing w:after="0"/>
              <w:rPr>
                <w:sz w:val="11"/>
                <w:szCs w:val="11"/>
                <w:color w:val="auto"/>
              </w:rPr>
            </w:pP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753</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Altamira Intermediate Company II, Inc.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125,000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125,000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125,000</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ASP LCG Holdings, Inc. (Warrants)</w:t>
            </w:r>
          </w:p>
        </w:tc>
        <w:tc>
          <w:tcPr>
            <w:tcW w:w="6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0"/>
              </w:rPr>
              <w:t>05/05/2026</w:t>
            </w:r>
          </w:p>
        </w:tc>
        <w:tc>
          <w:tcPr>
            <w:tcW w:w="220" w:type="dxa"/>
            <w:vAlign w:val="bottom"/>
            <w:shd w:val="clear" w:color="auto" w:fill="CFF0FC"/>
          </w:tcPr>
          <w:p>
            <w:pPr>
              <w:spacing w:after="0"/>
              <w:rPr>
                <w:sz w:val="11"/>
                <w:szCs w:val="11"/>
                <w:color w:val="auto"/>
              </w:rPr>
            </w:pP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933</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586,975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2,260,044</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Autumn Games, LLC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Broadcasting and Entertainment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1,333,330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3,000,000</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Cascade Environmental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33,901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2,852,080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469,430</w:t>
            </w:r>
          </w:p>
        </w:tc>
        <w:tc>
          <w:tcPr>
            <w:tcW w:w="12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CI (Allied) Investment Holdings, LLC</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120,962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1,243,217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1,260,269</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CI (Summit) Investment Holdings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Buildings and Real Estate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114,646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1,171,206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1,504,587</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(SFP Holdings, Inc.)</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Cowboy Parent LLC</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2,250,000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2,278,089</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(Blackhawk Industrial Distribution,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DecoPac Holdings Inc.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3,449</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3,448,658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6,651,822</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(11)</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1,004,625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1,481,743</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Faraday Holdings,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4,277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217,635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1,243,208</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Gauge Schlesinger Coinvest, LLC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8,197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8,197</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Gauge TVC Coinvest,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810,645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810,645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828,333</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(TVC Enterprises, LLC)</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Go Dawgs Capital III, LP</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675,325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675,325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688,831</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Green Veracity Holdings, LP - Class A</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1,500,000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2,367,746</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(VT Topco, Inc.)</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Infogroup Parent Holdings, Inc.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Other 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181,495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2,040,000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2,119,257</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252,176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2,993,665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7,110,734</w:t>
            </w:r>
          </w:p>
        </w:tc>
        <w:tc>
          <w:tcPr>
            <w:tcW w:w="12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JWC-WE Holdings, L.P.</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Home and Office Furnishings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1,906,433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1,906,433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4,961,006</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(Walker Edison Furniture Company LLC)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Kadmon Holdings, Inc. </w:t>
            </w:r>
            <w:r>
              <w:rPr>
                <w:rFonts w:ascii="Arial" w:cs="Arial" w:eastAsia="Arial" w:hAnsi="Arial"/>
                <w:sz w:val="9"/>
                <w:szCs w:val="9"/>
                <w:color w:val="auto"/>
              </w:rPr>
              <w:t>(12)</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252,014</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2,265,639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635,075</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161,252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307,888</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363,656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363,656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451,341</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MeritDirect Holdings, LP</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540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55,482</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NXOF Holdings, Inc.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2,180</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(Tyto Athene, LLC)</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70,870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34,484</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1,500,000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1,620,000</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Class A (US Dominion, Inc.)</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2,185,803</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Class B (US Dominion,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U.S. Well Services, Inc. - Class A </w:t>
            </w:r>
            <w:r>
              <w:rPr>
                <w:rFonts w:ascii="Arial" w:cs="Arial" w:eastAsia="Arial" w:hAnsi="Arial"/>
                <w:sz w:val="9"/>
                <w:szCs w:val="9"/>
                <w:color w:val="auto"/>
              </w:rPr>
              <w:t>(11), (12)</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72,833</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728,330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159,504</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USWS Holdings, LLC </w:t>
            </w:r>
            <w:r>
              <w:rPr>
                <w:rFonts w:ascii="Arial" w:cs="Arial" w:eastAsia="Arial" w:hAnsi="Arial"/>
                <w:sz w:val="9"/>
                <w:szCs w:val="9"/>
                <w:color w:val="auto"/>
              </w:rPr>
              <w:t>(9), (11)</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1,188,368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11,883,680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2,472,400</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WBB Equity,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628,571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628,571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2,193,714</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Wheel Pros Holdings, L.P.</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3,778,704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4,450,000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14,655,027</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(Winter Park Intermediate,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ZS Juniper L.P.</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1,056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1,056,250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1,842,833</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(Juniper Landscaping of Florida,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29"/>
        </w:trPr>
        <w:tc>
          <w:tcPr>
            <w:tcW w:w="304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66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6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51,623,889</w:t>
            </w:r>
          </w:p>
        </w:tc>
        <w:tc>
          <w:tcPr>
            <w:tcW w:w="24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63,503,528</w:t>
            </w:r>
          </w:p>
        </w:tc>
        <w:tc>
          <w:tcPr>
            <w:tcW w:w="120" w:type="dxa"/>
            <w:vAlign w:val="bottom"/>
            <w:tcBorders>
              <w:bottom w:val="single" w:sz="8" w:color="CFF0FC"/>
            </w:tcBorders>
          </w:tcPr>
          <w:p>
            <w:pPr>
              <w:spacing w:after="0"/>
              <w:rPr>
                <w:sz w:val="11"/>
                <w:szCs w:val="11"/>
                <w:color w:val="auto"/>
              </w:rPr>
            </w:pPr>
          </w:p>
        </w:tc>
      </w:tr>
      <w:tr>
        <w:trPr>
          <w:trHeight w:val="129"/>
        </w:trPr>
        <w:tc>
          <w:tcPr>
            <w:tcW w:w="3900" w:type="dxa"/>
            <w:vAlign w:val="bottom"/>
            <w:gridSpan w:val="4"/>
            <w:shd w:val="clear" w:color="auto" w:fill="CFF0FC"/>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922,304,099</w:t>
            </w:r>
          </w:p>
        </w:tc>
        <w:tc>
          <w:tcPr>
            <w:tcW w:w="240" w:type="dxa"/>
            <w:vAlign w:val="bottom"/>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936,632,099</w:t>
            </w:r>
          </w:p>
        </w:tc>
        <w:tc>
          <w:tcPr>
            <w:tcW w:w="120" w:type="dxa"/>
            <w:vAlign w:val="bottom"/>
            <w:shd w:val="clear" w:color="auto" w:fill="CFF0FC"/>
          </w:tcPr>
          <w:p>
            <w:pPr>
              <w:spacing w:after="0"/>
              <w:rPr>
                <w:sz w:val="11"/>
                <w:szCs w:val="1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Basis Point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5"/>
              </w:rPr>
              <w:t>Spread</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100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Maturity /</w:t>
            </w: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Above</w:t>
            </w:r>
          </w:p>
        </w:tc>
        <w:tc>
          <w:tcPr>
            <w:tcW w:w="100" w:type="dxa"/>
            <w:vAlign w:val="bottom"/>
          </w:tcPr>
          <w:p>
            <w:pPr>
              <w:spacing w:after="0"/>
              <w:rPr>
                <w:sz w:val="10"/>
                <w:szCs w:val="10"/>
                <w:color w:val="auto"/>
              </w:rPr>
            </w:pPr>
          </w:p>
        </w:tc>
        <w:tc>
          <w:tcPr>
            <w:tcW w:w="5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Industry</w:t>
            </w:r>
          </w:p>
        </w:tc>
        <w:tc>
          <w:tcPr>
            <w:tcW w:w="94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Coupon</w:t>
            </w: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100" w:type="dxa"/>
            <w:vAlign w:val="bottom"/>
          </w:tcPr>
          <w:p>
            <w:pPr>
              <w:spacing w:after="0"/>
              <w:rPr>
                <w:sz w:val="11"/>
                <w:szCs w:val="11"/>
                <w:color w:val="auto"/>
              </w:rPr>
            </w:pPr>
          </w:p>
        </w:tc>
        <w:tc>
          <w:tcPr>
            <w:tcW w:w="560" w:type="dxa"/>
            <w:vAlign w:val="bottom"/>
          </w:tcPr>
          <w:p>
            <w:pPr>
              <w:jc w:val="right"/>
              <w:ind w:right="126"/>
              <w:spacing w:after="0"/>
              <w:rPr>
                <w:sz w:val="20"/>
                <w:szCs w:val="20"/>
                <w:color w:val="auto"/>
              </w:rPr>
            </w:pPr>
            <w:r>
              <w:rPr>
                <w:rFonts w:ascii="Arial" w:cs="Arial" w:eastAsia="Arial" w:hAnsi="Arial"/>
                <w:sz w:val="11"/>
                <w:szCs w:val="11"/>
                <w:b w:val="1"/>
                <w:bCs w:val="1"/>
                <w:color w:val="auto"/>
                <w:w w:val="97"/>
              </w:rPr>
              <w:t>Shares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(3)</w:t>
            </w:r>
          </w:p>
        </w:tc>
        <w:tc>
          <w:tcPr>
            <w:tcW w:w="0" w:type="dxa"/>
            <w:vAlign w:val="bottom"/>
          </w:tcPr>
          <w:p>
            <w:pPr>
              <w:spacing w:after="0"/>
              <w:rPr>
                <w:sz w:val="1"/>
                <w:szCs w:val="1"/>
                <w:color w:val="auto"/>
              </w:rPr>
            </w:pPr>
          </w:p>
        </w:tc>
      </w:tr>
      <w:tr>
        <w:trPr>
          <w:trHeight w:val="128"/>
        </w:trPr>
        <w:tc>
          <w:tcPr>
            <w:tcW w:w="398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 xml:space="preserve">Investments in Non-Controlled, Affiliated Portfolio Companies—8.5% </w:t>
            </w:r>
            <w:r>
              <w:rPr>
                <w:rFonts w:ascii="Arial" w:cs="Arial" w:eastAsia="Arial" w:hAnsi="Arial"/>
                <w:sz w:val="9"/>
                <w:szCs w:val="9"/>
                <w:b w:val="1"/>
                <w:bCs w:val="1"/>
                <w:color w:val="auto"/>
              </w:rPr>
              <w:t>(1), (2)</w:t>
            </w:r>
          </w:p>
        </w:tc>
        <w:tc>
          <w:tcPr>
            <w:tcW w:w="25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Equity/Partnership Interests—8.1% </w:t>
            </w:r>
            <w:r>
              <w:rPr>
                <w:rFonts w:ascii="Arial" w:cs="Arial" w:eastAsia="Arial" w:hAnsi="Arial"/>
                <w:sz w:val="9"/>
                <w:szCs w:val="9"/>
                <w:b w:val="1"/>
                <w:bCs w:val="1"/>
                <w:color w:val="auto"/>
              </w:rPr>
              <w:t>(6)</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color w:val="auto"/>
              </w:rPr>
              <w:t>ETX Energy, LLC</w:t>
            </w:r>
          </w:p>
        </w:tc>
        <w:tc>
          <w:tcPr>
            <w:tcW w:w="1000" w:type="dxa"/>
            <w:vAlign w:val="bottom"/>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61,732</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6,173,200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22,717,376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MidOcean JF Holdings Corp.</w:t>
            </w:r>
          </w:p>
        </w:tc>
        <w:tc>
          <w:tcPr>
            <w:tcW w:w="1000" w:type="dxa"/>
            <w:vAlign w:val="bottom"/>
            <w:tcBorders>
              <w:bottom w:val="single" w:sz="8" w:color="CFF0FC"/>
            </w:tcBorders>
          </w:tcPr>
          <w:p>
            <w:pPr>
              <w:ind w:left="380"/>
              <w:spacing w:after="0"/>
              <w:rPr>
                <w:sz w:val="20"/>
                <w:szCs w:val="20"/>
                <w:color w:val="auto"/>
              </w:rPr>
            </w:pPr>
            <w:r>
              <w:rPr>
                <w:rFonts w:ascii="Arial" w:cs="Arial" w:eastAsia="Arial" w:hAnsi="Arial"/>
                <w:sz w:val="11"/>
                <w:szCs w:val="11"/>
                <w:color w:val="auto"/>
              </w:rPr>
              <w:t>—</w:t>
            </w:r>
          </w:p>
        </w:tc>
        <w:tc>
          <w:tcPr>
            <w:tcW w:w="2620" w:type="dxa"/>
            <w:vAlign w:val="bottom"/>
            <w:tcBorders>
              <w:bottom w:val="single" w:sz="8" w:color="CFF0FC"/>
            </w:tcBorders>
            <w:gridSpan w:val="2"/>
          </w:tcPr>
          <w:p>
            <w:pPr>
              <w:jc w:val="center"/>
              <w:ind w:right="260"/>
              <w:spacing w:after="0"/>
              <w:rPr>
                <w:sz w:val="20"/>
                <w:szCs w:val="20"/>
                <w:color w:val="auto"/>
              </w:rPr>
            </w:pPr>
            <w:r>
              <w:rPr>
                <w:rFonts w:ascii="Arial" w:cs="Arial" w:eastAsia="Arial" w:hAnsi="Arial"/>
                <w:sz w:val="11"/>
                <w:szCs w:val="11"/>
                <w:color w:val="auto"/>
                <w:w w:val="94"/>
              </w:rPr>
              <w:t>Distribution</w:t>
            </w:r>
          </w:p>
        </w:tc>
        <w:tc>
          <w:tcPr>
            <w:tcW w:w="94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rPr>
              <w:t>153,922</w:t>
            </w: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15,392,188</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24,549,408</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21,565,388</w:t>
            </w: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47,266,784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20"/>
                <w:szCs w:val="20"/>
                <w:color w:val="auto"/>
              </w:rPr>
            </w:pPr>
            <w:r>
              <w:rPr>
                <w:rFonts w:ascii="Arial" w:cs="Arial" w:eastAsia="Arial" w:hAnsi="Arial"/>
                <w:sz w:val="11"/>
                <w:szCs w:val="11"/>
                <w:b w:val="1"/>
                <w:bCs w:val="1"/>
                <w:color w:val="auto"/>
                <w:w w:val="99"/>
              </w:rPr>
              <w:t xml:space="preserve">Common Equity/Partnership Interests/Warrants—0.4% </w:t>
            </w:r>
            <w:r>
              <w:rPr>
                <w:rFonts w:ascii="Arial" w:cs="Arial" w:eastAsia="Arial" w:hAnsi="Arial"/>
                <w:sz w:val="9"/>
                <w:szCs w:val="9"/>
                <w:b w:val="1"/>
                <w:bCs w:val="1"/>
                <w:color w:val="auto"/>
                <w:w w:val="99"/>
              </w:rPr>
              <w:t>(6)</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00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1,658,389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29,711,576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ETX Energy Management Company, LLC</w:t>
            </w:r>
          </w:p>
        </w:tc>
        <w:tc>
          <w:tcPr>
            <w:tcW w:w="1000" w:type="dxa"/>
            <w:vAlign w:val="bottom"/>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1,754,104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1,562,020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MidOcean JF Holdings Corp.</w:t>
            </w:r>
          </w:p>
        </w:tc>
        <w:tc>
          <w:tcPr>
            <w:tcW w:w="100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65,933</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24,761,831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2,082,554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000" w:type="dxa"/>
            <w:vAlign w:val="bottom"/>
            <w:tcBorders>
              <w:bottom w:val="single" w:sz="8" w:color="CFF0FC"/>
            </w:tcBorders>
          </w:tcPr>
          <w:p>
            <w:pPr>
              <w:spacing w:after="0"/>
              <w:rPr>
                <w:sz w:val="11"/>
                <w:szCs w:val="11"/>
                <w:color w:val="auto"/>
              </w:rPr>
            </w:pPr>
          </w:p>
        </w:tc>
        <w:tc>
          <w:tcPr>
            <w:tcW w:w="25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56,035,427</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2,082,554</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8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77,600,816</w:t>
            </w: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49,349,338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8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Investments in Controlled, Affiliated Portfolio Companies—40.1% </w:t>
            </w:r>
            <w:r>
              <w:rPr>
                <w:rFonts w:ascii="Arial" w:cs="Arial" w:eastAsia="Arial" w:hAnsi="Arial"/>
                <w:sz w:val="9"/>
                <w:szCs w:val="9"/>
                <w:b w:val="1"/>
                <w:bCs w:val="1"/>
                <w:color w:val="auto"/>
              </w:rPr>
              <w:t>(1), (2)</w:t>
            </w: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First Lien Secured Debt—18.8%</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1000" w:type="dxa"/>
            <w:vAlign w:val="bottom"/>
          </w:tcPr>
          <w:p>
            <w:pPr>
              <w:ind w:left="140"/>
              <w:spacing w:after="0"/>
              <w:rPr>
                <w:sz w:val="20"/>
                <w:szCs w:val="20"/>
                <w:color w:val="auto"/>
              </w:rPr>
            </w:pPr>
            <w:r>
              <w:rPr>
                <w:rFonts w:ascii="Arial" w:cs="Arial" w:eastAsia="Arial" w:hAnsi="Arial"/>
                <w:sz w:val="11"/>
                <w:szCs w:val="11"/>
                <w:color w:val="auto"/>
              </w:rPr>
              <w:t>03/13/2024</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6.54%</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28,000,000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39,051,600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34,504,400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color w:val="auto"/>
              </w:rPr>
              <w:t>RAM Energy LLC</w:t>
            </w:r>
          </w:p>
        </w:tc>
        <w:tc>
          <w:tcPr>
            <w:tcW w:w="10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07/01/2022</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2"/>
              </w:rPr>
              <w:t>Energy and Utilities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8.00%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35,000,000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35,000,000</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35,000,000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RAM Energy LLC (Revolver)</w:t>
            </w:r>
          </w:p>
        </w:tc>
        <w:tc>
          <w:tcPr>
            <w:tcW w:w="1000" w:type="dxa"/>
            <w:vAlign w:val="bottom"/>
            <w:tcBorders>
              <w:bottom w:val="single" w:sz="8" w:color="CFF0FC"/>
            </w:tcBorders>
          </w:tcPr>
          <w:p>
            <w:pPr>
              <w:ind w:left="140"/>
              <w:spacing w:after="0"/>
              <w:rPr>
                <w:sz w:val="20"/>
                <w:szCs w:val="20"/>
                <w:color w:val="auto"/>
              </w:rPr>
            </w:pPr>
            <w:r>
              <w:rPr>
                <w:rFonts w:ascii="Arial" w:cs="Arial" w:eastAsia="Arial" w:hAnsi="Arial"/>
                <w:sz w:val="11"/>
                <w:szCs w:val="11"/>
                <w:color w:val="auto"/>
              </w:rPr>
              <w:t>07/01/2022</w:t>
            </w:r>
          </w:p>
        </w:tc>
        <w:tc>
          <w:tcPr>
            <w:tcW w:w="2620" w:type="dxa"/>
            <w:vAlign w:val="bottom"/>
            <w:tcBorders>
              <w:bottom w:val="single" w:sz="8" w:color="CFF0FC"/>
            </w:tcBorders>
            <w:gridSpan w:val="2"/>
          </w:tcPr>
          <w:p>
            <w:pPr>
              <w:jc w:val="center"/>
              <w:ind w:right="260"/>
              <w:spacing w:after="0"/>
              <w:rPr>
                <w:sz w:val="20"/>
                <w:szCs w:val="20"/>
                <w:color w:val="auto"/>
              </w:rPr>
            </w:pPr>
            <w:r>
              <w:rPr>
                <w:rFonts w:ascii="Arial" w:cs="Arial" w:eastAsia="Arial" w:hAnsi="Arial"/>
                <w:sz w:val="11"/>
                <w:szCs w:val="11"/>
                <w:color w:val="auto"/>
                <w:w w:val="92"/>
              </w:rPr>
              <w:t>Energy and Utilities</w:t>
            </w:r>
          </w:p>
        </w:tc>
        <w:tc>
          <w:tcPr>
            <w:tcW w:w="94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1"/>
                <w:szCs w:val="11"/>
                <w:color w:val="auto"/>
              </w:rPr>
              <w:t>8.00%</w:t>
            </w:r>
          </w:p>
        </w:tc>
        <w:tc>
          <w:tcPr>
            <w:tcW w:w="98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w w:val="98"/>
              </w:rPr>
              <w:t>40,000,000</w:t>
            </w: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40,000,000</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40,000,000</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First Lien Secured Debt</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114,051,600</w:t>
            </w: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109,504,400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20"/>
                <w:szCs w:val="20"/>
                <w:color w:val="auto"/>
              </w:rPr>
            </w:pPr>
            <w:r>
              <w:rPr>
                <w:rFonts w:ascii="Arial" w:cs="Arial" w:eastAsia="Arial" w:hAnsi="Arial"/>
                <w:sz w:val="11"/>
                <w:szCs w:val="11"/>
                <w:b w:val="1"/>
                <w:bCs w:val="1"/>
                <w:color w:val="auto"/>
              </w:rPr>
              <w:t>Second Lien Secured Debt—7.9%</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color w:val="auto"/>
              </w:rPr>
              <w:t>PT Network Intermediate Holdings, LLC</w:t>
            </w:r>
          </w:p>
        </w:tc>
        <w:tc>
          <w:tcPr>
            <w:tcW w:w="10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11/30/2024</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12.30%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L+1,000</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46,610,223</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46,163,881</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46,144,120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(PIK 12.30%)</w:t>
            </w: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000" w:type="dxa"/>
            <w:vAlign w:val="bottom"/>
            <w:tcBorders>
              <w:bottom w:val="single" w:sz="8" w:color="CFF0FC"/>
            </w:tcBorders>
          </w:tcPr>
          <w:p>
            <w:pPr>
              <w:spacing w:after="0"/>
              <w:rPr>
                <w:sz w:val="11"/>
                <w:szCs w:val="11"/>
                <w:color w:val="auto"/>
              </w:rPr>
            </w:pPr>
          </w:p>
        </w:tc>
        <w:tc>
          <w:tcPr>
            <w:tcW w:w="25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46,163,881</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46,144,120</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 xml:space="preserve">Preferred Equity—1.6% </w:t>
            </w:r>
            <w:r>
              <w:rPr>
                <w:rFonts w:ascii="Arial" w:cs="Arial" w:eastAsia="Arial" w:hAnsi="Arial"/>
                <w:sz w:val="9"/>
                <w:szCs w:val="9"/>
                <w:b w:val="1"/>
                <w:bCs w:val="1"/>
                <w:color w:val="auto"/>
              </w:rPr>
              <w:t>(6)</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8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000" w:type="dxa"/>
            <w:vAlign w:val="bottom"/>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36,450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546,750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11,251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8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000" w:type="dxa"/>
            <w:vAlign w:val="bottom"/>
            <w:shd w:val="clear" w:color="auto" w:fill="CFF0FC"/>
          </w:tcPr>
          <w:p>
            <w:pPr>
              <w:spacing w:after="0"/>
              <w:rPr>
                <w:sz w:val="11"/>
                <w:szCs w:val="11"/>
                <w:color w:val="auto"/>
              </w:rPr>
            </w:pP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12.14%</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L+1,000</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833</w:t>
            </w: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8,975,000</w:t>
            </w: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9,264,347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Preferred Equity</w:t>
            </w:r>
          </w:p>
        </w:tc>
        <w:tc>
          <w:tcPr>
            <w:tcW w:w="1000" w:type="dxa"/>
            <w:vAlign w:val="bottom"/>
            <w:tcBorders>
              <w:bottom w:val="single" w:sz="8" w:color="CFF0FC"/>
            </w:tcBorders>
          </w:tcPr>
          <w:p>
            <w:pPr>
              <w:spacing w:after="0"/>
              <w:rPr>
                <w:sz w:val="11"/>
                <w:szCs w:val="11"/>
                <w:color w:val="auto"/>
              </w:rPr>
            </w:pPr>
          </w:p>
        </w:tc>
        <w:tc>
          <w:tcPr>
            <w:tcW w:w="25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9,521,750</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9,275,598</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 xml:space="preserve">Common Equity—11.8% </w:t>
            </w:r>
            <w:r>
              <w:rPr>
                <w:rFonts w:ascii="Arial" w:cs="Arial" w:eastAsia="Arial" w:hAnsi="Arial"/>
                <w:sz w:val="9"/>
                <w:szCs w:val="9"/>
                <w:b w:val="1"/>
                <w:bCs w:val="1"/>
                <w:color w:val="auto"/>
              </w:rPr>
              <w:t>(6)</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1000" w:type="dxa"/>
            <w:vAlign w:val="bottom"/>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950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132,497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2,554,804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color w:val="auto"/>
              </w:rPr>
              <w:t>CI (PTN) Investment Holdings II, LLC</w:t>
            </w:r>
          </w:p>
        </w:tc>
        <w:tc>
          <w:tcPr>
            <w:tcW w:w="1000" w:type="dxa"/>
            <w:vAlign w:val="bottom"/>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333,333</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5,000,000</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000" w:type="dxa"/>
            <w:vAlign w:val="bottom"/>
          </w:tcPr>
          <w:p>
            <w:pPr>
              <w:spacing w:after="0"/>
              <w:rPr>
                <w:sz w:val="11"/>
                <w:szCs w:val="11"/>
                <w:color w:val="auto"/>
              </w:rPr>
            </w:pP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5,983,333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17,014,720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color w:val="auto"/>
              </w:rPr>
              <w:t>RAM Energy Holdings LLC</w:t>
            </w:r>
          </w:p>
        </w:tc>
        <w:tc>
          <w:tcPr>
            <w:tcW w:w="1000" w:type="dxa"/>
            <w:vAlign w:val="bottom"/>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2"/>
              </w:rPr>
              <w:t>Energy and Utilities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84,747</w:t>
            </w: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76,264,739</w:t>
            </w: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48,957,717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Common Equity</w:t>
            </w:r>
          </w:p>
        </w:tc>
        <w:tc>
          <w:tcPr>
            <w:tcW w:w="1000" w:type="dxa"/>
            <w:vAlign w:val="bottom"/>
            <w:tcBorders>
              <w:bottom w:val="single" w:sz="8" w:color="CFF0FC"/>
            </w:tcBorders>
          </w:tcPr>
          <w:p>
            <w:pPr>
              <w:spacing w:after="0"/>
              <w:rPr>
                <w:sz w:val="11"/>
                <w:szCs w:val="11"/>
                <w:color w:val="auto"/>
              </w:rPr>
            </w:pPr>
          </w:p>
        </w:tc>
        <w:tc>
          <w:tcPr>
            <w:tcW w:w="25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87,380,569</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68,527,241</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w w:val="90"/>
              </w:rPr>
              <w:t>Total Investments in Controlled, Affiliated Portfolio Companies</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257,117,800</w:t>
            </w: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233,451,359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Investments—209.6%</w:t>
            </w:r>
          </w:p>
        </w:tc>
        <w:tc>
          <w:tcPr>
            <w:tcW w:w="1000" w:type="dxa"/>
            <w:vAlign w:val="bottom"/>
            <w:tcBorders>
              <w:bottom w:val="single" w:sz="8" w:color="CFF0FC"/>
            </w:tcBorders>
          </w:tcPr>
          <w:p>
            <w:pPr>
              <w:spacing w:after="0"/>
              <w:rPr>
                <w:sz w:val="11"/>
                <w:szCs w:val="11"/>
                <w:color w:val="auto"/>
              </w:rPr>
            </w:pPr>
          </w:p>
        </w:tc>
        <w:tc>
          <w:tcPr>
            <w:tcW w:w="25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8"/>
              </w:rPr>
              <w:t>1,257,022,715</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1,219,432,796</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Cash and Cash Equivalents—10.2%</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BlackRock Federal FD Institutional 30</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47,640,291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w w:val="93"/>
              </w:rPr>
              <w:t>47,640,291.72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color w:val="auto"/>
              </w:rPr>
              <w:t>BNY Mellon Cash Reserve and Cash</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11,906,147</w:t>
            </w: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11,875,944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000" w:type="dxa"/>
            <w:vAlign w:val="bottom"/>
            <w:tcBorders>
              <w:bottom w:val="single" w:sz="8" w:color="CFF0FC"/>
            </w:tcBorders>
          </w:tcPr>
          <w:p>
            <w:pPr>
              <w:spacing w:after="0"/>
              <w:rPr>
                <w:sz w:val="11"/>
                <w:szCs w:val="11"/>
                <w:color w:val="auto"/>
              </w:rPr>
            </w:pPr>
          </w:p>
        </w:tc>
        <w:tc>
          <w:tcPr>
            <w:tcW w:w="25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59,546,438</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59,516,236</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Investments and Cash Equivalents—219.8%</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8"/>
              </w:rPr>
              <w:t>1,316,569,153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1,278,949,032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b w:val="1"/>
                <w:bCs w:val="1"/>
                <w:color w:val="auto"/>
              </w:rPr>
              <w:t>Liabilities in Excess of Other Assets—(119.8%)</w:t>
            </w:r>
          </w:p>
        </w:tc>
        <w:tc>
          <w:tcPr>
            <w:tcW w:w="100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(697,043,364)</w:t>
            </w: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Net Assets—100.0%</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581,905,668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17" w:lineRule="exact"/>
        <w:rPr>
          <w:sz w:val="20"/>
          <w:szCs w:val="20"/>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right="120" w:hanging="372"/>
        <w:spacing w:after="0" w:line="269"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13" w:lineRule="exact"/>
        <w:rPr>
          <w:rFonts w:ascii="Arial" w:cs="Arial" w:eastAsia="Arial" w:hAnsi="Arial"/>
          <w:sz w:val="11"/>
          <w:szCs w:val="11"/>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securities, or a portion thereof, are pledged as collateral under the BNP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spacing w:after="0" w:line="37" w:lineRule="exact"/>
        <w:rPr>
          <w:rFonts w:ascii="Arial" w:cs="Arial" w:eastAsia="Arial" w:hAnsi="Arial"/>
          <w:sz w:val="12"/>
          <w:szCs w:val="12"/>
          <w:color w:val="auto"/>
        </w:rPr>
      </w:pPr>
    </w:p>
    <w:p>
      <w:pPr>
        <w:ind w:left="380" w:right="20" w:hanging="372"/>
        <w:spacing w:after="0" w:line="294"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96% of the Company’s total assets and non-qualifying assets represent 4% of the Company’s total assets.</w:t>
      </w: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40"/>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ind w:left="4920"/>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221"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Our investment objectives are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88"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day-to-day operations of and provides investment advisory services to our SBIC Fund under a separate investment management agreement. We have also entered into an administration agreement, or the Administration Agreement, with the Administrator, which provides the administrative services necessary for us to operate. PennantPark Investment, through the Administrator, also provides similar services to our SBIC Fund under a separate administration agreement. See Note 3.</w:t>
      </w:r>
    </w:p>
    <w:p>
      <w:pPr>
        <w:spacing w:after="0" w:line="107"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9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 The BNP Credit Facility allows Funding I to borrow up to $250 million at LIBOR plus 260 basis points during the reinvestment period. The BNP Credit Facility is secured by all of the assets held by Funding I. See Note 10.</w:t>
      </w:r>
    </w:p>
    <w:p>
      <w:pPr>
        <w:spacing w:after="0" w:line="188"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87"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We are operated by a person who has claimed an exclusion from the definition of the term “commodity pool operator” under the Commodity Exchange Act and, therefore, is not subject to registration or regulation as a commodity pool operator under the Commodity Exchange Act.</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221"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92"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217" w:lineRule="exact"/>
        <w:rPr>
          <w:sz w:val="20"/>
          <w:szCs w:val="20"/>
          <w:color w:val="auto"/>
        </w:rPr>
      </w:pPr>
    </w:p>
    <w:p>
      <w:pPr>
        <w:ind w:left="1080" w:hanging="824"/>
        <w:spacing w:after="0"/>
        <w:tabs>
          <w:tab w:leader="none" w:pos="108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217" w:lineRule="exact"/>
        <w:rPr>
          <w:sz w:val="20"/>
          <w:szCs w:val="20"/>
          <w:color w:val="auto"/>
        </w:rPr>
      </w:pPr>
    </w:p>
    <w:p>
      <w:pPr>
        <w:ind w:right="100"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92"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87" w:lineRule="exact"/>
        <w:rPr>
          <w:sz w:val="20"/>
          <w:szCs w:val="20"/>
          <w:color w:val="auto"/>
        </w:rPr>
      </w:pPr>
    </w:p>
    <w:p>
      <w:pPr>
        <w:ind w:left="800" w:right="400" w:hanging="360"/>
        <w:spacing w:after="0" w:line="253" w:lineRule="auto"/>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87" w:lineRule="exact"/>
        <w:rPr>
          <w:rFonts w:ascii="Arial" w:cs="Arial" w:eastAsia="Arial" w:hAnsi="Arial"/>
          <w:sz w:val="14"/>
          <w:szCs w:val="14"/>
          <w:color w:val="auto"/>
        </w:rPr>
      </w:pPr>
    </w:p>
    <w:p>
      <w:pPr>
        <w:ind w:left="800" w:hanging="360"/>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217" w:lineRule="exact"/>
        <w:rPr>
          <w:rFonts w:ascii="Arial" w:cs="Arial" w:eastAsia="Arial" w:hAnsi="Arial"/>
          <w:sz w:val="14"/>
          <w:szCs w:val="14"/>
          <w:color w:val="auto"/>
        </w:rPr>
      </w:pPr>
    </w:p>
    <w:p>
      <w:pPr>
        <w:jc w:val="both"/>
        <w:ind w:left="800" w:right="160" w:hanging="360"/>
        <w:spacing w:after="0" w:line="264" w:lineRule="auto"/>
        <w:tabs>
          <w:tab w:leader="none" w:pos="80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81" w:lineRule="exact"/>
        <w:rPr>
          <w:rFonts w:ascii="Arial" w:cs="Arial" w:eastAsia="Arial" w:hAnsi="Arial"/>
          <w:sz w:val="13"/>
          <w:szCs w:val="13"/>
          <w:color w:val="auto"/>
        </w:rPr>
      </w:pPr>
    </w:p>
    <w:p>
      <w:pPr>
        <w:ind w:left="800" w:right="40" w:hanging="360"/>
        <w:spacing w:after="0" w:line="238" w:lineRule="auto"/>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14" w:name="page15"/>
    <w:bookmarkEnd w:id="14"/>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ind w:left="800" w:right="160" w:hanging="360"/>
        <w:spacing w:after="0" w:line="253" w:lineRule="auto"/>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87" w:lineRule="exact"/>
        <w:rPr>
          <w:sz w:val="20"/>
          <w:szCs w:val="20"/>
          <w:color w:val="auto"/>
        </w:rPr>
      </w:pPr>
    </w:p>
    <w:p>
      <w:pPr>
        <w:ind w:right="360" w:firstLine="438"/>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73" w:lineRule="exact"/>
        <w:rPr>
          <w:sz w:val="20"/>
          <w:szCs w:val="20"/>
          <w:color w:val="auto"/>
        </w:rPr>
      </w:pPr>
    </w:p>
    <w:p>
      <w:pPr>
        <w:ind w:left="1080" w:hanging="824"/>
        <w:spacing w:after="0"/>
        <w:tabs>
          <w:tab w:leader="none" w:pos="108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217"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Facilities and, prior to their redemption, the 2019 Notes during the reporting period, including any reversal of previously recorded unrealized appreciation or depreciation, when gains or losses are realized.</w:t>
      </w:r>
    </w:p>
    <w:p>
      <w:pPr>
        <w:spacing w:after="0" w:line="188"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92" w:lineRule="exact"/>
        <w:rPr>
          <w:sz w:val="20"/>
          <w:szCs w:val="20"/>
          <w:color w:val="auto"/>
        </w:rPr>
      </w:pPr>
    </w:p>
    <w:p>
      <w:pPr>
        <w:ind w:right="240" w:firstLine="438"/>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December 31, 2019, we had no portfolio companies on non-accrual.</w:t>
      </w:r>
    </w:p>
    <w:p>
      <w:pPr>
        <w:spacing w:after="0" w:line="198" w:lineRule="exact"/>
        <w:rPr>
          <w:sz w:val="20"/>
          <w:szCs w:val="20"/>
          <w:color w:val="auto"/>
        </w:rPr>
      </w:pPr>
    </w:p>
    <w:p>
      <w:pPr>
        <w:ind w:left="1060" w:hanging="804"/>
        <w:spacing w:after="0"/>
        <w:tabs>
          <w:tab w:leader="none" w:pos="106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217"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an U.S. federal excise tax. Additionally, certain of the Company’s consolidated subsidiaries are subject to U.S. federal and state income taxes. For the three months ended December 31, 2019 and 2018, we recorded a provision for taxes of $0.3 million (which consisted of $0.1 million and $0.2 million for U.S. federal excise tax, respectively, and the remainder was for U.S. federal and state income taxes and franchise taxes related to the Taxable Subsidiaries).</w:t>
      </w:r>
    </w:p>
    <w:p>
      <w:pPr>
        <w:spacing w:after="0" w:line="198"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December 31, 2019 and 2018,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U.S. federal and state income tax returns, the Company’s major tax jurisdiction is federal.</w:t>
      </w:r>
    </w:p>
    <w:p>
      <w:pPr>
        <w:spacing w:after="0" w:line="113" w:lineRule="exact"/>
        <w:rPr>
          <w:sz w:val="20"/>
          <w:szCs w:val="20"/>
          <w:color w:val="auto"/>
        </w:rPr>
      </w:pPr>
    </w:p>
    <w:p>
      <w:pPr>
        <w:ind w:right="280" w:firstLine="438"/>
        <w:spacing w:after="0" w:line="296" w:lineRule="auto"/>
        <w:rPr>
          <w:sz w:val="20"/>
          <w:szCs w:val="20"/>
          <w:color w:val="auto"/>
        </w:rPr>
      </w:pPr>
      <w:r>
        <w:rPr>
          <w:rFonts w:ascii="Arial" w:cs="Arial" w:eastAsia="Arial" w:hAnsi="Arial"/>
          <w:sz w:val="12"/>
          <w:szCs w:val="12"/>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64" w:lineRule="exact"/>
        <w:rPr>
          <w:sz w:val="20"/>
          <w:szCs w:val="20"/>
          <w:color w:val="auto"/>
        </w:rPr>
      </w:pPr>
    </w:p>
    <w:p>
      <w:pPr>
        <w:ind w:left="1080" w:hanging="824"/>
        <w:spacing w:after="0"/>
        <w:tabs>
          <w:tab w:leader="none" w:pos="108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217"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96"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87" w:lineRule="exact"/>
        <w:rPr>
          <w:sz w:val="20"/>
          <w:szCs w:val="20"/>
          <w:color w:val="auto"/>
        </w:rPr>
      </w:pPr>
    </w:p>
    <w:p>
      <w:pPr>
        <w:ind w:left="1060" w:hanging="804"/>
        <w:spacing w:after="0"/>
        <w:tabs>
          <w:tab w:leader="none" w:pos="106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217" w:lineRule="exact"/>
        <w:rPr>
          <w:sz w:val="20"/>
          <w:szCs w:val="20"/>
          <w:color w:val="auto"/>
        </w:rPr>
      </w:pPr>
    </w:p>
    <w:p>
      <w:pPr>
        <w:ind w:left="800" w:hanging="360"/>
        <w:spacing w:after="0"/>
        <w:tabs>
          <w:tab w:leader="none" w:pos="8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22" w:lineRule="exact"/>
        <w:rPr>
          <w:rFonts w:ascii="Arial" w:cs="Arial" w:eastAsia="Arial" w:hAnsi="Arial"/>
          <w:sz w:val="14"/>
          <w:szCs w:val="14"/>
          <w:color w:val="auto"/>
        </w:rPr>
      </w:pPr>
    </w:p>
    <w:p>
      <w:pPr>
        <w:ind w:left="800" w:hanging="360"/>
        <w:spacing w:after="0"/>
        <w:tabs>
          <w:tab w:leader="none" w:pos="8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40"/>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jc w:val="both"/>
        <w:ind w:right="26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9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96" w:lineRule="exact"/>
        <w:rPr>
          <w:sz w:val="20"/>
          <w:szCs w:val="20"/>
          <w:color w:val="auto"/>
        </w:rPr>
      </w:pPr>
    </w:p>
    <w:p>
      <w:pPr>
        <w:ind w:left="1040" w:hanging="784"/>
        <w:spacing w:after="0"/>
        <w:tabs>
          <w:tab w:leader="none" w:pos="104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217"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 and our Taxable Subsidiaries in our Consolidated Financial Statements.</w:t>
      </w:r>
    </w:p>
    <w:p>
      <w:pPr>
        <w:spacing w:after="0" w:line="196" w:lineRule="exact"/>
        <w:rPr>
          <w:sz w:val="20"/>
          <w:szCs w:val="20"/>
          <w:color w:val="auto"/>
        </w:rPr>
      </w:pPr>
    </w:p>
    <w:p>
      <w:pPr>
        <w:ind w:left="1080" w:hanging="824"/>
        <w:spacing w:after="0"/>
        <w:tabs>
          <w:tab w:leader="none" w:pos="1080" w:val="left"/>
        </w:tabs>
        <w:numPr>
          <w:ilvl w:val="0"/>
          <w:numId w:val="1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Asset Transfers and Servicing</w:t>
      </w:r>
    </w:p>
    <w:p>
      <w:pPr>
        <w:spacing w:after="0" w:line="217"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Consolidated Schedules of Investments as investments. The creditors of Funding I have received a security interest in all its assets and such assets are not intended to be available to the creditors of PennantPark Investment or any of its affiliates.</w:t>
      </w:r>
    </w:p>
    <w:p>
      <w:pPr>
        <w:spacing w:after="0" w:line="196" w:lineRule="exact"/>
        <w:rPr>
          <w:sz w:val="20"/>
          <w:szCs w:val="20"/>
          <w:color w:val="auto"/>
        </w:rPr>
      </w:pPr>
    </w:p>
    <w:p>
      <w:pPr>
        <w:ind w:left="1080" w:hanging="824"/>
        <w:spacing w:after="0"/>
        <w:tabs>
          <w:tab w:leader="none" w:pos="1080" w:val="left"/>
        </w:tabs>
        <w:numPr>
          <w:ilvl w:val="0"/>
          <w:numId w:val="1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Recent Accounting Pronouncements</w:t>
      </w:r>
    </w:p>
    <w:p>
      <w:pPr>
        <w:spacing w:after="0" w:line="2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In August 2018, the FASB issued Accounting Standards Update, or ASU, 2018-13, Fair Value Measurement (Topic 820): Disclosure Framework - Changes to the Disclosure Requirements for Fair Value Measurement, or ASU 2018-13, which changed the fair value measurement disclosure requirements of ASC Topic 820, Fair Value Measurements and Disclosures, or ASC 820. The key provisions include new, eliminated and modified disclosure requirements. The new guidance is effective for fiscal years beginning after December 15, 2019, including interim periods therein. Early application is permitted. The Company has adopted this accounting standard update effective October 1, 2019 and the impact its of adoption was not material to the Company’s financial statements and related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221"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2020. Under the Investment Management Agreement, the Investment Adviser, subject to the overall supervision of our board of directors, manages the day-to-day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Our SBIC Fund’s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99"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Advisory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2019 and 2018, the Investment Adviser earned a base management fee of $4.7 million and $4.4 million, respectively, from us.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right="40" w:firstLine="438"/>
        <w:spacing w:after="0" w:line="242"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the three months ended December 31, 2019 and 2018, the Investment Adviser earned $0.7 million and $2.7 million, respectively, in incentive fees on net investment income from us.</w:t>
      </w:r>
    </w:p>
    <w:p>
      <w:pPr>
        <w:spacing w:after="0" w:line="106"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2019 and 2018, the Investment Adviser did not accrue an incentive fee on capital gains as calculated under the Investment Management Agreement (as described above).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340"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For the three months ended December 31, 2019 and 2018, the Investment Adviser did not accrue an incentive fee on capital gains as calculated under GAAP.</w:t>
      </w:r>
    </w:p>
    <w:p>
      <w:pPr>
        <w:spacing w:after="0" w:line="192" w:lineRule="exact"/>
        <w:rPr>
          <w:sz w:val="20"/>
          <w:szCs w:val="20"/>
          <w:color w:val="auto"/>
        </w:rPr>
      </w:pPr>
    </w:p>
    <w:p>
      <w:pPr>
        <w:ind w:right="140" w:firstLine="438"/>
        <w:spacing w:after="0" w:line="271" w:lineRule="auto"/>
        <w:rPr>
          <w:sz w:val="20"/>
          <w:szCs w:val="20"/>
          <w:color w:val="auto"/>
        </w:rPr>
      </w:pPr>
      <w:r>
        <w:rPr>
          <w:rFonts w:ascii="Arial" w:cs="Arial" w:eastAsia="Arial" w:hAnsi="Arial"/>
          <w:sz w:val="12"/>
          <w:szCs w:val="12"/>
          <w:color w:val="auto"/>
        </w:rPr>
        <w:t>The Administration Agreement with the Administrator was reapproved by our board of directors, including a majority of our directors who are not interested persons of us, in February 2020. Under the Administration Agreement, the Administrator provides administrative services and office facilities to us. The Administrator provides similar services to our SBIC Fund under its administration agreements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months ended December 31, 2019 and 2018, we reimbursed the Investment Adviser approximately $0.3 million, including expenses the Investment Adviser incurred on behalf of the Administrator, for services described above.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There were no transactions subject to Rule 17a-7 under the 1940 Act during both the three months ended December 31, 2019 and 2018.</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221"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Purchases of investments, including PIK interest, for the three months ended December 31, 2019 and 2018 totaled $178.5 million and $196.4 million, respectively. Sales and repayments of investments for the three months ended December 31, 2019 and 2018 totaled $31.2 million and $125.8 million, respectively.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4"/>
          </w:tcPr>
          <w:p>
            <w:pPr>
              <w:jc w:val="right"/>
              <w:ind w:right="968"/>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790,818,792</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791,893,795</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697,120,114</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695,280,815</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270,767,074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270,771,888</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269,204,159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269,310,647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63,458,168</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63,035,135</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61,522,066</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61,187,670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267,836,797</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253,152,141</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229,176,376</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193,653,664</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1,392,880,831</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1,378,852,959</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1,257,022,715</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1,219,432,796</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32,075,367</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32,107,649</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59,546,438</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59,516,236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1,424,956,198</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1,410,960,608</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1,316,569,153</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1,278,949,032</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4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2620" w:type="dxa"/>
            <w:vAlign w:val="bottom"/>
            <w:tcBorders>
              <w:bottom w:val="single" w:sz="8" w:color="auto"/>
            </w:tcBorders>
          </w:tcPr>
          <w:p>
            <w:pPr>
              <w:spacing w:after="0"/>
              <w:rPr>
                <w:sz w:val="14"/>
                <w:szCs w:val="14"/>
                <w:color w:val="auto"/>
              </w:rPr>
            </w:pPr>
          </w:p>
        </w:tc>
        <w:tc>
          <w:tcPr>
            <w:tcW w:w="260" w:type="dxa"/>
            <w:vAlign w:val="bottom"/>
            <w:tcBorders>
              <w:bottom w:val="single" w:sz="8" w:color="CCECFF"/>
            </w:tcBorders>
          </w:tcPr>
          <w:p>
            <w:pPr>
              <w:spacing w:after="0"/>
              <w:rPr>
                <w:sz w:val="14"/>
                <w:szCs w:val="14"/>
                <w:color w:val="auto"/>
              </w:rPr>
            </w:pPr>
          </w:p>
        </w:tc>
        <w:tc>
          <w:tcPr>
            <w:tcW w:w="1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December 31, 2019</w:t>
            </w:r>
          </w:p>
        </w:tc>
        <w:tc>
          <w:tcPr>
            <w:tcW w:w="520" w:type="dxa"/>
            <w:vAlign w:val="bottom"/>
            <w:tcBorders>
              <w:bottom w:val="single" w:sz="8" w:color="CCECFF"/>
            </w:tcBorders>
          </w:tcPr>
          <w:p>
            <w:pPr>
              <w:spacing w:after="0"/>
              <w:rPr>
                <w:sz w:val="14"/>
                <w:szCs w:val="14"/>
                <w:color w:val="auto"/>
              </w:rPr>
            </w:pPr>
          </w:p>
        </w:tc>
        <w:tc>
          <w:tcPr>
            <w:tcW w:w="1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September 30, 2019</w:t>
            </w:r>
          </w:p>
        </w:tc>
        <w:tc>
          <w:tcPr>
            <w:tcW w:w="28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6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240" w:type="dxa"/>
            <w:vAlign w:val="bottom"/>
            <w:gridSpan w:val="2"/>
            <w:shd w:val="clear" w:color="auto" w:fill="CCECFF"/>
          </w:tcPr>
          <w:p>
            <w:pPr>
              <w:jc w:val="right"/>
              <w:ind w:right="400"/>
              <w:spacing w:after="0" w:line="155" w:lineRule="exact"/>
              <w:rPr>
                <w:sz w:val="20"/>
                <w:szCs w:val="20"/>
                <w:color w:val="auto"/>
              </w:rPr>
            </w:pPr>
            <w:r>
              <w:rPr>
                <w:rFonts w:ascii="Arial" w:cs="Arial" w:eastAsia="Arial" w:hAnsi="Arial"/>
                <w:sz w:val="14"/>
                <w:szCs w:val="14"/>
                <w:color w:val="auto"/>
              </w:rPr>
              <w:t>16%</w:t>
            </w:r>
          </w:p>
        </w:tc>
        <w:tc>
          <w:tcPr>
            <w:tcW w:w="2100" w:type="dxa"/>
            <w:vAlign w:val="bottom"/>
            <w:gridSpan w:val="2"/>
            <w:shd w:val="clear" w:color="auto" w:fill="CCECFF"/>
          </w:tcPr>
          <w:p>
            <w:pPr>
              <w:jc w:val="right"/>
              <w:ind w:right="160"/>
              <w:spacing w:after="0" w:line="155" w:lineRule="exact"/>
              <w:rPr>
                <w:sz w:val="20"/>
                <w:szCs w:val="20"/>
                <w:color w:val="auto"/>
              </w:rPr>
            </w:pPr>
            <w:r>
              <w:rPr>
                <w:rFonts w:ascii="Arial" w:cs="Arial" w:eastAsia="Arial" w:hAnsi="Arial"/>
                <w:sz w:val="14"/>
                <w:szCs w:val="14"/>
                <w:color w:val="auto"/>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Energy and Utilities</w:t>
            </w:r>
          </w:p>
        </w:tc>
        <w:tc>
          <w:tcPr>
            <w:tcW w:w="4600" w:type="dxa"/>
            <w:vAlign w:val="bottom"/>
            <w:gridSpan w:val="3"/>
          </w:tcPr>
          <w:p>
            <w:pPr>
              <w:jc w:val="right"/>
              <w:spacing w:after="0"/>
              <w:rPr>
                <w:sz w:val="20"/>
                <w:szCs w:val="20"/>
                <w:color w:val="auto"/>
              </w:rPr>
            </w:pPr>
            <w:r>
              <w:rPr>
                <w:rFonts w:ascii="Arial" w:cs="Arial" w:eastAsia="Arial" w:hAnsi="Arial"/>
                <w:sz w:val="14"/>
                <w:szCs w:val="14"/>
                <w:color w:val="auto"/>
              </w:rPr>
              <w:t>10</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Media</w:t>
            </w:r>
          </w:p>
        </w:tc>
        <w:tc>
          <w:tcPr>
            <w:tcW w:w="460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28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Consumer Products</w:t>
            </w:r>
          </w:p>
        </w:tc>
        <w:tc>
          <w:tcPr>
            <w:tcW w:w="4600" w:type="dxa"/>
            <w:vAlign w:val="bottom"/>
            <w:gridSpan w:val="3"/>
          </w:tcPr>
          <w:p>
            <w:pPr>
              <w:jc w:val="right"/>
              <w:spacing w:after="0"/>
              <w:rPr>
                <w:sz w:val="20"/>
                <w:szCs w:val="20"/>
                <w:color w:val="auto"/>
              </w:rPr>
            </w:pPr>
            <w:r>
              <w:rPr>
                <w:rFonts w:ascii="Arial" w:cs="Arial" w:eastAsia="Arial" w:hAnsi="Arial"/>
                <w:sz w:val="14"/>
                <w:szCs w:val="14"/>
                <w:color w:val="auto"/>
              </w:rPr>
              <w:t>6</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460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28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Aerospace and Defense</w:t>
            </w:r>
          </w:p>
        </w:tc>
        <w:tc>
          <w:tcPr>
            <w:tcW w:w="460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Auto Sector</w:t>
            </w:r>
          </w:p>
        </w:tc>
        <w:tc>
          <w:tcPr>
            <w:tcW w:w="460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28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Building Materials</w:t>
            </w:r>
          </w:p>
        </w:tc>
        <w:tc>
          <w:tcPr>
            <w:tcW w:w="460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Environmental Services</w:t>
            </w:r>
          </w:p>
        </w:tc>
        <w:tc>
          <w:tcPr>
            <w:tcW w:w="460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28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Printing and Publishing</w:t>
            </w:r>
          </w:p>
        </w:tc>
        <w:tc>
          <w:tcPr>
            <w:tcW w:w="460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Chemicals, Plastics and Rubber</w:t>
            </w:r>
          </w:p>
        </w:tc>
        <w:tc>
          <w:tcPr>
            <w:tcW w:w="460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28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Distribution</w:t>
            </w:r>
          </w:p>
        </w:tc>
        <w:tc>
          <w:tcPr>
            <w:tcW w:w="460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Electronics</w:t>
            </w:r>
          </w:p>
        </w:tc>
        <w:tc>
          <w:tcPr>
            <w:tcW w:w="460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Hotels, Motels, Inns and Gaming</w:t>
            </w:r>
          </w:p>
        </w:tc>
        <w:tc>
          <w:tcPr>
            <w:tcW w:w="460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Personal, Food and Miscellaneous Services</w:t>
            </w:r>
          </w:p>
        </w:tc>
        <w:tc>
          <w:tcPr>
            <w:tcW w:w="460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Transportation</w:t>
            </w:r>
          </w:p>
        </w:tc>
        <w:tc>
          <w:tcPr>
            <w:tcW w:w="460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460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Financial Services</w:t>
            </w:r>
          </w:p>
        </w:tc>
        <w:tc>
          <w:tcPr>
            <w:tcW w:w="460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Home and Office Furnishings</w:t>
            </w:r>
          </w:p>
        </w:tc>
        <w:tc>
          <w:tcPr>
            <w:tcW w:w="460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Manufacturing / Basic Industries</w:t>
            </w:r>
          </w:p>
        </w:tc>
        <w:tc>
          <w:tcPr>
            <w:tcW w:w="460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460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Oil and Gas</w:t>
            </w:r>
          </w:p>
        </w:tc>
        <w:tc>
          <w:tcPr>
            <w:tcW w:w="460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Other Media</w:t>
            </w:r>
          </w:p>
        </w:tc>
        <w:tc>
          <w:tcPr>
            <w:tcW w:w="460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520" w:type="dxa"/>
            <w:vAlign w:val="bottom"/>
            <w:shd w:val="clear" w:color="auto" w:fill="CCECFF"/>
          </w:tcPr>
          <w:p>
            <w:pPr>
              <w:spacing w:after="0"/>
              <w:rPr>
                <w:sz w:val="14"/>
                <w:szCs w:val="14"/>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Other</w:t>
            </w:r>
          </w:p>
        </w:tc>
        <w:tc>
          <w:tcPr>
            <w:tcW w:w="2880" w:type="dxa"/>
            <w:vAlign w:val="bottom"/>
            <w:tcBorders>
              <w:bottom w:val="single" w:sz="8" w:color="CCECFF"/>
            </w:tcBorders>
            <w:gridSpan w:val="2"/>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520" w:type="dxa"/>
            <w:vAlign w:val="bottom"/>
            <w:tcBorders>
              <w:bottom w:val="single" w:sz="8" w:color="CCECFF"/>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26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240" w:type="dxa"/>
            <w:vAlign w:val="bottom"/>
            <w:gridSpan w:val="2"/>
            <w:shd w:val="clear" w:color="auto" w:fill="CCECFF"/>
          </w:tcPr>
          <w:p>
            <w:pPr>
              <w:jc w:val="right"/>
              <w:ind w:right="400"/>
              <w:spacing w:after="0" w:line="155" w:lineRule="exact"/>
              <w:rPr>
                <w:sz w:val="20"/>
                <w:szCs w:val="20"/>
                <w:color w:val="auto"/>
              </w:rPr>
            </w:pPr>
            <w:r>
              <w:rPr>
                <w:rFonts w:ascii="Arial" w:cs="Arial" w:eastAsia="Arial" w:hAnsi="Arial"/>
                <w:sz w:val="14"/>
                <w:szCs w:val="14"/>
                <w:color w:val="auto"/>
              </w:rPr>
              <w:t>100%</w:t>
            </w:r>
          </w:p>
        </w:tc>
        <w:tc>
          <w:tcPr>
            <w:tcW w:w="2100" w:type="dxa"/>
            <w:vAlign w:val="bottom"/>
            <w:gridSpan w:val="2"/>
            <w:shd w:val="clear" w:color="auto" w:fill="CCECFF"/>
          </w:tcPr>
          <w:p>
            <w:pPr>
              <w:jc w:val="right"/>
              <w:ind w:right="160"/>
              <w:spacing w:after="0" w:line="155"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CFF"/>
            </w:tcBorders>
          </w:tcPr>
          <w:p>
            <w:pPr>
              <w:spacing w:after="0" w:line="20" w:lineRule="exact"/>
              <w:rPr>
                <w:sz w:val="1"/>
                <w:szCs w:val="1"/>
                <w:color w:val="auto"/>
              </w:rPr>
            </w:pPr>
          </w:p>
        </w:tc>
        <w:tc>
          <w:tcPr>
            <w:tcW w:w="2620" w:type="dxa"/>
            <w:vAlign w:val="bottom"/>
            <w:tcBorders>
              <w:top w:val="single" w:sz="8" w:color="CCECFF"/>
              <w:bottom w:val="single" w:sz="8" w:color="CCECFF"/>
            </w:tcBorders>
            <w:vMerge w:val="restart"/>
          </w:tcPr>
          <w:p>
            <w:pPr>
              <w:jc w:val="right"/>
              <w:ind w:right="868"/>
              <w:spacing w:after="0"/>
              <w:rPr>
                <w:sz w:val="20"/>
                <w:szCs w:val="20"/>
                <w:color w:val="auto"/>
              </w:rPr>
            </w:pPr>
            <w:r>
              <w:rPr>
                <w:rFonts w:ascii="Arial" w:cs="Arial" w:eastAsia="Arial" w:hAnsi="Arial"/>
                <w:sz w:val="14"/>
                <w:szCs w:val="14"/>
                <w:color w:val="auto"/>
              </w:rPr>
              <w:t>17</w:t>
            </w:r>
          </w:p>
        </w:tc>
        <w:tc>
          <w:tcPr>
            <w:tcW w:w="260" w:type="dxa"/>
            <w:vAlign w:val="bottom"/>
            <w:tcBorders>
              <w:top w:val="single" w:sz="8" w:color="CCEC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C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40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020" w:type="dxa"/>
            <w:vAlign w:val="bottom"/>
            <w:tcBorders>
              <w:bottom w:val="single" w:sz="8" w:color="9A9A9A"/>
            </w:tcBorders>
          </w:tcPr>
          <w:p>
            <w:pPr>
              <w:spacing w:after="0"/>
              <w:rPr>
                <w:sz w:val="8"/>
                <w:szCs w:val="8"/>
                <w:color w:val="auto"/>
              </w:rPr>
            </w:pPr>
          </w:p>
        </w:tc>
        <w:tc>
          <w:tcPr>
            <w:tcW w:w="26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7" w:name="page18"/>
    <w:bookmarkEnd w:id="17"/>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221" w:lineRule="exact"/>
        <w:rPr>
          <w:sz w:val="20"/>
          <w:szCs w:val="20"/>
          <w:color w:val="auto"/>
        </w:rPr>
      </w:pPr>
    </w:p>
    <w:p>
      <w:pPr>
        <w:ind w:right="280"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17"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217"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65"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60"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2019 Notes were, and our 2024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98"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97"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97"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93" w:lineRule="exact"/>
        <w:rPr>
          <w:sz w:val="20"/>
          <w:szCs w:val="20"/>
          <w:color w:val="auto"/>
        </w:rPr>
      </w:pPr>
    </w:p>
    <w:p>
      <w:pPr>
        <w:ind w:right="22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2019 Notes, our SBA debentures, our 2024 Notes and our Credit Facilities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9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w:t>
      </w:r>
    </w:p>
    <w:p>
      <w:pPr>
        <w:spacing w:after="0" w:line="188" w:lineRule="exact"/>
        <w:rPr>
          <w:sz w:val="20"/>
          <w:szCs w:val="20"/>
          <w:color w:val="auto"/>
        </w:rPr>
      </w:pPr>
    </w:p>
    <w:p>
      <w:pPr>
        <w:ind w:right="60" w:firstLine="438"/>
        <w:spacing w:after="0" w:line="225" w:lineRule="auto"/>
        <w:rPr>
          <w:sz w:val="20"/>
          <w:szCs w:val="20"/>
          <w:color w:val="auto"/>
        </w:rPr>
      </w:pPr>
      <w:r>
        <w:rPr>
          <w:rFonts w:ascii="Arial" w:cs="Arial" w:eastAsia="Arial" w:hAnsi="Arial"/>
          <w:sz w:val="14"/>
          <w:szCs w:val="14"/>
          <w:color w:val="auto"/>
        </w:rPr>
        <w:t>The remainder of our investment portfolio and our long-term Credit Facilities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160" w:type="dxa"/>
            <w:vAlign w:val="bottom"/>
            <w:gridSpan w:val="9"/>
          </w:tcPr>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4"/>
                <w:szCs w:val="2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80" w:type="dxa"/>
            <w:vAlign w:val="bottom"/>
          </w:tcPr>
          <w:p>
            <w:pPr>
              <w:spacing w:after="0"/>
              <w:rPr>
                <w:sz w:val="24"/>
                <w:szCs w:val="24"/>
                <w:color w:val="auto"/>
              </w:rPr>
            </w:pP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Unobservable Input</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December 31, 2019</w:t>
            </w:r>
          </w:p>
        </w:tc>
        <w:tc>
          <w:tcPr>
            <w:tcW w:w="28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26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87,870,992</w:t>
            </w:r>
          </w:p>
        </w:tc>
        <w:tc>
          <w:tcPr>
            <w:tcW w:w="28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103,416,250</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Broker/Dealer bids or quotes</w:t>
            </w:r>
          </w:p>
        </w:tc>
        <w:tc>
          <w:tcPr>
            <w:tcW w:w="20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704,022,804</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6.9% – 15.5% (8.7%)</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167,355,638</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10.2 – 12.7% (11.8%)</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63,035,135</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12.0% – 16.4% (15.4%)</w:t>
            </w:r>
          </w:p>
        </w:tc>
        <w:tc>
          <w:tcPr>
            <w:tcW w:w="0" w:type="dxa"/>
            <w:vAlign w:val="bottom"/>
          </w:tcPr>
          <w:p>
            <w:pPr>
              <w:spacing w:after="0"/>
              <w:rPr>
                <w:sz w:val="1"/>
                <w:szCs w:val="1"/>
                <w:color w:val="auto"/>
              </w:rPr>
            </w:pPr>
          </w:p>
        </w:tc>
      </w:tr>
      <w:tr>
        <w:trPr>
          <w:trHeight w:val="162"/>
        </w:trPr>
        <w:tc>
          <w:tcPr>
            <w:tcW w:w="27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249,626,848</w:t>
            </w:r>
          </w:p>
        </w:tc>
        <w:tc>
          <w:tcPr>
            <w:tcW w:w="280" w:type="dxa"/>
            <w:vAlign w:val="bottom"/>
            <w:tcBorders>
              <w:bottom w:val="single" w:sz="8" w:color="CCECFF"/>
            </w:tcBorders>
          </w:tcPr>
          <w:p>
            <w:pPr>
              <w:spacing w:after="0"/>
              <w:rPr>
                <w:sz w:val="14"/>
                <w:szCs w:val="14"/>
                <w:color w:val="auto"/>
              </w:rPr>
            </w:pPr>
          </w:p>
        </w:tc>
        <w:tc>
          <w:tcPr>
            <w:tcW w:w="224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4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080" w:type="dxa"/>
            <w:vAlign w:val="bottom"/>
            <w:tcBorders>
              <w:bottom w:val="single" w:sz="8" w:color="CCECFF"/>
            </w:tcBorders>
          </w:tcPr>
          <w:p>
            <w:pPr>
              <w:jc w:val="center"/>
              <w:spacing w:after="0"/>
              <w:rPr>
                <w:sz w:val="20"/>
                <w:szCs w:val="20"/>
                <w:color w:val="auto"/>
              </w:rPr>
            </w:pPr>
            <w:r>
              <w:rPr>
                <w:rFonts w:ascii="Arial" w:cs="Arial" w:eastAsia="Arial" w:hAnsi="Arial"/>
                <w:sz w:val="14"/>
                <w:szCs w:val="14"/>
                <w:color w:val="auto"/>
                <w:w w:val="95"/>
              </w:rPr>
              <w:t>0.7x – 18.8x (14.0x)</w:t>
            </w:r>
          </w:p>
        </w:tc>
        <w:tc>
          <w:tcPr>
            <w:tcW w:w="0" w:type="dxa"/>
            <w:vAlign w:val="bottom"/>
          </w:tcPr>
          <w:p>
            <w:pPr>
              <w:spacing w:after="0"/>
              <w:rPr>
                <w:sz w:val="1"/>
                <w:szCs w:val="1"/>
                <w:color w:val="auto"/>
              </w:rPr>
            </w:pPr>
          </w:p>
        </w:tc>
      </w:tr>
      <w:tr>
        <w:trPr>
          <w:trHeight w:val="156"/>
        </w:trPr>
        <w:tc>
          <w:tcPr>
            <w:tcW w:w="276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1,375,327,666</w:t>
            </w:r>
          </w:p>
        </w:tc>
        <w:tc>
          <w:tcPr>
            <w:tcW w:w="280" w:type="dxa"/>
            <w:vAlign w:val="bottom"/>
            <w:tcBorders>
              <w:bottom w:val="single" w:sz="8" w:color="CCECFF"/>
            </w:tcBorders>
            <w:shd w:val="clear" w:color="auto" w:fill="CCECFF"/>
          </w:tcPr>
          <w:p>
            <w:pPr>
              <w:spacing w:after="0"/>
              <w:rPr>
                <w:sz w:val="13"/>
                <w:szCs w:val="13"/>
                <w:color w:val="auto"/>
              </w:rPr>
            </w:pPr>
          </w:p>
        </w:tc>
        <w:tc>
          <w:tcPr>
            <w:tcW w:w="20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8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Facilities</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vMerge w:val="restart"/>
          </w:tcPr>
          <w:p>
            <w:pPr>
              <w:jc w:val="center"/>
              <w:spacing w:after="0"/>
              <w:rPr>
                <w:sz w:val="20"/>
                <w:szCs w:val="20"/>
                <w:color w:val="auto"/>
              </w:rPr>
            </w:pPr>
            <w:r>
              <w:rPr>
                <w:rFonts w:ascii="Arial" w:cs="Arial" w:eastAsia="Arial" w:hAnsi="Arial"/>
                <w:sz w:val="14"/>
                <w:szCs w:val="14"/>
                <w:color w:val="auto"/>
                <w:w w:val="94"/>
              </w:rPr>
              <w:t>4.1% – 4.4% (4.3%)</w:t>
            </w:r>
          </w:p>
        </w:tc>
        <w:tc>
          <w:tcPr>
            <w:tcW w:w="0" w:type="dxa"/>
            <w:vAlign w:val="bottom"/>
          </w:tcPr>
          <w:p>
            <w:pPr>
              <w:spacing w:after="0" w:line="20" w:lineRule="exact"/>
              <w:rPr>
                <w:sz w:val="1"/>
                <w:szCs w:val="1"/>
                <w:color w:val="auto"/>
              </w:rPr>
            </w:pPr>
          </w:p>
        </w:tc>
      </w:tr>
      <w:tr>
        <w:trPr>
          <w:trHeight w:val="143"/>
        </w:trPr>
        <w:tc>
          <w:tcPr>
            <w:tcW w:w="2760" w:type="dxa"/>
            <w:vAlign w:val="bottom"/>
            <w:gridSpan w:val="2"/>
            <w:vMerge w:val="continue"/>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529,461,535</w:t>
            </w:r>
          </w:p>
        </w:tc>
        <w:tc>
          <w:tcPr>
            <w:tcW w:w="2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The weighted averages disclosed in the table above were weighted by their relative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8599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80" w:type="dxa"/>
            <w:vAlign w:val="bottom"/>
          </w:tcPr>
          <w:p>
            <w:pPr>
              <w:spacing w:after="0"/>
              <w:rPr>
                <w:sz w:val="14"/>
                <w:szCs w:val="14"/>
                <w:color w:val="auto"/>
              </w:rPr>
            </w:pP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Unobservable Input</w:t>
            </w: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September 30, 2019</w:t>
            </w:r>
          </w:p>
        </w:tc>
        <w:tc>
          <w:tcPr>
            <w:tcW w:w="28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26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30,300,736</w:t>
            </w:r>
          </w:p>
        </w:tc>
        <w:tc>
          <w:tcPr>
            <w:tcW w:w="28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720" w:type="dxa"/>
            <w:vAlign w:val="bottom"/>
            <w:tcBorders>
              <w:top w:val="single" w:sz="8" w:color="auto"/>
            </w:tcBorders>
            <w:shd w:val="clear" w:color="auto" w:fill="CCECFF"/>
          </w:tcPr>
          <w:p>
            <w:pPr>
              <w:spacing w:after="0"/>
              <w:rPr>
                <w:sz w:val="13"/>
                <w:szCs w:val="13"/>
                <w:color w:val="auto"/>
              </w:rPr>
            </w:pPr>
          </w:p>
        </w:tc>
        <w:tc>
          <w:tcPr>
            <w:tcW w:w="1360" w:type="dxa"/>
            <w:vAlign w:val="bottom"/>
            <w:tcBorders>
              <w:top w:val="single" w:sz="8" w:color="auto"/>
            </w:tcBorders>
            <w:shd w:val="clear" w:color="auto" w:fill="CCECFF"/>
          </w:tcPr>
          <w:p>
            <w:pPr>
              <w:jc w:val="center"/>
              <w:ind w:right="648"/>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55,556,250</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Broker/Dealer bids or quotes</w:t>
            </w:r>
          </w:p>
        </w:tc>
        <w:tc>
          <w:tcPr>
            <w:tcW w:w="720" w:type="dxa"/>
            <w:vAlign w:val="bottom"/>
          </w:tcPr>
          <w:p>
            <w:pPr>
              <w:spacing w:after="0"/>
              <w:rPr>
                <w:sz w:val="14"/>
                <w:szCs w:val="14"/>
                <w:color w:val="auto"/>
              </w:rPr>
            </w:pPr>
          </w:p>
        </w:tc>
        <w:tc>
          <w:tcPr>
            <w:tcW w:w="1360" w:type="dxa"/>
            <w:vAlign w:val="bottom"/>
          </w:tcPr>
          <w:p>
            <w:pPr>
              <w:jc w:val="center"/>
              <w:ind w:right="64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664,980,079</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w:t>
            </w:r>
          </w:p>
        </w:tc>
        <w:tc>
          <w:tcPr>
            <w:tcW w:w="1360" w:type="dxa"/>
            <w:vAlign w:val="bottom"/>
            <w:shd w:val="clear" w:color="auto" w:fill="CCECFF"/>
          </w:tcPr>
          <w:p>
            <w:pPr>
              <w:ind w:left="20"/>
              <w:spacing w:after="0"/>
              <w:rPr>
                <w:sz w:val="20"/>
                <w:szCs w:val="20"/>
                <w:color w:val="auto"/>
              </w:rPr>
            </w:pPr>
            <w:r>
              <w:rPr>
                <w:rFonts w:ascii="Arial" w:cs="Arial" w:eastAsia="Arial" w:hAnsi="Arial"/>
                <w:sz w:val="14"/>
                <w:szCs w:val="14"/>
                <w:color w:val="auto"/>
              </w:rPr>
              <w:t>– 15.8% (8.7%)</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213,754,397</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720" w:type="dxa"/>
            <w:vAlign w:val="bottom"/>
          </w:tcPr>
          <w:p>
            <w:pPr>
              <w:jc w:val="right"/>
              <w:spacing w:after="0"/>
              <w:rPr>
                <w:sz w:val="20"/>
                <w:szCs w:val="20"/>
                <w:color w:val="auto"/>
              </w:rPr>
            </w:pPr>
            <w:r>
              <w:rPr>
                <w:rFonts w:ascii="Arial" w:cs="Arial" w:eastAsia="Arial" w:hAnsi="Arial"/>
                <w:sz w:val="14"/>
                <w:szCs w:val="14"/>
                <w:color w:val="auto"/>
              </w:rPr>
              <w:t>10.3%</w:t>
            </w:r>
          </w:p>
        </w:tc>
        <w:tc>
          <w:tcPr>
            <w:tcW w:w="1360" w:type="dxa"/>
            <w:vAlign w:val="bottom"/>
          </w:tcPr>
          <w:p>
            <w:pPr>
              <w:ind w:left="20"/>
              <w:spacing w:after="0"/>
              <w:rPr>
                <w:sz w:val="20"/>
                <w:szCs w:val="20"/>
                <w:color w:val="auto"/>
              </w:rPr>
            </w:pPr>
            <w:r>
              <w:rPr>
                <w:rFonts w:ascii="Arial" w:cs="Arial" w:eastAsia="Arial" w:hAnsi="Arial"/>
                <w:sz w:val="14"/>
                <w:szCs w:val="14"/>
                <w:color w:val="auto"/>
              </w:rPr>
              <w:t>– 12.7% (11.4%)</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61,187,670</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w:t>
            </w:r>
          </w:p>
        </w:tc>
        <w:tc>
          <w:tcPr>
            <w:tcW w:w="1360" w:type="dxa"/>
            <w:vAlign w:val="bottom"/>
            <w:shd w:val="clear" w:color="auto" w:fill="CCECFF"/>
          </w:tcPr>
          <w:p>
            <w:pPr>
              <w:ind w:left="20"/>
              <w:spacing w:after="0"/>
              <w:rPr>
                <w:sz w:val="20"/>
                <w:szCs w:val="20"/>
                <w:color w:val="auto"/>
              </w:rPr>
            </w:pPr>
            <w:r>
              <w:rPr>
                <w:rFonts w:ascii="Arial" w:cs="Arial" w:eastAsia="Arial" w:hAnsi="Arial"/>
                <w:sz w:val="14"/>
                <w:szCs w:val="14"/>
                <w:color w:val="auto"/>
              </w:rPr>
              <w:t>– 16.1% (15.2%)</w:t>
            </w:r>
          </w:p>
        </w:tc>
        <w:tc>
          <w:tcPr>
            <w:tcW w:w="0" w:type="dxa"/>
            <w:vAlign w:val="bottom"/>
          </w:tcPr>
          <w:p>
            <w:pPr>
              <w:spacing w:after="0"/>
              <w:rPr>
                <w:sz w:val="1"/>
                <w:szCs w:val="1"/>
                <w:color w:val="auto"/>
              </w:rPr>
            </w:pPr>
          </w:p>
        </w:tc>
      </w:tr>
      <w:tr>
        <w:trPr>
          <w:trHeight w:val="162"/>
        </w:trPr>
        <w:tc>
          <w:tcPr>
            <w:tcW w:w="27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192,859,084</w:t>
            </w:r>
          </w:p>
        </w:tc>
        <w:tc>
          <w:tcPr>
            <w:tcW w:w="280" w:type="dxa"/>
            <w:vAlign w:val="bottom"/>
            <w:tcBorders>
              <w:bottom w:val="single" w:sz="8" w:color="CCECFF"/>
            </w:tcBorders>
          </w:tcPr>
          <w:p>
            <w:pPr>
              <w:spacing w:after="0"/>
              <w:rPr>
                <w:sz w:val="14"/>
                <w:szCs w:val="14"/>
                <w:color w:val="auto"/>
              </w:rPr>
            </w:pPr>
          </w:p>
        </w:tc>
        <w:tc>
          <w:tcPr>
            <w:tcW w:w="224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4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080" w:type="dxa"/>
            <w:vAlign w:val="bottom"/>
            <w:tcBorders>
              <w:bottom w:val="single" w:sz="8" w:color="CCECFF"/>
            </w:tcBorders>
            <w:gridSpan w:val="2"/>
          </w:tcPr>
          <w:p>
            <w:pPr>
              <w:jc w:val="center"/>
              <w:spacing w:after="0"/>
              <w:rPr>
                <w:sz w:val="20"/>
                <w:szCs w:val="20"/>
                <w:color w:val="auto"/>
              </w:rPr>
            </w:pPr>
            <w:r>
              <w:rPr>
                <w:rFonts w:ascii="Arial" w:cs="Arial" w:eastAsia="Arial" w:hAnsi="Arial"/>
                <w:sz w:val="14"/>
                <w:szCs w:val="14"/>
                <w:color w:val="auto"/>
                <w:w w:val="95"/>
              </w:rPr>
              <w:t>0.6x – 17.3x (12.1x)</w:t>
            </w:r>
          </w:p>
        </w:tc>
        <w:tc>
          <w:tcPr>
            <w:tcW w:w="0" w:type="dxa"/>
            <w:vAlign w:val="bottom"/>
          </w:tcPr>
          <w:p>
            <w:pPr>
              <w:spacing w:after="0"/>
              <w:rPr>
                <w:sz w:val="1"/>
                <w:szCs w:val="1"/>
                <w:color w:val="auto"/>
              </w:rPr>
            </w:pPr>
          </w:p>
        </w:tc>
      </w:tr>
      <w:tr>
        <w:trPr>
          <w:trHeight w:val="156"/>
        </w:trPr>
        <w:tc>
          <w:tcPr>
            <w:tcW w:w="276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1,218,638,216</w:t>
            </w:r>
          </w:p>
        </w:tc>
        <w:tc>
          <w:tcPr>
            <w:tcW w:w="280" w:type="dxa"/>
            <w:vAlign w:val="bottom"/>
            <w:tcBorders>
              <w:bottom w:val="single" w:sz="8" w:color="CCECFF"/>
            </w:tcBorders>
            <w:shd w:val="clear" w:color="auto" w:fill="CCECFF"/>
          </w:tcPr>
          <w:p>
            <w:pPr>
              <w:spacing w:after="0"/>
              <w:rPr>
                <w:sz w:val="13"/>
                <w:szCs w:val="13"/>
                <w:color w:val="auto"/>
              </w:rPr>
            </w:pPr>
          </w:p>
        </w:tc>
        <w:tc>
          <w:tcPr>
            <w:tcW w:w="20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720" w:type="dxa"/>
            <w:vAlign w:val="bottom"/>
            <w:tcBorders>
              <w:bottom w:val="single" w:sz="8" w:color="CCECFF"/>
            </w:tcBorders>
            <w:shd w:val="clear" w:color="auto" w:fill="CCECFF"/>
          </w:tcPr>
          <w:p>
            <w:pPr>
              <w:spacing w:after="0"/>
              <w:rPr>
                <w:sz w:val="13"/>
                <w:szCs w:val="13"/>
                <w:color w:val="auto"/>
              </w:rPr>
            </w:pPr>
          </w:p>
        </w:tc>
        <w:tc>
          <w:tcPr>
            <w:tcW w:w="136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Facilities</w:t>
            </w: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3.9% – 4.2% (4.1%)</w:t>
            </w:r>
          </w:p>
        </w:tc>
        <w:tc>
          <w:tcPr>
            <w:tcW w:w="0" w:type="dxa"/>
            <w:vAlign w:val="bottom"/>
          </w:tcPr>
          <w:p>
            <w:pPr>
              <w:spacing w:after="0" w:line="20" w:lineRule="exact"/>
              <w:rPr>
                <w:sz w:val="1"/>
                <w:szCs w:val="1"/>
                <w:color w:val="auto"/>
              </w:rPr>
            </w:pPr>
          </w:p>
        </w:tc>
      </w:tr>
      <w:tr>
        <w:trPr>
          <w:trHeight w:val="143"/>
        </w:trPr>
        <w:tc>
          <w:tcPr>
            <w:tcW w:w="2760" w:type="dxa"/>
            <w:vAlign w:val="bottom"/>
            <w:gridSpan w:val="2"/>
            <w:vMerge w:val="continue"/>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465,390,214</w:t>
            </w:r>
          </w:p>
        </w:tc>
        <w:tc>
          <w:tcPr>
            <w:tcW w:w="2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weighted averages disclosed in the table above were weighted by their relative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8599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Credit Facilities, SBA debentures and 2024 Notes were categorized as follows in the fair value hierarchy for ASC 820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Fair Value at December 31, 2019</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3"/>
                <w:szCs w:val="13"/>
                <w:color w:val="auto"/>
              </w:rPr>
            </w:pPr>
          </w:p>
        </w:tc>
        <w:tc>
          <w:tcPr>
            <w:tcW w:w="1180" w:type="dxa"/>
            <w:vAlign w:val="bottom"/>
          </w:tcPr>
          <w:p>
            <w:pPr>
              <w:jc w:val="right"/>
              <w:ind w:right="44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3"/>
                <w:szCs w:val="13"/>
                <w:color w:val="auto"/>
              </w:rPr>
            </w:pPr>
          </w:p>
        </w:tc>
        <w:tc>
          <w:tcPr>
            <w:tcW w:w="1180" w:type="dxa"/>
            <w:vAlign w:val="bottom"/>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1,125,700,818</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1,125,700,818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253,152,141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3,525,293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249,626,848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1,378,852,959</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3,525,293</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1,375,327,666</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32,107,649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32,107,649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1,410,960,608</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35,632,942</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1,375,327,666</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BNP Credit Facility</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202,584,250</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202,584,250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Truist Credit Facility</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326,877,285</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326,877,285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SBA Debentures</w:t>
            </w: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130,187,808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130,187,808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2024 Notes</w:t>
            </w:r>
            <w:r>
              <w:rPr>
                <w:rFonts w:ascii="Arial" w:cs="Arial" w:eastAsia="Arial" w:hAnsi="Arial"/>
                <w:sz w:val="12"/>
                <w:szCs w:val="12"/>
                <w:color w:val="auto"/>
              </w:rPr>
              <w:t>(1)</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88,561,500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88,561,500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748,210,843</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88,561,500</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659,649,343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Fair Value at September 30, 2019</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3"/>
                <w:szCs w:val="13"/>
                <w:color w:val="auto"/>
              </w:rPr>
            </w:pPr>
          </w:p>
        </w:tc>
        <w:tc>
          <w:tcPr>
            <w:tcW w:w="1180" w:type="dxa"/>
            <w:vAlign w:val="bottom"/>
          </w:tcPr>
          <w:p>
            <w:pPr>
              <w:jc w:val="right"/>
              <w:ind w:right="44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3"/>
                <w:szCs w:val="13"/>
                <w:color w:val="auto"/>
              </w:rPr>
            </w:pPr>
          </w:p>
        </w:tc>
        <w:tc>
          <w:tcPr>
            <w:tcW w:w="1180" w:type="dxa"/>
            <w:vAlign w:val="bottom"/>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1,025,779,132</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1,025,779,132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193,653,664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794,580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192,859,084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1,219,432,796</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794,580</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1,218,638,216</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59,516,236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59,516,236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1,278,949,032</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60,310,816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1,218,638,216</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BNP Credit Facility</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170,145,000</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170,145,000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Truist Credit Facility</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295,245,214</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295,245,214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SBA Debentures</w:t>
            </w: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146,111,055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146,111,055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2024 Notes</w:t>
            </w:r>
            <w:r>
              <w:rPr>
                <w:rFonts w:ascii="Arial" w:cs="Arial" w:eastAsia="Arial" w:hAnsi="Arial"/>
                <w:sz w:val="12"/>
                <w:szCs w:val="12"/>
                <w:color w:val="auto"/>
              </w:rPr>
              <w:t>(1)</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72,256,607</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72,256,607</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683,757,876</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72,256,607</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611,501,269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455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50" w:lineRule="exact"/>
        <w:rPr>
          <w:sz w:val="20"/>
          <w:szCs w:val="20"/>
          <w:color w:val="auto"/>
        </w:rPr>
      </w:pPr>
    </w:p>
    <w:p>
      <w:pPr>
        <w:jc w:val="both"/>
        <w:ind w:left="380" w:right="100" w:hanging="372"/>
        <w:spacing w:after="0" w:line="238" w:lineRule="auto"/>
        <w:tabs>
          <w:tab w:leader="none" w:pos="3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We elected not to apply ASC 825-10 to the SBA debentures or the 2024 Notes and thus the balance reported in the Consolidated Statement of Assets and Liabilities represents the carrying value. As of December 31, 2019 and September 30, 2019, the carrying value of the SBA debentures approximates the fair value. As of September 30, 2019, the carrying value of the 2024 Notes approximates the fair value.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220" w:type="dxa"/>
            <w:vAlign w:val="bottom"/>
            <w:gridSpan w:val="9"/>
          </w:tcPr>
          <w:p>
            <w:pPr>
              <w:ind w:left="440"/>
              <w:spacing w:after="0"/>
              <w:rPr>
                <w:sz w:val="20"/>
                <w:szCs w:val="20"/>
                <w:color w:val="auto"/>
              </w:rPr>
            </w:pPr>
            <w:r>
              <w:rPr>
                <w:rFonts w:ascii="Arial" w:cs="Arial" w:eastAsia="Arial" w:hAnsi="Arial"/>
                <w:sz w:val="14"/>
                <w:szCs w:val="14"/>
                <w:color w:val="auto"/>
                <w:w w:val="97"/>
              </w:rPr>
              <w:t>The tables below show a reconciliation of the beginning and ending balances for fair valued investments measured using significant unobservable inputs (Level 3):</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2"/>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6"/>
          </w:tcPr>
          <w:p>
            <w:pPr>
              <w:jc w:val="center"/>
              <w:ind w:left="608"/>
              <w:spacing w:after="0"/>
              <w:rPr>
                <w:sz w:val="20"/>
                <w:szCs w:val="20"/>
                <w:color w:val="auto"/>
              </w:rPr>
            </w:pPr>
            <w:r>
              <w:rPr>
                <w:rFonts w:ascii="Arial" w:cs="Arial" w:eastAsia="Arial" w:hAnsi="Arial"/>
                <w:sz w:val="14"/>
                <w:szCs w:val="14"/>
                <w:b w:val="1"/>
                <w:bCs w:val="1"/>
                <w:color w:val="auto"/>
                <w:w w:val="92"/>
              </w:rPr>
              <w:t>For the three months ended December 31, 2019</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89"/>
              </w:rPr>
              <w:t>Debt</w:t>
            </w:r>
          </w:p>
        </w:tc>
        <w:tc>
          <w:tcPr>
            <w:tcW w:w="200" w:type="dxa"/>
            <w:vAlign w:val="bottom"/>
          </w:tcPr>
          <w:p>
            <w:pPr>
              <w:spacing w:after="0"/>
              <w:rPr>
                <w:sz w:val="11"/>
                <w:szCs w:val="11"/>
                <w:color w:val="auto"/>
              </w:rPr>
            </w:pPr>
          </w:p>
        </w:tc>
        <w:tc>
          <w:tcPr>
            <w:tcW w:w="14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8"/>
              </w:rPr>
              <w:t>Equity</w:t>
            </w:r>
          </w:p>
        </w:tc>
        <w:tc>
          <w:tcPr>
            <w:tcW w:w="500" w:type="dxa"/>
            <w:vAlign w:val="bottom"/>
          </w:tcPr>
          <w:p>
            <w:pPr>
              <w:spacing w:after="0"/>
              <w:rPr>
                <w:sz w:val="11"/>
                <w:szCs w:val="11"/>
                <w:color w:val="auto"/>
              </w:rPr>
            </w:pPr>
          </w:p>
        </w:tc>
        <w:tc>
          <w:tcPr>
            <w:tcW w:w="10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87"/>
              </w:rPr>
              <w:t>Totals</w:t>
            </w:r>
          </w:p>
        </w:tc>
        <w:tc>
          <w:tcPr>
            <w:tcW w:w="0" w:type="dxa"/>
            <w:vAlign w:val="bottom"/>
          </w:tcPr>
          <w:p>
            <w:pPr>
              <w:spacing w:after="0"/>
              <w:rPr>
                <w:sz w:val="1"/>
                <w:szCs w:val="1"/>
                <w:color w:val="auto"/>
              </w:rPr>
            </w:pPr>
          </w:p>
        </w:tc>
      </w:tr>
      <w:tr>
        <w:trPr>
          <w:trHeight w:val="105"/>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9"/>
                <w:szCs w:val="9"/>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investments</w:t>
            </w:r>
          </w:p>
        </w:tc>
        <w:tc>
          <w:tcPr>
            <w:tcW w:w="5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62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62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1,025,779,134</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192,859,082</w:t>
            </w:r>
          </w:p>
        </w:tc>
        <w:tc>
          <w:tcPr>
            <w:tcW w:w="260" w:type="dxa"/>
            <w:vAlign w:val="bottom"/>
            <w:tcBorders>
              <w:top w:val="single" w:sz="8" w:color="CCECFF"/>
            </w:tcBorders>
            <w:shd w:val="clear" w:color="auto" w:fill="CCECFF"/>
          </w:tcPr>
          <w:p>
            <w:pPr>
              <w:spacing w:after="0"/>
              <w:rPr>
                <w:sz w:val="13"/>
                <w:szCs w:val="13"/>
                <w:color w:val="auto"/>
              </w:rPr>
            </w:pPr>
          </w:p>
        </w:tc>
        <w:tc>
          <w:tcPr>
            <w:tcW w:w="500" w:type="dxa"/>
            <w:vAlign w:val="bottom"/>
            <w:tcBorders>
              <w:top w:val="single" w:sz="8" w:color="auto"/>
            </w:tcBorders>
            <w:shd w:val="clear" w:color="auto" w:fill="CCECFF"/>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8"/>
              </w:rPr>
              <w:t>1,218,638,216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Net realized gain (loss)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324,712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(12,367,930)</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(12,043,218)</w:t>
            </w: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appreciation</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2,723,990</w:t>
            </w:r>
          </w:p>
        </w:tc>
        <w:tc>
          <w:tcPr>
            <w:tcW w:w="2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20,400,910</w:t>
            </w:r>
          </w:p>
        </w:tc>
        <w:tc>
          <w:tcPr>
            <w:tcW w:w="260" w:type="dxa"/>
            <w:vAlign w:val="bottom"/>
            <w:shd w:val="clear" w:color="auto" w:fill="CCECFF"/>
          </w:tcPr>
          <w:p>
            <w:pPr>
              <w:spacing w:after="0"/>
              <w:rPr>
                <w:sz w:val="14"/>
                <w:szCs w:val="14"/>
                <w:color w:val="auto"/>
              </w:rPr>
            </w:pPr>
          </w:p>
        </w:tc>
        <w:tc>
          <w:tcPr>
            <w:tcW w:w="500" w:type="dxa"/>
            <w:vAlign w:val="bottom"/>
            <w:shd w:val="clear" w:color="auto" w:fill="CCEC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23,124,900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127,801,796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48,956,985</w:t>
            </w:r>
          </w:p>
        </w:tc>
        <w:tc>
          <w:tcPr>
            <w:tcW w:w="260" w:type="dxa"/>
            <w:vAlign w:val="bottom"/>
          </w:tcPr>
          <w:p>
            <w:pPr>
              <w:spacing w:after="0"/>
              <w:rPr>
                <w:sz w:val="14"/>
                <w:szCs w:val="14"/>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176,758,781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(30,928,814)</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(222,199)</w:t>
            </w:r>
          </w:p>
        </w:tc>
        <w:tc>
          <w:tcPr>
            <w:tcW w:w="500" w:type="dxa"/>
            <w:vAlign w:val="bottom"/>
            <w:shd w:val="clear" w:color="auto" w:fill="CCECFF"/>
          </w:tcPr>
          <w:p>
            <w:pPr>
              <w:jc w:val="right"/>
              <w:ind w:right="34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(31,151,013)</w:t>
            </w: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2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1,125,700,818</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249,626,848</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500" w:type="dxa"/>
            <w:vAlign w:val="bottom"/>
            <w:tcBorders>
              <w:top w:val="single" w:sz="8" w:color="auto"/>
              <w:bottom w:val="single" w:sz="8" w:color="auto"/>
            </w:tcBorders>
            <w:shd w:val="clear" w:color="auto" w:fill="CCECFF"/>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8"/>
              </w:rPr>
              <w:t>1,375,327,666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3"/>
                <w:szCs w:val="13"/>
                <w:color w:val="auto"/>
              </w:rPr>
              <w:t>Net change in unrealized appreciation reported within the net change in unrealized</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2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100"/>
              <w:spacing w:after="0"/>
              <w:rPr>
                <w:sz w:val="20"/>
                <w:szCs w:val="20"/>
                <w:color w:val="auto"/>
              </w:rPr>
            </w:pPr>
            <w:r>
              <w:rPr>
                <w:rFonts w:ascii="Arial" w:cs="Arial" w:eastAsia="Arial" w:hAnsi="Arial"/>
                <w:sz w:val="13"/>
                <w:szCs w:val="13"/>
                <w:color w:val="auto"/>
              </w:rPr>
              <w:t>appreciation on investments in our Consolidated Statements of Operations attributable to our</w:t>
            </w:r>
          </w:p>
        </w:tc>
        <w:tc>
          <w:tcPr>
            <w:tcW w:w="360" w:type="dxa"/>
            <w:vAlign w:val="bottom"/>
            <w:gridSpan w:val="2"/>
            <w:vMerge w:val="restart"/>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2,756,254</w:t>
            </w:r>
          </w:p>
        </w:tc>
        <w:tc>
          <w:tcPr>
            <w:tcW w:w="280" w:type="dxa"/>
            <w:vAlign w:val="bottom"/>
          </w:tcPr>
          <w:p>
            <w:pPr>
              <w:spacing w:after="0"/>
              <w:rPr>
                <w:sz w:val="12"/>
                <w:szCs w:val="12"/>
                <w:color w:val="auto"/>
              </w:rPr>
            </w:pPr>
          </w:p>
        </w:tc>
        <w:tc>
          <w:tcPr>
            <w:tcW w:w="200" w:type="dxa"/>
            <w:vAlign w:val="bottom"/>
            <w:vMerge w:val="restart"/>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8,024,114</w:t>
            </w:r>
          </w:p>
        </w:tc>
        <w:tc>
          <w:tcPr>
            <w:tcW w:w="260" w:type="dxa"/>
            <w:vAlign w:val="bottom"/>
          </w:tcPr>
          <w:p>
            <w:pPr>
              <w:spacing w:after="0"/>
              <w:rPr>
                <w:sz w:val="12"/>
                <w:szCs w:val="12"/>
                <w:color w:val="auto"/>
              </w:rPr>
            </w:pPr>
          </w:p>
        </w:tc>
        <w:tc>
          <w:tcPr>
            <w:tcW w:w="500" w:type="dxa"/>
            <w:vAlign w:val="bottom"/>
            <w:vMerge w:val="restart"/>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10,780,368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240" w:type="dxa"/>
            <w:vAlign w:val="bottom"/>
          </w:tcPr>
          <w:p>
            <w:pPr>
              <w:ind w:left="100"/>
              <w:spacing w:after="0"/>
              <w:rPr>
                <w:sz w:val="20"/>
                <w:szCs w:val="20"/>
                <w:color w:val="auto"/>
              </w:rPr>
            </w:pPr>
            <w:r>
              <w:rPr>
                <w:rFonts w:ascii="Arial" w:cs="Arial" w:eastAsia="Arial" w:hAnsi="Arial"/>
                <w:sz w:val="13"/>
                <w:szCs w:val="13"/>
                <w:color w:val="auto"/>
              </w:rPr>
              <w:t>Level 3 assets still held at the reporting date.</w:t>
            </w:r>
          </w:p>
        </w:tc>
        <w:tc>
          <w:tcPr>
            <w:tcW w:w="36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6"/>
          </w:tcPr>
          <w:p>
            <w:pPr>
              <w:jc w:val="center"/>
              <w:ind w:left="608"/>
              <w:spacing w:after="0"/>
              <w:rPr>
                <w:sz w:val="20"/>
                <w:szCs w:val="20"/>
                <w:color w:val="auto"/>
              </w:rPr>
            </w:pPr>
            <w:r>
              <w:rPr>
                <w:rFonts w:ascii="Arial" w:cs="Arial" w:eastAsia="Arial" w:hAnsi="Arial"/>
                <w:sz w:val="14"/>
                <w:szCs w:val="14"/>
                <w:b w:val="1"/>
                <w:bCs w:val="1"/>
                <w:color w:val="auto"/>
                <w:w w:val="92"/>
              </w:rPr>
              <w:t>For the three months ended December 31, 2018</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89"/>
              </w:rPr>
              <w:t>Debt</w:t>
            </w:r>
          </w:p>
        </w:tc>
        <w:tc>
          <w:tcPr>
            <w:tcW w:w="200" w:type="dxa"/>
            <w:vAlign w:val="bottom"/>
          </w:tcPr>
          <w:p>
            <w:pPr>
              <w:spacing w:after="0"/>
              <w:rPr>
                <w:sz w:val="11"/>
                <w:szCs w:val="11"/>
                <w:color w:val="auto"/>
              </w:rPr>
            </w:pPr>
          </w:p>
        </w:tc>
        <w:tc>
          <w:tcPr>
            <w:tcW w:w="14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8"/>
              </w:rPr>
              <w:t>Equity</w:t>
            </w:r>
          </w:p>
        </w:tc>
        <w:tc>
          <w:tcPr>
            <w:tcW w:w="500" w:type="dxa"/>
            <w:vAlign w:val="bottom"/>
          </w:tcPr>
          <w:p>
            <w:pPr>
              <w:spacing w:after="0"/>
              <w:rPr>
                <w:sz w:val="11"/>
                <w:szCs w:val="11"/>
                <w:color w:val="auto"/>
              </w:rPr>
            </w:pPr>
          </w:p>
        </w:tc>
        <w:tc>
          <w:tcPr>
            <w:tcW w:w="10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87"/>
              </w:rPr>
              <w:t>Totals</w:t>
            </w:r>
          </w:p>
        </w:tc>
        <w:tc>
          <w:tcPr>
            <w:tcW w:w="0" w:type="dxa"/>
            <w:vAlign w:val="bottom"/>
          </w:tcPr>
          <w:p>
            <w:pPr>
              <w:spacing w:after="0"/>
              <w:rPr>
                <w:sz w:val="1"/>
                <w:szCs w:val="1"/>
                <w:color w:val="auto"/>
              </w:rPr>
            </w:pPr>
          </w:p>
        </w:tc>
      </w:tr>
      <w:tr>
        <w:trPr>
          <w:trHeight w:val="105"/>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9"/>
                <w:szCs w:val="9"/>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investments</w:t>
            </w:r>
          </w:p>
        </w:tc>
        <w:tc>
          <w:tcPr>
            <w:tcW w:w="5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62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62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160,656,044</w:t>
            </w:r>
          </w:p>
        </w:tc>
        <w:tc>
          <w:tcPr>
            <w:tcW w:w="260" w:type="dxa"/>
            <w:vAlign w:val="bottom"/>
            <w:tcBorders>
              <w:top w:val="single" w:sz="8" w:color="CCECFF"/>
            </w:tcBorders>
            <w:shd w:val="clear" w:color="auto" w:fill="CCECFF"/>
          </w:tcPr>
          <w:p>
            <w:pPr>
              <w:spacing w:after="0"/>
              <w:rPr>
                <w:sz w:val="13"/>
                <w:szCs w:val="13"/>
                <w:color w:val="auto"/>
              </w:rPr>
            </w:pPr>
          </w:p>
        </w:tc>
        <w:tc>
          <w:tcPr>
            <w:tcW w:w="500" w:type="dxa"/>
            <w:vAlign w:val="bottom"/>
            <w:tcBorders>
              <w:top w:val="single" w:sz="8" w:color="auto"/>
            </w:tcBorders>
            <w:shd w:val="clear" w:color="auto" w:fill="CCECFF"/>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8"/>
              </w:rPr>
              <w:t>1,131,243,747</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Net realized gain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805,044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7,672,845</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8,477,889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appreciation (depreciation)</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3,054,099</w:t>
            </w:r>
          </w:p>
        </w:tc>
        <w:tc>
          <w:tcPr>
            <w:tcW w:w="2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(22,878,354)</w:t>
            </w:r>
          </w:p>
        </w:tc>
        <w:tc>
          <w:tcPr>
            <w:tcW w:w="50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(19,824,255)</w:t>
            </w: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175,080,250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21,214,018</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196,294,268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(120,839,706)</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(4,951,311)</w:t>
            </w:r>
          </w:p>
        </w:tc>
        <w:tc>
          <w:tcPr>
            <w:tcW w:w="50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(125,791,017)</w:t>
            </w: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2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1,028,687,390</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161,713,242</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500" w:type="dxa"/>
            <w:vAlign w:val="bottom"/>
            <w:tcBorders>
              <w:top w:val="single" w:sz="8" w:color="auto"/>
              <w:bottom w:val="single" w:sz="8" w:color="auto"/>
            </w:tcBorders>
            <w:shd w:val="clear" w:color="auto" w:fill="CCECFF"/>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8"/>
              </w:rPr>
              <w:t>1,190,400,632</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3"/>
                <w:szCs w:val="13"/>
                <w:color w:val="auto"/>
              </w:rPr>
              <w:t>Net change in unrealized appreciation (depreciation) reported within the net change in unrealized</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2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100"/>
              <w:spacing w:after="0"/>
              <w:rPr>
                <w:sz w:val="20"/>
                <w:szCs w:val="20"/>
                <w:color w:val="auto"/>
              </w:rPr>
            </w:pPr>
            <w:r>
              <w:rPr>
                <w:rFonts w:ascii="Arial" w:cs="Arial" w:eastAsia="Arial" w:hAnsi="Arial"/>
                <w:sz w:val="13"/>
                <w:szCs w:val="13"/>
                <w:color w:val="auto"/>
              </w:rPr>
              <w:t>depreciation on investments in our Consolidated Statements of Operations attributable to our</w:t>
            </w:r>
          </w:p>
        </w:tc>
        <w:tc>
          <w:tcPr>
            <w:tcW w:w="360" w:type="dxa"/>
            <w:vAlign w:val="bottom"/>
            <w:gridSpan w:val="2"/>
            <w:vMerge w:val="restart"/>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3,476,349</w:t>
            </w:r>
          </w:p>
        </w:tc>
        <w:tc>
          <w:tcPr>
            <w:tcW w:w="280" w:type="dxa"/>
            <w:vAlign w:val="bottom"/>
          </w:tcPr>
          <w:p>
            <w:pPr>
              <w:spacing w:after="0"/>
              <w:rPr>
                <w:sz w:val="12"/>
                <w:szCs w:val="12"/>
                <w:color w:val="auto"/>
              </w:rPr>
            </w:pPr>
          </w:p>
        </w:tc>
        <w:tc>
          <w:tcPr>
            <w:tcW w:w="200" w:type="dxa"/>
            <w:vAlign w:val="bottom"/>
            <w:vMerge w:val="restart"/>
          </w:tcPr>
          <w:p>
            <w:pPr>
              <w:jc w:val="right"/>
              <w:ind w:right="89"/>
              <w:spacing w:after="0"/>
              <w:rPr>
                <w:sz w:val="20"/>
                <w:szCs w:val="20"/>
                <w:color w:val="auto"/>
              </w:rPr>
            </w:pPr>
            <w:r>
              <w:rPr>
                <w:rFonts w:ascii="Arial" w:cs="Arial" w:eastAsia="Arial" w:hAnsi="Arial"/>
                <w:sz w:val="10"/>
                <w:szCs w:val="10"/>
                <w:color w:val="auto"/>
                <w:w w:val="71"/>
              </w:rPr>
              <w:t>$</w:t>
            </w: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(14,245,662)</w:t>
            </w:r>
          </w:p>
        </w:tc>
        <w:tc>
          <w:tcPr>
            <w:tcW w:w="500" w:type="dxa"/>
            <w:vAlign w:val="bottom"/>
            <w:vMerge w:val="restart"/>
          </w:tcPr>
          <w:p>
            <w:pPr>
              <w:jc w:val="right"/>
              <w:ind w:right="348"/>
              <w:spacing w:after="0"/>
              <w:rPr>
                <w:sz w:val="20"/>
                <w:szCs w:val="20"/>
                <w:color w:val="auto"/>
              </w:rPr>
            </w:pPr>
            <w:r>
              <w:rPr>
                <w:rFonts w:ascii="Arial" w:cs="Arial" w:eastAsia="Arial" w:hAnsi="Arial"/>
                <w:sz w:val="14"/>
                <w:szCs w:val="14"/>
                <w:color w:val="auto"/>
                <w:w w:val="76"/>
              </w:rPr>
              <w:t>$</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(10,769,313)</w:t>
            </w:r>
          </w:p>
        </w:tc>
        <w:tc>
          <w:tcPr>
            <w:tcW w:w="0" w:type="dxa"/>
            <w:vAlign w:val="bottom"/>
          </w:tcPr>
          <w:p>
            <w:pPr>
              <w:spacing w:after="0"/>
              <w:rPr>
                <w:sz w:val="1"/>
                <w:szCs w:val="1"/>
                <w:color w:val="auto"/>
              </w:rPr>
            </w:pPr>
          </w:p>
        </w:tc>
      </w:tr>
      <w:tr>
        <w:trPr>
          <w:trHeight w:val="159"/>
        </w:trPr>
        <w:tc>
          <w:tcPr>
            <w:tcW w:w="6240" w:type="dxa"/>
            <w:vAlign w:val="bottom"/>
          </w:tcPr>
          <w:p>
            <w:pPr>
              <w:ind w:left="100"/>
              <w:spacing w:after="0"/>
              <w:rPr>
                <w:sz w:val="20"/>
                <w:szCs w:val="20"/>
                <w:color w:val="auto"/>
              </w:rPr>
            </w:pPr>
            <w:r>
              <w:rPr>
                <w:rFonts w:ascii="Arial" w:cs="Arial" w:eastAsia="Arial" w:hAnsi="Arial"/>
                <w:sz w:val="13"/>
                <w:szCs w:val="13"/>
                <w:color w:val="auto"/>
              </w:rPr>
              <w:t>Level 3 assets still held at the reporting date.</w:t>
            </w:r>
          </w:p>
        </w:tc>
        <w:tc>
          <w:tcPr>
            <w:tcW w:w="36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25"/>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Credit Facilities</w:t>
            </w: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$472,636,000 and $80,520,000,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465,390,214</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77,645,830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appreciation (depreciation) included in earnings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2,571,321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(4,173,652)</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81,500,000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217,000,000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(35,000,000)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(123,384,000)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$519,136,000 and $174,136,000, respectively)</w:t>
            </w:r>
          </w:p>
        </w:tc>
        <w:tc>
          <w:tcPr>
            <w:tcW w:w="34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514,461,535</w:t>
            </w:r>
          </w:p>
        </w:tc>
        <w:tc>
          <w:tcPr>
            <w:tcW w:w="280" w:type="dxa"/>
            <w:vAlign w:val="bottom"/>
          </w:tcPr>
          <w:p>
            <w:pPr>
              <w:spacing w:after="0"/>
              <w:rPr>
                <w:sz w:val="13"/>
                <w:szCs w:val="13"/>
                <w:color w:val="auto"/>
              </w:rPr>
            </w:pPr>
          </w:p>
        </w:tc>
        <w:tc>
          <w:tcPr>
            <w:tcW w:w="3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167,088,178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Temporary draws outstanding, at cost</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$534,136,000 and $174,136,000, respectively)</w:t>
            </w: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529,461,535</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167,088,178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455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4"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13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As of December 31, 2019, we had outstanding non-U.S. dollar borrowings on our Credit Facilities. Net change in fair value on foreign currency translation on outstanding borrowings is listed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40,136,000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38,417,750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March 13, 2020</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(1,718,250)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211" w:lineRule="exact"/>
        <w:rPr>
          <w:sz w:val="20"/>
          <w:szCs w:val="20"/>
          <w:color w:val="auto"/>
        </w:rPr>
      </w:pPr>
    </w:p>
    <w:p>
      <w:pPr>
        <w:jc w:val="both"/>
        <w:ind w:right="20" w:firstLine="438"/>
        <w:spacing w:after="0" w:line="253" w:lineRule="auto"/>
        <w:rPr>
          <w:sz w:val="20"/>
          <w:szCs w:val="20"/>
          <w:color w:val="auto"/>
        </w:rPr>
      </w:pPr>
      <w:r>
        <w:rPr>
          <w:rFonts w:ascii="Arial" w:cs="Arial" w:eastAsia="Arial" w:hAnsi="Arial"/>
          <w:sz w:val="14"/>
          <w:szCs w:val="14"/>
          <w:color w:val="auto"/>
        </w:rPr>
        <w:t>As of September 30, 2019, we had outstanding non-U.S. dollar borrowings on the Truist Credit Facility. Net change in fair value on foreign currency translation on outstanding borrowings is listed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c>
          <w:tcPr>
            <w:tcW w:w="20" w:type="dxa"/>
            <w:vAlign w:val="bottom"/>
          </w:tcPr>
          <w:p>
            <w:pPr>
              <w:spacing w:after="0"/>
              <w:rPr>
                <w:sz w:val="14"/>
                <w:szCs w:val="14"/>
                <w:color w:val="auto"/>
              </w:rPr>
            </w:pP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40,136,000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35,736,700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December 13, 2019</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(4,399,300)</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758"/>
        </w:trPr>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19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0" w:name="page21"/>
    <w:bookmarkEnd w:id="20"/>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firstLine="438"/>
        <w:spacing w:after="0" w:line="227" w:lineRule="auto"/>
        <w:rPr>
          <w:sz w:val="20"/>
          <w:szCs w:val="20"/>
          <w:color w:val="auto"/>
        </w:rPr>
      </w:pPr>
      <w:r>
        <w:rPr>
          <w:rFonts w:ascii="Arial" w:cs="Arial" w:eastAsia="Arial" w:hAnsi="Arial"/>
          <w:sz w:val="14"/>
          <w:szCs w:val="14"/>
          <w:color w:val="auto"/>
        </w:rPr>
        <w:t>The carrying value of our consolidated financial liabilities approximates fair value. We have adopted the principles under ASC Subtopic ASC 825-10, Financial Instruments, or ASC 825-10, which provides companies with an option to report selected financial assets and liabilities at fair value, and made an irrevocable election to apply ASC 825-10 to our Credit Facilities and, prior to their redemption, the 2019 Notes. We elected to use the fair value option for the Credit Facilities and, prior to their redemption, the 2019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us to display the fair value of the selected assets and liabilities on the face of the Consolidated Statements of Assets and Liabilities and changes in fair value of the Credit Facilities and the 2019 Notes are reported in our Consolidated Statements of Operations. We did not elect to apply ASC 825-10 to any other financial assets or liabilities, including the 2024 Notes and the SBA debentures.</w:t>
      </w:r>
    </w:p>
    <w:p>
      <w:pPr>
        <w:spacing w:after="0" w:line="199" w:lineRule="exact"/>
        <w:rPr>
          <w:sz w:val="20"/>
          <w:szCs w:val="20"/>
          <w:color w:val="auto"/>
        </w:rPr>
      </w:pPr>
    </w:p>
    <w:p>
      <w:pPr>
        <w:ind w:right="200" w:firstLine="474"/>
        <w:spacing w:after="0" w:line="233" w:lineRule="auto"/>
        <w:rPr>
          <w:sz w:val="20"/>
          <w:szCs w:val="20"/>
          <w:color w:val="auto"/>
        </w:rPr>
      </w:pPr>
      <w:r>
        <w:rPr>
          <w:rFonts w:ascii="Arial" w:cs="Arial" w:eastAsia="Arial" w:hAnsi="Arial"/>
          <w:sz w:val="14"/>
          <w:szCs w:val="14"/>
          <w:color w:val="auto"/>
        </w:rPr>
        <w:t>For the three months ended December 31, 2019, our Credit Facilities had a net change in unrealized appreciation of $2.6 million. For the three months ended December 31, 2018, the Truist Credit Facility and the 2019 Notes had a net change in unrealized depreciation of $6.1 million. As of December 31, 2019 and September 30, 2019, the net unrealized depreciation on our Credit Facilities totaled $4.7 million and $7.2 million, respectively. We use a nationally recognized independent valuation service to measure the fair value of our Credit Facilities and the 2019 Notes in a manner consistent with the valuation process that the board of directors uses to value our investments.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221"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2019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Net Change in</w:t>
            </w:r>
          </w:p>
        </w:tc>
        <w:tc>
          <w:tcPr>
            <w:tcW w:w="12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PIK</w:t>
            </w: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Realized</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Appreciation /</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0"/>
              </w:rPr>
              <w:t>September 30, 2019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Additions</w:t>
            </w:r>
            <w:r>
              <w:rPr>
                <w:rFonts w:ascii="Arial" w:cs="Arial" w:eastAsia="Arial" w:hAnsi="Arial"/>
                <w:sz w:val="12"/>
                <w:szCs w:val="12"/>
                <w:b w:val="1"/>
                <w:bCs w:val="1"/>
                <w:color w:val="auto"/>
                <w:w w:val="93"/>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rPr>
              <w:t>Reductions</w:t>
            </w:r>
          </w:p>
        </w:tc>
        <w:tc>
          <w:tcPr>
            <w:tcW w:w="220" w:type="dxa"/>
            <w:vAlign w:val="bottom"/>
          </w:tcPr>
          <w:p>
            <w:pPr>
              <w:spacing w:after="0"/>
              <w:rPr>
                <w:sz w:val="14"/>
                <w:szCs w:val="14"/>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(Depreciation)</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155"/>
        </w:trPr>
        <w:tc>
          <w:tcPr>
            <w:tcW w:w="19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06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5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0" w:type="dxa"/>
            <w:vAlign w:val="bottom"/>
            <w:gridSpan w:val="2"/>
          </w:tcPr>
          <w:p>
            <w:pPr>
              <w:spacing w:after="0"/>
              <w:rPr>
                <w:sz w:val="20"/>
                <w:szCs w:val="20"/>
                <w:color w:val="auto"/>
              </w:rPr>
            </w:pPr>
            <w:r>
              <w:rPr>
                <w:rFonts w:ascii="Arial" w:cs="Arial" w:eastAsia="Arial" w:hAnsi="Arial"/>
                <w:sz w:val="14"/>
                <w:szCs w:val="14"/>
                <w:color w:val="auto"/>
              </w:rPr>
              <w:t>AKW Holdings Limited</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37,059,204</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ind w:left="740"/>
              <w:spacing w:after="0"/>
              <w:rPr>
                <w:sz w:val="20"/>
                <w:szCs w:val="20"/>
                <w:color w:val="auto"/>
              </w:rPr>
            </w:pPr>
            <w:r>
              <w:rPr>
                <w:rFonts w:ascii="Arial" w:cs="Arial" w:eastAsia="Arial" w:hAnsi="Arial"/>
                <w:sz w:val="14"/>
                <w:szCs w:val="14"/>
                <w:color w:val="auto"/>
                <w:w w:val="99"/>
              </w:rPr>
              <w:t>—</w:t>
            </w:r>
          </w:p>
        </w:tc>
        <w:tc>
          <w:tcPr>
            <w:tcW w:w="440" w:type="dxa"/>
            <w:vAlign w:val="bottom"/>
            <w:gridSpan w:val="2"/>
          </w:tcPr>
          <w:p>
            <w:pPr>
              <w:jc w:val="right"/>
              <w:ind w:right="93"/>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3,705,473</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40,764,677</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0"/>
              </w:rPr>
              <w:t>623,409</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PT Networks, LLC</w:t>
            </w:r>
          </w:p>
        </w:tc>
        <w:tc>
          <w:tcPr>
            <w:tcW w:w="14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72,434,438</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4,394,391</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ind w:left="74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878,422</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77,707,251</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12,206</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3"/>
              </w:rPr>
              <w:t>1,473,075</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80" w:type="dxa"/>
            <w:vAlign w:val="bottom"/>
            <w:gridSpan w:val="2"/>
            <w:shd w:val="clear" w:color="auto" w:fill="CCEC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gridSpan w:val="2"/>
          </w:tcPr>
          <w:p>
            <w:pPr>
              <w:spacing w:after="0"/>
              <w:rPr>
                <w:sz w:val="20"/>
                <w:szCs w:val="20"/>
                <w:color w:val="auto"/>
              </w:rPr>
            </w:pPr>
            <w:r>
              <w:rPr>
                <w:rFonts w:ascii="Arial" w:cs="Arial" w:eastAsia="Arial" w:hAnsi="Arial"/>
                <w:sz w:val="14"/>
                <w:szCs w:val="14"/>
                <w:color w:val="auto"/>
              </w:rPr>
              <w:t>RAM Energy LLC</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123,957,717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11,443,334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2,341,666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137,742,717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1,435,737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00" w:type="dxa"/>
            <w:vAlign w:val="bottom"/>
            <w:tcBorders>
              <w:top w:val="single" w:sz="8" w:color="CCECFF"/>
            </w:tcBorders>
            <w:gridSpan w:val="2"/>
            <w:shd w:val="clear" w:color="auto" w:fill="CCECFF"/>
          </w:tcPr>
          <w:p>
            <w:pPr>
              <w:ind w:left="140"/>
              <w:spacing w:after="0" w:line="155" w:lineRule="exact"/>
              <w:rPr>
                <w:sz w:val="20"/>
                <w:szCs w:val="20"/>
                <w:color w:val="auto"/>
              </w:rPr>
            </w:pPr>
            <w:r>
              <w:rPr>
                <w:rFonts w:ascii="Arial" w:cs="Arial" w:eastAsia="Arial" w:hAnsi="Arial"/>
                <w:sz w:val="14"/>
                <w:szCs w:val="14"/>
                <w:color w:val="auto"/>
              </w:rPr>
              <w:t>Total Controlled Affiliates</w:t>
            </w:r>
          </w:p>
        </w:tc>
        <w:tc>
          <w:tcPr>
            <w:tcW w:w="140" w:type="dxa"/>
            <w:vAlign w:val="bottom"/>
            <w:tcBorders>
              <w:top w:val="single" w:sz="8" w:color="auto"/>
              <w:bottom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233,451,359</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15,837,725</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ind w:left="74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93"/>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6,925,561</w:t>
            </w: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256,214,645</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0"/>
              </w:rPr>
              <w:t>635,615</w:t>
            </w: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3"/>
              </w:rPr>
              <w:t>2,908,812</w:t>
            </w: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CFF"/>
          </w:tcPr>
          <w:p>
            <w:pPr>
              <w:ind w:left="72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Non-Controlled Affiliates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ETX Energy, LLC</w:t>
            </w:r>
          </w:p>
        </w:tc>
        <w:tc>
          <w:tcPr>
            <w:tcW w:w="14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22,717,376</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CFF"/>
          </w:tcPr>
          <w:p>
            <w:pPr>
              <w:ind w:left="740"/>
              <w:spacing w:after="0"/>
              <w:rPr>
                <w:sz w:val="20"/>
                <w:szCs w:val="20"/>
                <w:color w:val="auto"/>
              </w:rPr>
            </w:pPr>
            <w:r>
              <w:rPr>
                <w:rFonts w:ascii="Arial" w:cs="Arial" w:eastAsia="Arial" w:hAnsi="Arial"/>
                <w:sz w:val="14"/>
                <w:szCs w:val="14"/>
                <w:color w:val="auto"/>
                <w:w w:val="99"/>
              </w:rPr>
              <w:t>—</w:t>
            </w:r>
          </w:p>
        </w:tc>
        <w:tc>
          <w:tcPr>
            <w:tcW w:w="440" w:type="dxa"/>
            <w:vAlign w:val="bottom"/>
            <w:gridSpan w:val="2"/>
            <w:shd w:val="clear" w:color="auto" w:fill="CCECFF"/>
          </w:tcPr>
          <w:p>
            <w:pPr>
              <w:jc w:val="right"/>
              <w:ind w:right="93"/>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(3,382,914)</w:t>
            </w:r>
          </w:p>
        </w:tc>
        <w:tc>
          <w:tcPr>
            <w:tcW w:w="12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19,334,462</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C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00" w:type="dxa"/>
            <w:vAlign w:val="bottom"/>
            <w:gridSpan w:val="2"/>
          </w:tcPr>
          <w:p>
            <w:pPr>
              <w:spacing w:after="0" w:line="143" w:lineRule="exact"/>
              <w:rPr>
                <w:sz w:val="20"/>
                <w:szCs w:val="20"/>
                <w:color w:val="auto"/>
              </w:rPr>
            </w:pPr>
            <w:r>
              <w:rPr>
                <w:rFonts w:ascii="Arial" w:cs="Arial" w:eastAsia="Arial" w:hAnsi="Arial"/>
                <w:sz w:val="14"/>
                <w:szCs w:val="14"/>
                <w:color w:val="auto"/>
              </w:rPr>
              <w:t>MidOcean JF Holdings</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gridSpan w:val="2"/>
          </w:tcPr>
          <w:p>
            <w:pPr>
              <w:ind w:left="120"/>
              <w:spacing w:after="0"/>
              <w:rPr>
                <w:sz w:val="20"/>
                <w:szCs w:val="20"/>
                <w:color w:val="auto"/>
              </w:rPr>
            </w:pPr>
            <w:r>
              <w:rPr>
                <w:rFonts w:ascii="Arial" w:cs="Arial" w:eastAsia="Arial" w:hAnsi="Arial"/>
                <w:sz w:val="14"/>
                <w:szCs w:val="14"/>
                <w:color w:val="auto"/>
              </w:rPr>
              <w:t>Corp.</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26,631,962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3,027,581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29,659,543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000" w:type="dxa"/>
            <w:vAlign w:val="bottom"/>
            <w:tcBorders>
              <w:top w:val="single" w:sz="8" w:color="CCECFF"/>
            </w:tcBorders>
            <w:gridSpan w:val="2"/>
            <w:shd w:val="clear" w:color="auto" w:fill="CCECFF"/>
          </w:tcPr>
          <w:p>
            <w:pPr>
              <w:ind w:left="140"/>
              <w:spacing w:after="0" w:line="137" w:lineRule="exact"/>
              <w:rPr>
                <w:sz w:val="20"/>
                <w:szCs w:val="20"/>
                <w:color w:val="auto"/>
              </w:rPr>
            </w:pPr>
            <w:r>
              <w:rPr>
                <w:rFonts w:ascii="Arial" w:cs="Arial" w:eastAsia="Arial" w:hAnsi="Arial"/>
                <w:sz w:val="14"/>
                <w:szCs w:val="14"/>
                <w:color w:val="auto"/>
              </w:rPr>
              <w:t>Total Non-Controlled</w:t>
            </w:r>
          </w:p>
        </w:tc>
        <w:tc>
          <w:tcPr>
            <w:tcW w:w="140" w:type="dxa"/>
            <w:vAlign w:val="bottom"/>
            <w:tcBorders>
              <w:top w:val="single" w:sz="8" w:color="auto"/>
            </w:tcBorders>
            <w:shd w:val="clear" w:color="auto" w:fill="CCECFF"/>
          </w:tcPr>
          <w:p>
            <w:pPr>
              <w:spacing w:after="0"/>
              <w:rPr>
                <w:sz w:val="11"/>
                <w:szCs w:val="11"/>
                <w:color w:val="auto"/>
              </w:rPr>
            </w:pPr>
          </w:p>
        </w:tc>
        <w:tc>
          <w:tcPr>
            <w:tcW w:w="10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auto"/>
            </w:tcBorders>
            <w:shd w:val="clear" w:color="auto" w:fill="CCECFF"/>
          </w:tcPr>
          <w:p>
            <w:pPr>
              <w:spacing w:after="0"/>
              <w:rPr>
                <w:sz w:val="11"/>
                <w:szCs w:val="11"/>
                <w:color w:val="auto"/>
              </w:rPr>
            </w:pPr>
          </w:p>
        </w:tc>
        <w:tc>
          <w:tcPr>
            <w:tcW w:w="7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0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0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00" w:type="dxa"/>
            <w:vAlign w:val="bottom"/>
            <w:gridSpan w:val="2"/>
            <w:shd w:val="clear" w:color="auto" w:fill="CCECFF"/>
          </w:tcPr>
          <w:p>
            <w:pPr>
              <w:ind w:left="240"/>
              <w:spacing w:after="0"/>
              <w:rPr>
                <w:sz w:val="20"/>
                <w:szCs w:val="20"/>
                <w:color w:val="auto"/>
              </w:rPr>
            </w:pPr>
            <w:r>
              <w:rPr>
                <w:rFonts w:ascii="Arial" w:cs="Arial" w:eastAsia="Arial" w:hAnsi="Arial"/>
                <w:sz w:val="14"/>
                <w:szCs w:val="14"/>
                <w:color w:val="auto"/>
              </w:rPr>
              <w:t>Affiliates</w:t>
            </w:r>
          </w:p>
        </w:tc>
        <w:tc>
          <w:tcPr>
            <w:tcW w:w="14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49,349,338</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CFF"/>
          </w:tcPr>
          <w:p>
            <w:pPr>
              <w:ind w:left="740"/>
              <w:spacing w:after="0"/>
              <w:rPr>
                <w:sz w:val="20"/>
                <w:szCs w:val="20"/>
                <w:color w:val="auto"/>
              </w:rPr>
            </w:pPr>
            <w:r>
              <w:rPr>
                <w:rFonts w:ascii="Arial" w:cs="Arial" w:eastAsia="Arial" w:hAnsi="Arial"/>
                <w:sz w:val="14"/>
                <w:szCs w:val="14"/>
                <w:color w:val="auto"/>
                <w:w w:val="99"/>
              </w:rPr>
              <w:t>—</w:t>
            </w:r>
          </w:p>
        </w:tc>
        <w:tc>
          <w:tcPr>
            <w:tcW w:w="440" w:type="dxa"/>
            <w:vAlign w:val="bottom"/>
            <w:gridSpan w:val="2"/>
            <w:shd w:val="clear" w:color="auto" w:fill="CCECFF"/>
          </w:tcPr>
          <w:p>
            <w:pPr>
              <w:jc w:val="right"/>
              <w:ind w:right="93"/>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(355,333)</w:t>
            </w:r>
          </w:p>
        </w:tc>
        <w:tc>
          <w:tcPr>
            <w:tcW w:w="12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48,994,005</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C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0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Total Controlled and</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282,800,697</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15,837,725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ind w:left="740"/>
              <w:spacing w:after="0"/>
              <w:rPr>
                <w:sz w:val="20"/>
                <w:szCs w:val="20"/>
                <w:color w:val="auto"/>
              </w:rPr>
            </w:pPr>
            <w:r>
              <w:rPr>
                <w:rFonts w:ascii="Arial" w:cs="Arial" w:eastAsia="Arial" w:hAnsi="Arial"/>
                <w:sz w:val="14"/>
                <w:szCs w:val="14"/>
                <w:color w:val="auto"/>
                <w:w w:val="99"/>
              </w:rPr>
              <w:t>—</w:t>
            </w:r>
          </w:p>
        </w:tc>
        <w:tc>
          <w:tcPr>
            <w:tcW w:w="440" w:type="dxa"/>
            <w:vAlign w:val="bottom"/>
            <w:gridSpan w:val="2"/>
          </w:tcPr>
          <w:p>
            <w:pPr>
              <w:jc w:val="right"/>
              <w:ind w:right="93"/>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6,570,228</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305,208,650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0"/>
              </w:rPr>
              <w:t>635,615</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2,908,812</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4"/>
          <w:szCs w:val="14"/>
          <w:color w:val="auto"/>
        </w:rPr>
        <w:t>Includes PIK.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6040" w:type="dxa"/>
            <w:vAlign w:val="bottom"/>
          </w:tcPr>
          <w:p>
            <w:pPr>
              <w:spacing w:after="0"/>
              <w:rPr>
                <w:sz w:val="2"/>
                <w:szCs w:val="2"/>
                <w:color w:val="auto"/>
              </w:rPr>
            </w:pPr>
          </w:p>
        </w:tc>
        <w:tc>
          <w:tcPr>
            <w:tcW w:w="25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5"/>
        </w:trPr>
        <w:tc>
          <w:tcPr>
            <w:tcW w:w="60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60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1540" w:type="dxa"/>
            <w:vAlign w:val="bottom"/>
            <w:tcBorders>
              <w:top w:val="single" w:sz="8" w:color="CCECFF"/>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88"/>
              </w:rPr>
              <w:t>19,202,510</w:t>
            </w:r>
          </w:p>
        </w:tc>
        <w:tc>
          <w:tcPr>
            <w:tcW w:w="300" w:type="dxa"/>
            <w:vAlign w:val="bottom"/>
            <w:tcBorders>
              <w:top w:val="single" w:sz="8" w:color="CCECFF"/>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6,778,189</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604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8"/>
              </w:rPr>
              <w:t>67,045,105</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1"/>
              </w:rPr>
              <w:t>68,908,920</w:t>
            </w:r>
          </w:p>
        </w:tc>
        <w:tc>
          <w:tcPr>
            <w:tcW w:w="100" w:type="dxa"/>
            <w:vAlign w:val="bottom"/>
          </w:tcPr>
          <w:p>
            <w:pPr>
              <w:spacing w:after="0"/>
              <w:rPr>
                <w:sz w:val="14"/>
                <w:szCs w:val="14"/>
                <w:color w:val="auto"/>
              </w:rPr>
            </w:pPr>
          </w:p>
        </w:tc>
      </w:tr>
      <w:tr>
        <w:trPr>
          <w:trHeight w:val="162"/>
        </w:trPr>
        <w:tc>
          <w:tcPr>
            <w:tcW w:w="604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2500" w:type="dxa"/>
            <w:vAlign w:val="bottom"/>
            <w:gridSpan w:val="2"/>
            <w:shd w:val="clear" w:color="auto" w:fill="CCECFF"/>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0.29</w:t>
            </w:r>
          </w:p>
        </w:tc>
        <w:tc>
          <w:tcPr>
            <w:tcW w:w="1260" w:type="dxa"/>
            <w:vAlign w:val="bottom"/>
            <w:gridSpan w:val="2"/>
            <w:shd w:val="clear" w:color="auto" w:fill="CCECFF"/>
          </w:tcPr>
          <w:p>
            <w:pPr>
              <w:jc w:val="right"/>
              <w:ind w:right="80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0.10</w:t>
            </w:r>
          </w:p>
        </w:tc>
        <w:tc>
          <w:tcPr>
            <w:tcW w:w="100" w:type="dxa"/>
            <w:vAlign w:val="bottom"/>
            <w:shd w:val="clear" w:color="auto" w:fill="CCECFF"/>
          </w:tcPr>
          <w:p>
            <w:pPr>
              <w:spacing w:after="0"/>
              <w:rPr>
                <w:sz w:val="14"/>
                <w:szCs w:val="14"/>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221" w:lineRule="exact"/>
        <w:rPr>
          <w:sz w:val="20"/>
          <w:szCs w:val="20"/>
          <w:color w:val="auto"/>
        </w:rPr>
      </w:pPr>
    </w:p>
    <w:p>
      <w:pPr>
        <w:ind w:right="4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Facilities,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2019 and September 30, 2019, cash and cash equivalents consisted of money market funds in the amounts of $32.1 million and $59.5 million at fair value,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6840" w:type="dxa"/>
            <w:vAlign w:val="bottom"/>
          </w:tcPr>
          <w:p>
            <w:pPr>
              <w:ind w:left="440"/>
              <w:spacing w:after="0"/>
              <w:rPr>
                <w:sz w:val="20"/>
                <w:szCs w:val="20"/>
                <w:color w:val="auto"/>
              </w:rPr>
            </w:pPr>
            <w:r>
              <w:rPr>
                <w:rFonts w:ascii="Arial" w:cs="Arial" w:eastAsia="Arial" w:hAnsi="Arial"/>
                <w:sz w:val="14"/>
                <w:szCs w:val="14"/>
                <w:color w:val="auto"/>
              </w:rPr>
              <w:t>Below are the financial highlights:</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840" w:type="dxa"/>
            <w:vAlign w:val="bottom"/>
          </w:tcPr>
          <w:p>
            <w:pPr>
              <w:spacing w:after="0"/>
              <w:rPr>
                <w:sz w:val="24"/>
                <w:szCs w:val="24"/>
                <w:color w:val="auto"/>
              </w:rPr>
            </w:pPr>
          </w:p>
        </w:tc>
        <w:tc>
          <w:tcPr>
            <w:tcW w:w="3440" w:type="dxa"/>
            <w:vAlign w:val="bottom"/>
            <w:gridSpan w:val="5"/>
          </w:tcPr>
          <w:p>
            <w:pPr>
              <w:jc w:val="right"/>
              <w:ind w:right="188"/>
              <w:spacing w:after="0"/>
              <w:rPr>
                <w:sz w:val="20"/>
                <w:szCs w:val="20"/>
                <w:color w:val="auto"/>
              </w:rPr>
            </w:pPr>
            <w:r>
              <w:rPr>
                <w:rFonts w:ascii="Arial" w:cs="Arial" w:eastAsia="Arial" w:hAnsi="Arial"/>
                <w:sz w:val="14"/>
                <w:szCs w:val="14"/>
                <w:b w:val="1"/>
                <w:bCs w:val="1"/>
                <w:color w:val="auto"/>
              </w:rPr>
              <w:t>Three Months Ended December 31,</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8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8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14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16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1140" w:type="dxa"/>
            <w:vAlign w:val="bottom"/>
          </w:tcPr>
          <w:p>
            <w:pPr>
              <w:jc w:val="right"/>
              <w:ind w:right="9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8.68</w:t>
            </w:r>
          </w:p>
        </w:tc>
        <w:tc>
          <w:tcPr>
            <w:tcW w:w="240" w:type="dxa"/>
            <w:vAlign w:val="bottom"/>
          </w:tcPr>
          <w:p>
            <w:pPr>
              <w:spacing w:after="0"/>
              <w:rPr>
                <w:sz w:val="14"/>
                <w:szCs w:val="14"/>
                <w:color w:val="auto"/>
              </w:rPr>
            </w:pPr>
          </w:p>
        </w:tc>
        <w:tc>
          <w:tcPr>
            <w:tcW w:w="1280" w:type="dxa"/>
            <w:vAlign w:val="bottom"/>
            <w:gridSpan w:val="2"/>
          </w:tcPr>
          <w:p>
            <w:pPr>
              <w:jc w:val="right"/>
              <w:ind w:right="10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9.11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14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0.15</w:t>
            </w: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 xml:space="preserve">Net realized and change in unrealized gain (loss) </w:t>
            </w:r>
            <w:r>
              <w:rPr>
                <w:rFonts w:ascii="Arial" w:cs="Arial" w:eastAsia="Arial" w:hAnsi="Arial"/>
                <w:sz w:val="12"/>
                <w:szCs w:val="12"/>
                <w:color w:val="auto"/>
              </w:rPr>
              <w:t>(1)</w:t>
            </w:r>
          </w:p>
        </w:tc>
        <w:tc>
          <w:tcPr>
            <w:tcW w:w="1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56"/>
        </w:trPr>
        <w:tc>
          <w:tcPr>
            <w:tcW w:w="6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114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0.29</w:t>
            </w:r>
          </w:p>
        </w:tc>
        <w:tc>
          <w:tcPr>
            <w:tcW w:w="24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16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0.10</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1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1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0.02</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1140" w:type="dxa"/>
            <w:vAlign w:val="bottom"/>
            <w:tcBorders>
              <w:top w:val="single" w:sz="8" w:color="auto"/>
              <w:bottom w:val="single" w:sz="8" w:color="auto"/>
            </w:tcBorders>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8.79</w:t>
            </w:r>
          </w:p>
        </w:tc>
        <w:tc>
          <w:tcPr>
            <w:tcW w:w="24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00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9.05</w:t>
            </w:r>
          </w:p>
        </w:tc>
        <w:tc>
          <w:tcPr>
            <w:tcW w:w="1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84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1140" w:type="dxa"/>
            <w:vAlign w:val="bottom"/>
            <w:tcBorders>
              <w:bottom w:val="single" w:sz="8" w:color="auto"/>
            </w:tcBorders>
            <w:shd w:val="clear" w:color="auto" w:fill="CCECFF"/>
          </w:tcPr>
          <w:p>
            <w:pPr>
              <w:jc w:val="right"/>
              <w:ind w:right="988"/>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6.53</w:t>
            </w:r>
          </w:p>
        </w:tc>
        <w:tc>
          <w:tcPr>
            <w:tcW w:w="2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ind w:right="1008"/>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6.37</w:t>
            </w:r>
          </w:p>
        </w:tc>
        <w:tc>
          <w:tcPr>
            <w:tcW w:w="18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7.18%</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(12.39)%</w:t>
            </w:r>
          </w:p>
        </w:tc>
        <w:tc>
          <w:tcPr>
            <w:tcW w:w="0" w:type="dxa"/>
            <w:vAlign w:val="bottom"/>
          </w:tcPr>
          <w:p>
            <w:pPr>
              <w:spacing w:after="0"/>
              <w:rPr>
                <w:sz w:val="1"/>
                <w:szCs w:val="1"/>
                <w:color w:val="auto"/>
              </w:rPr>
            </w:pPr>
          </w:p>
        </w:tc>
      </w:tr>
      <w:tr>
        <w:trPr>
          <w:trHeight w:val="162"/>
        </w:trPr>
        <w:tc>
          <w:tcPr>
            <w:tcW w:w="68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4"/>
                <w:szCs w:val="14"/>
                <w:color w:val="auto"/>
              </w:rPr>
              <w:t>Shares outstanding at end of period</w:t>
            </w:r>
          </w:p>
        </w:tc>
        <w:tc>
          <w:tcPr>
            <w:tcW w:w="1140" w:type="dxa"/>
            <w:vAlign w:val="bottom"/>
            <w:tcBorders>
              <w:bottom w:val="single" w:sz="8" w:color="auto"/>
            </w:tcBorders>
            <w:shd w:val="clear" w:color="auto" w:fill="CCECFF"/>
          </w:tcPr>
          <w:p>
            <w:pPr>
              <w:spacing w:after="0"/>
              <w:rPr>
                <w:sz w:val="14"/>
                <w:szCs w:val="14"/>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67,045,105</w:t>
            </w:r>
          </w:p>
        </w:tc>
        <w:tc>
          <w:tcPr>
            <w:tcW w:w="24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spacing w:after="0"/>
              <w:rPr>
                <w:sz w:val="14"/>
                <w:szCs w:val="14"/>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68,027,537</w:t>
            </w:r>
          </w:p>
        </w:tc>
        <w:tc>
          <w:tcPr>
            <w:tcW w:w="18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4"/>
                <w:szCs w:val="14"/>
                <w:b w:val="1"/>
                <w:bCs w:val="1"/>
                <w:color w:val="auto"/>
              </w:rPr>
              <w:t>Ratios**/ Supplemental Data:</w:t>
            </w: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11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4.75%</w:t>
            </w:r>
          </w:p>
        </w:tc>
        <w:tc>
          <w:tcPr>
            <w:tcW w:w="12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 xml:space="preserve">Ratio of interest and expenses on debt to average net assets </w:t>
            </w:r>
            <w:r>
              <w:rPr>
                <w:rFonts w:ascii="Arial" w:cs="Arial" w:eastAsia="Arial" w:hAnsi="Arial"/>
                <w:sz w:val="12"/>
                <w:szCs w:val="12"/>
                <w:color w:val="auto"/>
              </w:rPr>
              <w:t>(5)</w:t>
            </w:r>
          </w:p>
        </w:tc>
        <w:tc>
          <w:tcPr>
            <w:tcW w:w="11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0"/>
        </w:trPr>
        <w:tc>
          <w:tcPr>
            <w:tcW w:w="684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1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840" w:type="dxa"/>
            <w:vAlign w:val="bottom"/>
            <w:vMerge w:val="continue"/>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20"/>
              <w:spacing w:after="0" w:line="155" w:lineRule="exact"/>
              <w:rPr>
                <w:sz w:val="20"/>
                <w:szCs w:val="20"/>
                <w:color w:val="auto"/>
              </w:rPr>
            </w:pPr>
            <w:r>
              <w:rPr>
                <w:rFonts w:ascii="Arial" w:cs="Arial" w:eastAsia="Arial" w:hAnsi="Arial"/>
                <w:sz w:val="14"/>
                <w:szCs w:val="14"/>
                <w:color w:val="auto"/>
              </w:rPr>
              <w:t>10.80%</w:t>
            </w:r>
          </w:p>
        </w:tc>
        <w:tc>
          <w:tcPr>
            <w:tcW w:w="12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60"/>
              <w:spacing w:after="0" w:line="155" w:lineRule="exact"/>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11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6.95%</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Net assets at end of period</w:t>
            </w:r>
          </w:p>
        </w:tc>
        <w:tc>
          <w:tcPr>
            <w:tcW w:w="1140" w:type="dxa"/>
            <w:vAlign w:val="bottom"/>
            <w:shd w:val="clear" w:color="auto" w:fill="CCECFF"/>
          </w:tcPr>
          <w:p>
            <w:pPr>
              <w:jc w:val="right"/>
              <w:ind w:right="98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7"/>
              </w:rPr>
              <w:t>589,040,059</w:t>
            </w:r>
          </w:p>
        </w:tc>
        <w:tc>
          <w:tcPr>
            <w:tcW w:w="24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0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5"/>
              </w:rPr>
              <w:t>615,941,105</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(6)</w:t>
            </w:r>
          </w:p>
        </w:tc>
        <w:tc>
          <w:tcPr>
            <w:tcW w:w="1140" w:type="dxa"/>
            <w:vAlign w:val="bottom"/>
            <w:tcBorders>
              <w:top w:val="single" w:sz="8" w:color="auto"/>
              <w:bottom w:val="single" w:sz="8" w:color="auto"/>
            </w:tcBorders>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706,751,095</w:t>
            </w:r>
          </w:p>
        </w:tc>
        <w:tc>
          <w:tcPr>
            <w:tcW w:w="24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00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532,965,659</w:t>
            </w: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(6)</w:t>
            </w:r>
          </w:p>
        </w:tc>
        <w:tc>
          <w:tcPr>
            <w:tcW w:w="1140" w:type="dxa"/>
            <w:vAlign w:val="bottom"/>
            <w:shd w:val="clear" w:color="auto" w:fill="CCECFF"/>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10.54</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160" w:type="dxa"/>
            <w:vAlign w:val="bottom"/>
            <w:shd w:val="clear" w:color="auto" w:fill="CCECFF"/>
          </w:tcPr>
          <w:p>
            <w:pPr>
              <w:jc w:val="right"/>
              <w:ind w:right="100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7.73</w:t>
            </w: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(7)</w:t>
            </w:r>
          </w:p>
        </w:tc>
        <w:tc>
          <w:tcPr>
            <w:tcW w:w="1140" w:type="dxa"/>
            <w:vAlign w:val="bottom"/>
          </w:tcPr>
          <w:p>
            <w:pPr>
              <w:jc w:val="right"/>
              <w:ind w:right="9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1,947</w:t>
            </w:r>
          </w:p>
        </w:tc>
        <w:tc>
          <w:tcPr>
            <w:tcW w:w="240" w:type="dxa"/>
            <w:vAlign w:val="bottom"/>
          </w:tcPr>
          <w:p>
            <w:pPr>
              <w:spacing w:after="0"/>
              <w:rPr>
                <w:sz w:val="14"/>
                <w:szCs w:val="14"/>
                <w:color w:val="auto"/>
              </w:rPr>
            </w:pPr>
          </w:p>
        </w:tc>
        <w:tc>
          <w:tcPr>
            <w:tcW w:w="1280" w:type="dxa"/>
            <w:vAlign w:val="bottom"/>
            <w:gridSpan w:val="2"/>
          </w:tcPr>
          <w:p>
            <w:pPr>
              <w:jc w:val="right"/>
              <w:ind w:right="10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2,453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Portfolio turnover ratio</w:t>
            </w:r>
          </w:p>
        </w:tc>
        <w:tc>
          <w:tcPr>
            <w:tcW w:w="11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9.71%</w:t>
            </w:r>
          </w:p>
        </w:tc>
        <w:tc>
          <w:tcPr>
            <w:tcW w:w="12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455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04" w:lineRule="exact"/>
        <w:rPr>
          <w:sz w:val="20"/>
          <w:szCs w:val="20"/>
          <w:color w:val="auto"/>
        </w:rPr>
      </w:pPr>
    </w:p>
    <w:p>
      <w:pPr>
        <w:ind w:right="8240" w:firstLine="8"/>
        <w:spacing w:after="0" w:line="274" w:lineRule="auto"/>
        <w:tabs>
          <w:tab w:leader="none" w:pos="364" w:val="left"/>
        </w:tabs>
        <w:numPr>
          <w:ilvl w:val="0"/>
          <w:numId w:val="21"/>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ind w:left="380" w:hanging="372"/>
        <w:spacing w:after="0" w:line="186" w:lineRule="auto"/>
        <w:tabs>
          <w:tab w:leader="none" w:pos="380" w:val="left"/>
        </w:tabs>
        <w:numPr>
          <w:ilvl w:val="0"/>
          <w:numId w:val="22"/>
        </w:numPr>
        <w:rPr>
          <w:rFonts w:ascii="Arial" w:cs="Arial" w:eastAsia="Arial" w:hAnsi="Arial"/>
          <w:sz w:val="20"/>
          <w:szCs w:val="20"/>
          <w:color w:val="auto"/>
          <w:vertAlign w:val="superscript"/>
        </w:rPr>
      </w:pPr>
      <w:r>
        <w:rPr>
          <w:rFonts w:ascii="Arial" w:cs="Arial" w:eastAsia="Arial" w:hAnsi="Arial"/>
          <w:sz w:val="12"/>
          <w:szCs w:val="12"/>
          <w:color w:val="auto"/>
        </w:rPr>
        <w:t>Based on the weighted average shares outstanding for the respective periods.</w:t>
      </w:r>
    </w:p>
    <w:p>
      <w:pPr>
        <w:spacing w:after="0" w:line="5" w:lineRule="exact"/>
        <w:rPr>
          <w:rFonts w:ascii="Arial" w:cs="Arial" w:eastAsia="Arial" w:hAnsi="Arial"/>
          <w:sz w:val="20"/>
          <w:szCs w:val="20"/>
          <w:color w:val="auto"/>
          <w:vertAlign w:val="superscript"/>
        </w:rPr>
      </w:pPr>
    </w:p>
    <w:p>
      <w:pPr>
        <w:ind w:left="380" w:right="20" w:hanging="372"/>
        <w:spacing w:after="0" w:line="189" w:lineRule="auto"/>
        <w:tabs>
          <w:tab w:leader="none" w:pos="380" w:val="left"/>
        </w:tabs>
        <w:numPr>
          <w:ilvl w:val="0"/>
          <w:numId w:val="22"/>
        </w:numPr>
        <w:rPr>
          <w:rFonts w:ascii="Arial" w:cs="Arial" w:eastAsia="Arial" w:hAnsi="Arial"/>
          <w:sz w:val="24"/>
          <w:szCs w:val="24"/>
          <w:color w:val="auto"/>
          <w:vertAlign w:val="superscript"/>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spacing w:after="0" w:line="1" w:lineRule="exact"/>
        <w:rPr>
          <w:rFonts w:ascii="Arial" w:cs="Arial" w:eastAsia="Arial" w:hAnsi="Arial"/>
          <w:sz w:val="24"/>
          <w:szCs w:val="24"/>
          <w:color w:val="auto"/>
          <w:vertAlign w:val="superscript"/>
        </w:rPr>
      </w:pPr>
    </w:p>
    <w:p>
      <w:pPr>
        <w:ind w:left="380" w:hanging="372"/>
        <w:spacing w:after="0" w:line="183" w:lineRule="auto"/>
        <w:tabs>
          <w:tab w:leader="none" w:pos="380" w:val="left"/>
        </w:tabs>
        <w:numPr>
          <w:ilvl w:val="0"/>
          <w:numId w:val="22"/>
        </w:numPr>
        <w:rPr>
          <w:rFonts w:ascii="Arial" w:cs="Arial" w:eastAsia="Arial" w:hAnsi="Arial"/>
          <w:sz w:val="20"/>
          <w:szCs w:val="20"/>
          <w:color w:val="auto"/>
          <w:vertAlign w:val="superscript"/>
        </w:rPr>
      </w:pPr>
      <w:r>
        <w:rPr>
          <w:rFonts w:ascii="Arial" w:cs="Arial" w:eastAsia="Arial" w:hAnsi="Arial"/>
          <w:sz w:val="12"/>
          <w:szCs w:val="12"/>
          <w:color w:val="auto"/>
        </w:rPr>
        <w:t>Based on the change in market price per share during the periods and assumes distributions, if any, are reinvested.</w:t>
      </w:r>
    </w:p>
    <w:p>
      <w:pPr>
        <w:spacing w:after="0" w:line="5" w:lineRule="exact"/>
        <w:rPr>
          <w:rFonts w:ascii="Arial" w:cs="Arial" w:eastAsia="Arial" w:hAnsi="Arial"/>
          <w:sz w:val="20"/>
          <w:szCs w:val="20"/>
          <w:color w:val="auto"/>
          <w:vertAlign w:val="superscript"/>
        </w:rPr>
      </w:pPr>
    </w:p>
    <w:p>
      <w:pPr>
        <w:ind w:left="380" w:hanging="372"/>
        <w:spacing w:after="0" w:line="187" w:lineRule="auto"/>
        <w:tabs>
          <w:tab w:leader="none" w:pos="380" w:val="left"/>
        </w:tabs>
        <w:numPr>
          <w:ilvl w:val="0"/>
          <w:numId w:val="22"/>
        </w:numPr>
        <w:rPr>
          <w:rFonts w:ascii="Arial" w:cs="Arial" w:eastAsia="Arial" w:hAnsi="Arial"/>
          <w:sz w:val="18"/>
          <w:szCs w:val="18"/>
          <w:color w:val="auto"/>
          <w:vertAlign w:val="superscript"/>
        </w:rPr>
      </w:pPr>
      <w:r>
        <w:rPr>
          <w:rFonts w:ascii="Arial" w:cs="Arial" w:eastAsia="Arial" w:hAnsi="Arial"/>
          <w:sz w:val="11"/>
          <w:szCs w:val="11"/>
          <w:color w:val="auto"/>
        </w:rPr>
        <w:t>Excludes debt related costs.</w:t>
      </w:r>
    </w:p>
    <w:p>
      <w:pPr>
        <w:ind w:left="380" w:hanging="372"/>
        <w:spacing w:after="0"/>
        <w:tabs>
          <w:tab w:leader="none" w:pos="380" w:val="left"/>
        </w:tabs>
        <w:numPr>
          <w:ilvl w:val="0"/>
          <w:numId w:val="22"/>
        </w:numPr>
        <w:rPr>
          <w:rFonts w:ascii="Arial" w:cs="Arial" w:eastAsia="Arial" w:hAnsi="Arial"/>
          <w:sz w:val="12"/>
          <w:szCs w:val="12"/>
          <w:color w:val="auto"/>
        </w:rPr>
      </w:pPr>
      <w:r>
        <w:rPr>
          <w:rFonts w:ascii="Arial" w:cs="Arial" w:eastAsia="Arial" w:hAnsi="Arial"/>
          <w:sz w:val="14"/>
          <w:szCs w:val="14"/>
          <w:color w:val="auto"/>
        </w:rPr>
        <w:t>Includes interest and expenses on debt (annualized) as well as Credit Facility amendment and debt issuance costs, if any, (not annualized).</w:t>
      </w:r>
    </w:p>
    <w:p>
      <w:pPr>
        <w:spacing w:after="0" w:line="1" w:lineRule="exact"/>
        <w:rPr>
          <w:rFonts w:ascii="Arial" w:cs="Arial" w:eastAsia="Arial" w:hAnsi="Arial"/>
          <w:sz w:val="12"/>
          <w:szCs w:val="12"/>
          <w:color w:val="auto"/>
        </w:rPr>
      </w:pPr>
    </w:p>
    <w:p>
      <w:pPr>
        <w:ind w:left="380" w:hanging="372"/>
        <w:spacing w:after="0" w:line="186" w:lineRule="auto"/>
        <w:tabs>
          <w:tab w:leader="none" w:pos="380" w:val="left"/>
        </w:tabs>
        <w:numPr>
          <w:ilvl w:val="0"/>
          <w:numId w:val="22"/>
        </w:numPr>
        <w:rPr>
          <w:rFonts w:ascii="Arial" w:cs="Arial" w:eastAsia="Arial" w:hAnsi="Arial"/>
          <w:sz w:val="19"/>
          <w:szCs w:val="19"/>
          <w:color w:val="auto"/>
          <w:vertAlign w:val="superscript"/>
        </w:rPr>
      </w:pPr>
      <w:r>
        <w:rPr>
          <w:rFonts w:ascii="Arial" w:cs="Arial" w:eastAsia="Arial" w:hAnsi="Arial"/>
          <w:sz w:val="12"/>
          <w:szCs w:val="12"/>
          <w:color w:val="auto"/>
        </w:rPr>
        <w:t>Includes SBA debentures outstanding.</w:t>
      </w:r>
    </w:p>
    <w:p>
      <w:pPr>
        <w:spacing w:after="0" w:line="6" w:lineRule="exact"/>
        <w:rPr>
          <w:rFonts w:ascii="Arial" w:cs="Arial" w:eastAsia="Arial" w:hAnsi="Arial"/>
          <w:sz w:val="19"/>
          <w:szCs w:val="19"/>
          <w:color w:val="auto"/>
          <w:vertAlign w:val="superscript"/>
        </w:rPr>
      </w:pPr>
    </w:p>
    <w:p>
      <w:pPr>
        <w:jc w:val="both"/>
        <w:ind w:left="380" w:right="100" w:hanging="372"/>
        <w:spacing w:after="0" w:line="226" w:lineRule="auto"/>
        <w:tabs>
          <w:tab w:leader="none" w:pos="380" w:val="left"/>
        </w:tabs>
        <w:numPr>
          <w:ilvl w:val="0"/>
          <w:numId w:val="22"/>
        </w:numPr>
        <w:rPr>
          <w:rFonts w:ascii="Arial" w:cs="Arial" w:eastAsia="Arial" w:hAnsi="Arial"/>
          <w:sz w:val="22"/>
          <w:szCs w:val="22"/>
          <w:color w:val="auto"/>
          <w:vertAlign w:val="superscript"/>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221"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The annualized weighted average cost of debt for the three months ended December 31, 2019 and 2018, inclusive of the fee on the undrawn commitment under the Truist Credit Facility, debt issuance costs on the BNP Credit Facility and amortized upfront fees on SBA debentures and 2024 Notes, was 5.0% and 4.7%, respectively. As of December 31, 2019,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w:t>
      </w:r>
    </w:p>
    <w:p>
      <w:pPr>
        <w:spacing w:after="0" w:line="198"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December 31, 2019 and September 30, 2019, our asset coverage ratio, as computed in accordance with the 1940 Act, was 195% and 207%,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BNP Credit Facility</w:t>
      </w:r>
    </w:p>
    <w:p>
      <w:pPr>
        <w:spacing w:after="0" w:line="217"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On February 22, 2019, Funding I closed the BNP Credit Facility for up to $250.0 million in borrowings with certain lenders and BNP Paribas, as administrative agent, and The Bank of New York Mellon Trust Company, N.A., as collateral agent. As of December 31, 2019 and September 30, 2019, Funding I had $203.5 million and $171.0 million in outstanding borrowings under the BNP Credit Facility, respectively. The BNP Credit Facility had a weighted average interest rate of 4.4 and 4.6%, respectively, exclusive of the fee on undrawn commitments, as of December 31, 2019 and September 30, 2019. The BNP Credit Facility is a five-year revolving facility with a stated maturity date of February 22, 2024 and pricing set at 260 basis points over LIBOR. As of December 31, 2019 and September 30, 2019, Funding I had 46.5 million and $79.0 million of unused borrowing capacity under the BNP Credit Facility, respectively, subject to the regulatory restrictions. The BNP Credit Facility is secured by all of our assets held by Funding I. As of December 31, 2019, we were in compliance with the terms of the BNP Credit Facility.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Truist Credit Facility</w:t>
      </w:r>
    </w:p>
    <w:p>
      <w:pPr>
        <w:spacing w:after="0" w:line="217" w:lineRule="exact"/>
        <w:rPr>
          <w:sz w:val="20"/>
          <w:szCs w:val="20"/>
          <w:color w:val="auto"/>
        </w:rPr>
      </w:pPr>
    </w:p>
    <w:p>
      <w:pPr>
        <w:jc w:val="both"/>
        <w:ind w:right="100" w:firstLine="438"/>
        <w:spacing w:after="0" w:line="244" w:lineRule="auto"/>
        <w:rPr>
          <w:sz w:val="20"/>
          <w:szCs w:val="20"/>
          <w:color w:val="auto"/>
        </w:rPr>
      </w:pPr>
      <w:r>
        <w:rPr>
          <w:rFonts w:ascii="Arial" w:cs="Arial" w:eastAsia="Arial" w:hAnsi="Arial"/>
          <w:sz w:val="13"/>
          <w:szCs w:val="13"/>
          <w:color w:val="auto"/>
        </w:rPr>
        <w:t>As of December 31, 2019, we had a multi-currency Truist Credit Facility for up to $475.0 million in borrowings with certain lenders and Truist Bank (formerly SunTrust Bank), acting as administrative agent, and JPMorgan Chase Bank, N.A., acting as syndication agent for the lenders. As of December 31, 2019 and September 30, 2019, we had $330.6 million (including a $15.0 million temporary draw) and $301.6 million, respectively, in outstanding borrowings under the Truist Credit Facility. The Truist Credit Facility had a weighted average interest rate of 4.0% and</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4.2%, respectively, exclusive of the fee on undrawn commitments, as of December 31, 2019 and September 30, 2019. The Truist Credit Facility is a revolving facility with a stated maturity date of September 4, 2024 ($55.0 million of the $475 million commitment will mature May 25, 2022), a one-year term-out period on September 4, 2023 ($55.0 million of the $475 million commitment has a one year term-out period on May 25, 2021) and pricing set at 225 basis points over LIBOR. The Truist Credit Facility is secured by substantially all of our assets excluding assets held by Funding I and SBIC II. As of December 31, 2019 and September 30, 2019, we had $144.4 million and $173.4 million of unused borrowing capacity under the Truist Credit Facility, respectively, subject to the regulatory restrictions. The Truist Credit Facility is secured by substantially all of our assets, excluding assets held by Funding I and our SBIC Fund. As of December 31, 2019, we were in compliance with the terms of the Truist Credit Facility.</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217"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$133.5 million as of December 31, 2019.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199" w:lineRule="exact"/>
        <w:rPr>
          <w:sz w:val="20"/>
          <w:szCs w:val="20"/>
          <w:color w:val="auto"/>
        </w:rPr>
      </w:pPr>
    </w:p>
    <w:p>
      <w:pPr>
        <w:ind w:right="60" w:firstLine="438"/>
        <w:spacing w:after="0" w:line="264" w:lineRule="auto"/>
        <w:rPr>
          <w:sz w:val="20"/>
          <w:szCs w:val="20"/>
          <w:color w:val="auto"/>
        </w:rPr>
      </w:pPr>
      <w:r>
        <w:rPr>
          <w:rFonts w:ascii="Arial" w:cs="Arial" w:eastAsia="Arial" w:hAnsi="Arial"/>
          <w:sz w:val="13"/>
          <w:szCs w:val="13"/>
          <w:color w:val="auto"/>
        </w:rPr>
        <w:t>As of December 31, 2019 and September 30, 2019, SBIC II had initial $150.0 million in debt commitments, respectively, all of which was drawn. During the three months ended December 31, 2019, $16.5 million in SBA debentures were repaid. As of December 31, 2019 and September 30, 2019, the unamortized fees on the SBA debentures were $3.3 million and $3.9 million, respectively. The SBA debentures’ upfront fees of 3.4% consist of a commitment fee of 1.0% and an issuance discount of 2.4%, which are being amortized.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0" w:type="dxa"/>
            <w:vAlign w:val="bottom"/>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360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tcPr>
          <w:p>
            <w:pPr>
              <w:spacing w:after="0"/>
              <w:rPr>
                <w:sz w:val="24"/>
                <w:szCs w:val="24"/>
                <w:color w:val="auto"/>
              </w:rPr>
            </w:pPr>
          </w:p>
        </w:tc>
        <w:tc>
          <w:tcPr>
            <w:tcW w:w="21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Maturity</w:t>
            </w:r>
          </w:p>
        </w:tc>
        <w:tc>
          <w:tcPr>
            <w:tcW w:w="240" w:type="dxa"/>
            <w:vAlign w:val="bottom"/>
            <w:vMerge w:val="restart"/>
          </w:tcPr>
          <w:p>
            <w:pPr>
              <w:spacing w:after="0"/>
              <w:rPr>
                <w:sz w:val="24"/>
                <w:szCs w:val="24"/>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As of December 31, 2019</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1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CFF"/>
            </w:tcBorders>
            <w:vMerge w:val="continue"/>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4"/>
              </w:rPr>
              <w:t>Principal Balance</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20" w:type="dxa"/>
            <w:vAlign w:val="bottom"/>
            <w:shd w:val="clear" w:color="auto" w:fill="CCECFF"/>
          </w:tcPr>
          <w:p>
            <w:pPr>
              <w:spacing w:after="0"/>
              <w:rPr>
                <w:sz w:val="13"/>
                <w:szCs w:val="13"/>
                <w:color w:val="auto"/>
              </w:rPr>
            </w:pPr>
          </w:p>
        </w:tc>
        <w:tc>
          <w:tcPr>
            <w:tcW w:w="21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4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2.9%</w:t>
            </w:r>
          </w:p>
        </w:tc>
        <w:tc>
          <w:tcPr>
            <w:tcW w:w="2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154"/>
              <w:spacing w:after="0"/>
              <w:rPr>
                <w:sz w:val="20"/>
                <w:szCs w:val="20"/>
                <w:color w:val="auto"/>
              </w:rPr>
            </w:pPr>
            <w:r>
              <w:rPr>
                <w:rFonts w:ascii="Arial" w:cs="Arial" w:eastAsia="Arial" w:hAnsi="Arial"/>
                <w:sz w:val="5"/>
                <w:szCs w:val="5"/>
                <w:color w:val="auto"/>
                <w:w w:val="70"/>
              </w:rPr>
              <w:t>$</w:t>
            </w:r>
          </w:p>
        </w:tc>
        <w:tc>
          <w:tcPr>
            <w:tcW w:w="21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September 21, 2016</w:t>
            </w:r>
          </w:p>
        </w:tc>
        <w:tc>
          <w:tcPr>
            <w:tcW w:w="2640" w:type="dxa"/>
            <w:vAlign w:val="bottom"/>
            <w:gridSpan w:val="3"/>
          </w:tcPr>
          <w:p>
            <w:pPr>
              <w:ind w:left="220"/>
              <w:spacing w:after="0"/>
              <w:rPr>
                <w:sz w:val="20"/>
                <w:szCs w:val="20"/>
                <w:color w:val="auto"/>
              </w:rPr>
            </w:pPr>
            <w:r>
              <w:rPr>
                <w:rFonts w:ascii="Arial" w:cs="Arial" w:eastAsia="Arial" w:hAnsi="Arial"/>
                <w:sz w:val="14"/>
                <w:szCs w:val="14"/>
                <w:color w:val="auto"/>
              </w:rPr>
              <w:t>September 1, 2026</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2.4</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640" w:type="dxa"/>
            <w:vAlign w:val="bottom"/>
            <w:gridSpan w:val="3"/>
            <w:shd w:val="clear" w:color="auto" w:fill="CCECFF"/>
          </w:tcPr>
          <w:p>
            <w:pPr>
              <w:ind w:left="220"/>
              <w:spacing w:after="0"/>
              <w:rPr>
                <w:sz w:val="20"/>
                <w:szCs w:val="20"/>
                <w:color w:val="auto"/>
              </w:rPr>
            </w:pPr>
            <w:r>
              <w:rPr>
                <w:rFonts w:ascii="Arial" w:cs="Arial" w:eastAsia="Arial" w:hAnsi="Arial"/>
                <w:sz w:val="14"/>
                <w:szCs w:val="14"/>
                <w:color w:val="auto"/>
              </w:rPr>
              <w:t>September 1, 2027</w:t>
            </w:r>
          </w:p>
        </w:tc>
        <w:tc>
          <w:tcPr>
            <w:tcW w:w="206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2"/>
              </w:rPr>
              <w:t>2.9</w:t>
            </w:r>
          </w:p>
        </w:tc>
        <w:tc>
          <w:tcPr>
            <w:tcW w:w="4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March 21, 2018</w:t>
            </w:r>
          </w:p>
        </w:tc>
        <w:tc>
          <w:tcPr>
            <w:tcW w:w="2640" w:type="dxa"/>
            <w:vAlign w:val="bottom"/>
            <w:tcBorders>
              <w:bottom w:val="single" w:sz="8" w:color="CCECFF"/>
            </w:tcBorders>
            <w:gridSpan w:val="3"/>
          </w:tcPr>
          <w:p>
            <w:pPr>
              <w:ind w:left="220"/>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92"/>
              </w:rPr>
              <w:t>3.5</w:t>
            </w:r>
          </w:p>
        </w:tc>
        <w:tc>
          <w:tcPr>
            <w:tcW w:w="4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58,500,000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0" w:type="dxa"/>
            <w:vAlign w:val="bottom"/>
            <w:shd w:val="clear" w:color="auto" w:fill="CCECFF"/>
          </w:tcPr>
          <w:p>
            <w:pPr>
              <w:spacing w:after="0"/>
              <w:rPr>
                <w:sz w:val="13"/>
                <w:szCs w:val="13"/>
                <w:color w:val="auto"/>
              </w:rPr>
            </w:pPr>
          </w:p>
        </w:tc>
        <w:tc>
          <w:tcPr>
            <w:tcW w:w="21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3.1%</w:t>
            </w:r>
          </w:p>
        </w:tc>
        <w:tc>
          <w:tcPr>
            <w:tcW w:w="2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154"/>
              <w:spacing w:after="0"/>
              <w:rPr>
                <w:sz w:val="20"/>
                <w:szCs w:val="20"/>
                <w:color w:val="auto"/>
              </w:rPr>
            </w:pPr>
            <w:r>
              <w:rPr>
                <w:rFonts w:ascii="Arial" w:cs="Arial" w:eastAsia="Arial" w:hAnsi="Arial"/>
                <w:sz w:val="5"/>
                <w:szCs w:val="5"/>
                <w:color w:val="auto"/>
                <w:w w:val="70"/>
              </w:rPr>
              <w:t>$</w:t>
            </w:r>
          </w:p>
        </w:tc>
        <w:tc>
          <w:tcPr>
            <w:tcW w:w="21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133,500,000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1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CFF"/>
            </w:tcBorders>
          </w:tcPr>
          <w:p>
            <w:pPr>
              <w:spacing w:after="0" w:line="20" w:lineRule="exact"/>
              <w:rPr>
                <w:sz w:val="1"/>
                <w:szCs w:val="1"/>
                <w:color w:val="auto"/>
              </w:rPr>
            </w:pPr>
          </w:p>
        </w:tc>
        <w:tc>
          <w:tcPr>
            <w:tcW w:w="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60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tcPr>
          <w:p>
            <w:pPr>
              <w:spacing w:after="0"/>
              <w:rPr>
                <w:sz w:val="24"/>
                <w:szCs w:val="24"/>
                <w:color w:val="auto"/>
              </w:rPr>
            </w:pPr>
          </w:p>
        </w:tc>
        <w:tc>
          <w:tcPr>
            <w:tcW w:w="21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Maturity</w:t>
            </w:r>
          </w:p>
        </w:tc>
        <w:tc>
          <w:tcPr>
            <w:tcW w:w="240" w:type="dxa"/>
            <w:vAlign w:val="bottom"/>
            <w:vMerge w:val="restart"/>
          </w:tcPr>
          <w:p>
            <w:pPr>
              <w:spacing w:after="0"/>
              <w:rPr>
                <w:sz w:val="24"/>
                <w:szCs w:val="24"/>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As of September 30, 2019</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4"/>
              </w:rPr>
              <w:t>Principal Balance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0" w:type="dxa"/>
            <w:vAlign w:val="bottom"/>
          </w:tcPr>
          <w:p>
            <w:pPr>
              <w:spacing w:after="0" w:line="155" w:lineRule="exact"/>
              <w:rPr>
                <w:sz w:val="20"/>
                <w:szCs w:val="20"/>
                <w:color w:val="auto"/>
              </w:rPr>
            </w:pPr>
            <w:r>
              <w:rPr>
                <w:rFonts w:ascii="Arial" w:cs="Arial" w:eastAsia="Arial" w:hAnsi="Arial"/>
                <w:sz w:val="14"/>
                <w:szCs w:val="14"/>
                <w:color w:val="auto"/>
              </w:rPr>
              <w:t>March 23, 2016</w:t>
            </w:r>
          </w:p>
        </w:tc>
        <w:tc>
          <w:tcPr>
            <w:tcW w:w="220" w:type="dxa"/>
            <w:vAlign w:val="bottom"/>
          </w:tcPr>
          <w:p>
            <w:pPr>
              <w:spacing w:after="0"/>
              <w:rPr>
                <w:sz w:val="13"/>
                <w:szCs w:val="13"/>
                <w:color w:val="auto"/>
              </w:rPr>
            </w:pPr>
          </w:p>
        </w:tc>
        <w:tc>
          <w:tcPr>
            <w:tcW w:w="2180" w:type="dxa"/>
            <w:vAlign w:val="bottom"/>
          </w:tcPr>
          <w:p>
            <w:pPr>
              <w:spacing w:after="0" w:line="155" w:lineRule="exact"/>
              <w:rPr>
                <w:sz w:val="20"/>
                <w:szCs w:val="20"/>
                <w:color w:val="auto"/>
              </w:rPr>
            </w:pPr>
            <w:r>
              <w:rPr>
                <w:rFonts w:ascii="Arial" w:cs="Arial" w:eastAsia="Arial" w:hAnsi="Arial"/>
                <w:sz w:val="14"/>
                <w:szCs w:val="14"/>
                <w:color w:val="auto"/>
              </w:rPr>
              <w:t>March 1, 2026</w:t>
            </w:r>
          </w:p>
        </w:tc>
        <w:tc>
          <w:tcPr>
            <w:tcW w:w="240" w:type="dxa"/>
            <w:vAlign w:val="bottom"/>
          </w:tcPr>
          <w:p>
            <w:pPr>
              <w:spacing w:after="0"/>
              <w:rPr>
                <w:sz w:val="13"/>
                <w:szCs w:val="13"/>
                <w:color w:val="auto"/>
              </w:rPr>
            </w:pPr>
          </w:p>
        </w:tc>
        <w:tc>
          <w:tcPr>
            <w:tcW w:w="248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2.9%</w:t>
            </w:r>
          </w:p>
        </w:tc>
        <w:tc>
          <w:tcPr>
            <w:tcW w:w="20" w:type="dxa"/>
            <w:vAlign w:val="bottom"/>
          </w:tcPr>
          <w:p>
            <w:pPr>
              <w:spacing w:after="0"/>
              <w:rPr>
                <w:sz w:val="13"/>
                <w:szCs w:val="13"/>
                <w:color w:val="auto"/>
              </w:rPr>
            </w:pPr>
          </w:p>
        </w:tc>
        <w:tc>
          <w:tcPr>
            <w:tcW w:w="220" w:type="dxa"/>
            <w:vAlign w:val="bottom"/>
          </w:tcPr>
          <w:p>
            <w:pPr>
              <w:jc w:val="right"/>
              <w:ind w:right="154"/>
              <w:spacing w:after="0"/>
              <w:rPr>
                <w:sz w:val="20"/>
                <w:szCs w:val="20"/>
                <w:color w:val="auto"/>
              </w:rPr>
            </w:pPr>
            <w:r>
              <w:rPr>
                <w:rFonts w:ascii="Arial" w:cs="Arial" w:eastAsia="Arial" w:hAnsi="Arial"/>
                <w:sz w:val="5"/>
                <w:szCs w:val="5"/>
                <w:color w:val="auto"/>
                <w:w w:val="70"/>
              </w:rPr>
              <w:t>$</w:t>
            </w:r>
          </w:p>
        </w:tc>
        <w:tc>
          <w:tcPr>
            <w:tcW w:w="2160" w:type="dxa"/>
            <w:vAlign w:val="bottom"/>
          </w:tcPr>
          <w:p>
            <w:pPr>
              <w:jc w:val="right"/>
              <w:spacing w:after="0" w:line="155" w:lineRule="exact"/>
              <w:rPr>
                <w:sz w:val="20"/>
                <w:szCs w:val="20"/>
                <w:color w:val="auto"/>
              </w:rPr>
            </w:pPr>
            <w:r>
              <w:rPr>
                <w:rFonts w:ascii="Arial" w:cs="Arial" w:eastAsia="Arial" w:hAnsi="Arial"/>
                <w:sz w:val="14"/>
                <w:szCs w:val="14"/>
                <w:color w:val="auto"/>
              </w:rPr>
              <w:t>22,500,000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640" w:type="dxa"/>
            <w:vAlign w:val="bottom"/>
            <w:gridSpan w:val="3"/>
            <w:shd w:val="clear" w:color="auto" w:fill="CCECFF"/>
          </w:tcPr>
          <w:p>
            <w:pPr>
              <w:ind w:left="220"/>
              <w:spacing w:after="0"/>
              <w:rPr>
                <w:sz w:val="20"/>
                <w:szCs w:val="20"/>
                <w:color w:val="auto"/>
              </w:rPr>
            </w:pPr>
            <w:r>
              <w:rPr>
                <w:rFonts w:ascii="Arial" w:cs="Arial" w:eastAsia="Arial" w:hAnsi="Arial"/>
                <w:sz w:val="14"/>
                <w:szCs w:val="14"/>
                <w:color w:val="auto"/>
              </w:rPr>
              <w:t>September 1, 2026</w:t>
            </w:r>
          </w:p>
        </w:tc>
        <w:tc>
          <w:tcPr>
            <w:tcW w:w="206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2"/>
              </w:rPr>
              <w:t>2.4</w:t>
            </w:r>
          </w:p>
        </w:tc>
        <w:tc>
          <w:tcPr>
            <w:tcW w:w="4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September 20, 2017</w:t>
            </w:r>
          </w:p>
        </w:tc>
        <w:tc>
          <w:tcPr>
            <w:tcW w:w="2640" w:type="dxa"/>
            <w:vAlign w:val="bottom"/>
            <w:gridSpan w:val="3"/>
          </w:tcPr>
          <w:p>
            <w:pPr>
              <w:ind w:left="220"/>
              <w:spacing w:after="0"/>
              <w:rPr>
                <w:sz w:val="20"/>
                <w:szCs w:val="20"/>
                <w:color w:val="auto"/>
              </w:rPr>
            </w:pPr>
            <w:r>
              <w:rPr>
                <w:rFonts w:ascii="Arial" w:cs="Arial" w:eastAsia="Arial" w:hAnsi="Arial"/>
                <w:sz w:val="14"/>
                <w:szCs w:val="14"/>
                <w:color w:val="auto"/>
              </w:rPr>
              <w:t>September 1, 2027</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2.9</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31,500,000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640" w:type="dxa"/>
            <w:vAlign w:val="bottom"/>
            <w:gridSpan w:val="3"/>
            <w:shd w:val="clear" w:color="auto" w:fill="CCECFF"/>
          </w:tcPr>
          <w:p>
            <w:pPr>
              <w:ind w:left="220"/>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shd w:val="clear" w:color="auto" w:fill="CCECFF"/>
          </w:tcPr>
          <w:p>
            <w:pPr>
              <w:ind w:left="1860"/>
              <w:spacing w:after="0"/>
              <w:rPr>
                <w:sz w:val="20"/>
                <w:szCs w:val="20"/>
                <w:color w:val="auto"/>
              </w:rPr>
            </w:pPr>
            <w:r>
              <w:rPr>
                <w:rFonts w:ascii="Arial" w:cs="Arial" w:eastAsia="Arial" w:hAnsi="Arial"/>
                <w:sz w:val="14"/>
                <w:szCs w:val="14"/>
                <w:color w:val="auto"/>
                <w:w w:val="92"/>
              </w:rPr>
              <w:t>3.5</w:t>
            </w:r>
          </w:p>
        </w:tc>
        <w:tc>
          <w:tcPr>
            <w:tcW w:w="4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2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0" w:type="dxa"/>
            <w:vAlign w:val="bottom"/>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8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3.1%</w:t>
            </w:r>
          </w:p>
        </w:tc>
        <w:tc>
          <w:tcPr>
            <w:tcW w:w="20" w:type="dxa"/>
            <w:vAlign w:val="bottom"/>
          </w:tcPr>
          <w:p>
            <w:pPr>
              <w:spacing w:after="0"/>
              <w:rPr>
                <w:sz w:val="13"/>
                <w:szCs w:val="13"/>
                <w:color w:val="auto"/>
              </w:rPr>
            </w:pPr>
          </w:p>
        </w:tc>
        <w:tc>
          <w:tcPr>
            <w:tcW w:w="220" w:type="dxa"/>
            <w:vAlign w:val="bottom"/>
          </w:tcPr>
          <w:p>
            <w:pPr>
              <w:jc w:val="right"/>
              <w:ind w:right="154"/>
              <w:spacing w:after="0"/>
              <w:rPr>
                <w:sz w:val="20"/>
                <w:szCs w:val="20"/>
                <w:color w:val="auto"/>
              </w:rPr>
            </w:pPr>
            <w:r>
              <w:rPr>
                <w:rFonts w:ascii="Arial" w:cs="Arial" w:eastAsia="Arial" w:hAnsi="Arial"/>
                <w:sz w:val="5"/>
                <w:szCs w:val="5"/>
                <w:color w:val="auto"/>
                <w:w w:val="70"/>
              </w:rPr>
              <w:t>$</w:t>
            </w:r>
          </w:p>
        </w:tc>
        <w:tc>
          <w:tcPr>
            <w:tcW w:w="2160" w:type="dxa"/>
            <w:vAlign w:val="bottom"/>
          </w:tcPr>
          <w:p>
            <w:pPr>
              <w:jc w:val="right"/>
              <w:spacing w:after="0" w:line="155" w:lineRule="exact"/>
              <w:rPr>
                <w:sz w:val="20"/>
                <w:szCs w:val="20"/>
                <w:color w:val="auto"/>
              </w:rPr>
            </w:pPr>
            <w:r>
              <w:rPr>
                <w:rFonts w:ascii="Arial" w:cs="Arial" w:eastAsia="Arial" w:hAnsi="Arial"/>
                <w:sz w:val="14"/>
                <w:szCs w:val="14"/>
                <w:color w:val="auto"/>
              </w:rPr>
              <w:t>150,000,000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97"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December 31, 2019, SBIC II was in compliance with its regulatory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217"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The 2019 Notes were redeemed on March 4, 2019 at a redemption price equal to $1,008.65 for each $1,000.00 of principal of notes outstanding, plus accrued and unpaid interest to March 4, 2019, pursuant to the indenture governing the 2019 Notes. Interest on the 2019 Notes was paid semi-annually on April 1 and October 1, at a rate of 4.50% per year. The 2019 Notes were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Credit Facilities.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Notes</w:t>
      </w:r>
    </w:p>
    <w:p>
      <w:pPr>
        <w:spacing w:after="0" w:line="136" w:lineRule="exact"/>
        <w:rPr>
          <w:sz w:val="20"/>
          <w:szCs w:val="20"/>
          <w:color w:val="auto"/>
        </w:rPr>
      </w:pPr>
    </w:p>
    <w:p>
      <w:pPr>
        <w:ind w:right="240" w:firstLine="438"/>
        <w:spacing w:after="0" w:line="255" w:lineRule="auto"/>
        <w:rPr>
          <w:sz w:val="20"/>
          <w:szCs w:val="20"/>
          <w:color w:val="auto"/>
        </w:rPr>
      </w:pPr>
      <w:r>
        <w:rPr>
          <w:rFonts w:ascii="Arial" w:cs="Arial" w:eastAsia="Arial" w:hAnsi="Arial"/>
          <w:sz w:val="13"/>
          <w:szCs w:val="13"/>
          <w:color w:val="auto"/>
        </w:rPr>
        <w:t>As of December 31, 2019 and September 30, 2019, we had $86.3 million and $75.0 million in aggregate principal amount of 2024 Notes outstanding, respectively. Interest on the 2024 Notes is paid quarterly on January 15, April 15, July 15 and October 15, at a rate of 5.50% per year. The 2024 Notes mature on October 15, 2024. The 2024 Notes are general, unsecured obligations and rank equal in right of payment with all of our existing and future senior unsecured indebtedness. The 2024 Notes are structurally subordinated to our SBA debentures and the assets pledged or secured under our Credit Facility. The 2024 Notes may be repurchased from time to time in open market purchases and privately-negotiated transactions.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right="160" w:firstLine="438"/>
        <w:spacing w:after="0" w:line="231"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December 31, 2019 and September 30, 2019, we had $36.6 million and $30.4 million, respectively, in commitments to fund investments. For the same periods, there were no letters of credit issued.</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UNCONSOLIDATED SIGNIFICANT SUBSIDIARIES</w:t>
      </w:r>
    </w:p>
    <w:p>
      <w:pPr>
        <w:spacing w:after="0" w:line="221" w:lineRule="exact"/>
        <w:rPr>
          <w:sz w:val="20"/>
          <w:szCs w:val="20"/>
          <w:color w:val="auto"/>
        </w:rPr>
      </w:pPr>
    </w:p>
    <w:p>
      <w:pPr>
        <w:ind w:right="120" w:firstLine="438"/>
        <w:spacing w:after="0" w:line="296" w:lineRule="auto"/>
        <w:rPr>
          <w:sz w:val="20"/>
          <w:szCs w:val="20"/>
          <w:color w:val="auto"/>
        </w:rPr>
      </w:pPr>
      <w:r>
        <w:rPr>
          <w:rFonts w:ascii="Arial" w:cs="Arial" w:eastAsia="Arial" w:hAnsi="Arial"/>
          <w:sz w:val="12"/>
          <w:szCs w:val="12"/>
          <w:color w:val="auto"/>
        </w:rPr>
        <w:t>We must determine which, if any, of our unconsolidated controlled portfolio companies is a "significant subsidiary" within the meaning of Regulation S-X. We have determined that, as of September 30, 2019, PT Networks, LLC and RAM Energy Holdings LLC triggered at least one of the significance tests. As a result and in accordance with Rule 10-01(b) of Regulation S-X under the Securities Act, presented below is summarized unaudited financial information for PT Networks, LLC and RAM Energy Holdings LLC for the three months ended December 31, 2019 and 2018.</w:t>
      </w:r>
    </w:p>
    <w:p>
      <w:pPr>
        <w:spacing w:after="0" w:line="164" w:lineRule="exact"/>
        <w:rPr>
          <w:sz w:val="20"/>
          <w:szCs w:val="20"/>
          <w:color w:val="auto"/>
        </w:rPr>
      </w:pPr>
    </w:p>
    <w:p>
      <w:pPr>
        <w:ind w:left="800" w:hanging="360"/>
        <w:spacing w:after="0"/>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PT Networks, LLC:</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December 31,</w:t>
            </w:r>
          </w:p>
        </w:tc>
        <w:tc>
          <w:tcPr>
            <w:tcW w:w="1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100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02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 revenue</w:t>
            </w:r>
          </w:p>
        </w:tc>
        <w:tc>
          <w:tcPr>
            <w:tcW w:w="260" w:type="dxa"/>
            <w:vAlign w:val="bottom"/>
            <w:shd w:val="clear" w:color="auto" w:fill="CCECFF"/>
          </w:tcPr>
          <w:p>
            <w:pPr>
              <w:spacing w:after="0"/>
              <w:rPr>
                <w:sz w:val="13"/>
                <w:szCs w:val="13"/>
                <w:color w:val="auto"/>
              </w:rPr>
            </w:pPr>
          </w:p>
        </w:tc>
        <w:tc>
          <w:tcPr>
            <w:tcW w:w="580" w:type="dxa"/>
            <w:vAlign w:val="bottom"/>
            <w:shd w:val="clear" w:color="auto" w:fill="CCECFF"/>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18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56,653</w:t>
            </w: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jc w:val="right"/>
              <w:ind w:right="82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39,544</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60" w:type="dxa"/>
            <w:vAlign w:val="bottom"/>
          </w:tcPr>
          <w:p>
            <w:pPr>
              <w:spacing w:after="0"/>
              <w:rPr>
                <w:sz w:val="20"/>
                <w:szCs w:val="20"/>
                <w:color w:val="auto"/>
              </w:rPr>
            </w:pPr>
            <w:r>
              <w:rPr>
                <w:rFonts w:ascii="Arial" w:cs="Arial" w:eastAsia="Arial" w:hAnsi="Arial"/>
                <w:sz w:val="14"/>
                <w:szCs w:val="14"/>
                <w:color w:val="auto"/>
              </w:rPr>
              <w:t>Total expenses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00" w:type="dxa"/>
            <w:vAlign w:val="bottom"/>
            <w:gridSpan w:val="2"/>
          </w:tcPr>
          <w:p>
            <w:pPr>
              <w:jc w:val="right"/>
              <w:ind w:right="160"/>
              <w:spacing w:after="0"/>
              <w:rPr>
                <w:sz w:val="20"/>
                <w:szCs w:val="20"/>
                <w:color w:val="auto"/>
              </w:rPr>
            </w:pPr>
            <w:r>
              <w:rPr>
                <w:rFonts w:ascii="Arial" w:cs="Arial" w:eastAsia="Arial" w:hAnsi="Arial"/>
                <w:sz w:val="14"/>
                <w:szCs w:val="14"/>
                <w:color w:val="auto"/>
              </w:rPr>
              <w:t>(49,207)</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4"/>
                <w:szCs w:val="14"/>
                <w:color w:val="auto"/>
              </w:rPr>
              <w:t>(50,490)</w:t>
            </w:r>
          </w:p>
        </w:tc>
        <w:tc>
          <w:tcPr>
            <w:tcW w:w="0" w:type="dxa"/>
            <w:vAlign w:val="bottom"/>
          </w:tcPr>
          <w:p>
            <w:pPr>
              <w:spacing w:after="0"/>
              <w:rPr>
                <w:sz w:val="1"/>
                <w:szCs w:val="1"/>
                <w:color w:val="auto"/>
              </w:rPr>
            </w:pPr>
          </w:p>
        </w:tc>
      </w:tr>
      <w:tr>
        <w:trPr>
          <w:trHeight w:val="162"/>
        </w:trPr>
        <w:tc>
          <w:tcPr>
            <w:tcW w:w="5560" w:type="dxa"/>
            <w:vAlign w:val="bottom"/>
            <w:shd w:val="clear" w:color="auto" w:fill="CCECFF"/>
          </w:tcPr>
          <w:p>
            <w:pPr>
              <w:spacing w:after="0"/>
              <w:rPr>
                <w:sz w:val="20"/>
                <w:szCs w:val="20"/>
                <w:color w:val="auto"/>
              </w:rPr>
            </w:pPr>
            <w:r>
              <w:rPr>
                <w:rFonts w:ascii="Arial" w:cs="Arial" w:eastAsia="Arial" w:hAnsi="Arial"/>
                <w:sz w:val="14"/>
                <w:szCs w:val="14"/>
                <w:color w:val="auto"/>
              </w:rPr>
              <w:t>Net income (loss)</w:t>
            </w:r>
          </w:p>
        </w:tc>
        <w:tc>
          <w:tcPr>
            <w:tcW w:w="840" w:type="dxa"/>
            <w:vAlign w:val="bottom"/>
            <w:gridSpan w:val="2"/>
            <w:shd w:val="clear" w:color="auto" w:fill="CCECFF"/>
          </w:tcPr>
          <w:p>
            <w:pPr>
              <w:jc w:val="right"/>
              <w:ind w:right="42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7,446</w:t>
            </w:r>
          </w:p>
        </w:tc>
        <w:tc>
          <w:tcPr>
            <w:tcW w:w="22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2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(10,947)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00" w:hanging="360"/>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RAM Energy Holdings LLC:</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December 31,</w:t>
            </w:r>
          </w:p>
        </w:tc>
        <w:tc>
          <w:tcPr>
            <w:tcW w:w="1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100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02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revenue</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1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6,929</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82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5,765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60" w:type="dxa"/>
            <w:vAlign w:val="bottom"/>
          </w:tcPr>
          <w:p>
            <w:pPr>
              <w:spacing w:after="0"/>
              <w:rPr>
                <w:sz w:val="20"/>
                <w:szCs w:val="20"/>
                <w:color w:val="auto"/>
              </w:rPr>
            </w:pPr>
            <w:r>
              <w:rPr>
                <w:rFonts w:ascii="Arial" w:cs="Arial" w:eastAsia="Arial" w:hAnsi="Arial"/>
                <w:sz w:val="14"/>
                <w:szCs w:val="14"/>
                <w:color w:val="auto"/>
              </w:rPr>
              <w:t>Total expenses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00" w:type="dxa"/>
            <w:vAlign w:val="bottom"/>
            <w:gridSpan w:val="2"/>
          </w:tcPr>
          <w:p>
            <w:pPr>
              <w:jc w:val="right"/>
              <w:ind w:right="160"/>
              <w:spacing w:after="0"/>
              <w:rPr>
                <w:sz w:val="20"/>
                <w:szCs w:val="20"/>
                <w:color w:val="auto"/>
              </w:rPr>
            </w:pPr>
            <w:r>
              <w:rPr>
                <w:rFonts w:ascii="Arial" w:cs="Arial" w:eastAsia="Arial" w:hAnsi="Arial"/>
                <w:sz w:val="14"/>
                <w:szCs w:val="14"/>
                <w:color w:val="auto"/>
              </w:rPr>
              <w:t>(10,462)</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4"/>
                <w:szCs w:val="14"/>
                <w:color w:val="auto"/>
              </w:rPr>
              <w:t>(6,940)</w:t>
            </w:r>
          </w:p>
        </w:tc>
        <w:tc>
          <w:tcPr>
            <w:tcW w:w="0" w:type="dxa"/>
            <w:vAlign w:val="bottom"/>
          </w:tcPr>
          <w:p>
            <w:pPr>
              <w:spacing w:after="0"/>
              <w:rPr>
                <w:sz w:val="1"/>
                <w:szCs w:val="1"/>
                <w:color w:val="auto"/>
              </w:rPr>
            </w:pPr>
          </w:p>
        </w:tc>
      </w:tr>
      <w:tr>
        <w:trPr>
          <w:trHeight w:val="162"/>
        </w:trPr>
        <w:tc>
          <w:tcPr>
            <w:tcW w:w="556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FF0FC"/>
          </w:tcPr>
          <w:p>
            <w:pPr>
              <w:jc w:val="right"/>
              <w:ind w:right="428"/>
              <w:spacing w:after="0"/>
              <w:rPr>
                <w:sz w:val="20"/>
                <w:szCs w:val="20"/>
                <w:color w:val="auto"/>
              </w:rPr>
            </w:pPr>
            <w:r>
              <w:rPr>
                <w:rFonts w:ascii="Arial" w:cs="Arial" w:eastAsia="Arial" w:hAnsi="Arial"/>
                <w:sz w:val="14"/>
                <w:szCs w:val="14"/>
                <w:color w:val="auto"/>
              </w:rPr>
              <w:t>$</w:t>
            </w:r>
          </w:p>
        </w:tc>
        <w:tc>
          <w:tcPr>
            <w:tcW w:w="21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(3,534)</w:t>
            </w:r>
          </w:p>
        </w:tc>
        <w:tc>
          <w:tcPr>
            <w:tcW w:w="1140" w:type="dxa"/>
            <w:vAlign w:val="bottom"/>
            <w:gridSpan w:val="2"/>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All amounts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STOCK REPURCHASE PROGRAM</w:t>
      </w:r>
    </w:p>
    <w:p>
      <w:pPr>
        <w:spacing w:after="0" w:line="221" w:lineRule="exact"/>
        <w:rPr>
          <w:sz w:val="20"/>
          <w:szCs w:val="20"/>
          <w:color w:val="auto"/>
        </w:rPr>
      </w:pPr>
    </w:p>
    <w:p>
      <w:pPr>
        <w:ind w:right="40" w:firstLine="438"/>
        <w:spacing w:after="0" w:line="283" w:lineRule="auto"/>
        <w:rPr>
          <w:sz w:val="20"/>
          <w:szCs w:val="20"/>
          <w:color w:val="auto"/>
        </w:rPr>
      </w:pPr>
      <w:r>
        <w:rPr>
          <w:rFonts w:ascii="Arial" w:cs="Arial" w:eastAsia="Arial" w:hAnsi="Arial"/>
          <w:sz w:val="12"/>
          <w:szCs w:val="12"/>
          <w:color w:val="auto"/>
        </w:rPr>
        <w:t>On May 9, 2018, we announced a share repurchase program which allowed us to repurchase up to $30 million of our outstanding common stock in the open market at prices below our net asset value as reported in our then most recently published consolidated financial statements. The program expired on May 9, 2019. During the three months ended December 31, 2019 and 2018, we repurchased zero and 1.0 million shares of common stock, respectively, in open market transactions for an aggregate cost (including transaction costs) of zero and $7.5 million, respectively. We repurchased 4.0 million shares of our common stock in open market transactions while the program was in effect for an aggregate cost (including transaction costs) of $29.5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399" w:lineRule="exact"/>
        <w:rPr>
          <w:sz w:val="20"/>
          <w:szCs w:val="20"/>
          <w:color w:val="auto"/>
        </w:rPr>
      </w:pPr>
    </w:p>
    <w:p>
      <w:pPr>
        <w:ind w:right="5220"/>
        <w:spacing w:after="0" w:line="474" w:lineRule="auto"/>
        <w:rPr>
          <w:sz w:val="20"/>
          <w:szCs w:val="20"/>
          <w:color w:val="auto"/>
        </w:rPr>
      </w:pPr>
      <w:r>
        <w:rPr>
          <w:rFonts w:ascii="Arial" w:cs="Arial" w:eastAsia="Arial" w:hAnsi="Arial"/>
          <w:sz w:val="14"/>
          <w:szCs w:val="14"/>
          <w:color w:val="auto"/>
        </w:rPr>
        <w:t xml:space="preserve">To the Stockholders and Board of Directors of PennantPark Investment Corporation and its Subsidiaries </w:t>
      </w:r>
      <w:r>
        <w:rPr>
          <w:rFonts w:ascii="Arial" w:cs="Arial" w:eastAsia="Arial" w:hAnsi="Arial"/>
          <w:sz w:val="14"/>
          <w:szCs w:val="14"/>
          <w:b w:val="1"/>
          <w:bCs w:val="1"/>
          <w:color w:val="auto"/>
        </w:rPr>
        <w:t>Results of Review of Interim Financial Statements</w:t>
      </w:r>
    </w:p>
    <w:p>
      <w:pPr>
        <w:spacing w:after="0" w:line="39" w:lineRule="exact"/>
        <w:rPr>
          <w:sz w:val="20"/>
          <w:szCs w:val="20"/>
          <w:color w:val="auto"/>
        </w:rPr>
      </w:pPr>
    </w:p>
    <w:p>
      <w:pPr>
        <w:ind w:right="100" w:firstLine="365"/>
        <w:spacing w:after="0" w:line="231" w:lineRule="auto"/>
        <w:rPr>
          <w:sz w:val="20"/>
          <w:szCs w:val="20"/>
          <w:color w:val="auto"/>
        </w:rPr>
      </w:pPr>
      <w:r>
        <w:rPr>
          <w:rFonts w:ascii="Arial" w:cs="Arial" w:eastAsia="Arial" w:hAnsi="Arial"/>
          <w:sz w:val="14"/>
          <w:szCs w:val="14"/>
          <w:color w:val="auto"/>
        </w:rPr>
        <w:t>We have reviewed the accompanying consolidated statement of assets and liabilities of PennantPark Investment Corporation and its Subsidiaries (collectively referred to as the “Company”), including the consolidated schedule of investments, as of December 31, 2019, and the related consolidated statements of operations, changes in net assets, and cash flows for the three months ended December 31, 2019 and 2018, and the related notes to the consolidated financial statements (collectively, the interim financial information or financial statements). Based on our reviews, we are not aware of any material modifications that should be made to the accompanying interim information referred to above for them to be in conformity with accounting principles generally accepted in the United States of America.</w:t>
      </w:r>
    </w:p>
    <w:p>
      <w:pPr>
        <w:spacing w:after="0" w:line="116" w:lineRule="exact"/>
        <w:rPr>
          <w:sz w:val="20"/>
          <w:szCs w:val="20"/>
          <w:color w:val="auto"/>
        </w:rPr>
      </w:pPr>
    </w:p>
    <w:p>
      <w:pPr>
        <w:ind w:right="200" w:firstLine="365"/>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2019, and the related consolidated statements of operations, changes in net assets, and cash flows for the year then ended (not presented herein), and in our report dated November 21, 2019, we expressed an unqualified opinion on those financial statements. In our opinion, the information set forth in the accompanying consolidated statement of assets and liabilities as of September 30, 2019, is fairly stated, in all material respects, in relation to the balance sheet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221" w:lineRule="exact"/>
        <w:rPr>
          <w:sz w:val="20"/>
          <w:szCs w:val="20"/>
          <w:color w:val="auto"/>
        </w:rPr>
      </w:pPr>
    </w:p>
    <w:p>
      <w:pPr>
        <w:ind w:firstLine="365"/>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February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5" w:name="page26"/>
    <w:bookmarkEnd w:id="25"/>
    <w:p>
      <w:pPr>
        <w:spacing w:after="0"/>
        <w:tabs>
          <w:tab w:leader="none" w:pos="13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2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impact of Brexit and other world economic and political issues.</w:t>
      </w:r>
    </w:p>
    <w:p>
      <w:pPr>
        <w:spacing w:after="0" w:line="217"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87" w:lineRule="exact"/>
        <w:rPr>
          <w:sz w:val="20"/>
          <w:szCs w:val="20"/>
          <w:color w:val="auto"/>
        </w:rPr>
      </w:pPr>
    </w:p>
    <w:p>
      <w:pPr>
        <w:jc w:val="both"/>
        <w:ind w:right="40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98"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98"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87"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217" w:lineRule="exact"/>
        <w:rPr>
          <w:sz w:val="20"/>
          <w:szCs w:val="20"/>
          <w:color w:val="auto"/>
        </w:rPr>
      </w:pPr>
    </w:p>
    <w:p>
      <w:pPr>
        <w:ind w:right="580" w:firstLine="438"/>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165" w:lineRule="exact"/>
        <w:rPr>
          <w:sz w:val="20"/>
          <w:szCs w:val="20"/>
          <w:color w:val="auto"/>
        </w:rPr>
      </w:pPr>
    </w:p>
    <w:p>
      <w:pPr>
        <w:ind w:right="160" w:firstLine="438"/>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ind w:right="8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217"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71"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9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 The BNP Credit Facility allows Funding I to borrow up to $250 million at LIBOR plus 260 basis points during the reinvestment period. The BNP Credit Facility is secured by all of the assets held by Funding I.</w:t>
      </w:r>
    </w:p>
    <w:p>
      <w:pPr>
        <w:spacing w:after="0" w:line="188" w:lineRule="exact"/>
        <w:rPr>
          <w:sz w:val="20"/>
          <w:szCs w:val="20"/>
          <w:color w:val="auto"/>
        </w:rPr>
      </w:pPr>
    </w:p>
    <w:p>
      <w:pPr>
        <w:ind w:right="60" w:firstLine="438"/>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 under its investment management agreement. Our SBIC Fund’s investment management agreement does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 under its administration agreements with us. Our board of directors, a majority of whom are independent of us, provides overall supervision of our activities, and the Investment Adviser supervises our day-to-day activities.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217" w:lineRule="exact"/>
        <w:rPr>
          <w:sz w:val="20"/>
          <w:szCs w:val="20"/>
          <w:color w:val="auto"/>
        </w:rPr>
      </w:pPr>
    </w:p>
    <w:p>
      <w:pPr>
        <w:ind w:firstLine="438"/>
        <w:spacing w:after="0" w:line="269" w:lineRule="auto"/>
        <w:rPr>
          <w:sz w:val="20"/>
          <w:szCs w:val="20"/>
          <w:color w:val="auto"/>
        </w:rPr>
      </w:pPr>
      <w:r>
        <w:rPr>
          <w:rFonts w:ascii="Arial" w:cs="Arial" w:eastAsia="Arial" w:hAnsi="Arial"/>
          <w:sz w:val="12"/>
          <w:szCs w:val="12"/>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1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98" w:lineRule="exact"/>
        <w:rPr>
          <w:sz w:val="20"/>
          <w:szCs w:val="20"/>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100" w:hanging="372"/>
        <w:spacing w:after="0" w:line="253"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27" w:name="page28"/>
    <w:bookmarkEnd w:id="27"/>
    <w:p>
      <w:pPr>
        <w:ind w:right="20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221"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As of December 31, 2019, our portfolio totaled $1,378.9 million and consisted of $791.9 million of first lien secured debt, $270.8 million of second lien secured debt, $63.0 million of subordinated debt and $253.2 million of preferred and common equity. Our debt portfolio consisted of 91% variable-rate investments. As of December 31, 2019, we had no portfolio companies on non-accrual. Overall, the portfolio had net unrealized depreciation of $14.0 million as of December 31, 2019. Our overall portfolio consisted of 78 companies with an average investment size of $17.7 million, had a weighted average yield on interest bearing debt investments of 9.6% and was invested 57% in first lien secured debt, 20% in second lien secured debt, 5% in subordinated debt and 18% in preferred and common equity.</w:t>
      </w:r>
    </w:p>
    <w:p>
      <w:pPr>
        <w:spacing w:after="0" w:line="197"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As of September 30, 2019, our portfolio totaled $1,219.4 million and consisted of $695.3 million of first lien secured debt, $269.3 million of second lien secured debt, $61.2 million of subordinated debt and $193.7 million of preferred and common equity. Our debt portfolio consisted of 87% variable-rate investments. As of September 30, 2019, we had no portfolio companies on non-accrual. Overall, the portfolio had net unrealized depreciation of $37.6 million as of September 30, 2019. Our overall portfolio consisted of 67 companies with an average investment size of $18.2 million, had a weighted average yield on interest bearing debt investments of 9.8% and was invested 57% in first lien secured debt, 22% in second lien secured debt, 5% in subordinated debt and 16% in preferred and common equity.</w:t>
      </w:r>
    </w:p>
    <w:p>
      <w:pPr>
        <w:spacing w:after="0" w:line="197"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For the three months ended December 31, 2019, we invested $173.7 million in 13 new and 15 existing portfolio companies with a weighted average yield on debt investments of 8.8%. Sales and repayments of investments for the three months ended December 31, 2019 totaled $31.2 million.</w:t>
      </w:r>
    </w:p>
    <w:p>
      <w:pPr>
        <w:spacing w:after="0" w:line="187"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For the three months ended December 31, 2018, we invested $194.5 million in six new and 13 existing portfolio companies with a weighted average yield on debt investments of 9.5%. Sales and repayments of investments for the three months ended December 31, 2018 totaled $125.8 million.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221" w:lineRule="exact"/>
        <w:rPr>
          <w:sz w:val="20"/>
          <w:szCs w:val="20"/>
          <w:color w:val="auto"/>
        </w:rPr>
      </w:pPr>
    </w:p>
    <w:p>
      <w:pPr>
        <w:jc w:val="both"/>
        <w:ind w:right="4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217" w:lineRule="exact"/>
        <w:rPr>
          <w:sz w:val="20"/>
          <w:szCs w:val="20"/>
          <w:color w:val="auto"/>
        </w:rPr>
      </w:pPr>
    </w:p>
    <w:p>
      <w:pPr>
        <w:ind w:right="100"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92" w:lineRule="exact"/>
        <w:rPr>
          <w:sz w:val="20"/>
          <w:szCs w:val="20"/>
          <w:color w:val="auto"/>
        </w:rPr>
      </w:pPr>
    </w:p>
    <w:p>
      <w:pPr>
        <w:ind w:right="30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65" w:lineRule="exact"/>
        <w:rPr>
          <w:sz w:val="20"/>
          <w:szCs w:val="20"/>
          <w:color w:val="auto"/>
        </w:rPr>
      </w:pPr>
    </w:p>
    <w:p>
      <w:pPr>
        <w:ind w:left="920" w:hanging="372"/>
        <w:spacing w:after="0" w:line="253" w:lineRule="auto"/>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87" w:lineRule="exact"/>
        <w:rPr>
          <w:rFonts w:ascii="Arial" w:cs="Arial" w:eastAsia="Arial" w:hAnsi="Arial"/>
          <w:sz w:val="14"/>
          <w:szCs w:val="14"/>
          <w:color w:val="auto"/>
        </w:rPr>
      </w:pPr>
    </w:p>
    <w:p>
      <w:pPr>
        <w:ind w:left="920" w:hanging="372"/>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jc w:val="both"/>
        <w:ind w:left="920" w:right="60" w:hanging="372"/>
        <w:spacing w:after="0" w:line="264" w:lineRule="auto"/>
        <w:tabs>
          <w:tab w:leader="none" w:pos="9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20" w:hanging="372"/>
        <w:spacing w:after="0" w:line="238" w:lineRule="auto"/>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60" w:hanging="372"/>
        <w:spacing w:after="0" w:line="253" w:lineRule="auto"/>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87" w:lineRule="exact"/>
        <w:rPr>
          <w:sz w:val="20"/>
          <w:szCs w:val="20"/>
          <w:color w:val="auto"/>
        </w:rPr>
      </w:pPr>
    </w:p>
    <w:p>
      <w:pPr>
        <w:ind w:right="380" w:firstLine="438"/>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8" w:name="page29"/>
    <w:bookmarkEnd w:id="28"/>
    <w:p>
      <w:pPr>
        <w:jc w:val="both"/>
        <w:ind w:right="20"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17"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217"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65"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2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2019 Notes were, and our 2024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98"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2019 Notes, our SBA debentures, our 2024 Notes and our Credit Facilities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96" w:lineRule="exact"/>
        <w:rPr>
          <w:sz w:val="20"/>
          <w:szCs w:val="20"/>
          <w:color w:val="auto"/>
        </w:rPr>
      </w:pPr>
    </w:p>
    <w:p>
      <w:pPr>
        <w:ind w:right="60" w:firstLine="438"/>
        <w:spacing w:after="0" w:line="227" w:lineRule="auto"/>
        <w:rPr>
          <w:sz w:val="20"/>
          <w:szCs w:val="20"/>
          <w:color w:val="auto"/>
        </w:rPr>
      </w:pPr>
      <w:r>
        <w:rPr>
          <w:rFonts w:ascii="Arial" w:cs="Arial" w:eastAsia="Arial" w:hAnsi="Arial"/>
          <w:sz w:val="14"/>
          <w:szCs w:val="14"/>
          <w:color w:val="auto"/>
        </w:rPr>
        <w:t>The carrying value of our consolidated financial liabilities approximates fair value. We have adopted the principles under ASC Subtopic ASC 825-10, Financial Instruments, or ASC 825-10, which provides companies with an option to report selected financial assets and liabilities at fair value, and made an irrevocable election to apply ASC 825-10 to our Credit Facilities and the 2019 Notes. We elected to use the fair value option for the Credit Facilities and the 2019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us to display the fair value of the selected assets and liabilities on the face of the Consolidated Statements of Assets and Liabilities and changes in fair value of the Credit Facilities and the 2019 Notes are reported in our Consolidated Statements of Operations. We did not elect to apply ASC 825-10 to any other financial assets or liabilities, including the 2024 Notes and the SBA debentures.</w:t>
      </w:r>
    </w:p>
    <w:p>
      <w:pPr>
        <w:spacing w:after="0" w:line="199" w:lineRule="exact"/>
        <w:rPr>
          <w:sz w:val="20"/>
          <w:szCs w:val="20"/>
          <w:color w:val="auto"/>
        </w:rPr>
      </w:pPr>
    </w:p>
    <w:p>
      <w:pPr>
        <w:ind w:right="200" w:firstLine="438"/>
        <w:spacing w:after="0" w:line="233" w:lineRule="auto"/>
        <w:rPr>
          <w:sz w:val="20"/>
          <w:szCs w:val="20"/>
          <w:color w:val="auto"/>
        </w:rPr>
      </w:pPr>
      <w:r>
        <w:rPr>
          <w:rFonts w:ascii="Arial" w:cs="Arial" w:eastAsia="Arial" w:hAnsi="Arial"/>
          <w:sz w:val="14"/>
          <w:szCs w:val="14"/>
          <w:color w:val="auto"/>
        </w:rPr>
        <w:t>For the three months ended December 31, 2019, our Credit Facilities had a net change in unrealized appreciation of $2.6 million. For the three months ended December 31, 2018, the Truist Credit Facility and the 2019 Notes had a net change in unrealized depreciation of $6.1 million. As of December 31, 2019 and September 30, 2019, the net unrealized depreciation on our Credit Facilities totaled $4.7 million and $7.2 million, respectively. We use a nationally recognized independent valuation service to measure the fair value of our Credit Facilities and the 2019 Notes in a manner consistent with the valuation process that the board of directors uses to value our investments.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20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217"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Facilities and the 2019 Notes during the reporting period, including any reversal of previously recorded unrealized appreciation or depreciation, when gains or losses are realized.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217" w:lineRule="exact"/>
        <w:rPr>
          <w:sz w:val="20"/>
          <w:szCs w:val="20"/>
          <w:color w:val="auto"/>
        </w:rPr>
      </w:pPr>
    </w:p>
    <w:p>
      <w:pPr>
        <w:ind w:left="920" w:hanging="372"/>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217" w:lineRule="exact"/>
        <w:rPr>
          <w:rFonts w:ascii="Arial" w:cs="Arial" w:eastAsia="Arial" w:hAnsi="Arial"/>
          <w:sz w:val="14"/>
          <w:szCs w:val="14"/>
          <w:color w:val="auto"/>
        </w:rPr>
      </w:pPr>
    </w:p>
    <w:p>
      <w:pPr>
        <w:ind w:left="920" w:hanging="372"/>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17" w:lineRule="exact"/>
        <w:rPr>
          <w:sz w:val="20"/>
          <w:szCs w:val="20"/>
          <w:color w:val="auto"/>
        </w:rPr>
      </w:pPr>
    </w:p>
    <w:p>
      <w:pPr>
        <w:jc w:val="both"/>
        <w:ind w:right="28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PIK Interest</w:t>
      </w:r>
    </w:p>
    <w:p>
      <w:pPr>
        <w:spacing w:after="0" w:line="217"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217"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88"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U.S.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92" w:lineRule="exact"/>
        <w:rPr>
          <w:sz w:val="20"/>
          <w:szCs w:val="20"/>
          <w:color w:val="auto"/>
        </w:rPr>
      </w:pPr>
    </w:p>
    <w:p>
      <w:pPr>
        <w:ind w:right="60" w:firstLine="438"/>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82" w:lineRule="exact"/>
        <w:rPr>
          <w:sz w:val="20"/>
          <w:szCs w:val="20"/>
          <w:color w:val="auto"/>
        </w:rPr>
      </w:pPr>
    </w:p>
    <w:p>
      <w:pPr>
        <w:jc w:val="both"/>
        <w:ind w:right="140" w:firstLine="438"/>
        <w:spacing w:after="0" w:line="335" w:lineRule="auto"/>
        <w:rPr>
          <w:sz w:val="20"/>
          <w:szCs w:val="20"/>
          <w:color w:val="auto"/>
        </w:rPr>
      </w:pPr>
      <w:r>
        <w:rPr>
          <w:rFonts w:ascii="Arial" w:cs="Arial" w:eastAsia="Arial" w:hAnsi="Arial"/>
          <w:sz w:val="12"/>
          <w:szCs w:val="12"/>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months ended December 31, 2019 and 2018.</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217" w:lineRule="exact"/>
        <w:rPr>
          <w:sz w:val="20"/>
          <w:szCs w:val="20"/>
          <w:color w:val="auto"/>
        </w:rPr>
      </w:pPr>
    </w:p>
    <w:p>
      <w:pPr>
        <w:jc w:val="both"/>
        <w:ind w:right="160" w:firstLine="438"/>
        <w:spacing w:after="0" w:line="255" w:lineRule="auto"/>
        <w:rPr>
          <w:sz w:val="20"/>
          <w:szCs w:val="20"/>
          <w:color w:val="auto"/>
        </w:rPr>
      </w:pPr>
      <w:r>
        <w:rPr>
          <w:rFonts w:ascii="Arial" w:cs="Arial" w:eastAsia="Arial" w:hAnsi="Arial"/>
          <w:sz w:val="13"/>
          <w:szCs w:val="13"/>
          <w:color w:val="auto"/>
        </w:rPr>
        <w:t>Investment income for the three months ended December 31, 2019 was $26.0 million and was attributable to $16.0 million from first lien secured debt, $7.7 million from second lien secured debt and $2.3 million from subordinated debt, respectively. This compares to investment income for the three months ended December 31, 2018 of $27.4 million and was attributable to $13.2 million from first lien secured debt, $12.4 million from second lien secured debt and $1.8 million from subordinated debt, preferred and common equity. The decrease in investments income compared to the same period in the prior year was primarily due to decreases in LIBOR as well as the timing of purchases and sales.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17" w:lineRule="exact"/>
        <w:rPr>
          <w:sz w:val="20"/>
          <w:szCs w:val="20"/>
          <w:color w:val="auto"/>
        </w:rPr>
      </w:pPr>
    </w:p>
    <w:p>
      <w:pPr>
        <w:ind w:right="60" w:firstLine="438"/>
        <w:spacing w:after="0" w:line="283" w:lineRule="auto"/>
        <w:rPr>
          <w:sz w:val="20"/>
          <w:szCs w:val="20"/>
          <w:color w:val="auto"/>
        </w:rPr>
      </w:pPr>
      <w:r>
        <w:rPr>
          <w:rFonts w:ascii="Arial" w:cs="Arial" w:eastAsia="Arial" w:hAnsi="Arial"/>
          <w:sz w:val="12"/>
          <w:szCs w:val="12"/>
          <w:color w:val="auto"/>
        </w:rPr>
        <w:t>Expenses for the three months ended December 31, 2019 totaled $15.8 million. Base management fee for the same period totaled $4.7 million, incentive fee totaled $0.7 million, debt related interest and expenses totaled $8.9 million, general and administrative expenses totaled $1.2 million and provision for taxes totaled $0.3 million. This compares to net expenses for the three months ended December 31, 2018, which totaled $14.8 million. Base management fee for the same period totaled $4.4 million, incentive fee totaled $2.7 million, debt related interest and expenses totaled $6.3 million and general and administrative expenses totaled $1.1 million. The increase in expenses compared to the three-month period ended in the prior year was primarily due to higher leverage costs.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217" w:lineRule="exact"/>
        <w:rPr>
          <w:sz w:val="20"/>
          <w:szCs w:val="20"/>
          <w:color w:val="auto"/>
        </w:rPr>
      </w:pPr>
    </w:p>
    <w:p>
      <w:pPr>
        <w:jc w:val="both"/>
        <w:ind w:right="100" w:firstLine="438"/>
        <w:spacing w:after="0" w:line="238" w:lineRule="auto"/>
        <w:rPr>
          <w:sz w:val="20"/>
          <w:szCs w:val="20"/>
          <w:color w:val="auto"/>
        </w:rPr>
      </w:pPr>
      <w:r>
        <w:rPr>
          <w:rFonts w:ascii="Arial" w:cs="Arial" w:eastAsia="Arial" w:hAnsi="Arial"/>
          <w:sz w:val="14"/>
          <w:szCs w:val="14"/>
          <w:color w:val="auto"/>
        </w:rPr>
        <w:t>Net investment income totaled $10.2 million, or $0.15 per share, for the three months ended December 31, 2019. Net investment income totaled $12.6 million, or $0.18 per share, for the three months ended December 31, 2018. The decrease in net investment income compared to the three-month period ended in the prior year was primarily due to higher leverage costs and lower investment income.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217"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Sales and repayments of investments for three months ended December 31, 2019 totaled $31.2 million and net realized losses totaled $12.0 million. Sales and repayments of investments for the three months ended December 31, 2018 totaled $125.8 million and net realized gains totaled $8.5 million. The change in realized gains/losses was primarily due to changes in the market conditions of our investments and the values at which they were realized.</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Facilities and the 2019 Notes</w:t>
      </w:r>
    </w:p>
    <w:p>
      <w:pPr>
        <w:spacing w:after="0" w:line="217"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For the, three months ended December 31, 2019 and 2018, we reported net change in unrealized appreciation (depreciation) on investments of $23.6 million and $(20.4) million, respectively. As of December 31, 2019 and September 30, 2019, our net unrealized depreciation on investments totaled $14.0 million and $37.6 million, respectively. The net change in unrealized appreciation/depreciation on our investments compared to the same period in the prior year was primarily due to changes in the capital market conditions, the financial performance of certain portfolio companies and the reversal of unrealized appreciation/depreciation on investments that were realized.</w:t>
      </w:r>
    </w:p>
    <w:p>
      <w:pPr>
        <w:spacing w:after="0" w:line="198"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For the three months ended December 31, 2019 our Credit Facilities had a net change in unrealized appreciation of $2.6 million. For the three months ended December 31, 2018, the Truist Credit Facility and the 2019 Notes had a net change in unrealized depreciation of $6.1 million. As of December 31, 2019 and September 30, 2019, the net unrealized depreciation on the Credit Facilities totaled $4.7 million and $7.2 million, respectively. The net change in net unrealized depreciation compared to the same period in the prior year was primarily due to changes in the capital markets.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217"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Net change in net assets resulting from operations totaled $19.2 million, or $0.29 per share, for the three months ended December 31, 2019. Net change in net assets resulting from operations totaled $6.8 million, or $0.10 per share, for the three months ended December 31, 2018. The increase in the net change in net assets from operations compared to the same period in the prior year was primarily due to appreciation of the portfolio.</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21"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December 31, 2019,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w:t>
      </w:r>
    </w:p>
    <w:p>
      <w:pPr>
        <w:spacing w:after="0" w:line="197"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December 31, 2019 and September 30, 2019, our asset coverage ratio, as computed in accordance with the 1940 Act, was 195% and 207%, respectively.</w:t>
      </w:r>
    </w:p>
    <w:p>
      <w:pPr>
        <w:spacing w:after="0" w:line="188"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The annualized weighted average cost of debt for the three months ended December 31, 2019 and 2018, inclusive of the fee on the undrawn commitment under the Truist Credit Facility, debt issuance costs on the BNP Credit Facility, prepayment penalties on the 2019 Notes and amortized upfront fees on SBA debentures, was 5.0% and 4.7%, respectively (excluding debt issuance costs and prepayment penalties, amounts were 5.0% and 4.6%, respectively).</w:t>
      </w:r>
    </w:p>
    <w:p>
      <w:pPr>
        <w:spacing w:after="0" w:line="196" w:lineRule="exact"/>
        <w:rPr>
          <w:sz w:val="20"/>
          <w:szCs w:val="20"/>
          <w:color w:val="auto"/>
        </w:rPr>
      </w:pPr>
    </w:p>
    <w:p>
      <w:pPr>
        <w:ind w:right="200" w:firstLine="438"/>
        <w:spacing w:after="0" w:line="248" w:lineRule="auto"/>
        <w:rPr>
          <w:sz w:val="20"/>
          <w:szCs w:val="20"/>
          <w:color w:val="auto"/>
        </w:rPr>
      </w:pPr>
      <w:r>
        <w:rPr>
          <w:rFonts w:ascii="Arial" w:cs="Arial" w:eastAsia="Arial" w:hAnsi="Arial"/>
          <w:sz w:val="13"/>
          <w:szCs w:val="13"/>
          <w:color w:val="auto"/>
        </w:rPr>
        <w:t>On February 22, 2019, Funding I closed the BNP Credit Facility for up to $250.0 million in borrowings with certain lenders and BNP Paribas, as administrative agent, and The Bank of New York Mellon Trust Company, N.A., as collateral agent. As of December 31, 2019 and September 30, 2019, Funding I had $203.5 million and $171.0 million in borrowings under the BNP Credit Facility, respectively. The BNP Credit Facility had a weighted average interest rate of 4.4% and 4.6%, respectively, exclusive of the fee on undrawn commitments, as of December 31, 2019 and September 30, 2019. The BNP Credit Facility is a five-year revolving facility with a stated maturity date of February 22, 2024 and pricing set at 260 basis points over LIBOR. As of December 31, 2019 and September 30, 2019, Funding I had $46.5 million and $79.0 million of unused borrowing capacity under the BNP Credit Facility, respectively, subject to the regulatory restrictions. The BNP Credit Facility is secured by all of our assets held by Funding I. As of December 31, 2019, we were in compliance with the terms of the BNP Credit Facility.</w:t>
      </w:r>
    </w:p>
    <w:p>
      <w:pPr>
        <w:spacing w:after="0" w:line="194" w:lineRule="exact"/>
        <w:rPr>
          <w:sz w:val="20"/>
          <w:szCs w:val="20"/>
          <w:color w:val="auto"/>
        </w:rPr>
      </w:pPr>
    </w:p>
    <w:p>
      <w:pPr>
        <w:ind w:firstLine="438"/>
        <w:spacing w:after="0" w:line="226" w:lineRule="auto"/>
        <w:rPr>
          <w:sz w:val="20"/>
          <w:szCs w:val="20"/>
          <w:color w:val="auto"/>
        </w:rPr>
      </w:pPr>
      <w:r>
        <w:rPr>
          <w:rFonts w:ascii="Arial" w:cs="Arial" w:eastAsia="Arial" w:hAnsi="Arial"/>
          <w:sz w:val="14"/>
          <w:szCs w:val="14"/>
          <w:color w:val="auto"/>
        </w:rPr>
        <w:t>As of December 31, 2019, we had a multi-currency Truist Credit Facility for up to $475.0 million in borrowings with certain lenders and Truist Bank, acting as administrative agent, and JPMorgan Chase Bank, N.A., acting as syndication agent for the lenders. As of December 31, 2019 and September 30, 2019, we had $330.6 million (including a $15.0 million temporary draw) and $301.6 million, respectively, in outstanding borrowings under the Truist Credit Facility. The Truist Credit Facility had a weighted average interest rate of 4.0% and 4.2%, respectively, exclusive of the fee on undrawn commitments, as of December 31, 2019 and September 30, 2019. The Truist Credit Facility is a revolving facility with a stated maturity date of September 4, 2024 ($55.0 million of the $475 million commitment will mature May 25, 2022), a one-year term-out period on September 4, 2023 ($55.0 million of the $475 million commitment has a one year term-out period on May 25, 2021) and pricing set at 225 basis points over LIBOR. The Truist Credit Facility is secured by substantially all of our assets excluding assets held by Funding I and SBIC II. As of December 31, 2019 and September 30, 2019, we had $144.4 million and $173.4 million of unused borrowing capacity under the Truist Credit Facility, respectively, subject to the regulatory restrictions. The Truist Credit Facility is secured by substantially all of our assets, excluding assets held by Funding I and our SBIC Fund. As of December 31, 2019, we were in compliance with the terms of the Truist Credit Facility.</w:t>
      </w:r>
    </w:p>
    <w:p>
      <w:pPr>
        <w:spacing w:after="0" w:line="121"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 xml:space="preserve">As of December 31, 2019, we had $86.3 million in aggregate principal amount of 2024 Notes outstanding. Interest on the 2024 Notes is paid quarterly on January 15, April 15, July 15 and October 15, at a rate of 5.50% per year, commencing January 15, 2020. The 2024 Notes mature on October 15, 2024. The 2024 Notes are direct unsecured obligations and rank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in right of payment with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97"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In September 2014, we issued $250.0 million in aggregate principal amount of 2019 Notes, for net proceeds of $245.5 million after underwriting discounts and offering costs. Interest on the 2019 Notes was paid semi-annually on April 1 and October 1, at a rate of 4.50% per year. On March 4, 2019 the 2019 Notes were redeemed in full and no amounts were outstanding as of December 31, 2019. The 2019 Notes were redeemed on March 4, 2019 at a redemption price equal to $1,008.65 for each $1,000.00 of principal of notes outstanding, plus accrued and unpaid interest to March 4, 2019, pursuant to the indenture governing the 2019 Notes. Please refer to our indenture agreement filed as Exhibit (d)(8) to our post-effective amendment filed on January 22, 2013 and the supplemental indenture agreement filed as Exhibit (d)(11) to our post-effective amendment filed on September 23, 2014 for more information.</w:t>
      </w:r>
    </w:p>
    <w:p>
      <w:pPr>
        <w:spacing w:after="0" w:line="19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Facilities and SBA debentures. Furthermore, our Credit Facilities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97" w:lineRule="exact"/>
        <w:rPr>
          <w:sz w:val="20"/>
          <w:szCs w:val="20"/>
          <w:color w:val="auto"/>
        </w:rPr>
      </w:pPr>
    </w:p>
    <w:p>
      <w:pPr>
        <w:ind w:right="160" w:firstLine="438"/>
        <w:spacing w:after="0" w:line="231" w:lineRule="auto"/>
        <w:rPr>
          <w:sz w:val="20"/>
          <w:szCs w:val="20"/>
          <w:color w:val="auto"/>
        </w:rPr>
      </w:pPr>
      <w:r>
        <w:rPr>
          <w:rFonts w:ascii="Arial" w:cs="Arial" w:eastAsia="Arial" w:hAnsi="Arial"/>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$133.5 million as of December 31, 2019.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197" w:lineRule="exact"/>
        <w:rPr>
          <w:sz w:val="20"/>
          <w:szCs w:val="20"/>
          <w:color w:val="auto"/>
        </w:rPr>
      </w:pPr>
    </w:p>
    <w:p>
      <w:pPr>
        <w:ind w:right="60" w:firstLine="438"/>
        <w:spacing w:after="0" w:line="264" w:lineRule="auto"/>
        <w:rPr>
          <w:sz w:val="20"/>
          <w:szCs w:val="20"/>
          <w:color w:val="auto"/>
        </w:rPr>
      </w:pPr>
      <w:r>
        <w:rPr>
          <w:rFonts w:ascii="Arial" w:cs="Arial" w:eastAsia="Arial" w:hAnsi="Arial"/>
          <w:sz w:val="13"/>
          <w:szCs w:val="13"/>
          <w:color w:val="auto"/>
        </w:rPr>
        <w:t>As of December 31, 2019 and September 30, 2019, SBIC II had initial $150.0 million in debt commitments, respectively, all of which was drawn. During the three months ended December 31, 2019, $16.5 million in SBA debentures were repaid. As of December 31, 2019 and September 30, 2019, the unamortized fees on the SBA debentures were $3.3 million and $3.9 million, respectively. The SBA debentures’ upfront fees of 3.4% consist of a commitment fee of 1.0% and an issuance discount of 2.4%, which are being amortized.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31" w:name="page32"/>
    <w:bookmarkEnd w:id="31"/>
    <w:p>
      <w:pPr>
        <w:ind w:left="440"/>
        <w:spacing w:after="0"/>
        <w:rPr>
          <w:sz w:val="20"/>
          <w:szCs w:val="20"/>
          <w:color w:val="auto"/>
        </w:rPr>
      </w:pPr>
      <w:r>
        <w:rPr>
          <w:rFonts w:ascii="Arial" w:cs="Arial" w:eastAsia="Arial" w:hAnsi="Arial"/>
          <w:sz w:val="14"/>
          <w:szCs w:val="14"/>
          <w:color w:val="auto"/>
        </w:rPr>
        <w:t>Our fixed-rate SBA debentures as of December 31, 2019 and September 30, 2019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tcPr>
          <w:p>
            <w:pPr>
              <w:spacing w:after="0"/>
              <w:rPr>
                <w:sz w:val="14"/>
                <w:szCs w:val="14"/>
                <w:color w:val="auto"/>
              </w:rPr>
            </w:pPr>
          </w:p>
        </w:tc>
        <w:tc>
          <w:tcPr>
            <w:tcW w:w="21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Maturity</w:t>
            </w:r>
          </w:p>
        </w:tc>
        <w:tc>
          <w:tcPr>
            <w:tcW w:w="240" w:type="dxa"/>
            <w:vAlign w:val="bottom"/>
            <w:vMerge w:val="restart"/>
          </w:tcPr>
          <w:p>
            <w:pPr>
              <w:spacing w:after="0"/>
              <w:rPr>
                <w:sz w:val="14"/>
                <w:szCs w:val="14"/>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As of December 31, 2019</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1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CFF"/>
            </w:tcBorders>
            <w:vMerge w:val="continue"/>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4"/>
              </w:rPr>
              <w:t>Principal Balance</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20" w:type="dxa"/>
            <w:vAlign w:val="bottom"/>
            <w:shd w:val="clear" w:color="auto" w:fill="CCECFF"/>
          </w:tcPr>
          <w:p>
            <w:pPr>
              <w:spacing w:after="0"/>
              <w:rPr>
                <w:sz w:val="13"/>
                <w:szCs w:val="13"/>
                <w:color w:val="auto"/>
              </w:rPr>
            </w:pPr>
          </w:p>
        </w:tc>
        <w:tc>
          <w:tcPr>
            <w:tcW w:w="21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4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2.9%</w:t>
            </w:r>
          </w:p>
        </w:tc>
        <w:tc>
          <w:tcPr>
            <w:tcW w:w="2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154"/>
              <w:spacing w:after="0"/>
              <w:rPr>
                <w:sz w:val="20"/>
                <w:szCs w:val="20"/>
                <w:color w:val="auto"/>
              </w:rPr>
            </w:pPr>
            <w:r>
              <w:rPr>
                <w:rFonts w:ascii="Arial" w:cs="Arial" w:eastAsia="Arial" w:hAnsi="Arial"/>
                <w:sz w:val="5"/>
                <w:szCs w:val="5"/>
                <w:color w:val="auto"/>
                <w:w w:val="70"/>
              </w:rPr>
              <w:t>$</w:t>
            </w:r>
          </w:p>
        </w:tc>
        <w:tc>
          <w:tcPr>
            <w:tcW w:w="21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September 21, 2016</w:t>
            </w:r>
          </w:p>
        </w:tc>
        <w:tc>
          <w:tcPr>
            <w:tcW w:w="2640" w:type="dxa"/>
            <w:vAlign w:val="bottom"/>
            <w:gridSpan w:val="3"/>
          </w:tcPr>
          <w:p>
            <w:pPr>
              <w:ind w:left="220"/>
              <w:spacing w:after="0"/>
              <w:rPr>
                <w:sz w:val="20"/>
                <w:szCs w:val="20"/>
                <w:color w:val="auto"/>
              </w:rPr>
            </w:pPr>
            <w:r>
              <w:rPr>
                <w:rFonts w:ascii="Arial" w:cs="Arial" w:eastAsia="Arial" w:hAnsi="Arial"/>
                <w:sz w:val="14"/>
                <w:szCs w:val="14"/>
                <w:color w:val="auto"/>
              </w:rPr>
              <w:t>September 1, 2026</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2.4</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640" w:type="dxa"/>
            <w:vAlign w:val="bottom"/>
            <w:gridSpan w:val="3"/>
            <w:shd w:val="clear" w:color="auto" w:fill="CCECFF"/>
          </w:tcPr>
          <w:p>
            <w:pPr>
              <w:ind w:left="220"/>
              <w:spacing w:after="0"/>
              <w:rPr>
                <w:sz w:val="20"/>
                <w:szCs w:val="20"/>
                <w:color w:val="auto"/>
              </w:rPr>
            </w:pPr>
            <w:r>
              <w:rPr>
                <w:rFonts w:ascii="Arial" w:cs="Arial" w:eastAsia="Arial" w:hAnsi="Arial"/>
                <w:sz w:val="14"/>
                <w:szCs w:val="14"/>
                <w:color w:val="auto"/>
              </w:rPr>
              <w:t>September 1, 2027</w:t>
            </w:r>
          </w:p>
        </w:tc>
        <w:tc>
          <w:tcPr>
            <w:tcW w:w="206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2"/>
              </w:rPr>
              <w:t>2.9</w:t>
            </w:r>
          </w:p>
        </w:tc>
        <w:tc>
          <w:tcPr>
            <w:tcW w:w="4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March 21, 2018</w:t>
            </w:r>
          </w:p>
        </w:tc>
        <w:tc>
          <w:tcPr>
            <w:tcW w:w="2640" w:type="dxa"/>
            <w:vAlign w:val="bottom"/>
            <w:tcBorders>
              <w:bottom w:val="single" w:sz="8" w:color="CCECFF"/>
            </w:tcBorders>
            <w:gridSpan w:val="3"/>
          </w:tcPr>
          <w:p>
            <w:pPr>
              <w:ind w:left="220"/>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92"/>
              </w:rPr>
              <w:t>3.5</w:t>
            </w:r>
          </w:p>
        </w:tc>
        <w:tc>
          <w:tcPr>
            <w:tcW w:w="4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58,500,000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0" w:type="dxa"/>
            <w:vAlign w:val="bottom"/>
            <w:shd w:val="clear" w:color="auto" w:fill="CCECFF"/>
          </w:tcPr>
          <w:p>
            <w:pPr>
              <w:spacing w:after="0"/>
              <w:rPr>
                <w:sz w:val="13"/>
                <w:szCs w:val="13"/>
                <w:color w:val="auto"/>
              </w:rPr>
            </w:pPr>
          </w:p>
        </w:tc>
        <w:tc>
          <w:tcPr>
            <w:tcW w:w="21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3.1%</w:t>
            </w:r>
          </w:p>
        </w:tc>
        <w:tc>
          <w:tcPr>
            <w:tcW w:w="2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154"/>
              <w:spacing w:after="0"/>
              <w:rPr>
                <w:sz w:val="20"/>
                <w:szCs w:val="20"/>
                <w:color w:val="auto"/>
              </w:rPr>
            </w:pPr>
            <w:r>
              <w:rPr>
                <w:rFonts w:ascii="Arial" w:cs="Arial" w:eastAsia="Arial" w:hAnsi="Arial"/>
                <w:sz w:val="5"/>
                <w:szCs w:val="5"/>
                <w:color w:val="auto"/>
                <w:w w:val="70"/>
              </w:rPr>
              <w:t>$</w:t>
            </w:r>
          </w:p>
        </w:tc>
        <w:tc>
          <w:tcPr>
            <w:tcW w:w="21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133,500,000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1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CFF"/>
            </w:tcBorders>
          </w:tcPr>
          <w:p>
            <w:pPr>
              <w:spacing w:after="0" w:line="20" w:lineRule="exact"/>
              <w:rPr>
                <w:sz w:val="1"/>
                <w:szCs w:val="1"/>
                <w:color w:val="auto"/>
              </w:rPr>
            </w:pPr>
          </w:p>
        </w:tc>
        <w:tc>
          <w:tcPr>
            <w:tcW w:w="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60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tcPr>
          <w:p>
            <w:pPr>
              <w:spacing w:after="0"/>
              <w:rPr>
                <w:sz w:val="24"/>
                <w:szCs w:val="24"/>
                <w:color w:val="auto"/>
              </w:rPr>
            </w:pPr>
          </w:p>
        </w:tc>
        <w:tc>
          <w:tcPr>
            <w:tcW w:w="21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Maturity</w:t>
            </w:r>
          </w:p>
        </w:tc>
        <w:tc>
          <w:tcPr>
            <w:tcW w:w="240" w:type="dxa"/>
            <w:vAlign w:val="bottom"/>
            <w:vMerge w:val="restart"/>
          </w:tcPr>
          <w:p>
            <w:pPr>
              <w:spacing w:after="0"/>
              <w:rPr>
                <w:sz w:val="24"/>
                <w:szCs w:val="24"/>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As of September 30, 2019</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4"/>
              </w:rPr>
              <w:t>Principal Balance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line="155" w:lineRule="exact"/>
              <w:rPr>
                <w:sz w:val="20"/>
                <w:szCs w:val="20"/>
                <w:color w:val="auto"/>
              </w:rPr>
            </w:pPr>
            <w:r>
              <w:rPr>
                <w:rFonts w:ascii="Arial" w:cs="Arial" w:eastAsia="Arial" w:hAnsi="Arial"/>
                <w:sz w:val="14"/>
                <w:szCs w:val="14"/>
                <w:color w:val="auto"/>
              </w:rPr>
              <w:t>March 23, 2016</w:t>
            </w:r>
          </w:p>
        </w:tc>
        <w:tc>
          <w:tcPr>
            <w:tcW w:w="220" w:type="dxa"/>
            <w:vAlign w:val="bottom"/>
          </w:tcPr>
          <w:p>
            <w:pPr>
              <w:spacing w:after="0"/>
              <w:rPr>
                <w:sz w:val="13"/>
                <w:szCs w:val="13"/>
                <w:color w:val="auto"/>
              </w:rPr>
            </w:pPr>
          </w:p>
        </w:tc>
        <w:tc>
          <w:tcPr>
            <w:tcW w:w="2180" w:type="dxa"/>
            <w:vAlign w:val="bottom"/>
          </w:tcPr>
          <w:p>
            <w:pPr>
              <w:spacing w:after="0" w:line="155" w:lineRule="exact"/>
              <w:rPr>
                <w:sz w:val="20"/>
                <w:szCs w:val="20"/>
                <w:color w:val="auto"/>
              </w:rPr>
            </w:pPr>
            <w:r>
              <w:rPr>
                <w:rFonts w:ascii="Arial" w:cs="Arial" w:eastAsia="Arial" w:hAnsi="Arial"/>
                <w:sz w:val="14"/>
                <w:szCs w:val="14"/>
                <w:color w:val="auto"/>
              </w:rPr>
              <w:t>March 1, 2026</w:t>
            </w:r>
          </w:p>
        </w:tc>
        <w:tc>
          <w:tcPr>
            <w:tcW w:w="240" w:type="dxa"/>
            <w:vAlign w:val="bottom"/>
          </w:tcPr>
          <w:p>
            <w:pPr>
              <w:spacing w:after="0"/>
              <w:rPr>
                <w:sz w:val="13"/>
                <w:szCs w:val="13"/>
                <w:color w:val="auto"/>
              </w:rPr>
            </w:pPr>
          </w:p>
        </w:tc>
        <w:tc>
          <w:tcPr>
            <w:tcW w:w="248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2.9%</w:t>
            </w:r>
          </w:p>
        </w:tc>
        <w:tc>
          <w:tcPr>
            <w:tcW w:w="20" w:type="dxa"/>
            <w:vAlign w:val="bottom"/>
          </w:tcPr>
          <w:p>
            <w:pPr>
              <w:spacing w:after="0"/>
              <w:rPr>
                <w:sz w:val="13"/>
                <w:szCs w:val="13"/>
                <w:color w:val="auto"/>
              </w:rPr>
            </w:pPr>
          </w:p>
        </w:tc>
        <w:tc>
          <w:tcPr>
            <w:tcW w:w="220" w:type="dxa"/>
            <w:vAlign w:val="bottom"/>
          </w:tcPr>
          <w:p>
            <w:pPr>
              <w:jc w:val="right"/>
              <w:ind w:right="154"/>
              <w:spacing w:after="0"/>
              <w:rPr>
                <w:sz w:val="20"/>
                <w:szCs w:val="20"/>
                <w:color w:val="auto"/>
              </w:rPr>
            </w:pPr>
            <w:r>
              <w:rPr>
                <w:rFonts w:ascii="Arial" w:cs="Arial" w:eastAsia="Arial" w:hAnsi="Arial"/>
                <w:sz w:val="5"/>
                <w:szCs w:val="5"/>
                <w:color w:val="auto"/>
                <w:w w:val="70"/>
              </w:rPr>
              <w:t>$</w:t>
            </w:r>
          </w:p>
        </w:tc>
        <w:tc>
          <w:tcPr>
            <w:tcW w:w="2160" w:type="dxa"/>
            <w:vAlign w:val="bottom"/>
          </w:tcPr>
          <w:p>
            <w:pPr>
              <w:jc w:val="right"/>
              <w:spacing w:after="0" w:line="155" w:lineRule="exact"/>
              <w:rPr>
                <w:sz w:val="20"/>
                <w:szCs w:val="20"/>
                <w:color w:val="auto"/>
              </w:rPr>
            </w:pPr>
            <w:r>
              <w:rPr>
                <w:rFonts w:ascii="Arial" w:cs="Arial" w:eastAsia="Arial" w:hAnsi="Arial"/>
                <w:sz w:val="14"/>
                <w:szCs w:val="14"/>
                <w:color w:val="auto"/>
              </w:rPr>
              <w:t>22,500,000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640" w:type="dxa"/>
            <w:vAlign w:val="bottom"/>
            <w:gridSpan w:val="3"/>
            <w:shd w:val="clear" w:color="auto" w:fill="CCECFF"/>
          </w:tcPr>
          <w:p>
            <w:pPr>
              <w:ind w:left="220"/>
              <w:spacing w:after="0"/>
              <w:rPr>
                <w:sz w:val="20"/>
                <w:szCs w:val="20"/>
                <w:color w:val="auto"/>
              </w:rPr>
            </w:pPr>
            <w:r>
              <w:rPr>
                <w:rFonts w:ascii="Arial" w:cs="Arial" w:eastAsia="Arial" w:hAnsi="Arial"/>
                <w:sz w:val="14"/>
                <w:szCs w:val="14"/>
                <w:color w:val="auto"/>
              </w:rPr>
              <w:t>September 1, 2026</w:t>
            </w:r>
          </w:p>
        </w:tc>
        <w:tc>
          <w:tcPr>
            <w:tcW w:w="206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2"/>
              </w:rPr>
              <w:t>2.4</w:t>
            </w:r>
          </w:p>
        </w:tc>
        <w:tc>
          <w:tcPr>
            <w:tcW w:w="4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September 20, 2017</w:t>
            </w:r>
          </w:p>
        </w:tc>
        <w:tc>
          <w:tcPr>
            <w:tcW w:w="2640" w:type="dxa"/>
            <w:vAlign w:val="bottom"/>
            <w:gridSpan w:val="3"/>
          </w:tcPr>
          <w:p>
            <w:pPr>
              <w:ind w:left="220"/>
              <w:spacing w:after="0"/>
              <w:rPr>
                <w:sz w:val="20"/>
                <w:szCs w:val="20"/>
                <w:color w:val="auto"/>
              </w:rPr>
            </w:pPr>
            <w:r>
              <w:rPr>
                <w:rFonts w:ascii="Arial" w:cs="Arial" w:eastAsia="Arial" w:hAnsi="Arial"/>
                <w:sz w:val="14"/>
                <w:szCs w:val="14"/>
                <w:color w:val="auto"/>
              </w:rPr>
              <w:t>September 1, 2027</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2.9</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31,500,000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640" w:type="dxa"/>
            <w:vAlign w:val="bottom"/>
            <w:gridSpan w:val="3"/>
            <w:shd w:val="clear" w:color="auto" w:fill="CCECFF"/>
          </w:tcPr>
          <w:p>
            <w:pPr>
              <w:ind w:left="220"/>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shd w:val="clear" w:color="auto" w:fill="CCECFF"/>
          </w:tcPr>
          <w:p>
            <w:pPr>
              <w:ind w:left="1860"/>
              <w:spacing w:after="0"/>
              <w:rPr>
                <w:sz w:val="20"/>
                <w:szCs w:val="20"/>
                <w:color w:val="auto"/>
              </w:rPr>
            </w:pPr>
            <w:r>
              <w:rPr>
                <w:rFonts w:ascii="Arial" w:cs="Arial" w:eastAsia="Arial" w:hAnsi="Arial"/>
                <w:sz w:val="14"/>
                <w:szCs w:val="14"/>
                <w:color w:val="auto"/>
                <w:w w:val="92"/>
              </w:rPr>
              <w:t>3.5</w:t>
            </w:r>
          </w:p>
        </w:tc>
        <w:tc>
          <w:tcPr>
            <w:tcW w:w="4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2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8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3.1%</w:t>
            </w:r>
          </w:p>
        </w:tc>
        <w:tc>
          <w:tcPr>
            <w:tcW w:w="20" w:type="dxa"/>
            <w:vAlign w:val="bottom"/>
          </w:tcPr>
          <w:p>
            <w:pPr>
              <w:spacing w:after="0"/>
              <w:rPr>
                <w:sz w:val="13"/>
                <w:szCs w:val="13"/>
                <w:color w:val="auto"/>
              </w:rPr>
            </w:pPr>
          </w:p>
        </w:tc>
        <w:tc>
          <w:tcPr>
            <w:tcW w:w="220" w:type="dxa"/>
            <w:vAlign w:val="bottom"/>
          </w:tcPr>
          <w:p>
            <w:pPr>
              <w:jc w:val="right"/>
              <w:ind w:right="154"/>
              <w:spacing w:after="0"/>
              <w:rPr>
                <w:sz w:val="20"/>
                <w:szCs w:val="20"/>
                <w:color w:val="auto"/>
              </w:rPr>
            </w:pPr>
            <w:r>
              <w:rPr>
                <w:rFonts w:ascii="Arial" w:cs="Arial" w:eastAsia="Arial" w:hAnsi="Arial"/>
                <w:sz w:val="5"/>
                <w:szCs w:val="5"/>
                <w:color w:val="auto"/>
                <w:w w:val="70"/>
              </w:rPr>
              <w:t>$</w:t>
            </w:r>
          </w:p>
        </w:tc>
        <w:tc>
          <w:tcPr>
            <w:tcW w:w="2160" w:type="dxa"/>
            <w:vAlign w:val="bottom"/>
          </w:tcPr>
          <w:p>
            <w:pPr>
              <w:jc w:val="right"/>
              <w:spacing w:after="0" w:line="155" w:lineRule="exact"/>
              <w:rPr>
                <w:sz w:val="20"/>
                <w:szCs w:val="20"/>
                <w:color w:val="auto"/>
              </w:rPr>
            </w:pPr>
            <w:r>
              <w:rPr>
                <w:rFonts w:ascii="Arial" w:cs="Arial" w:eastAsia="Arial" w:hAnsi="Arial"/>
                <w:sz w:val="14"/>
                <w:szCs w:val="14"/>
                <w:color w:val="auto"/>
              </w:rPr>
              <w:t>150,000,000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2"/>
          <w:szCs w:val="12"/>
          <w:color w:val="auto"/>
        </w:rPr>
      </w:pPr>
      <w:r>
        <w:rPr>
          <w:rFonts w:ascii="Arial" w:cs="Arial" w:eastAsia="Arial" w:hAnsi="Arial"/>
          <w:sz w:val="14"/>
          <w:szCs w:val="14"/>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03"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December 31, 2019, SBIC II was in compliance with its regulatory requirements.</w:t>
      </w:r>
    </w:p>
    <w:p>
      <w:pPr>
        <w:spacing w:after="0" w:line="197" w:lineRule="exact"/>
        <w:rPr>
          <w:sz w:val="20"/>
          <w:szCs w:val="20"/>
          <w:color w:val="auto"/>
        </w:rPr>
      </w:pPr>
    </w:p>
    <w:p>
      <w:pPr>
        <w:ind w:right="80" w:firstLine="438"/>
        <w:spacing w:after="0" w:line="283" w:lineRule="auto"/>
        <w:rPr>
          <w:sz w:val="20"/>
          <w:szCs w:val="20"/>
          <w:color w:val="auto"/>
        </w:rPr>
      </w:pPr>
      <w:r>
        <w:rPr>
          <w:rFonts w:ascii="Arial" w:cs="Arial" w:eastAsia="Arial" w:hAnsi="Arial"/>
          <w:sz w:val="12"/>
          <w:szCs w:val="12"/>
          <w:color w:val="auto"/>
        </w:rPr>
        <w:t>In accordance with the 1940 Act, with certain limited exceptions, PennantPark Investment is only allowed to borrow amounts such that our required 150% asset coverage ratio is met after such borrowing. As of December 31, 2019 and September 30, 2019,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As of December 31, 2019 and September 30, 2019, we had cash and cash equivalents of $32.1 million and $59.5 million, respectively, available for investing and general corporate purposes.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liquidity and capital resources are sufficient to take advantage of market opportunities.</w:t>
      </w:r>
    </w:p>
    <w:p>
      <w:pPr>
        <w:spacing w:after="0" w:line="205" w:lineRule="exact"/>
        <w:rPr>
          <w:sz w:val="20"/>
          <w:szCs w:val="20"/>
          <w:color w:val="auto"/>
        </w:rPr>
      </w:pPr>
    </w:p>
    <w:p>
      <w:pPr>
        <w:ind w:firstLine="438"/>
        <w:spacing w:after="0" w:line="290" w:lineRule="auto"/>
        <w:rPr>
          <w:sz w:val="20"/>
          <w:szCs w:val="20"/>
          <w:color w:val="auto"/>
        </w:rPr>
      </w:pPr>
      <w:r>
        <w:rPr>
          <w:rFonts w:ascii="Arial" w:cs="Arial" w:eastAsia="Arial" w:hAnsi="Arial"/>
          <w:sz w:val="13"/>
          <w:szCs w:val="13"/>
          <w:color w:val="auto"/>
        </w:rPr>
        <w:t>Our operating activities used cash of $71.3 million for the three months ended December 31, 2019, and our financing activities provided cash of $43.8 million for the same period. Our operating activities used cash primarily for our investment activities and our financing activities provided cash primarily from net borrowings under the Truist Credit Facility.</w:t>
      </w:r>
    </w:p>
    <w:p>
      <w:pPr>
        <w:spacing w:after="0" w:line="165"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Our operating activities used cash of $38.6 million for the three months ended December 31, 2018 and our financing activities provided cash of $43.7 million for the same period. Our operating activities used cash primarily for our investment activities and our financing activities provided cash primarily from net borrowings under the Truist Credit Facility.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217"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December 31, 2019, including borrowings under our various debt facilities and other contractual obligations, is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6"/>
          </w:tcPr>
          <w:p>
            <w:pPr>
              <w:ind w:left="960"/>
              <w:spacing w:after="0"/>
              <w:rPr>
                <w:sz w:val="20"/>
                <w:szCs w:val="20"/>
                <w:color w:val="auto"/>
              </w:rPr>
            </w:pPr>
            <w:r>
              <w:rPr>
                <w:rFonts w:ascii="Arial" w:cs="Arial" w:eastAsia="Arial" w:hAnsi="Arial"/>
                <w:sz w:val="14"/>
                <w:szCs w:val="14"/>
                <w:b w:val="1"/>
                <w:bCs w:val="1"/>
                <w:color w:val="auto"/>
                <w:w w:val="94"/>
              </w:rPr>
              <w:t>Payments due by period (in millions)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40"/>
              <w:spacing w:after="0"/>
              <w:rPr>
                <w:sz w:val="20"/>
                <w:szCs w:val="20"/>
                <w:color w:val="auto"/>
              </w:rPr>
            </w:pPr>
            <w:r>
              <w:rPr>
                <w:rFonts w:ascii="Arial" w:cs="Arial" w:eastAsia="Arial" w:hAnsi="Arial"/>
                <w:sz w:val="14"/>
                <w:szCs w:val="14"/>
                <w:b w:val="1"/>
                <w:bCs w:val="1"/>
                <w:color w:val="auto"/>
              </w:rPr>
              <w:t>Less than 1 year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b w:val="1"/>
                <w:bCs w:val="1"/>
                <w:color w:val="auto"/>
                <w:w w:val="98"/>
              </w:rPr>
              <w:t>3-5 years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&gt;5 years</w:t>
            </w:r>
          </w:p>
        </w:tc>
      </w:tr>
      <w:tr>
        <w:trPr>
          <w:trHeight w:val="155"/>
        </w:trPr>
        <w:tc>
          <w:tcPr>
            <w:tcW w:w="36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BNP 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203.5</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203.5</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Truist Credit Facility</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330.7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292.4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SBA debentures</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133.5</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133.5</w:t>
            </w:r>
          </w:p>
        </w:tc>
        <w:tc>
          <w:tcPr>
            <w:tcW w:w="120" w:type="dxa"/>
            <w:vAlign w:val="bottom"/>
            <w:shd w:val="clear" w:color="auto" w:fill="CCECFF"/>
          </w:tcPr>
          <w:p>
            <w:pPr>
              <w:spacing w:after="0"/>
              <w:rPr>
                <w:sz w:val="14"/>
                <w:szCs w:val="14"/>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2024 Notes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86.3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5"/>
        </w:trPr>
        <w:tc>
          <w:tcPr>
            <w:tcW w:w="36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shd w:val="clear" w:color="auto" w:fill="CCECFF"/>
          </w:tcPr>
          <w:p>
            <w:pPr>
              <w:spacing w:after="0"/>
              <w:rPr>
                <w:sz w:val="13"/>
                <w:szCs w:val="13"/>
                <w:color w:val="auto"/>
              </w:rPr>
            </w:pP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754.0</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38.3</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582.2</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133.5</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26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26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26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CCECFF"/>
            </w:tcBorders>
          </w:tcPr>
          <w:p>
            <w:pPr>
              <w:spacing w:after="0"/>
              <w:rPr>
                <w:sz w:val="14"/>
                <w:szCs w:val="14"/>
                <w:color w:val="auto"/>
              </w:rPr>
            </w:pPr>
          </w:p>
        </w:tc>
      </w:tr>
      <w:tr>
        <w:trPr>
          <w:trHeight w:val="155"/>
        </w:trPr>
        <w:tc>
          <w:tcPr>
            <w:tcW w:w="368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790.6</w:t>
            </w:r>
          </w:p>
        </w:tc>
        <w:tc>
          <w:tcPr>
            <w:tcW w:w="26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CFF"/>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44.6</w:t>
            </w:r>
          </w:p>
        </w:tc>
        <w:tc>
          <w:tcPr>
            <w:tcW w:w="26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602.6</w:t>
            </w:r>
          </w:p>
        </w:tc>
        <w:tc>
          <w:tcPr>
            <w:tcW w:w="26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143.4</w:t>
            </w:r>
          </w:p>
        </w:tc>
        <w:tc>
          <w:tcPr>
            <w:tcW w:w="120" w:type="dxa"/>
            <w:vAlign w:val="bottom"/>
            <w:tcBorders>
              <w:bottom w:val="single" w:sz="8" w:color="CCECFF"/>
            </w:tcBorders>
            <w:shd w:val="clear" w:color="auto" w:fill="CCECFF"/>
          </w:tcPr>
          <w:p>
            <w:pPr>
              <w:spacing w:after="0"/>
              <w:rPr>
                <w:sz w:val="13"/>
                <w:szCs w:val="13"/>
                <w:color w:val="auto"/>
              </w:rPr>
            </w:pPr>
          </w:p>
        </w:tc>
      </w:tr>
      <w:tr>
        <w:trPr>
          <w:trHeight w:val="20"/>
        </w:trPr>
        <w:tc>
          <w:tcPr>
            <w:tcW w:w="3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hanging="372"/>
        <w:spacing w:after="0" w:line="230" w:lineRule="auto"/>
        <w:tabs>
          <w:tab w:leader="none" w:pos="380" w:val="left"/>
        </w:tabs>
        <w:numPr>
          <w:ilvl w:val="0"/>
          <w:numId w:val="31"/>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December 31, 2019, was 4.1%, exclusive of the fee on the undrawn commitment on the Credit Facilities, debt issuance costs on the 2024 Notes and upfront fees on SBA debentures.</w:t>
      </w:r>
    </w:p>
    <w:p>
      <w:pPr>
        <w:ind w:left="380" w:hanging="372"/>
        <w:spacing w:after="0"/>
        <w:tabs>
          <w:tab w:leader="none" w:pos="380" w:val="left"/>
        </w:tabs>
        <w:numPr>
          <w:ilvl w:val="0"/>
          <w:numId w:val="31"/>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13455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85" w:lineRule="exact"/>
        <w:rPr>
          <w:sz w:val="20"/>
          <w:szCs w:val="20"/>
          <w:color w:val="auto"/>
        </w:rPr>
      </w:pPr>
    </w:p>
    <w:p>
      <w:pPr>
        <w:ind w:right="100" w:firstLine="438"/>
        <w:spacing w:after="0" w:line="277"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2020, PennantPark Investment Advisers serves as our investment adviser. PennantPark Investment, through the Investment Adviser, provides similar services to SBIC Fund II under its investment management agreements with us. SBIC II’s investment management agreements does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76"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2020, the Administrator furnishes us with office facilities and administrative services necessary to conduct our day-to-day operations. PennantPark Investment, through the Administrator, provides similar services to SBIC II under its administration agreement, which is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right="6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217"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9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97" w:lineRule="exact"/>
        <w:rPr>
          <w:sz w:val="20"/>
          <w:szCs w:val="20"/>
          <w:color w:val="auto"/>
        </w:rPr>
      </w:pPr>
    </w:p>
    <w:p>
      <w:pPr>
        <w:ind w:right="180" w:firstLine="438"/>
        <w:spacing w:after="0" w:line="231" w:lineRule="auto"/>
        <w:rPr>
          <w:sz w:val="20"/>
          <w:szCs w:val="20"/>
          <w:color w:val="auto"/>
        </w:rPr>
      </w:pPr>
      <w:r>
        <w:rPr>
          <w:rFonts w:ascii="Arial" w:cs="Arial" w:eastAsia="Arial" w:hAnsi="Arial"/>
          <w:sz w:val="14"/>
          <w:szCs w:val="14"/>
          <w:color w:val="auto"/>
        </w:rPr>
        <w:t>During the three months ended December 31, 2019, we declared distributions of $0.18 per share, for total distributions of $12.1 million. For the same period in the prior year, we declared distributions of $0.18 per share, respectively, for total distributions of $12.2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217" w:lineRule="exact"/>
        <w:rPr>
          <w:sz w:val="20"/>
          <w:szCs w:val="20"/>
          <w:color w:val="auto"/>
        </w:rPr>
      </w:pPr>
    </w:p>
    <w:p>
      <w:pPr>
        <w:ind w:right="620" w:firstLine="438"/>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stockholders specifically “opt out” of the dividend reinvestment plan so as to receive cash distributions.</w:t>
      </w:r>
    </w:p>
    <w:p>
      <w:pPr>
        <w:spacing w:after="0" w:line="165"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217"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In August 2018, the FASB issued Accounting Standards Update, or ASU, 2018-13, Fair Value Measurement (Topic 820): Disclosure Framework - Changes to the Disclosure Requirements for Fair Value Measurement, or ASU 2018-13, which changed the fair value measurement disclosure requirements of ASC Topic 820, Fair Value Measurements and Disclosures, or ASC 820. The key provisions include new, eliminated and modified disclosure requirements. The new guidance is effective for fiscal years beginning after December 15, 2019, including interim periods therein. Early application is permitted. The Company has adopted this accounting standard update effective October 1, 2019 and the impact its of adoption was not material to the Company’s financial statements and related disclosures.</w:t>
      </w:r>
    </w:p>
    <w:p>
      <w:pPr>
        <w:spacing w:after="0" w:line="19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221"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December 31, 2019, our debt portfolio consisted of 91% variable-rate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97"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jc w:val="center"/>
              <w:ind w:left="588"/>
              <w:spacing w:after="0"/>
              <w:rPr>
                <w:sz w:val="20"/>
                <w:szCs w:val="20"/>
                <w:color w:val="auto"/>
              </w:rPr>
            </w:pPr>
            <w:r>
              <w:rPr>
                <w:rFonts w:ascii="Arial" w:cs="Arial" w:eastAsia="Arial" w:hAnsi="Arial"/>
                <w:sz w:val="14"/>
                <w:szCs w:val="14"/>
                <w:b w:val="1"/>
                <w:bCs w:val="1"/>
                <w:color w:val="auto"/>
                <w:w w:val="93"/>
              </w:rPr>
              <w:t>Change In Interest Income,</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tcPr>
          <w:p>
            <w:pPr>
              <w:jc w:val="center"/>
              <w:ind w:right="548"/>
              <w:spacing w:after="0"/>
              <w:rPr>
                <w:sz w:val="20"/>
                <w:szCs w:val="20"/>
                <w:color w:val="auto"/>
              </w:rPr>
            </w:pPr>
            <w:r>
              <w:rPr>
                <w:rFonts w:ascii="Arial" w:cs="Arial" w:eastAsia="Arial" w:hAnsi="Arial"/>
                <w:sz w:val="14"/>
                <w:szCs w:val="14"/>
                <w:b w:val="1"/>
                <w:bCs w:val="1"/>
                <w:color w:val="auto"/>
                <w:w w:val="94"/>
              </w:rPr>
              <w:t>Change In Interest Income,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282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tcPr>
          <w:p>
            <w:pPr>
              <w:jc w:val="center"/>
              <w:ind w:right="548"/>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820" w:type="dxa"/>
            <w:vAlign w:val="bottom"/>
            <w:tcBorders>
              <w:bottom w:val="single" w:sz="8" w:color="auto"/>
            </w:tcBorders>
          </w:tcPr>
          <w:p>
            <w:pPr>
              <w:jc w:val="center"/>
              <w:ind w:left="588"/>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tcPr>
          <w:p>
            <w:pPr>
              <w:jc w:val="center"/>
              <w:ind w:right="548"/>
              <w:spacing w:after="0"/>
              <w:rPr>
                <w:sz w:val="20"/>
                <w:szCs w:val="20"/>
                <w:color w:val="auto"/>
              </w:rPr>
            </w:pPr>
            <w:r>
              <w:rPr>
                <w:rFonts w:ascii="Arial" w:cs="Arial" w:eastAsia="Arial" w:hAnsi="Arial"/>
                <w:sz w:val="14"/>
                <w:szCs w:val="14"/>
                <w:b w:val="1"/>
                <w:bCs w:val="1"/>
                <w:color w:val="auto"/>
                <w:w w:val="89"/>
              </w:rPr>
              <w:t>Expense Per 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0" w:type="dxa"/>
            <w:vAlign w:val="bottom"/>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shd w:val="clear" w:color="auto" w:fill="CCECFF"/>
          </w:tcPr>
          <w:p>
            <w:pPr>
              <w:spacing w:after="0"/>
              <w:rPr>
                <w:sz w:val="13"/>
                <w:szCs w:val="13"/>
                <w:color w:val="auto"/>
              </w:rPr>
            </w:pPr>
          </w:p>
        </w:tc>
        <w:tc>
          <w:tcPr>
            <w:tcW w:w="2820" w:type="dxa"/>
            <w:vAlign w:val="bottom"/>
            <w:shd w:val="clear" w:color="auto" w:fill="CCECFF"/>
          </w:tcPr>
          <w:p>
            <w:pPr>
              <w:jc w:val="right"/>
              <w:ind w:right="266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(4,732)</w:t>
            </w: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120" w:type="dxa"/>
            <w:vAlign w:val="bottom"/>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rPr>
              <w:t>(0.07)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4,732</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tcPr>
          <w:p>
            <w:pPr>
              <w:jc w:val="right"/>
              <w:ind w:right="68"/>
              <w:spacing w:after="0"/>
              <w:rPr>
                <w:sz w:val="20"/>
                <w:szCs w:val="20"/>
                <w:color w:val="auto"/>
              </w:rPr>
            </w:pPr>
            <w:r>
              <w:rPr>
                <w:rFonts w:ascii="Arial" w:cs="Arial" w:eastAsia="Arial" w:hAnsi="Arial"/>
                <w:sz w:val="14"/>
                <w:szCs w:val="14"/>
                <w:color w:val="auto"/>
              </w:rPr>
              <w:t>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220" w:type="dxa"/>
            <w:vAlign w:val="bottom"/>
            <w:shd w:val="clear" w:color="auto" w:fill="CCECFF"/>
          </w:tcPr>
          <w:p>
            <w:pPr>
              <w:spacing w:after="0"/>
              <w:rPr>
                <w:sz w:val="14"/>
                <w:szCs w:val="14"/>
                <w:color w:val="auto"/>
              </w:rPr>
            </w:pPr>
          </w:p>
        </w:tc>
        <w:tc>
          <w:tcPr>
            <w:tcW w:w="2820" w:type="dxa"/>
            <w:vAlign w:val="bottom"/>
            <w:shd w:val="clear" w:color="auto" w:fill="CCECFF"/>
          </w:tcPr>
          <w:p>
            <w:pPr>
              <w:spacing w:after="0"/>
              <w:rPr>
                <w:sz w:val="14"/>
                <w:szCs w:val="14"/>
                <w:color w:val="auto"/>
              </w:rPr>
            </w:pPr>
          </w:p>
        </w:tc>
        <w:tc>
          <w:tcPr>
            <w:tcW w:w="76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9,634</w:t>
            </w:r>
          </w:p>
        </w:tc>
        <w:tc>
          <w:tcPr>
            <w:tcW w:w="2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31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rPr>
              <w:t>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14,636</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tcPr>
          <w:p>
            <w:pPr>
              <w:jc w:val="right"/>
              <w:ind w:right="68"/>
              <w:spacing w:after="0"/>
              <w:rPr>
                <w:sz w:val="20"/>
                <w:szCs w:val="20"/>
                <w:color w:val="auto"/>
              </w:rPr>
            </w:pPr>
            <w:r>
              <w:rPr>
                <w:rFonts w:ascii="Arial" w:cs="Arial" w:eastAsia="Arial" w:hAnsi="Arial"/>
                <w:sz w:val="14"/>
                <w:szCs w:val="14"/>
                <w:color w:val="auto"/>
              </w:rPr>
              <w:t>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3040" w:type="dxa"/>
            <w:vAlign w:val="bottom"/>
            <w:gridSpan w:val="2"/>
            <w:shd w:val="clear" w:color="auto" w:fill="CCECFF"/>
          </w:tcPr>
          <w:p>
            <w:pPr>
              <w:jc w:val="right"/>
              <w:ind w:right="26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19,638</w:t>
            </w:r>
          </w:p>
        </w:tc>
        <w:tc>
          <w:tcPr>
            <w:tcW w:w="7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1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rPr>
              <w:t>0.29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8"/>
        </w:trPr>
        <w:tc>
          <w:tcPr>
            <w:tcW w:w="3600" w:type="dxa"/>
            <w:vAlign w:val="bottom"/>
          </w:tcPr>
          <w:p>
            <w:pPr>
              <w:spacing w:after="0"/>
              <w:rPr>
                <w:sz w:val="24"/>
                <w:szCs w:val="24"/>
                <w:color w:val="auto"/>
              </w:rPr>
            </w:pPr>
          </w:p>
        </w:tc>
        <w:tc>
          <w:tcPr>
            <w:tcW w:w="3040" w:type="dxa"/>
            <w:vAlign w:val="bottom"/>
            <w:gridSpan w:val="2"/>
          </w:tcPr>
          <w:p>
            <w:pPr>
              <w:jc w:val="right"/>
              <w:ind w:right="868"/>
              <w:spacing w:after="0"/>
              <w:rPr>
                <w:sz w:val="20"/>
                <w:szCs w:val="20"/>
                <w:color w:val="auto"/>
              </w:rPr>
            </w:pPr>
            <w:r>
              <w:rPr>
                <w:rFonts w:ascii="Arial" w:cs="Arial" w:eastAsia="Arial" w:hAnsi="Arial"/>
                <w:sz w:val="14"/>
                <w:szCs w:val="14"/>
                <w:color w:val="auto"/>
              </w:rPr>
              <w:t>33</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66" w:right="319" w:bottom="1440" w:gutter="0" w:footer="0" w:header="0"/>
        </w:sectPr>
      </w:pPr>
    </w:p>
    <w:bookmarkStart w:id="33" w:name="page34"/>
    <w:bookmarkEnd w:id="33"/>
    <w:p>
      <w:pPr>
        <w:ind w:right="3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96"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9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Facilities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8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221"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92"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December 31, 2019 that have materially affected, or are reasonably likely to materially affect, our internal control over financial reporting.</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auto"/>
        </w:rPr>
        <w:t>PART II – OTHER INFORMATION</w:t>
      </w:r>
    </w:p>
    <w:p>
      <w:pPr>
        <w:spacing w:after="0" w:line="136"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40"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0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40"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2019 filed on November 21, 2019,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217"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of February 5, 2019, we are able to incur additional indebtedness so long as we comply with the applicable disclosure requirements, which may increase the risk of investing in us. Under the 200% minimum asset coverage ratio, the Company was permitted to borrow up to one dollar for investment purposes for every one dollar of investor equity and, under the 150% minimum asset coverage ratio, the Company is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the Company’s total net assets as of the immediately preceding quarter-end.</w:t>
      </w:r>
    </w:p>
    <w:p>
      <w:pPr>
        <w:spacing w:after="0" w:line="198" w:lineRule="exact"/>
        <w:rPr>
          <w:sz w:val="20"/>
          <w:szCs w:val="20"/>
          <w:color w:val="auto"/>
        </w:rPr>
      </w:pPr>
    </w:p>
    <w:p>
      <w:pPr>
        <w:ind w:right="300" w:firstLine="483"/>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87"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96" w:lineRule="exact"/>
        <w:rPr>
          <w:sz w:val="20"/>
          <w:szCs w:val="20"/>
          <w:color w:val="auto"/>
        </w:rPr>
      </w:pPr>
    </w:p>
    <w:p>
      <w:pPr>
        <w:ind w:right="140" w:firstLine="438"/>
        <w:spacing w:after="0" w:line="248" w:lineRule="auto"/>
        <w:rPr>
          <w:sz w:val="20"/>
          <w:szCs w:val="20"/>
          <w:color w:val="auto"/>
        </w:rPr>
      </w:pPr>
      <w:r>
        <w:rPr>
          <w:rFonts w:ascii="Arial" w:cs="Arial" w:eastAsia="Arial" w:hAnsi="Arial"/>
          <w:sz w:val="13"/>
          <w:szCs w:val="13"/>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As a result, as of February 6,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94"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We are partially dependent on our SBIC Funds for cash distributions to enable us to meet the distribution requirements to be subject to tax as a RIC. In this regard, our SBIC Funds are limited by the SBA regulations governing SBICs from making certain distributions to us that may be necessary to satisfy the requirements to be subject to tax as a RIC. In such a case, we would need to request a waiver of the SBA’s restrictions for our SBIC Funds to make certain distributions to enable us to be subject to tax as a RIC. We cannot assure you that the SBA will grant such waiver, and if our SBIC Funds are unable to obtain a waiver, compliance with the SBA regulations may cause us to incur a corporate-level income tax.</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217" w:lineRule="exact"/>
        <w:rPr>
          <w:sz w:val="20"/>
          <w:szCs w:val="20"/>
          <w:color w:val="auto"/>
        </w:rPr>
      </w:pPr>
    </w:p>
    <w:p>
      <w:pPr>
        <w:ind w:right="100" w:firstLine="438"/>
        <w:spacing w:after="0" w:line="243" w:lineRule="auto"/>
        <w:rPr>
          <w:sz w:val="20"/>
          <w:szCs w:val="20"/>
          <w:color w:val="auto"/>
        </w:rPr>
      </w:pPr>
      <w:r>
        <w:rPr>
          <w:rFonts w:ascii="Arial" w:cs="Arial" w:eastAsia="Arial" w:hAnsi="Arial"/>
          <w:sz w:val="13"/>
          <w:szCs w:val="13"/>
          <w:color w:val="auto"/>
        </w:rPr>
        <w:t>We have indebtedness outstanding pursuant to our Credit Facilities, 2024 Notes and SBA debentures and expect in the future to borrow additional amounts under our Credit Facilities or other debt securities, subject to market availability, and, may increase the size of our Credit Facilities.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SBIC Fund II, in connection with borrowings under our Credit Facilities. In the case of a liquidation event, those lenders would receive proceeds before our stockholders. Additionally, the SBA, as a lender and an administrative agent, has a superior claim over the assets of SBIC II in relation to our other creditors. Any future debt issuance will increase our leverage and may be subordinate to our Credit Facilities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98" w:lineRule="exact"/>
        <w:rPr>
          <w:sz w:val="20"/>
          <w:szCs w:val="20"/>
          <w:color w:val="auto"/>
        </w:rPr>
      </w:pPr>
    </w:p>
    <w:p>
      <w:pPr>
        <w:jc w:val="both"/>
        <w:ind w:right="140" w:firstLine="438"/>
        <w:spacing w:after="0" w:line="233" w:lineRule="auto"/>
        <w:rPr>
          <w:sz w:val="20"/>
          <w:szCs w:val="20"/>
          <w:color w:val="auto"/>
        </w:rPr>
      </w:pPr>
      <w:r>
        <w:rPr>
          <w:rFonts w:ascii="Arial" w:cs="Arial" w:eastAsia="Arial" w:hAnsi="Arial"/>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as of February 6,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engage in any sales of unregistered securities during the three months ended December 31, 2019.</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352"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481" w:right="1440" w:bottom="1440" w:gutter="0" w:footer="0" w:header="0"/>
        </w:sectPr>
      </w:pPr>
    </w:p>
    <w:bookmarkStart w:id="36" w:name="page37"/>
    <w:bookmarkEnd w:id="36"/>
    <w:p>
      <w:pPr>
        <w:spacing w:after="0"/>
        <w:tabs>
          <w:tab w:leader="none" w:pos="9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17" w:lineRule="exact"/>
        <w:rPr>
          <w:sz w:val="20"/>
          <w:szCs w:val="20"/>
          <w:color w:val="auto"/>
        </w:rPr>
      </w:pPr>
    </w:p>
    <w:p>
      <w:pPr>
        <w:ind w:left="80"/>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3.1</w:t>
      </w:r>
      <w:r>
        <w:rPr>
          <w:sz w:val="20"/>
          <w:szCs w:val="20"/>
          <w:color w:val="auto"/>
        </w:rPr>
        <w:tab/>
      </w:r>
      <w:hyperlink r:id="rId69">
        <w:r>
          <w:rPr>
            <w:rFonts w:ascii="Arial" w:cs="Arial" w:eastAsia="Arial" w:hAnsi="Arial"/>
            <w:sz w:val="13"/>
            <w:szCs w:val="13"/>
            <w:u w:val="single" w:color="auto"/>
            <w:color w:val="0000EE"/>
          </w:rPr>
          <w:t>Articles of Incorporation (Incorporated by reference to Exhibit 99(a) to the Registrant’s Pre-Effective Amendment No. 3 to the Registration Statement on Form N-2/A (File No. 333-</w:t>
        </w:r>
      </w:hyperlink>
    </w:p>
    <w:p>
      <w:pPr>
        <w:ind w:left="500"/>
        <w:spacing w:after="0"/>
        <w:rPr>
          <w:rFonts w:ascii="Arial" w:cs="Arial" w:eastAsia="Arial" w:hAnsi="Arial"/>
          <w:sz w:val="14"/>
          <w:szCs w:val="14"/>
          <w:u w:val="single" w:color="auto"/>
          <w:color w:val="0000EE"/>
        </w:rPr>
      </w:pPr>
      <w:hyperlink r:id="rId69">
        <w:r>
          <w:rPr>
            <w:rFonts w:ascii="Arial" w:cs="Arial" w:eastAsia="Arial" w:hAnsi="Arial"/>
            <w:sz w:val="14"/>
            <w:szCs w:val="14"/>
            <w:u w:val="single" w:color="auto"/>
            <w:color w:val="0000EE"/>
          </w:rPr>
          <w:t>140092), filed on April 5, 2007).</w:t>
        </w:r>
      </w:hyperlink>
    </w:p>
    <w:p>
      <w:pPr>
        <w:spacing w:after="0" w:line="97" w:lineRule="exact"/>
        <w:rPr>
          <w:sz w:val="20"/>
          <w:szCs w:val="20"/>
          <w:color w:val="auto"/>
        </w:rPr>
      </w:pPr>
    </w:p>
    <w:p>
      <w:pPr>
        <w:ind w:left="500" w:right="680" w:hanging="413"/>
        <w:spacing w:after="0" w:line="253" w:lineRule="auto"/>
        <w:tabs>
          <w:tab w:leader="none" w:pos="480" w:val="left"/>
        </w:tabs>
        <w:rPr>
          <w:rFonts w:ascii="Arial" w:cs="Arial" w:eastAsia="Arial" w:hAnsi="Arial"/>
          <w:sz w:val="14"/>
          <w:szCs w:val="14"/>
          <w:u w:val="single" w:color="auto"/>
          <w:color w:val="0000EE"/>
        </w:rPr>
      </w:pPr>
      <w:r>
        <w:rPr>
          <w:rFonts w:ascii="Arial" w:cs="Arial" w:eastAsia="Arial" w:hAnsi="Arial"/>
          <w:sz w:val="14"/>
          <w:szCs w:val="14"/>
          <w:color w:val="auto"/>
        </w:rPr>
        <w:t>3.2</w:t>
      </w:r>
      <w:r>
        <w:rPr>
          <w:sz w:val="20"/>
          <w:szCs w:val="20"/>
          <w:color w:val="auto"/>
        </w:rPr>
        <w:tab/>
      </w:r>
      <w:hyperlink r:id="rId70">
        <w:r>
          <w:rPr>
            <w:rFonts w:ascii="Arial" w:cs="Arial" w:eastAsia="Arial" w:hAnsi="Arial"/>
            <w:sz w:val="14"/>
            <w:szCs w:val="14"/>
            <w:u w:val="single" w:color="auto"/>
            <w:color w:val="0000EE"/>
          </w:rPr>
          <w:t>Amended and Restated Bylaws of the Registrant (Incorporated by reference to Exhibit 3.1 to the Registrant’s Current Report on Form 8-K (File No. 814-00736), filed on</w:t>
        </w:r>
      </w:hyperlink>
      <w:r>
        <w:rPr>
          <w:rFonts w:ascii="Arial" w:cs="Arial" w:eastAsia="Arial" w:hAnsi="Arial"/>
          <w:sz w:val="14"/>
          <w:szCs w:val="14"/>
          <w:u w:val="single" w:color="auto"/>
          <w:color w:val="0000EE"/>
        </w:rPr>
        <w:t xml:space="preserve"> </w:t>
      </w:r>
      <w:hyperlink r:id="rId70">
        <w:r>
          <w:rPr>
            <w:rFonts w:ascii="Arial" w:cs="Arial" w:eastAsia="Arial" w:hAnsi="Arial"/>
            <w:sz w:val="14"/>
            <w:szCs w:val="14"/>
            <w:u w:val="single" w:color="auto"/>
            <w:color w:val="0000EE"/>
          </w:rPr>
          <w:t>December 2, 2015).</w:t>
        </w:r>
      </w:hyperlink>
    </w:p>
    <w:p>
      <w:pPr>
        <w:spacing w:after="0" w:line="79" w:lineRule="exact"/>
        <w:rPr>
          <w:sz w:val="20"/>
          <w:szCs w:val="20"/>
          <w:color w:val="auto"/>
        </w:rPr>
      </w:pPr>
    </w:p>
    <w:p>
      <w:pPr>
        <w:ind w:left="80"/>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71">
        <w:r>
          <w:rPr>
            <w:rFonts w:ascii="Arial" w:cs="Arial" w:eastAsia="Arial" w:hAnsi="Arial"/>
            <w:sz w:val="13"/>
            <w:szCs w:val="13"/>
            <w:u w:val="single" w:color="auto"/>
            <w:color w:val="0000EE"/>
          </w:rPr>
          <w:t>Form of Share Certificate (Incorporated by reference to Exhibit 99(d)(1) to the Registrant’s Registration Statement on Form N-2 (File No. 333-150033), filed on April 2, 2008).</w:t>
        </w:r>
      </w:hyperlink>
    </w:p>
    <w:p>
      <w:pPr>
        <w:spacing w:after="0" w:line="109"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31.1*</w:t>
      </w:r>
      <w:r>
        <w:rPr>
          <w:sz w:val="20"/>
          <w:szCs w:val="20"/>
          <w:color w:val="auto"/>
        </w:rPr>
        <w:tab/>
      </w:r>
      <w:hyperlink w:anchor="page39">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09"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31.2*</w:t>
      </w:r>
      <w:r>
        <w:rPr>
          <w:sz w:val="20"/>
          <w:szCs w:val="20"/>
          <w:color w:val="auto"/>
        </w:rPr>
        <w:tab/>
      </w:r>
      <w:hyperlink w:anchor="page40">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09"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32.1*</w:t>
      </w:r>
      <w:r>
        <w:rPr>
          <w:sz w:val="20"/>
          <w:szCs w:val="20"/>
          <w:color w:val="auto"/>
        </w:rPr>
        <w:tab/>
      </w:r>
      <w:hyperlink w:anchor="page41">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09"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32.2*</w:t>
      </w:r>
      <w:r>
        <w:rPr>
          <w:sz w:val="20"/>
          <w:szCs w:val="20"/>
          <w:color w:val="auto"/>
        </w:rPr>
        <w:tab/>
      </w:r>
      <w:hyperlink w:anchor="page42">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109"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99.1</w:t>
      </w:r>
      <w:r>
        <w:rPr>
          <w:sz w:val="20"/>
          <w:szCs w:val="20"/>
          <w:color w:val="auto"/>
        </w:rPr>
        <w:tab/>
      </w:r>
      <w:hyperlink r:id="rId72">
        <w:r>
          <w:rPr>
            <w:rFonts w:ascii="Arial" w:cs="Arial" w:eastAsia="Arial" w:hAnsi="Arial"/>
            <w:sz w:val="13"/>
            <w:szCs w:val="13"/>
            <w:u w:val="single" w:color="auto"/>
            <w:color w:val="0000EE"/>
          </w:rPr>
          <w:t>Privacy Policy of the Registrant (Incorporated by reference to Exhibit 99.1 to the Registrant’s Annual Report on Form 10-K (File No. 814-00736), filed on November 16, 2011)</w:t>
        </w:r>
        <w:r>
          <w:rPr>
            <w:rFonts w:ascii="Arial" w:cs="Arial" w:eastAsia="Arial" w:hAnsi="Arial"/>
            <w:sz w:val="13"/>
            <w:szCs w:val="13"/>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3455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57"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320" w:top="333" w:right="659" w:bottom="1440" w:gutter="0" w:footer="0" w:header="0"/>
        </w:sectPr>
      </w:pPr>
    </w:p>
    <w:bookmarkStart w:id="37" w:name="page38"/>
    <w:bookmarkEnd w:id="37"/>
    <w:p>
      <w:pPr>
        <w:jc w:val="center"/>
        <w:spacing w:after="0"/>
        <w:rPr>
          <w:sz w:val="20"/>
          <w:szCs w:val="20"/>
          <w:color w:val="auto"/>
        </w:rPr>
      </w:pPr>
      <w:r>
        <w:rPr>
          <w:rFonts w:ascii="Arial" w:cs="Arial" w:eastAsia="Arial" w:hAnsi="Arial"/>
          <w:sz w:val="14"/>
          <w:szCs w:val="14"/>
          <w:b w:val="1"/>
          <w:bCs w:val="1"/>
          <w:color w:val="auto"/>
        </w:rPr>
        <w:t>SIGNATURES</w:t>
      </w:r>
    </w:p>
    <w:p>
      <w:pPr>
        <w:spacing w:after="0" w:line="200" w:lineRule="exact"/>
        <w:rPr>
          <w:sz w:val="20"/>
          <w:szCs w:val="20"/>
          <w:color w:val="auto"/>
        </w:rPr>
      </w:pPr>
    </w:p>
    <w:p>
      <w:pPr>
        <w:spacing w:after="0" w:line="251"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120" w:type="dxa"/>
            <w:vAlign w:val="bottom"/>
          </w:tcPr>
          <w:p>
            <w:pPr>
              <w:ind w:left="780"/>
              <w:spacing w:after="0"/>
              <w:rPr>
                <w:sz w:val="20"/>
                <w:szCs w:val="20"/>
                <w:color w:val="auto"/>
              </w:rPr>
            </w:pPr>
            <w:r>
              <w:rPr>
                <w:rFonts w:ascii="Arial" w:cs="Arial" w:eastAsia="Arial" w:hAnsi="Arial"/>
                <w:sz w:val="14"/>
                <w:szCs w:val="14"/>
                <w:color w:val="auto"/>
              </w:rPr>
              <w:t>PENNANTPARK INVESTMENT CORPORATION</w:t>
            </w:r>
          </w:p>
        </w:tc>
        <w:tc>
          <w:tcPr>
            <w:tcW w:w="0" w:type="dxa"/>
            <w:vAlign w:val="bottom"/>
          </w:tcPr>
          <w:p>
            <w:pPr>
              <w:spacing w:after="0"/>
              <w:rPr>
                <w:sz w:val="1"/>
                <w:szCs w:val="1"/>
                <w:color w:val="auto"/>
              </w:rPr>
            </w:pPr>
          </w:p>
        </w:tc>
      </w:tr>
      <w:tr>
        <w:trPr>
          <w:trHeight w:val="324"/>
        </w:trPr>
        <w:tc>
          <w:tcPr>
            <w:tcW w:w="3440" w:type="dxa"/>
            <w:vAlign w:val="bottom"/>
          </w:tcPr>
          <w:p>
            <w:pPr>
              <w:spacing w:after="0"/>
              <w:rPr>
                <w:sz w:val="20"/>
                <w:szCs w:val="20"/>
                <w:color w:val="auto"/>
              </w:rPr>
            </w:pPr>
            <w:r>
              <w:rPr>
                <w:rFonts w:ascii="Arial" w:cs="Arial" w:eastAsia="Arial" w:hAnsi="Arial"/>
                <w:sz w:val="14"/>
                <w:szCs w:val="14"/>
                <w:color w:val="auto"/>
              </w:rPr>
              <w:t>Date: February 6, 2020</w:t>
            </w:r>
          </w:p>
        </w:tc>
        <w:tc>
          <w:tcPr>
            <w:tcW w:w="2680" w:type="dxa"/>
            <w:vAlign w:val="bottom"/>
            <w:vMerge w:val="restart"/>
          </w:tcPr>
          <w:p>
            <w:pPr>
              <w:ind w:left="2180"/>
              <w:spacing w:after="0"/>
              <w:rPr>
                <w:sz w:val="20"/>
                <w:szCs w:val="20"/>
                <w:color w:val="auto"/>
              </w:rPr>
            </w:pPr>
            <w:r>
              <w:rPr>
                <w:rFonts w:ascii="Arial" w:cs="Arial" w:eastAsia="Arial" w:hAnsi="Arial"/>
                <w:sz w:val="14"/>
                <w:szCs w:val="14"/>
                <w:color w:val="auto"/>
              </w:rPr>
              <w:t>By:</w:t>
            </w:r>
          </w:p>
        </w:tc>
        <w:tc>
          <w:tcPr>
            <w:tcW w:w="5120" w:type="dxa"/>
            <w:vAlign w:val="bottom"/>
            <w:vMerge w:val="restart"/>
          </w:tcPr>
          <w:p>
            <w:pPr>
              <w:jc w:val="center"/>
              <w:spacing w:after="0"/>
              <w:rPr>
                <w:sz w:val="20"/>
                <w:szCs w:val="20"/>
                <w:color w:val="auto"/>
              </w:rPr>
            </w:pPr>
            <w:r>
              <w:rPr>
                <w:rFonts w:ascii="Arial" w:cs="Arial" w:eastAsia="Arial" w:hAnsi="Arial"/>
                <w:sz w:val="14"/>
                <w:szCs w:val="14"/>
                <w:color w:val="auto"/>
                <w:w w:val="93"/>
              </w:rPr>
              <w:t>/s/ Arthur H. Penn</w:t>
            </w:r>
          </w:p>
        </w:tc>
        <w:tc>
          <w:tcPr>
            <w:tcW w:w="0" w:type="dxa"/>
            <w:vAlign w:val="bottom"/>
          </w:tcPr>
          <w:p>
            <w:pPr>
              <w:spacing w:after="0"/>
              <w:rPr>
                <w:sz w:val="1"/>
                <w:szCs w:val="1"/>
                <w:color w:val="auto"/>
              </w:rPr>
            </w:pPr>
          </w:p>
        </w:tc>
      </w:tr>
      <w:tr>
        <w:trPr>
          <w:trHeight w:val="71"/>
        </w:trPr>
        <w:tc>
          <w:tcPr>
            <w:tcW w:w="3440" w:type="dxa"/>
            <w:vAlign w:val="bottom"/>
          </w:tcPr>
          <w:p>
            <w:pPr>
              <w:spacing w:after="0"/>
              <w:rPr>
                <w:sz w:val="5"/>
                <w:szCs w:val="5"/>
                <w:color w:val="auto"/>
              </w:rPr>
            </w:pPr>
          </w:p>
        </w:tc>
        <w:tc>
          <w:tcPr>
            <w:tcW w:w="2680" w:type="dxa"/>
            <w:vAlign w:val="bottom"/>
            <w:vMerge w:val="continue"/>
          </w:tcPr>
          <w:p>
            <w:pPr>
              <w:spacing w:after="0"/>
              <w:rPr>
                <w:sz w:val="5"/>
                <w:szCs w:val="5"/>
                <w:color w:val="auto"/>
              </w:rPr>
            </w:pPr>
          </w:p>
        </w:tc>
        <w:tc>
          <w:tcPr>
            <w:tcW w:w="5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4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Arthur H. Penn</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 Directors</w:t>
            </w: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Executive Officer)</w:t>
            </w:r>
          </w:p>
        </w:tc>
        <w:tc>
          <w:tcPr>
            <w:tcW w:w="0" w:type="dxa"/>
            <w:vAlign w:val="bottom"/>
          </w:tcPr>
          <w:p>
            <w:pPr>
              <w:spacing w:after="0"/>
              <w:rPr>
                <w:sz w:val="1"/>
                <w:szCs w:val="1"/>
                <w:color w:val="auto"/>
              </w:rPr>
            </w:pPr>
          </w:p>
        </w:tc>
      </w:tr>
      <w:tr>
        <w:trPr>
          <w:trHeight w:val="297"/>
        </w:trPr>
        <w:tc>
          <w:tcPr>
            <w:tcW w:w="3440" w:type="dxa"/>
            <w:vAlign w:val="bottom"/>
          </w:tcPr>
          <w:p>
            <w:pPr>
              <w:spacing w:after="0"/>
              <w:rPr>
                <w:sz w:val="20"/>
                <w:szCs w:val="20"/>
                <w:color w:val="auto"/>
              </w:rPr>
            </w:pPr>
            <w:r>
              <w:rPr>
                <w:rFonts w:ascii="Arial" w:cs="Arial" w:eastAsia="Arial" w:hAnsi="Arial"/>
                <w:sz w:val="14"/>
                <w:szCs w:val="14"/>
                <w:color w:val="auto"/>
              </w:rPr>
              <w:t>Date: February 6, 2020</w:t>
            </w:r>
          </w:p>
        </w:tc>
        <w:tc>
          <w:tcPr>
            <w:tcW w:w="2680" w:type="dxa"/>
            <w:vAlign w:val="bottom"/>
            <w:vMerge w:val="restart"/>
          </w:tcPr>
          <w:p>
            <w:pPr>
              <w:ind w:left="2180"/>
              <w:spacing w:after="0"/>
              <w:rPr>
                <w:sz w:val="20"/>
                <w:szCs w:val="20"/>
                <w:color w:val="auto"/>
              </w:rPr>
            </w:pPr>
            <w:r>
              <w:rPr>
                <w:rFonts w:ascii="Arial" w:cs="Arial" w:eastAsia="Arial" w:hAnsi="Arial"/>
                <w:sz w:val="14"/>
                <w:szCs w:val="14"/>
                <w:color w:val="auto"/>
              </w:rPr>
              <w:t>By:</w:t>
            </w:r>
          </w:p>
        </w:tc>
        <w:tc>
          <w:tcPr>
            <w:tcW w:w="5120" w:type="dxa"/>
            <w:vAlign w:val="bottom"/>
            <w:vMerge w:val="restart"/>
          </w:tcPr>
          <w:p>
            <w:pPr>
              <w:jc w:val="center"/>
              <w:spacing w:after="0"/>
              <w:rPr>
                <w:sz w:val="20"/>
                <w:szCs w:val="20"/>
                <w:color w:val="auto"/>
              </w:rPr>
            </w:pPr>
            <w:r>
              <w:rPr>
                <w:rFonts w:ascii="Arial" w:cs="Arial" w:eastAsia="Arial" w:hAnsi="Arial"/>
                <w:sz w:val="14"/>
                <w:szCs w:val="14"/>
                <w:color w:val="auto"/>
                <w:w w:val="96"/>
              </w:rPr>
              <w:t>/s/ Aviv Efrat</w:t>
            </w:r>
          </w:p>
        </w:tc>
        <w:tc>
          <w:tcPr>
            <w:tcW w:w="0" w:type="dxa"/>
            <w:vAlign w:val="bottom"/>
          </w:tcPr>
          <w:p>
            <w:pPr>
              <w:spacing w:after="0"/>
              <w:rPr>
                <w:sz w:val="1"/>
                <w:szCs w:val="1"/>
                <w:color w:val="auto"/>
              </w:rPr>
            </w:pPr>
          </w:p>
        </w:tc>
      </w:tr>
      <w:tr>
        <w:trPr>
          <w:trHeight w:val="71"/>
        </w:trPr>
        <w:tc>
          <w:tcPr>
            <w:tcW w:w="3440" w:type="dxa"/>
            <w:vAlign w:val="bottom"/>
          </w:tcPr>
          <w:p>
            <w:pPr>
              <w:spacing w:after="0"/>
              <w:rPr>
                <w:sz w:val="5"/>
                <w:szCs w:val="5"/>
                <w:color w:val="auto"/>
              </w:rPr>
            </w:pPr>
          </w:p>
        </w:tc>
        <w:tc>
          <w:tcPr>
            <w:tcW w:w="2680" w:type="dxa"/>
            <w:vAlign w:val="bottom"/>
            <w:vMerge w:val="continue"/>
          </w:tcPr>
          <w:p>
            <w:pPr>
              <w:spacing w:after="0"/>
              <w:rPr>
                <w:sz w:val="5"/>
                <w:szCs w:val="5"/>
                <w:color w:val="auto"/>
              </w:rPr>
            </w:pPr>
          </w:p>
        </w:tc>
        <w:tc>
          <w:tcPr>
            <w:tcW w:w="5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4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7"/>
              </w:rPr>
              <w:t>Aviv Efrat</w:t>
            </w:r>
          </w:p>
        </w:tc>
        <w:tc>
          <w:tcPr>
            <w:tcW w:w="0" w:type="dxa"/>
            <w:vAlign w:val="bottom"/>
          </w:tcPr>
          <w:p>
            <w:pPr>
              <w:spacing w:after="0"/>
              <w:rPr>
                <w:sz w:val="1"/>
                <w:szCs w:val="1"/>
                <w:color w:val="auto"/>
              </w:rPr>
            </w:pPr>
          </w:p>
        </w:tc>
      </w:tr>
      <w:tr>
        <w:trPr>
          <w:trHeight w:val="205"/>
        </w:trPr>
        <w:tc>
          <w:tcPr>
            <w:tcW w:w="34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4"/>
              </w:rPr>
              <w:t>Chief Financial Officer and Treasurer</w:t>
            </w: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and Accounting Officer)</w:t>
            </w:r>
          </w:p>
        </w:tc>
        <w:tc>
          <w:tcPr>
            <w:tcW w:w="0" w:type="dxa"/>
            <w:vAlign w:val="bottom"/>
          </w:tcPr>
          <w:p>
            <w:pPr>
              <w:spacing w:after="0"/>
              <w:rPr>
                <w:sz w:val="1"/>
                <w:szCs w:val="1"/>
                <w:color w:val="auto"/>
              </w:rPr>
            </w:pPr>
          </w:p>
        </w:tc>
      </w:tr>
      <w:tr>
        <w:trPr>
          <w:trHeight w:val="743"/>
        </w:trPr>
        <w:tc>
          <w:tcPr>
            <w:tcW w:w="3440" w:type="dxa"/>
            <w:vAlign w:val="bottom"/>
          </w:tcPr>
          <w:p>
            <w:pPr>
              <w:spacing w:after="0"/>
              <w:rPr>
                <w:sz w:val="24"/>
                <w:szCs w:val="24"/>
                <w:color w:val="auto"/>
              </w:rPr>
            </w:pPr>
          </w:p>
        </w:tc>
        <w:tc>
          <w:tcPr>
            <w:tcW w:w="2680" w:type="dxa"/>
            <w:vAlign w:val="bottom"/>
          </w:tcPr>
          <w:p>
            <w:pPr>
              <w:jc w:val="right"/>
              <w:ind w:right="348"/>
              <w:spacing w:after="0"/>
              <w:rPr>
                <w:sz w:val="20"/>
                <w:szCs w:val="20"/>
                <w:color w:val="auto"/>
              </w:rPr>
            </w:pPr>
            <w:r>
              <w:rPr>
                <w:rFonts w:ascii="Arial" w:cs="Arial" w:eastAsia="Arial" w:hAnsi="Arial"/>
                <w:sz w:val="14"/>
                <w:szCs w:val="14"/>
                <w:color w:val="auto"/>
              </w:rPr>
              <w:t>38</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4"/>
          <w:szCs w:val="14"/>
          <w:b w:val="1"/>
          <w:bCs w:val="1"/>
          <w:color w:val="auto"/>
        </w:rPr>
        <w:t>EXHIBIT 31.1</w:t>
      </w:r>
    </w:p>
    <w:p>
      <w:pPr>
        <w:spacing w:after="0" w:line="257"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36" w:lineRule="exact"/>
        <w:rPr>
          <w:sz w:val="20"/>
          <w:szCs w:val="20"/>
          <w:color w:val="auto"/>
        </w:rPr>
      </w:pPr>
    </w:p>
    <w:p>
      <w:pPr>
        <w:ind w:left="600" w:hanging="145"/>
        <w:spacing w:after="0"/>
        <w:tabs>
          <w:tab w:leader="none" w:pos="600" w:val="left"/>
        </w:tabs>
        <w:numPr>
          <w:ilvl w:val="1"/>
          <w:numId w:val="33"/>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36" w:lineRule="exact"/>
        <w:rPr>
          <w:rFonts w:ascii="Arial" w:cs="Arial" w:eastAsia="Arial" w:hAnsi="Arial"/>
          <w:sz w:val="14"/>
          <w:szCs w:val="14"/>
          <w:color w:val="auto"/>
        </w:rPr>
      </w:pPr>
    </w:p>
    <w:p>
      <w:pPr>
        <w:ind w:right="480" w:firstLine="441"/>
        <w:spacing w:after="0" w:line="253" w:lineRule="auto"/>
        <w:tabs>
          <w:tab w:leader="none" w:pos="577" w:val="left"/>
        </w:tabs>
        <w:numPr>
          <w:ilvl w:val="0"/>
          <w:numId w:val="3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3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right="200" w:firstLine="455"/>
        <w:spacing w:after="0" w:line="253" w:lineRule="auto"/>
        <w:tabs>
          <w:tab w:leader="none" w:pos="591" w:val="left"/>
        </w:tabs>
        <w:numPr>
          <w:ilvl w:val="1"/>
          <w:numId w:val="3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right="440" w:firstLine="695"/>
        <w:spacing w:after="0" w:line="335" w:lineRule="auto"/>
        <w:tabs>
          <w:tab w:leader="none" w:pos="832" w:val="left"/>
        </w:tabs>
        <w:numPr>
          <w:ilvl w:val="2"/>
          <w:numId w:val="3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right="620" w:firstLine="692"/>
        <w:spacing w:after="0" w:line="335" w:lineRule="auto"/>
        <w:tabs>
          <w:tab w:leader="none" w:pos="838" w:val="left"/>
        </w:tabs>
        <w:numPr>
          <w:ilvl w:val="2"/>
          <w:numId w:val="3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right="340" w:firstLine="719"/>
        <w:spacing w:after="0" w:line="253" w:lineRule="auto"/>
        <w:tabs>
          <w:tab w:leader="none" w:pos="856" w:val="left"/>
        </w:tabs>
        <w:numPr>
          <w:ilvl w:val="3"/>
          <w:numId w:val="3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right="480" w:firstLine="705"/>
        <w:spacing w:after="0" w:line="290" w:lineRule="auto"/>
        <w:tabs>
          <w:tab w:leader="none" w:pos="850" w:val="left"/>
        </w:tabs>
        <w:numPr>
          <w:ilvl w:val="3"/>
          <w:numId w:val="3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3"/>
          <w:szCs w:val="13"/>
          <w:color w:val="auto"/>
        </w:rPr>
      </w:pPr>
    </w:p>
    <w:p>
      <w:pPr>
        <w:ind w:right="380" w:firstLine="447"/>
        <w:spacing w:after="0" w:line="253" w:lineRule="auto"/>
        <w:tabs>
          <w:tab w:leader="none" w:pos="583" w:val="left"/>
        </w:tabs>
        <w:numPr>
          <w:ilvl w:val="1"/>
          <w:numId w:val="3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right="100" w:firstLine="719"/>
        <w:spacing w:after="0" w:line="253" w:lineRule="auto"/>
        <w:tabs>
          <w:tab w:leader="none" w:pos="856" w:val="left"/>
        </w:tabs>
        <w:numPr>
          <w:ilvl w:val="3"/>
          <w:numId w:val="3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860" w:hanging="161"/>
        <w:spacing w:after="0"/>
        <w:tabs>
          <w:tab w:leader="none" w:pos="860" w:val="left"/>
        </w:tabs>
        <w:numPr>
          <w:ilvl w:val="3"/>
          <w:numId w:val="3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6, 2020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Arthur H. Penn</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4000" w:type="dxa"/>
            <w:vAlign w:val="bottom"/>
          </w:tcPr>
          <w:p>
            <w:pPr>
              <w:ind w:left="100"/>
              <w:spacing w:after="0"/>
              <w:rPr>
                <w:sz w:val="20"/>
                <w:szCs w:val="20"/>
                <w:color w:val="auto"/>
              </w:rPr>
            </w:pPr>
            <w:r>
              <w:rPr>
                <w:rFonts w:ascii="Arial" w:cs="Arial" w:eastAsia="Arial" w:hAnsi="Arial"/>
                <w:sz w:val="14"/>
                <w:szCs w:val="14"/>
                <w:color w:val="auto"/>
              </w:rPr>
              <w:t>Chief Executive Officer</w:t>
            </w:r>
          </w:p>
        </w:tc>
      </w:tr>
    </w:tbl>
    <w:p>
      <w:pPr>
        <w:sectPr>
          <w:pgSz w:w="11900" w:h="16838" w:orient="portrait"/>
          <w:cols w:equalWidth="0" w:num="1">
            <w:col w:w="11240"/>
          </w:cols>
          <w:pgMar w:left="320" w:top="11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b w:val="1"/>
          <w:bCs w:val="1"/>
          <w:color w:val="auto"/>
        </w:rPr>
        <w:t>EXHIBIT 31.2</w:t>
      </w:r>
    </w:p>
    <w:p>
      <w:pPr>
        <w:spacing w:after="0" w:line="13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36" w:lineRule="exact"/>
        <w:rPr>
          <w:sz w:val="20"/>
          <w:szCs w:val="20"/>
          <w:color w:val="auto"/>
        </w:rPr>
      </w:pPr>
    </w:p>
    <w:p>
      <w:pPr>
        <w:ind w:left="600" w:hanging="145"/>
        <w:spacing w:after="0"/>
        <w:tabs>
          <w:tab w:leader="none" w:pos="600" w:val="left"/>
        </w:tabs>
        <w:numPr>
          <w:ilvl w:val="1"/>
          <w:numId w:val="36"/>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36" w:lineRule="exact"/>
        <w:rPr>
          <w:rFonts w:ascii="Arial" w:cs="Arial" w:eastAsia="Arial" w:hAnsi="Arial"/>
          <w:sz w:val="14"/>
          <w:szCs w:val="14"/>
          <w:color w:val="auto"/>
        </w:rPr>
      </w:pPr>
    </w:p>
    <w:p>
      <w:pPr>
        <w:ind w:right="480" w:firstLine="441"/>
        <w:spacing w:after="0" w:line="253" w:lineRule="auto"/>
        <w:tabs>
          <w:tab w:leader="none" w:pos="577"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580" w:hanging="139"/>
        <w:spacing w:after="0"/>
        <w:tabs>
          <w:tab w:leader="none" w:pos="5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24" w:lineRule="exact"/>
        <w:rPr>
          <w:rFonts w:ascii="Arial" w:cs="Arial" w:eastAsia="Arial" w:hAnsi="Arial"/>
          <w:sz w:val="13"/>
          <w:szCs w:val="13"/>
          <w:color w:val="auto"/>
        </w:rPr>
      </w:pPr>
    </w:p>
    <w:p>
      <w:pPr>
        <w:ind w:right="440" w:firstLine="695"/>
        <w:spacing w:after="0" w:line="335" w:lineRule="auto"/>
        <w:tabs>
          <w:tab w:leader="none" w:pos="832" w:val="left"/>
        </w:tabs>
        <w:numPr>
          <w:ilvl w:val="2"/>
          <w:numId w:val="3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right="620" w:firstLine="692"/>
        <w:spacing w:after="0" w:line="335" w:lineRule="auto"/>
        <w:tabs>
          <w:tab w:leader="none" w:pos="838" w:val="left"/>
        </w:tabs>
        <w:numPr>
          <w:ilvl w:val="2"/>
          <w:numId w:val="3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right="340" w:firstLine="719"/>
        <w:spacing w:after="0" w:line="253" w:lineRule="auto"/>
        <w:tabs>
          <w:tab w:leader="none" w:pos="856" w:val="left"/>
        </w:tabs>
        <w:numPr>
          <w:ilvl w:val="3"/>
          <w:numId w:val="3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right="480" w:firstLine="705"/>
        <w:spacing w:after="0" w:line="290" w:lineRule="auto"/>
        <w:tabs>
          <w:tab w:leader="none" w:pos="850" w:val="left"/>
        </w:tabs>
        <w:numPr>
          <w:ilvl w:val="3"/>
          <w:numId w:val="3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3"/>
          <w:szCs w:val="13"/>
          <w:color w:val="auto"/>
        </w:rPr>
      </w:pPr>
    </w:p>
    <w:p>
      <w:pPr>
        <w:ind w:right="380" w:firstLine="447"/>
        <w:spacing w:after="0" w:line="253" w:lineRule="auto"/>
        <w:tabs>
          <w:tab w:leader="none" w:pos="583" w:val="left"/>
        </w:tabs>
        <w:numPr>
          <w:ilvl w:val="1"/>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right="100" w:firstLine="719"/>
        <w:spacing w:after="0" w:line="253" w:lineRule="auto"/>
        <w:tabs>
          <w:tab w:leader="none" w:pos="856" w:val="left"/>
        </w:tabs>
        <w:numPr>
          <w:ilvl w:val="3"/>
          <w:numId w:val="3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860" w:hanging="161"/>
        <w:spacing w:after="0"/>
        <w:tabs>
          <w:tab w:leader="none" w:pos="860" w:val="left"/>
        </w:tabs>
        <w:numPr>
          <w:ilvl w:val="3"/>
          <w:numId w:val="3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6, 2020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Aviv Efrat</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4000" w:type="dxa"/>
            <w:vAlign w:val="bottom"/>
          </w:tcPr>
          <w:p>
            <w:pPr>
              <w:ind w:left="10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40"/>
          </w:cols>
          <w:pgMar w:left="320" w:top="11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4"/>
          <w:szCs w:val="14"/>
          <w:b w:val="1"/>
          <w:bCs w:val="1"/>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 connection with this Report on Form 10-Q for the three months ended December 31, 2019 (the “Report”) of PennantPark Investment Corporation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Arthur H. Penn, Chief Executive Officer of the Registrant, hereby certify, to the best of my knowledge, that:</w:t>
      </w:r>
    </w:p>
    <w:p>
      <w:pPr>
        <w:spacing w:after="0" w:line="124" w:lineRule="exact"/>
        <w:rPr>
          <w:sz w:val="20"/>
          <w:szCs w:val="20"/>
          <w:color w:val="auto"/>
        </w:rPr>
      </w:pPr>
    </w:p>
    <w:p>
      <w:pPr>
        <w:ind w:left="780" w:hanging="305"/>
        <w:spacing w:after="0"/>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780" w:hanging="305"/>
        <w:spacing w:after="0"/>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4"/>
          <w:szCs w:val="14"/>
          <w:color w:val="auto"/>
        </w:rPr>
        <w:t>Name:</w:t>
        <w:tab/>
        <w:t>Arthur H. Penn</w:t>
      </w:r>
    </w:p>
    <w:p>
      <w:pPr>
        <w:sectPr>
          <w:pgSz w:w="11900" w:h="16838" w:orient="portrait"/>
          <w:cols w:equalWidth="0" w:num="1">
            <w:col w:w="11240"/>
          </w:cols>
          <w:pgMar w:left="320" w:top="118"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Chief Executive Officer</w:t>
      </w:r>
    </w:p>
    <w:p>
      <w:pPr>
        <w:spacing w:after="0" w:line="32" w:lineRule="exact"/>
        <w:rPr>
          <w:sz w:val="20"/>
          <w:szCs w:val="20"/>
          <w:color w:val="auto"/>
        </w:rPr>
      </w:pPr>
    </w:p>
    <w:p>
      <w:pPr>
        <w:sectPr>
          <w:pgSz w:w="11900" w:h="16838" w:orient="portrait"/>
          <w:cols w:equalWidth="0" w:num="2">
            <w:col w:w="320" w:space="260"/>
            <w:col w:w="10660"/>
          </w:cols>
          <w:pgMar w:left="320" w:top="118" w:right="339" w:bottom="1440" w:gutter="0" w:footer="0" w:header="0"/>
          <w:type w:val="continuous"/>
        </w:sect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February 6, 2020</w:t>
      </w:r>
    </w:p>
    <w:p>
      <w:pPr>
        <w:sectPr>
          <w:pgSz w:w="11900" w:h="16838" w:orient="portrait"/>
          <w:cols w:equalWidth="0" w:num="2">
            <w:col w:w="320" w:space="260"/>
            <w:col w:w="10660"/>
          </w:cols>
          <w:pgMar w:left="320" w:top="118" w:right="3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4"/>
          <w:szCs w:val="14"/>
          <w:b w:val="1"/>
          <w:bCs w:val="1"/>
          <w:color w:val="auto"/>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 connection with this Report on Form 10-Q for the three months ended December 31, 2019 (the “Report”) of PennantPark Investment Corporation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Aviv Efrat, Chief Financial Officer of the Registrant, hereby certify, to the best of my knowledge, that:</w:t>
      </w:r>
    </w:p>
    <w:p>
      <w:pPr>
        <w:spacing w:after="0" w:line="124" w:lineRule="exact"/>
        <w:rPr>
          <w:sz w:val="20"/>
          <w:szCs w:val="20"/>
          <w:color w:val="auto"/>
        </w:rPr>
      </w:pPr>
    </w:p>
    <w:p>
      <w:pPr>
        <w:ind w:left="780" w:hanging="305"/>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780" w:hanging="305"/>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4"/>
          <w:szCs w:val="14"/>
          <w:color w:val="auto"/>
        </w:rPr>
        <w:t>Name:</w:t>
        <w:tab/>
        <w:t>Aviv Efrat</w:t>
      </w:r>
    </w:p>
    <w:p>
      <w:pPr>
        <w:sectPr>
          <w:pgSz w:w="11900" w:h="16838" w:orient="portrait"/>
          <w:cols w:equalWidth="0" w:num="1">
            <w:col w:w="11240"/>
          </w:cols>
          <w:pgMar w:left="320" w:top="118"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Chief Financial Officer</w:t>
      </w:r>
    </w:p>
    <w:p>
      <w:pPr>
        <w:spacing w:after="0" w:line="32" w:lineRule="exact"/>
        <w:rPr>
          <w:sz w:val="20"/>
          <w:szCs w:val="20"/>
          <w:color w:val="auto"/>
        </w:rPr>
      </w:pPr>
    </w:p>
    <w:p>
      <w:pPr>
        <w:sectPr>
          <w:pgSz w:w="11900" w:h="16838" w:orient="portrait"/>
          <w:cols w:equalWidth="0" w:num="2">
            <w:col w:w="320" w:space="260"/>
            <w:col w:w="10660"/>
          </w:cols>
          <w:pgMar w:left="320" w:top="118" w:right="339" w:bottom="1440" w:gutter="0" w:footer="0" w:header="0"/>
          <w:type w:val="continuous"/>
        </w:sect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February 6, 2020</w:t>
      </w:r>
    </w:p>
    <w:sectPr>
      <w:pgSz w:w="11900" w:h="16838" w:orient="portrait"/>
      <w:cols w:equalWidth="0" w:num="2">
        <w:col w:w="320" w:space="260"/>
        <w:col w:w="1066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1)"/>
      <w:numFmt w:val="lowerLetter"/>
      <w:start w:val="2"/>
    </w:lvl>
  </w:abstractNum>
  <w:abstractNum w:abstractNumId="8">
    <w:nsid w:val="8EDBDAB"/>
    <w:multiLevelType w:val="hybridMultilevel"/>
    <w:lvl w:ilvl="0">
      <w:lvlJc w:val="left"/>
      <w:lvlText w:val="(%1)"/>
      <w:numFmt w:val="lowerLetter"/>
      <w:start w:val="3"/>
    </w:lvl>
  </w:abstractNum>
  <w:abstractNum w:abstractNumId="9">
    <w:nsid w:val="79838CB2"/>
    <w:multiLevelType w:val="hybridMultilevel"/>
    <w:lvl w:ilvl="0">
      <w:lvlJc w:val="left"/>
      <w:lvlText w:val="(%1)"/>
      <w:numFmt w:val="lowerLetter"/>
      <w:start w:val="4"/>
    </w:lvl>
  </w:abstractNum>
  <w:abstractNum w:abstractNumId="10">
    <w:nsid w:val="4353D0CD"/>
    <w:multiLevelType w:val="hybridMultilevel"/>
    <w:lvl w:ilvl="0">
      <w:lvlJc w:val="left"/>
      <w:lvlText w:val="(%1)"/>
      <w:numFmt w:val="lowerLetter"/>
      <w:start w:val="5"/>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lowerLetter"/>
      <w:start w:val="6"/>
    </w:lvl>
  </w:abstractNum>
  <w:abstractNum w:abstractNumId="13">
    <w:nsid w:val="54E49EB4"/>
    <w:multiLevelType w:val="hybridMultilevel"/>
    <w:lvl w:ilvl="0">
      <w:lvlJc w:val="left"/>
      <w:lvlText w:val="(%1)"/>
      <w:numFmt w:val="lowerLetter"/>
      <w:start w:val="7"/>
    </w:lvl>
  </w:abstractNum>
  <w:abstractNum w:abstractNumId="14">
    <w:nsid w:val="71F32454"/>
    <w:multiLevelType w:val="hybridMultilevel"/>
    <w:lvl w:ilvl="0">
      <w:lvlJc w:val="left"/>
      <w:lvlText w:val="(%1)"/>
      <w:numFmt w:val="lowerLetter"/>
      <w:start w:val="8"/>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2"/>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3">
    <w:nsid w:val="77465F01"/>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34">
    <w:nsid w:val="7724C67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5">
    <w:nsid w:val="5C482A9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6">
    <w:nsid w:val="2463B9EA"/>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37">
    <w:nsid w:val="5E884A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69" Type="http://schemas.openxmlformats.org/officeDocument/2006/relationships/hyperlink" Target="http://www.sec.gov/Archives/edgar/data/1383414/000119312507075646/dex99a.htm" TargetMode="External"/><Relationship Id="rId70" Type="http://schemas.openxmlformats.org/officeDocument/2006/relationships/hyperlink" Target="http://www.sec.gov/Archives/edgar/data/1383414/000119312515393210/d59522dex31.htm" TargetMode="External"/><Relationship Id="rId71" Type="http://schemas.openxmlformats.org/officeDocument/2006/relationships/hyperlink" Target="http://www.sec.gov/Archives/edgar/data/1383414/000119312508072557/dex99d1.htm" TargetMode="External"/><Relationship Id="rId72" Type="http://schemas.openxmlformats.org/officeDocument/2006/relationships/hyperlink" Target="http://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2020-05-05T15:18:37Z</dcterms:created>
  <dcterms:modified xsi:type="dcterms:W3CDTF">2020-05-05T15:18:37Z</dcterms:modified>
</cp:coreProperties>
</file>