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74"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7380" w:type="dxa"/>
            <w:vAlign w:val="bottom"/>
            <w:gridSpan w:val="2"/>
          </w:tcPr>
          <w:p>
            <w:pPr>
              <w:jc w:val="center"/>
              <w:ind w:left="3801"/>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1240" w:type="dxa"/>
            <w:vAlign w:val="bottom"/>
            <w:gridSpan w:val="5"/>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left="380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MARYLAND</w:t>
            </w:r>
          </w:p>
        </w:tc>
        <w:tc>
          <w:tcPr>
            <w:tcW w:w="3860" w:type="dxa"/>
            <w:vAlign w:val="bottom"/>
            <w:gridSpan w:val="3"/>
          </w:tcPr>
          <w:p>
            <w:pPr>
              <w:jc w:val="right"/>
              <w:ind w:right="2282"/>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62"/>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New York, N.Y.</w:t>
            </w:r>
          </w:p>
        </w:tc>
        <w:tc>
          <w:tcPr>
            <w:tcW w:w="3860" w:type="dxa"/>
            <w:vAlign w:val="bottom"/>
            <w:gridSpan w:val="3"/>
            <w:vMerge w:val="restart"/>
          </w:tcPr>
          <w:p>
            <w:pPr>
              <w:jc w:val="right"/>
              <w:ind w:right="246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42"/>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840" w:type="dxa"/>
            <w:vAlign w:val="bottom"/>
          </w:tcPr>
          <w:p>
            <w:pPr>
              <w:jc w:val="center"/>
              <w:ind w:left="434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left="378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71"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20" w:firstLine="468"/>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No</w:t>
      </w:r>
    </w:p>
    <w:p>
      <w:pPr>
        <w:spacing w:after="0" w:line="120" w:lineRule="exact"/>
        <w:rPr>
          <w:sz w:val="24"/>
          <w:szCs w:val="24"/>
          <w:color w:val="auto"/>
        </w:rPr>
      </w:pPr>
    </w:p>
    <w:p>
      <w:pPr>
        <w:ind w:right="18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70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ind w:left="270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0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February 7, 2019 was 68,027,537.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1494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DECEMBER 31, 2018</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0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60" w:type="dxa"/>
            <w:vAlign w:val="bottom"/>
          </w:tcPr>
          <w:p>
            <w:pPr>
              <w:spacing w:after="0"/>
              <w:rPr>
                <w:sz w:val="16"/>
                <w:szCs w:val="16"/>
                <w:color w:val="auto"/>
              </w:rPr>
            </w:pPr>
          </w:p>
        </w:tc>
      </w:tr>
      <w:tr>
        <w:trPr>
          <w:trHeight w:val="297"/>
        </w:trPr>
        <w:tc>
          <w:tcPr>
            <w:tcW w:w="92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60" w:type="dxa"/>
            <w:vAlign w:val="bottom"/>
          </w:tcPr>
          <w:p>
            <w:pPr>
              <w:spacing w:after="0"/>
              <w:rPr>
                <w:sz w:val="24"/>
                <w:szCs w:val="24"/>
                <w:color w:val="auto"/>
              </w:rPr>
            </w:pP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2018 (unaudited) and September 30, 2018</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2018 and 2017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2018 and 2017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2018 and 2017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2018 (unaudited) and September 30, 2018</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200" w:type="dxa"/>
            <w:vAlign w:val="bottom"/>
          </w:tcPr>
          <w:p>
            <w:pPr>
              <w:ind w:left="36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Controls and Procedures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200" w:type="dxa"/>
            <w:vAlign w:val="bottom"/>
          </w:tcPr>
          <w:p>
            <w:pPr>
              <w:ind w:left="4300"/>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 OTHER INFORMATION</w:t>
              </w:r>
            </w:hyperlink>
          </w:p>
        </w:tc>
        <w:tc>
          <w:tcPr>
            <w:tcW w:w="2060" w:type="dxa"/>
            <w:vAlign w:val="bottom"/>
          </w:tcPr>
          <w:p>
            <w:pPr>
              <w:spacing w:after="0"/>
              <w:rPr>
                <w:sz w:val="24"/>
                <w:szCs w:val="24"/>
                <w:color w:val="auto"/>
              </w:rPr>
            </w:pPr>
          </w:p>
        </w:tc>
      </w:tr>
      <w:tr>
        <w:trPr>
          <w:trHeight w:val="337"/>
        </w:trPr>
        <w:tc>
          <w:tcPr>
            <w:tcW w:w="92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 Legal Proceedings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1A. Risk Factors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2. 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3. Defaults Upon Senior Securities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4. Mine Safety Disclosures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5. Other Information</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Item 6. Exhibits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38"/>
        </w:trPr>
        <w:tc>
          <w:tcPr>
            <w:tcW w:w="9200" w:type="dxa"/>
            <w:vAlign w:val="bottom"/>
          </w:tcPr>
          <w:p>
            <w:pPr>
              <w:spacing w:after="0"/>
              <w:rPr>
                <w:rFonts w:ascii="Arial" w:cs="Arial" w:eastAsia="Arial" w:hAnsi="Arial"/>
                <w:sz w:val="14"/>
                <w:szCs w:val="14"/>
                <w:b w:val="1"/>
                <w:bCs w:val="1"/>
                <w:u w:val="single" w:color="auto"/>
                <w:color w:val="0000EE"/>
              </w:rPr>
            </w:pPr>
            <w:hyperlink w:anchor="page38">
              <w:r>
                <w:rPr>
                  <w:rFonts w:ascii="Arial" w:cs="Arial" w:eastAsia="Arial" w:hAnsi="Arial"/>
                  <w:sz w:val="14"/>
                  <w:szCs w:val="14"/>
                  <w:b w:val="1"/>
                  <w:bCs w:val="1"/>
                  <w:u w:val="single" w:color="auto"/>
                  <w:color w:val="0000EE"/>
                </w:rPr>
                <w:t>SIGNATURES</w:t>
              </w:r>
            </w:hyperlink>
          </w:p>
        </w:tc>
        <w:tc>
          <w:tcPr>
            <w:tcW w:w="206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661"/>
        </w:trPr>
        <w:tc>
          <w:tcPr>
            <w:tcW w:w="9200" w:type="dxa"/>
            <w:vAlign w:val="bottom"/>
          </w:tcPr>
          <w:p>
            <w:pPr>
              <w:ind w:left="5580"/>
              <w:spacing w:after="0"/>
              <w:rPr>
                <w:sz w:val="20"/>
                <w:szCs w:val="20"/>
                <w:color w:val="auto"/>
              </w:rPr>
            </w:pPr>
            <w:r>
              <w:rPr>
                <w:rFonts w:ascii="Arial" w:cs="Arial" w:eastAsia="Arial" w:hAnsi="Arial"/>
                <w:sz w:val="14"/>
                <w:szCs w:val="14"/>
                <w:color w:val="auto"/>
              </w:rPr>
              <w:t>2</w:t>
            </w:r>
          </w:p>
        </w:tc>
        <w:tc>
          <w:tcPr>
            <w:tcW w:w="2060" w:type="dxa"/>
            <w:vAlign w:val="bottom"/>
          </w:tcPr>
          <w:p>
            <w:pPr>
              <w:spacing w:after="0"/>
              <w:rPr>
                <w:sz w:val="24"/>
                <w:szCs w:val="24"/>
                <w:color w:val="auto"/>
              </w:rPr>
            </w:pPr>
          </w:p>
        </w:tc>
      </w:tr>
      <w:tr>
        <w:trPr>
          <w:trHeight w:val="100"/>
        </w:trPr>
        <w:tc>
          <w:tcPr>
            <w:tcW w:w="920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context suggest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“2019 Notes” refers to our 4.50% notes due 2019; “BDC” refers to a business development company under the Investment Company Act of 1940, as amended, or the “1940 Act”; “Code” refers to the Internal Revenue Code of 1986, as amended; and “RIC” refers to a regulated investment company under the Code. References to our portfolio, our investments and our business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00" w:type="dxa"/>
            <w:vAlign w:val="bottom"/>
          </w:tcPr>
          <w:p>
            <w:pPr>
              <w:spacing w:after="0"/>
              <w:rPr>
                <w:sz w:val="22"/>
                <w:szCs w:val="22"/>
                <w:color w:val="auto"/>
              </w:rPr>
            </w:pPr>
          </w:p>
        </w:tc>
        <w:tc>
          <w:tcPr>
            <w:tcW w:w="8800" w:type="dxa"/>
            <w:vAlign w:val="bottom"/>
            <w:gridSpan w:val="4"/>
          </w:tcPr>
          <w:p>
            <w:pPr>
              <w:ind w:left="244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7020" w:type="dxa"/>
            <w:vAlign w:val="bottom"/>
          </w:tcPr>
          <w:p>
            <w:pPr>
              <w:ind w:left="264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6"/>
        </w:trPr>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December 31, 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2018</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3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(cost—$987,929,505 and $896,720,950, respectively)</w:t>
            </w: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989,515,879</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905,271,258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(cost—$74,369,962 and $91,520,908, respectively)</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49,057,619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78,078,331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(cost—$261,311,677 and $255,574,317, respectively)</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152,880,313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148,735,885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(cost—$1,323,611,144 and $1,243,816,175, respectively)</w:t>
            </w:r>
          </w:p>
        </w:tc>
        <w:tc>
          <w:tcPr>
            <w:tcW w:w="120" w:type="dxa"/>
            <w:vAlign w:val="bottom"/>
          </w:tcPr>
          <w:p>
            <w:pPr>
              <w:spacing w:after="0"/>
              <w:rPr>
                <w:sz w:val="13"/>
                <w:szCs w:val="13"/>
                <w:color w:val="auto"/>
              </w:rPr>
            </w:pPr>
          </w:p>
        </w:tc>
        <w:tc>
          <w:tcPr>
            <w:tcW w:w="1380" w:type="dxa"/>
            <w:vAlign w:val="bottom"/>
          </w:tcPr>
          <w:p>
            <w:pPr>
              <w:jc w:val="right"/>
              <w:spacing w:after="0" w:line="155" w:lineRule="exact"/>
              <w:rPr>
                <w:sz w:val="20"/>
                <w:szCs w:val="20"/>
                <w:color w:val="auto"/>
              </w:rPr>
            </w:pPr>
            <w:r>
              <w:rPr>
                <w:rFonts w:ascii="Arial" w:cs="Arial" w:eastAsia="Arial" w:hAnsi="Arial"/>
                <w:sz w:val="14"/>
                <w:szCs w:val="14"/>
                <w:color w:val="auto"/>
              </w:rPr>
              <w:t>1,191,453,811</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(cost—$24,657,870 and $19,543,625, respectively)</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24,653,889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5,506,564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7,606,964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152,544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920,235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1,221,766,808</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3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Distributions payable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12,244,957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12,429,712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18,172,125</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Credit Facility payable (cost—$174,136,000 and $80,520,000, respectively) (See Notes 5 and 10)</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167,088,178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77,645,830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10)</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249,430,000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SBA debentures payable, net (par—$150,000,000 and $180,000,000, respectively) (See Notes 5 and 10)</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145,789,777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175,373,229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Base management fee payable, net (See Note 3)</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4,419,262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4,086,831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2,667,270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2,964,265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5,007,094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6,576,393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1,007,040</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818,172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rPr>
                <w:sz w:val="13"/>
                <w:szCs w:val="13"/>
                <w:color w:val="auto"/>
              </w:rPr>
            </w:pPr>
          </w:p>
        </w:tc>
        <w:tc>
          <w:tcPr>
            <w:tcW w:w="70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auto"/>
            </w:tcBorders>
            <w:shd w:val="clear" w:color="auto" w:fill="CCECFF"/>
          </w:tcPr>
          <w:p>
            <w:pPr>
              <w:spacing w:after="0"/>
              <w:rPr>
                <w:sz w:val="13"/>
                <w:szCs w:val="13"/>
                <w:color w:val="auto"/>
              </w:rPr>
            </w:pP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605,825,703</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531,216,932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70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68,027,537 and 69,053,958 shares issued and outstanding, respectively</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68,028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69,054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12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796,236,224</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803,729,220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Undistributed net investment income</w:t>
            </w:r>
          </w:p>
        </w:tc>
        <w:tc>
          <w:tcPr>
            <w:tcW w:w="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6,333,033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6,003,360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Accumulated net realized loss on investments</w:t>
            </w:r>
          </w:p>
        </w:tc>
        <w:tc>
          <w:tcPr>
            <w:tcW w:w="12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(62,157,643)</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(70,687,629)</w:t>
            </w: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Net unrealized depreciation on investments</w:t>
            </w:r>
          </w:p>
        </w:tc>
        <w:tc>
          <w:tcPr>
            <w:tcW w:w="12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(132,156,359)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(111,763,780)</w:t>
            </w: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unrealized depreciation on debt</w:t>
            </w:r>
          </w:p>
        </w:tc>
        <w:tc>
          <w:tcPr>
            <w:tcW w:w="12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7,617,822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1,551,670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615,941,105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628,901,895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shd w:val="clear" w:color="auto" w:fill="CCECFF"/>
          </w:tcPr>
          <w:p>
            <w:pPr>
              <w:spacing w:after="0"/>
              <w:rPr>
                <w:sz w:val="13"/>
                <w:szCs w:val="13"/>
                <w:color w:val="auto"/>
              </w:rPr>
            </w:pPr>
          </w:p>
        </w:tc>
        <w:tc>
          <w:tcPr>
            <w:tcW w:w="702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1,221,766,808</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1,160,118,827</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gridSpan w:val="2"/>
            <w:vMerge w:val="continue"/>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9.05</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8"/>
              </w:rPr>
              <w:t>Three Months Ended December 31,</w:t>
            </w: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CFF"/>
            </w:tcBorders>
          </w:tcPr>
          <w:p>
            <w:pPr>
              <w:spacing w:after="0"/>
              <w:rPr>
                <w:sz w:val="13"/>
                <w:szCs w:val="13"/>
                <w:color w:val="auto"/>
              </w:rPr>
            </w:pPr>
          </w:p>
        </w:tc>
        <w:tc>
          <w:tcPr>
            <w:tcW w:w="120" w:type="dxa"/>
            <w:vAlign w:val="bottom"/>
            <w:tcBorders>
              <w:top w:val="single" w:sz="8" w:color="auto"/>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23,508,581</w:t>
            </w:r>
          </w:p>
        </w:tc>
        <w:tc>
          <w:tcPr>
            <w:tcW w:w="16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21,383,219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1,246,016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1,284,909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618,071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1,586,642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105,105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1,215,834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108,625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1,573,306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Interest</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1,788,603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480,430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Payment in kind</w:t>
            </w:r>
          </w:p>
        </w:tc>
        <w:tc>
          <w:tcPr>
            <w:tcW w:w="2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1,144,085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27,380,001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28,668,425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40" w:type="dxa"/>
            <w:vAlign w:val="bottom"/>
            <w:shd w:val="clear" w:color="auto" w:fill="CCECFF"/>
          </w:tcPr>
          <w:p>
            <w:pPr>
              <w:spacing w:after="0"/>
              <w:rPr>
                <w:sz w:val="13"/>
                <w:szCs w:val="13"/>
                <w:color w:val="auto"/>
              </w:rPr>
            </w:pPr>
          </w:p>
        </w:tc>
        <w:tc>
          <w:tcPr>
            <w:tcW w:w="1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0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4,419,262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5,735,137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2,667,270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3,185,204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6,278,847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5,857,378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521,625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521,625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618,367</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628,290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14,505,371</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15,927,634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2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(1,427,253)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2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14,805,371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14,500,381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12,574,630</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14,168,044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18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on investments and debt:</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on investments on:</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3,737,919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1,793,043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4,792,067</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0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1,980,440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1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realized gain on investments</w:t>
            </w:r>
          </w:p>
        </w:tc>
        <w:tc>
          <w:tcPr>
            <w:tcW w:w="2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8,529,986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3,773,483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on:</w:t>
            </w:r>
          </w:p>
        </w:tc>
        <w:tc>
          <w:tcPr>
            <w:tcW w:w="240" w:type="dxa"/>
            <w:vAlign w:val="bottom"/>
            <w:shd w:val="clear" w:color="auto" w:fill="CCECFF"/>
          </w:tcPr>
          <w:p>
            <w:pPr>
              <w:spacing w:after="0"/>
              <w:rPr>
                <w:sz w:val="14"/>
                <w:szCs w:val="14"/>
                <w:color w:val="auto"/>
              </w:rPr>
            </w:pPr>
          </w:p>
        </w:tc>
        <w:tc>
          <w:tcPr>
            <w:tcW w:w="1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4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(6,929,882)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1,738,065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(13,462,697)</w:t>
            </w:r>
          </w:p>
        </w:tc>
        <w:tc>
          <w:tcPr>
            <w:tcW w:w="12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(8,510,961)</w:t>
            </w:r>
          </w:p>
        </w:tc>
        <w:tc>
          <w:tcPr>
            <w:tcW w:w="0" w:type="dxa"/>
            <w:vAlign w:val="bottom"/>
          </w:tcPr>
          <w:p>
            <w:pPr>
              <w:spacing w:after="0"/>
              <w:rPr>
                <w:sz w:val="1"/>
                <w:szCs w:val="1"/>
                <w:color w:val="auto"/>
              </w:rPr>
            </w:pPr>
          </w:p>
        </w:tc>
      </w:tr>
      <w:tr>
        <w:trPr>
          <w:trHeight w:val="162"/>
        </w:trPr>
        <w:tc>
          <w:tcPr>
            <w:tcW w:w="818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Debt depreciation (See Notes 5 and 10)</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6,066,152</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1,126,766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18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on investments and debt</w:t>
            </w:r>
          </w:p>
        </w:tc>
        <w:tc>
          <w:tcPr>
            <w:tcW w:w="2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(14,326,427)</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(5,646,130)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loss from investments and debt</w:t>
            </w: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(5,796,441)</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(1,872,647)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18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6,778,189</w:t>
            </w:r>
          </w:p>
        </w:tc>
        <w:tc>
          <w:tcPr>
            <w:tcW w:w="1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12,295,397</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CFF"/>
            </w:tcBorders>
            <w:vMerge w:val="continue"/>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0.10</w:t>
            </w:r>
          </w:p>
        </w:tc>
        <w:tc>
          <w:tcPr>
            <w:tcW w:w="16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0.18</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81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0.18</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300" w:type="dxa"/>
            <w:vAlign w:val="bottom"/>
            <w:tcBorders>
              <w:bottom w:val="single" w:sz="8" w:color="auto"/>
            </w:tcBorders>
            <w:shd w:val="clear" w:color="auto" w:fill="CCECFF"/>
          </w:tcPr>
          <w:p>
            <w:pPr>
              <w:jc w:val="right"/>
              <w:ind w:right="18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12,574,630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14,168,044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on investments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8,529,986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3,773,483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(20,392,579)</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(6,772,896)</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6,066,152</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1,126,766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4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6,778,189</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12,295,397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Distributions to stockholders: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(12,244,957)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(12,790,950)</w:t>
            </w: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(7,494,022)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(12,960,790)</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(495,553)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628,901,895</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646,808,471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615,941,105</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646,312,918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net investment income, at end of period</w:t>
            </w: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40" w:type="dxa"/>
            <w:vAlign w:val="bottom"/>
            <w:tcBorders>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6,333,033</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4,710,289</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of common stock repurchased</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(1,026,421)</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6,778,189</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12,295,397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(used in) provided by operating activities: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on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20,392,579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6,772,896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(6,066,152)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(1,126,766)</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gain on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(8,529,986)</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(3,773,483)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(729,769)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(239,321)</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(194,455,970)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(138,433,423)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(1,922,358)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(3,706,405)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125,791,017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192,303,018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416,548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375,065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interest receivable</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2,100,400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(1,852,834)</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prepaid expenses and other assets</w:t>
            </w: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767,691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1,529,740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payable for investments purchased</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18,172,125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(1,014,000)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interest payable on debt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(1,569,299)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(1,369,723)</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base management fee payable, net</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332,431</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(27,721)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performance-based incentive fee payable, net</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(296,995)</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405,565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1000"/>
              <w:spacing w:after="0"/>
              <w:rPr>
                <w:sz w:val="20"/>
                <w:szCs w:val="20"/>
                <w:color w:val="auto"/>
              </w:rPr>
            </w:pPr>
            <w:r>
              <w:rPr>
                <w:rFonts w:ascii="Arial" w:cs="Arial" w:eastAsia="Arial" w:hAnsi="Arial"/>
                <w:sz w:val="14"/>
                <w:szCs w:val="14"/>
                <w:color w:val="auto"/>
              </w:rPr>
              <w:t>Increase in accrued other expenses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188,868</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250,382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ind w:left="148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34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(38,630,681)</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62,388,387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Repurchase of common stock</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(7,494,022)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34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(12,429,712)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(12,790,950)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SBA debentures</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(30,000,000)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Credit Facility</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Credit Facility</w:t>
            </w:r>
          </w:p>
        </w:tc>
        <w:tc>
          <w:tcPr>
            <w:tcW w:w="340" w:type="dxa"/>
            <w:vAlign w:val="bottom"/>
            <w:shd w:val="clear" w:color="auto" w:fill="CCECFF"/>
          </w:tcPr>
          <w:p>
            <w:pPr>
              <w:spacing w:after="0"/>
              <w:rPr>
                <w:sz w:val="14"/>
                <w:szCs w:val="14"/>
                <w:color w:val="auto"/>
              </w:rPr>
            </w:pPr>
          </w:p>
        </w:tc>
        <w:tc>
          <w:tcPr>
            <w:tcW w:w="150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(123,384,000)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(91,000,000)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43,692,266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(27,790,950)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cash equivalents</w:t>
            </w: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5,061,585</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34,597,437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86,150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33,170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4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19,506,154</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24,653,889</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72,832,675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7,431,597</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6,852,037</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40" w:type="dxa"/>
            <w:vAlign w:val="bottom"/>
            <w:tcBorders>
              <w:bottom w:val="single" w:sz="8" w:color="auto"/>
            </w:tcBorders>
            <w:shd w:val="clear" w:color="auto" w:fill="CCECFF"/>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3,617</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12,697,510</w:t>
            </w:r>
          </w:p>
        </w:tc>
        <w:tc>
          <w:tcPr>
            <w:tcW w:w="2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9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5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Companies—160.7%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b w:val="1"/>
                <w:bCs w:val="1"/>
                <w:color w:val="auto"/>
              </w:rPr>
              <w:t>First Lien Secured Debt—78.6%</w:t>
            </w: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9.81%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21,358,192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21,057,856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21,384,889</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American Insulated Glass,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12/21/2023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7.98%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31,200,000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30,580,416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30,576,000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12/21/2023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1,350,649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02/01/2024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L+575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14,887,500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14,749,371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14,738,625</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2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10.02%</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19,354,443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12/02/2022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31,515,152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31,516,838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31,515,152</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Cano Health, LLC</w:t>
            </w:r>
          </w:p>
        </w:tc>
        <w:tc>
          <w:tcPr>
            <w:tcW w:w="920" w:type="dxa"/>
            <w:vAlign w:val="bottom"/>
          </w:tcPr>
          <w:p>
            <w:pPr>
              <w:ind w:left="120"/>
              <w:spacing w:after="0"/>
              <w:rPr>
                <w:sz w:val="20"/>
                <w:szCs w:val="20"/>
                <w:color w:val="auto"/>
              </w:rPr>
            </w:pPr>
            <w:r>
              <w:rPr>
                <w:rFonts w:ascii="Arial" w:cs="Arial" w:eastAsia="Arial" w:hAnsi="Arial"/>
                <w:sz w:val="12"/>
                <w:szCs w:val="12"/>
                <w:color w:val="auto"/>
              </w:rPr>
              <w:t>12/23/2021</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37,358,331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36,817,568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37,358,331</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DermaRite Industries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9.52%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9"/>
              </w:rPr>
              <w:t>9,825,000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9,720,195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9,557,457</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Deva Holdings, Inc.</w:t>
            </w:r>
          </w:p>
        </w:tc>
        <w:tc>
          <w:tcPr>
            <w:tcW w:w="920" w:type="dxa"/>
            <w:vAlign w:val="bottom"/>
          </w:tcPr>
          <w:p>
            <w:pPr>
              <w:ind w:left="120"/>
              <w:spacing w:after="0"/>
              <w:rPr>
                <w:sz w:val="20"/>
                <w:szCs w:val="20"/>
                <w:color w:val="auto"/>
              </w:rPr>
            </w:pPr>
            <w:r>
              <w:rPr>
                <w:rFonts w:ascii="Arial" w:cs="Arial" w:eastAsia="Arial" w:hAnsi="Arial"/>
                <w:sz w:val="12"/>
                <w:szCs w:val="12"/>
                <w:color w:val="auto"/>
              </w:rPr>
              <w:t>10/31/2023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8.77%</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4,520,316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4,446,372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4,520,316</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7"/>
              </w:rPr>
              <w:t>385,000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2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19,400,776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18,728,146</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06/27/2023</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27,410,052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27,221,921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27,273,002</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Juniper Landscaping of Florida, LLC</w:t>
            </w:r>
          </w:p>
        </w:tc>
        <w:tc>
          <w:tcPr>
            <w:tcW w:w="920" w:type="dxa"/>
            <w:vAlign w:val="bottom"/>
          </w:tcPr>
          <w:p>
            <w:pPr>
              <w:ind w:left="120"/>
              <w:spacing w:after="0"/>
              <w:rPr>
                <w:sz w:val="20"/>
                <w:szCs w:val="20"/>
                <w:color w:val="auto"/>
              </w:rPr>
            </w:pPr>
            <w:r>
              <w:rPr>
                <w:rFonts w:ascii="Arial" w:cs="Arial" w:eastAsia="Arial" w:hAnsi="Arial"/>
                <w:sz w:val="12"/>
                <w:szCs w:val="12"/>
                <w:color w:val="auto"/>
              </w:rPr>
              <w:t>12/22/2021</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11.85%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14,171,119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13,977,311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14,171,119</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K2 Pure Solutions NoCal, L.P.</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12/20/2023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L+525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27,133,333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26,727,301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26,726,333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K2 Pure Solutions NoCal, L.P. (Revolver)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12/20/2023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1,938,095</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8.77%</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22,110,425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21,729,644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22,110,425</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Ox Two, LLC (Revolver)</w:t>
            </w:r>
          </w:p>
        </w:tc>
        <w:tc>
          <w:tcPr>
            <w:tcW w:w="920" w:type="dxa"/>
            <w:vAlign w:val="bottom"/>
          </w:tcPr>
          <w:p>
            <w:pPr>
              <w:ind w:left="120"/>
              <w:spacing w:after="0"/>
              <w:rPr>
                <w:sz w:val="20"/>
                <w:szCs w:val="20"/>
                <w:color w:val="auto"/>
              </w:rPr>
            </w:pPr>
            <w:r>
              <w:rPr>
                <w:rFonts w:ascii="Arial" w:cs="Arial" w:eastAsia="Arial" w:hAnsi="Arial"/>
                <w:sz w:val="12"/>
                <w:szCs w:val="12"/>
                <w:color w:val="auto"/>
              </w:rPr>
              <w:t>02/27/2023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12.75%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center"/>
              <w:ind w:left="22"/>
              <w:spacing w:after="0"/>
              <w:rPr>
                <w:sz w:val="20"/>
                <w:szCs w:val="20"/>
                <w:color w:val="auto"/>
              </w:rPr>
            </w:pPr>
            <w:r>
              <w:rPr>
                <w:rFonts w:ascii="Arial" w:cs="Arial" w:eastAsia="Arial" w:hAnsi="Arial"/>
                <w:sz w:val="12"/>
                <w:szCs w:val="12"/>
                <w:color w:val="auto"/>
                <w:w w:val="87"/>
              </w:rPr>
              <w:t>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9"/>
              </w:rPr>
              <w:t>1,750,000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Peninsula Pacific Entertainment LLC</w:t>
            </w:r>
          </w:p>
        </w:tc>
        <w:tc>
          <w:tcPr>
            <w:tcW w:w="920" w:type="dxa"/>
            <w:vAlign w:val="bottom"/>
          </w:tcPr>
          <w:p>
            <w:pPr>
              <w:ind w:left="120"/>
              <w:spacing w:after="0"/>
              <w:rPr>
                <w:sz w:val="20"/>
                <w:szCs w:val="20"/>
                <w:color w:val="auto"/>
              </w:rPr>
            </w:pPr>
            <w:r>
              <w:rPr>
                <w:rFonts w:ascii="Arial" w:cs="Arial" w:eastAsia="Arial" w:hAnsi="Arial"/>
                <w:sz w:val="12"/>
                <w:szCs w:val="12"/>
                <w:color w:val="auto"/>
              </w:rPr>
              <w:t>11/13/2024</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L+725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7,200,000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7,183,125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7,128,000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Peninsula Pacific Entertainment LLC </w:t>
            </w:r>
            <w:r>
              <w:rPr>
                <w:rFonts w:ascii="Arial" w:cs="Arial" w:eastAsia="Arial" w:hAnsi="Arial"/>
                <w:sz w:val="9"/>
                <w:szCs w:val="9"/>
                <w:color w:val="auto"/>
              </w:rPr>
              <w:t>(7)</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11/13/2024</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7"/>
              </w:rPr>
              <w:t>800,000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(8,000)</w:t>
            </w: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Pestell Minerals and Ingredients Inc. </w:t>
            </w:r>
            <w:r>
              <w:rPr>
                <w:rFonts w:ascii="Arial" w:cs="Arial" w:eastAsia="Arial" w:hAnsi="Arial"/>
                <w:sz w:val="9"/>
                <w:szCs w:val="9"/>
                <w:color w:val="auto"/>
              </w:rPr>
              <w:t>(11)</w:t>
            </w:r>
          </w:p>
        </w:tc>
        <w:tc>
          <w:tcPr>
            <w:tcW w:w="920" w:type="dxa"/>
            <w:vAlign w:val="bottom"/>
          </w:tcPr>
          <w:p>
            <w:pPr>
              <w:ind w:left="120"/>
              <w:spacing w:after="0"/>
              <w:rPr>
                <w:sz w:val="20"/>
                <w:szCs w:val="20"/>
                <w:color w:val="auto"/>
              </w:rPr>
            </w:pPr>
            <w:r>
              <w:rPr>
                <w:rFonts w:ascii="Arial" w:cs="Arial" w:eastAsia="Arial" w:hAnsi="Arial"/>
                <w:sz w:val="12"/>
                <w:szCs w:val="12"/>
                <w:color w:val="auto"/>
              </w:rPr>
              <w:t>06/01/2023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7.68%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L+525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5,500,000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5,445,567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5,422,576</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Provation Medical,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03/11/2024</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9.42%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27,000,000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26,396,785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26,392,500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Questex, LLC</w:t>
            </w:r>
          </w:p>
        </w:tc>
        <w:tc>
          <w:tcPr>
            <w:tcW w:w="92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9.02%</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22,443,750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22,016,571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21,994,875</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Questex, LLC (Revolver)</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09/09/2024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7"/>
              </w:rPr>
              <w:t>598,404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586,436</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2,992,021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(59,841)</w:t>
            </w: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8.60%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22,359,375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21,955,122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21,800,390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(228,041)</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8.60%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2"/>
              </w:rPr>
              <w:t>810,811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810,811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790,541</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3,243,243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(81,081)</w:t>
            </w: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20,227,284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19,982,458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20,227,284</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5,506,214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 (Revolver)</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center"/>
              <w:ind w:left="22"/>
              <w:spacing w:after="0"/>
              <w:rPr>
                <w:sz w:val="20"/>
                <w:szCs w:val="20"/>
                <w:color w:val="auto"/>
              </w:rPr>
            </w:pPr>
            <w:r>
              <w:rPr>
                <w:rFonts w:ascii="Arial" w:cs="Arial" w:eastAsia="Arial" w:hAnsi="Arial"/>
                <w:sz w:val="12"/>
                <w:szCs w:val="12"/>
                <w:color w:val="auto"/>
                <w:w w:val="87"/>
              </w:rPr>
              <w:t>833,333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2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1,666,667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15.77%</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L+1,325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22,099,213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21,885,003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21,325,740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US Dominion, Inc.</w:t>
            </w:r>
          </w:p>
        </w:tc>
        <w:tc>
          <w:tcPr>
            <w:tcW w:w="920" w:type="dxa"/>
            <w:vAlign w:val="bottom"/>
          </w:tcPr>
          <w:p>
            <w:pPr>
              <w:ind w:left="120"/>
              <w:spacing w:after="0"/>
              <w:rPr>
                <w:sz w:val="20"/>
                <w:szCs w:val="20"/>
                <w:color w:val="auto"/>
              </w:rPr>
            </w:pPr>
            <w:r>
              <w:rPr>
                <w:rFonts w:ascii="Arial" w:cs="Arial" w:eastAsia="Arial" w:hAnsi="Arial"/>
                <w:sz w:val="12"/>
                <w:szCs w:val="12"/>
                <w:color w:val="auto"/>
              </w:rPr>
              <w:t>07/15/2024</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29,850,000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29,358,834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29,850,000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07/15/2024</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9"/>
              </w:rPr>
              <w:t>7,500,000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US Med Acquisition, Inc.</w:t>
            </w:r>
          </w:p>
        </w:tc>
        <w:tc>
          <w:tcPr>
            <w:tcW w:w="920" w:type="dxa"/>
            <w:vAlign w:val="bottom"/>
          </w:tcPr>
          <w:p>
            <w:pPr>
              <w:ind w:left="120"/>
              <w:spacing w:after="0"/>
              <w:rPr>
                <w:sz w:val="20"/>
                <w:szCs w:val="20"/>
                <w:color w:val="auto"/>
              </w:rPr>
            </w:pPr>
            <w:r>
              <w:rPr>
                <w:rFonts w:ascii="Arial" w:cs="Arial" w:eastAsia="Arial" w:hAnsi="Arial"/>
                <w:sz w:val="12"/>
                <w:szCs w:val="12"/>
                <w:color w:val="auto"/>
              </w:rPr>
              <w:t>08/13/2021</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11.80%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9"/>
              </w:rPr>
              <w:t>8,454,688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8,454,688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8,031,952</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Walker Edison Furniture Company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09/26/2024</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Home and Office Furnishings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8.88%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22,065,139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Whitney, Bradley &amp; Brown, Inc.</w:t>
            </w:r>
          </w:p>
        </w:tc>
        <w:tc>
          <w:tcPr>
            <w:tcW w:w="92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10/18/2022</w:t>
            </w:r>
          </w:p>
        </w:tc>
        <w:tc>
          <w:tcPr>
            <w:tcW w:w="26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11.53%</w:t>
            </w:r>
          </w:p>
        </w:tc>
        <w:tc>
          <w:tcPr>
            <w:tcW w:w="11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Borders>
              <w:bottom w:val="single" w:sz="8" w:color="CCECFF"/>
            </w:tcBorders>
          </w:tcPr>
          <w:p>
            <w:pPr>
              <w:jc w:val="center"/>
              <w:ind w:left="42"/>
              <w:spacing w:after="0"/>
              <w:rPr>
                <w:sz w:val="20"/>
                <w:szCs w:val="20"/>
                <w:color w:val="auto"/>
              </w:rPr>
            </w:pPr>
            <w:r>
              <w:rPr>
                <w:rFonts w:ascii="Arial" w:cs="Arial" w:eastAsia="Arial" w:hAnsi="Arial"/>
                <w:sz w:val="12"/>
                <w:szCs w:val="12"/>
                <w:color w:val="auto"/>
                <w:w w:val="86"/>
              </w:rPr>
              <w:t>19,183,125</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18,874,578</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19,183,125</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483,910,430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484,232,914</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Second Lien Secured Debt—65.5%</w:t>
            </w: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Condor Borrower,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04/25/2025</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12,500,000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12,277,984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Confie Seguros Holding Co.</w:t>
            </w:r>
          </w:p>
        </w:tc>
        <w:tc>
          <w:tcPr>
            <w:tcW w:w="920" w:type="dxa"/>
            <w:vAlign w:val="bottom"/>
          </w:tcPr>
          <w:p>
            <w:pPr>
              <w:ind w:left="120"/>
              <w:spacing w:after="0"/>
              <w:rPr>
                <w:sz w:val="20"/>
                <w:szCs w:val="20"/>
                <w:color w:val="auto"/>
              </w:rPr>
            </w:pPr>
            <w:r>
              <w:rPr>
                <w:rFonts w:ascii="Arial" w:cs="Arial" w:eastAsia="Arial" w:hAnsi="Arial"/>
                <w:sz w:val="12"/>
                <w:szCs w:val="12"/>
                <w:color w:val="auto"/>
              </w:rPr>
              <w:t>10/31/2025</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11.24%</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14,500,000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14,211,122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14,040,785</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03/31/2025</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22,619,598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Halo Buyer, Inc.</w:t>
            </w:r>
          </w:p>
        </w:tc>
        <w:tc>
          <w:tcPr>
            <w:tcW w:w="920" w:type="dxa"/>
            <w:vAlign w:val="bottom"/>
          </w:tcPr>
          <w:p>
            <w:pPr>
              <w:ind w:left="120"/>
              <w:spacing w:after="0"/>
              <w:rPr>
                <w:sz w:val="20"/>
                <w:szCs w:val="20"/>
                <w:color w:val="auto"/>
              </w:rPr>
            </w:pPr>
            <w:r>
              <w:rPr>
                <w:rFonts w:ascii="Arial" w:cs="Arial" w:eastAsia="Arial" w:hAnsi="Arial"/>
                <w:sz w:val="12"/>
                <w:szCs w:val="12"/>
                <w:color w:val="auto"/>
              </w:rPr>
              <w:t>07/06/2026</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10.77%</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45,000,000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44,337,844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04/03/2024</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20,068,042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20" w:type="dxa"/>
            <w:vAlign w:val="bottom"/>
          </w:tcPr>
          <w:p>
            <w:pPr>
              <w:ind w:left="120"/>
              <w:spacing w:after="0"/>
              <w:rPr>
                <w:sz w:val="20"/>
                <w:szCs w:val="20"/>
                <w:color w:val="auto"/>
              </w:rPr>
            </w:pPr>
            <w:r>
              <w:rPr>
                <w:rFonts w:ascii="Arial" w:cs="Arial" w:eastAsia="Arial" w:hAnsi="Arial"/>
                <w:sz w:val="12"/>
                <w:szCs w:val="12"/>
                <w:color w:val="auto"/>
              </w:rPr>
              <w:t>11/30/2026</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11.21%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20,769,231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20,474,544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20,561,538</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Integrity Marketing Partners, LLC </w:t>
            </w:r>
            <w:r>
              <w:rPr>
                <w:rFonts w:ascii="Arial" w:cs="Arial" w:eastAsia="Arial" w:hAnsi="Arial"/>
                <w:sz w:val="9"/>
                <w:szCs w:val="9"/>
                <w:color w:val="auto"/>
              </w:rPr>
              <w:t>(7)</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11/30/2026</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Insurance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9"/>
              </w:rPr>
              <w:t>2,373,626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(23,736)</w:t>
            </w: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20" w:type="dxa"/>
            <w:vAlign w:val="bottom"/>
          </w:tcPr>
          <w:p>
            <w:pPr>
              <w:ind w:left="120"/>
              <w:spacing w:after="0"/>
              <w:rPr>
                <w:sz w:val="20"/>
                <w:szCs w:val="20"/>
                <w:color w:val="auto"/>
              </w:rPr>
            </w:pPr>
            <w:r>
              <w:rPr>
                <w:rFonts w:ascii="Arial" w:cs="Arial" w:eastAsia="Arial" w:hAnsi="Arial"/>
                <w:sz w:val="12"/>
                <w:szCs w:val="12"/>
                <w:color w:val="auto"/>
              </w:rPr>
              <w:t>03/01/2019</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center"/>
              <w:ind w:left="22"/>
              <w:spacing w:after="0"/>
              <w:rPr>
                <w:sz w:val="20"/>
                <w:szCs w:val="20"/>
                <w:color w:val="auto"/>
              </w:rPr>
            </w:pPr>
            <w:r>
              <w:rPr>
                <w:rFonts w:ascii="Arial" w:cs="Arial" w:eastAsia="Arial" w:hAnsi="Arial"/>
                <w:sz w:val="12"/>
                <w:szCs w:val="12"/>
                <w:color w:val="auto"/>
                <w:w w:val="87"/>
              </w:rPr>
              <w:t>481,052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468,352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481,052</w:t>
            </w:r>
          </w:p>
        </w:tc>
        <w:tc>
          <w:tcPr>
            <w:tcW w:w="100" w:type="dxa"/>
            <w:vAlign w:val="bottom"/>
          </w:tcPr>
          <w:p>
            <w:pPr>
              <w:spacing w:after="0"/>
              <w:rPr>
                <w:sz w:val="13"/>
                <w:szCs w:val="13"/>
                <w:color w:val="auto"/>
              </w:rPr>
            </w:pPr>
          </w:p>
        </w:tc>
      </w:tr>
      <w:tr>
        <w:trPr>
          <w:trHeight w:val="141"/>
        </w:trPr>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color w:val="auto"/>
              </w:rPr>
              <w:t>(PIK 11.00%)</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10/23/2024</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6M L+925</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48,425,000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47,511,267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MBS Holdings, Inc.</w:t>
            </w:r>
          </w:p>
        </w:tc>
        <w:tc>
          <w:tcPr>
            <w:tcW w:w="920" w:type="dxa"/>
            <w:vAlign w:val="bottom"/>
          </w:tcPr>
          <w:p>
            <w:pPr>
              <w:ind w:left="120"/>
              <w:spacing w:after="0"/>
              <w:rPr>
                <w:sz w:val="20"/>
                <w:szCs w:val="20"/>
                <w:color w:val="auto"/>
              </w:rPr>
            </w:pPr>
            <w:r>
              <w:rPr>
                <w:rFonts w:ascii="Arial" w:cs="Arial" w:eastAsia="Arial" w:hAnsi="Arial"/>
                <w:sz w:val="12"/>
                <w:szCs w:val="12"/>
                <w:color w:val="auto"/>
              </w:rPr>
              <w:t>01/02/2024</w:t>
            </w:r>
          </w:p>
        </w:tc>
        <w:tc>
          <w:tcPr>
            <w:tcW w:w="268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15,000,000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14,720,490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12/17/2021</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14.80%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76,500,000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83,062,990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PT Network, LLC</w:t>
            </w:r>
          </w:p>
        </w:tc>
        <w:tc>
          <w:tcPr>
            <w:tcW w:w="920" w:type="dxa"/>
            <w:vAlign w:val="bottom"/>
          </w:tcPr>
          <w:p>
            <w:pPr>
              <w:ind w:left="120"/>
              <w:spacing w:after="0"/>
              <w:rPr>
                <w:sz w:val="20"/>
                <w:szCs w:val="20"/>
                <w:color w:val="auto"/>
              </w:rPr>
            </w:pPr>
            <w:r>
              <w:rPr>
                <w:rFonts w:ascii="Arial" w:cs="Arial" w:eastAsia="Arial" w:hAnsi="Arial"/>
                <w:sz w:val="12"/>
                <w:szCs w:val="12"/>
                <w:color w:val="auto"/>
              </w:rPr>
              <w:t>04/12/2023</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12.43%</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41,666,667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40,989,222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41,041,667</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Shift4 Payments, LLC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11/28/2025</w:t>
            </w:r>
          </w:p>
        </w:tc>
        <w:tc>
          <w:tcPr>
            <w:tcW w:w="26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11.03%</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37,000,000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36,844,123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36,722,500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VT Topco, Inc.</w:t>
            </w:r>
          </w:p>
        </w:tc>
        <w:tc>
          <w:tcPr>
            <w:tcW w:w="920" w:type="dxa"/>
            <w:vAlign w:val="bottom"/>
          </w:tcPr>
          <w:p>
            <w:pPr>
              <w:ind w:left="120"/>
              <w:spacing w:after="0"/>
              <w:rPr>
                <w:sz w:val="20"/>
                <w:szCs w:val="20"/>
                <w:color w:val="auto"/>
              </w:rPr>
            </w:pPr>
            <w:r>
              <w:rPr>
                <w:rFonts w:ascii="Arial" w:cs="Arial" w:eastAsia="Arial" w:hAnsi="Arial"/>
                <w:sz w:val="12"/>
                <w:szCs w:val="12"/>
                <w:color w:val="auto"/>
              </w:rPr>
              <w:t>08/24/2026</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9.80%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tcPr>
          <w:p>
            <w:pPr>
              <w:jc w:val="center"/>
              <w:ind w:left="42"/>
              <w:spacing w:after="0"/>
              <w:rPr>
                <w:sz w:val="20"/>
                <w:szCs w:val="20"/>
                <w:color w:val="auto"/>
              </w:rPr>
            </w:pPr>
            <w:r>
              <w:rPr>
                <w:rFonts w:ascii="Arial" w:cs="Arial" w:eastAsia="Arial" w:hAnsi="Arial"/>
                <w:sz w:val="12"/>
                <w:szCs w:val="12"/>
                <w:color w:val="auto"/>
                <w:w w:val="86"/>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12,437,500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Winter Park Intermediate, Inc.</w:t>
            </w:r>
          </w:p>
        </w:tc>
        <w:tc>
          <w:tcPr>
            <w:tcW w:w="9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04/06/2026</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Auto Sector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center"/>
              <w:ind w:left="42"/>
              <w:spacing w:after="0"/>
              <w:rPr>
                <w:sz w:val="20"/>
                <w:szCs w:val="20"/>
                <w:color w:val="auto"/>
              </w:rPr>
            </w:pPr>
            <w:r>
              <w:rPr>
                <w:rFonts w:ascii="Arial" w:cs="Arial" w:eastAsia="Arial" w:hAnsi="Arial"/>
                <w:sz w:val="12"/>
                <w:szCs w:val="12"/>
                <w:color w:val="auto"/>
                <w:w w:val="86"/>
              </w:rPr>
              <w:t>32,800,000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32,186,662</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32,472,000</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395,646,750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403,170,805</w:t>
            </w:r>
          </w:p>
        </w:tc>
        <w:tc>
          <w:tcPr>
            <w:tcW w:w="100" w:type="dxa"/>
            <w:vAlign w:val="bottom"/>
          </w:tcPr>
          <w:p>
            <w:pPr>
              <w:spacing w:after="0"/>
              <w:rPr>
                <w:sz w:val="12"/>
                <w:szCs w:val="12"/>
                <w:color w:val="auto"/>
              </w:rPr>
            </w:pPr>
          </w:p>
        </w:tc>
      </w:tr>
      <w:tr>
        <w:trPr>
          <w:trHeight w:val="142"/>
        </w:trPr>
        <w:tc>
          <w:tcPr>
            <w:tcW w:w="29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Notes—7.8%</w:t>
            </w:r>
          </w:p>
        </w:tc>
        <w:tc>
          <w:tcPr>
            <w:tcW w:w="920" w:type="dxa"/>
            <w:vAlign w:val="bottom"/>
            <w:tcBorders>
              <w:top w:val="single" w:sz="8" w:color="CCECFF"/>
            </w:tcBorders>
            <w:shd w:val="clear" w:color="auto" w:fill="CCECFF"/>
          </w:tcPr>
          <w:p>
            <w:pPr>
              <w:spacing w:after="0"/>
              <w:rPr>
                <w:sz w:val="12"/>
                <w:szCs w:val="12"/>
                <w:color w:val="auto"/>
              </w:rPr>
            </w:pPr>
          </w:p>
        </w:tc>
        <w:tc>
          <w:tcPr>
            <w:tcW w:w="256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Blackhawk Industrial Distribution, Inc.</w:t>
            </w:r>
          </w:p>
        </w:tc>
        <w:tc>
          <w:tcPr>
            <w:tcW w:w="920" w:type="dxa"/>
            <w:vAlign w:val="bottom"/>
          </w:tcPr>
          <w:p>
            <w:pPr>
              <w:ind w:left="120"/>
              <w:spacing w:after="0"/>
              <w:rPr>
                <w:sz w:val="20"/>
                <w:szCs w:val="20"/>
                <w:color w:val="auto"/>
              </w:rPr>
            </w:pPr>
            <w:r>
              <w:rPr>
                <w:rFonts w:ascii="Arial" w:cs="Arial" w:eastAsia="Arial" w:hAnsi="Arial"/>
                <w:sz w:val="12"/>
                <w:szCs w:val="12"/>
                <w:color w:val="auto"/>
              </w:rPr>
              <w:t>03/17/2025</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13,569,534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13,307,183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13,569,534</w:t>
            </w:r>
          </w:p>
        </w:tc>
        <w:tc>
          <w:tcPr>
            <w:tcW w:w="100" w:type="dxa"/>
            <w:vAlign w:val="bottom"/>
          </w:tcPr>
          <w:p>
            <w:pPr>
              <w:spacing w:after="0"/>
              <w:rPr>
                <w:sz w:val="13"/>
                <w:szCs w:val="13"/>
                <w:color w:val="auto"/>
              </w:rPr>
            </w:pPr>
          </w:p>
        </w:tc>
      </w:tr>
      <w:tr>
        <w:trPr>
          <w:trHeight w:val="141"/>
        </w:trPr>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2.00%)</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20" w:type="dxa"/>
            <w:vAlign w:val="bottom"/>
            <w:tcBorders>
              <w:bottom w:val="single" w:sz="8" w:color="CCECFF"/>
            </w:tcBorders>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680" w:type="dxa"/>
            <w:vAlign w:val="bottom"/>
            <w:tcBorders>
              <w:bottom w:val="single" w:sz="8" w:color="CCECFF"/>
            </w:tcBorders>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11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2"/>
                <w:szCs w:val="12"/>
                <w:color w:val="auto"/>
              </w:rPr>
              <w:t>36,955,649</w:t>
            </w:r>
          </w:p>
        </w:tc>
        <w:tc>
          <w:tcPr>
            <w:tcW w:w="240" w:type="dxa"/>
            <w:vAlign w:val="bottom"/>
            <w:tcBorders>
              <w:bottom w:val="single" w:sz="8" w:color="CCECFF"/>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36,580,410</w:t>
            </w:r>
          </w:p>
        </w:tc>
        <w:tc>
          <w:tcPr>
            <w:tcW w:w="240" w:type="dxa"/>
            <w:vAlign w:val="bottom"/>
            <w:tcBorders>
              <w:bottom w:val="single" w:sz="8" w:color="CCECFF"/>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34,553,533</w:t>
            </w:r>
          </w:p>
        </w:tc>
        <w:tc>
          <w:tcPr>
            <w:tcW w:w="100" w:type="dxa"/>
            <w:vAlign w:val="bottom"/>
            <w:tcBorders>
              <w:bottom w:val="single" w:sz="8" w:color="CCECFF"/>
            </w:tcBorders>
            <w:shd w:val="clear" w:color="auto" w:fill="CCECFF"/>
          </w:tcPr>
          <w:p>
            <w:pPr>
              <w:spacing w:after="0"/>
              <w:rPr>
                <w:sz w:val="12"/>
                <w:szCs w:val="12"/>
                <w:color w:val="auto"/>
              </w:rPr>
            </w:pPr>
          </w:p>
        </w:tc>
      </w:tr>
      <w:tr>
        <w:trPr>
          <w:trHeight w:val="142"/>
        </w:trPr>
        <w:tc>
          <w:tcPr>
            <w:tcW w:w="292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rPr>
              <w:t>(PIK 13.00%)</w:t>
            </w: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49,887,593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48,123,067</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Interests—0.3% </w:t>
            </w:r>
            <w:r>
              <w:rPr>
                <w:rFonts w:ascii="Arial" w:cs="Arial" w:eastAsia="Arial" w:hAnsi="Arial"/>
                <w:sz w:val="9"/>
                <w:szCs w:val="9"/>
                <w:b w:val="1"/>
                <w:bCs w:val="1"/>
                <w:color w:val="auto"/>
              </w:rPr>
              <w:t>(6)</w:t>
            </w: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462,602</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584,633</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20" w:type="dxa"/>
            <w:vAlign w:val="bottom"/>
            <w:shd w:val="clear" w:color="auto" w:fill="CCECFF"/>
          </w:tcPr>
          <w:p>
            <w:pPr>
              <w:spacing w:after="0"/>
              <w:rPr>
                <w:sz w:val="12"/>
                <w:szCs w:val="12"/>
                <w:color w:val="auto"/>
              </w:rPr>
            </w:pPr>
          </w:p>
        </w:tc>
        <w:tc>
          <w:tcPr>
            <w:tcW w:w="25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20" w:type="dxa"/>
            <w:vAlign w:val="bottom"/>
          </w:tcPr>
          <w:p>
            <w:pPr>
              <w:ind w:left="380"/>
              <w:spacing w:after="0"/>
              <w:rPr>
                <w:sz w:val="20"/>
                <w:szCs w:val="20"/>
                <w:color w:val="auto"/>
              </w:rPr>
            </w:pPr>
            <w:r>
              <w:rPr>
                <w:rFonts w:ascii="Arial" w:cs="Arial" w:eastAsia="Arial" w:hAnsi="Arial"/>
                <w:sz w:val="12"/>
                <w:szCs w:val="12"/>
                <w:color w:val="auto"/>
              </w:rPr>
              <w:t>—</w:t>
            </w:r>
          </w:p>
        </w:tc>
        <w:tc>
          <w:tcPr>
            <w:tcW w:w="2680" w:type="dxa"/>
            <w:vAlign w:val="bottom"/>
            <w:gridSpan w:val="2"/>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68,981</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6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527,701</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1,602,750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1,643,917</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9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Expiration</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Industry</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Coupon</w:t>
            </w: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Interests/Warrants—8.5% </w:t>
            </w:r>
            <w:r>
              <w:rPr>
                <w:rFonts w:ascii="Arial" w:cs="Arial" w:eastAsia="Arial" w:hAnsi="Arial"/>
                <w:sz w:val="9"/>
                <w:szCs w:val="9"/>
                <w:b w:val="1"/>
                <w:bCs w:val="1"/>
                <w:color w:val="auto"/>
                <w:w w:val="91"/>
              </w:rPr>
              <w:t>(6)</w:t>
            </w:r>
          </w:p>
        </w:tc>
        <w:tc>
          <w:tcPr>
            <w:tcW w:w="960" w:type="dxa"/>
            <w:vAlign w:val="bottom"/>
            <w:tcBorders>
              <w:top w:val="single" w:sz="8" w:color="auto"/>
            </w:tcBorders>
            <w:shd w:val="clear" w:color="auto" w:fill="CCECFF"/>
          </w:tcPr>
          <w:p>
            <w:pPr>
              <w:spacing w:after="0"/>
              <w:rPr>
                <w:sz w:val="12"/>
                <w:szCs w:val="12"/>
                <w:color w:val="auto"/>
              </w:rPr>
            </w:pPr>
          </w:p>
        </w:tc>
        <w:tc>
          <w:tcPr>
            <w:tcW w:w="24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40"/>
              <w:spacing w:after="0"/>
              <w:rPr>
                <w:sz w:val="20"/>
                <w:szCs w:val="20"/>
                <w:color w:val="auto"/>
              </w:rPr>
            </w:pPr>
            <w:r>
              <w:rPr>
                <w:rFonts w:ascii="Arial" w:cs="Arial" w:eastAsia="Arial" w:hAnsi="Arial"/>
                <w:sz w:val="12"/>
                <w:szCs w:val="12"/>
                <w:color w:val="auto"/>
              </w:rPr>
              <w:t>03/23/2021</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(9)</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650,000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AG Investco LP </w:t>
            </w:r>
            <w:r>
              <w:rPr>
                <w:rFonts w:ascii="Arial" w:cs="Arial" w:eastAsia="Arial" w:hAnsi="Arial"/>
                <w:sz w:val="9"/>
                <w:szCs w:val="9"/>
                <w:color w:val="auto"/>
              </w:rPr>
              <w:t>(7), (9)</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shd w:val="clear" w:color="auto" w:fill="CCECFF"/>
          </w:tcPr>
          <w:p>
            <w:pPr>
              <w:ind w:left="40"/>
              <w:spacing w:after="0"/>
              <w:rPr>
                <w:sz w:val="20"/>
                <w:szCs w:val="20"/>
                <w:color w:val="auto"/>
              </w:rPr>
            </w:pPr>
            <w:r>
              <w:rPr>
                <w:rFonts w:ascii="Arial" w:cs="Arial" w:eastAsia="Arial" w:hAnsi="Arial"/>
                <w:sz w:val="12"/>
                <w:szCs w:val="12"/>
                <w:color w:val="auto"/>
              </w:rPr>
              <w:t>05/05/2026</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Education</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1,866,067</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Autumn Games, LLC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Broadcasting and Entertainment</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Cardinal Logistics Holdings LLC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Cargo Transport</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3,611,080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520,736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112,001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1,153,614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1,312,852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Buildings and Real Estate</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1,287,386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Cowboy Parent LLC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2,535,289</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(Blackhawk Industrial Distribution, Inc.)</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5,212,753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1,004,625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1,012,082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1,177,113</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Go Dawgs Capital III, LP</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675,325</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675,325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675,325</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(American Insulated Glass, LLC)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Green Veracity Holdings, LP - Class A</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1,308,318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(VT Topco, Inc.)</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Other Media</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1,940,195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3,839,997</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JWC-WE Holdings, L.P.</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Home and Office Furnishings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1,906,433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1,906,433</w:t>
            </w:r>
          </w:p>
        </w:tc>
        <w:tc>
          <w:tcPr>
            <w:tcW w:w="100" w:type="dxa"/>
            <w:vAlign w:val="bottom"/>
          </w:tcPr>
          <w:p>
            <w:pPr>
              <w:spacing w:after="0"/>
              <w:rPr>
                <w:sz w:val="13"/>
                <w:szCs w:val="13"/>
                <w:color w:val="auto"/>
              </w:rPr>
            </w:pPr>
          </w:p>
        </w:tc>
      </w:tr>
      <w:tr>
        <w:trPr>
          <w:trHeight w:val="142"/>
        </w:trPr>
        <w:tc>
          <w:tcPr>
            <w:tcW w:w="3000" w:type="dxa"/>
            <w:vAlign w:val="bottom"/>
          </w:tcPr>
          <w:p>
            <w:pPr>
              <w:ind w:left="140"/>
              <w:spacing w:after="0"/>
              <w:rPr>
                <w:sz w:val="20"/>
                <w:szCs w:val="20"/>
                <w:color w:val="auto"/>
              </w:rPr>
            </w:pPr>
            <w:r>
              <w:rPr>
                <w:rFonts w:ascii="Arial" w:cs="Arial" w:eastAsia="Arial" w:hAnsi="Arial"/>
                <w:sz w:val="12"/>
                <w:szCs w:val="12"/>
                <w:color w:val="auto"/>
              </w:rPr>
              <w:t>(Walker Edison Furniture Company LLC)</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524,189</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Distribution</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686,222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495,249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495,249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623,125</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Electronics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Class A (US Dominion, Inc.)</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Electronics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552,896</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B (US Dominion, Inc.)</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U.S. Well Services, Inc. - Class A </w:t>
            </w:r>
            <w:r>
              <w:rPr>
                <w:rFonts w:ascii="Arial" w:cs="Arial" w:eastAsia="Arial" w:hAnsi="Arial"/>
                <w:sz w:val="9"/>
                <w:szCs w:val="9"/>
                <w:color w:val="auto"/>
              </w:rPr>
              <w:t>(11), (12)</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81,383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813,830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528,990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USWS Holdings, LLC </w:t>
            </w:r>
            <w:r>
              <w:rPr>
                <w:rFonts w:ascii="Arial" w:cs="Arial" w:eastAsia="Arial" w:hAnsi="Arial"/>
                <w:sz w:val="9"/>
                <w:szCs w:val="9"/>
                <w:color w:val="auto"/>
              </w:rPr>
              <w:t>(9), (11)</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1,188,368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11,883,680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6,372,623</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WBB Equity, LLC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1,269,714</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Wheel Pros Holdings, L.P.</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Auto Sector</w:t>
            </w: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5,592,775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(Winter Park Intermediate, Inc.)</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Personal, Food and Miscellaneous Services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839,016</w:t>
            </w:r>
          </w:p>
        </w:tc>
        <w:tc>
          <w:tcPr>
            <w:tcW w:w="100" w:type="dxa"/>
            <w:vAlign w:val="bottom"/>
          </w:tcPr>
          <w:p>
            <w:pPr>
              <w:spacing w:after="0"/>
              <w:rPr>
                <w:sz w:val="13"/>
                <w:szCs w:val="13"/>
                <w:color w:val="auto"/>
              </w:rPr>
            </w:pPr>
          </w:p>
        </w:tc>
      </w:tr>
      <w:tr>
        <w:trPr>
          <w:trHeight w:val="141"/>
        </w:trPr>
        <w:tc>
          <w:tcPr>
            <w:tcW w:w="300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56,881,982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52,345,176</w:t>
            </w:r>
          </w:p>
        </w:tc>
        <w:tc>
          <w:tcPr>
            <w:tcW w:w="100" w:type="dxa"/>
            <w:vAlign w:val="bottom"/>
            <w:shd w:val="clear" w:color="auto" w:fill="CCECFF"/>
          </w:tcPr>
          <w:p>
            <w:pPr>
              <w:spacing w:after="0"/>
              <w:rPr>
                <w:sz w:val="12"/>
                <w:szCs w:val="12"/>
                <w:color w:val="auto"/>
              </w:rPr>
            </w:pPr>
          </w:p>
        </w:tc>
      </w:tr>
      <w:tr>
        <w:trPr>
          <w:trHeight w:val="142"/>
        </w:trPr>
        <w:tc>
          <w:tcPr>
            <w:tcW w:w="39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4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987,929,505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989,515,879</w:t>
            </w:r>
          </w:p>
        </w:tc>
        <w:tc>
          <w:tcPr>
            <w:tcW w:w="100" w:type="dxa"/>
            <w:vAlign w:val="bottom"/>
            <w:tcBorders>
              <w:bottom w:val="single" w:sz="8" w:color="CCECFF"/>
            </w:tcBorders>
          </w:tcPr>
          <w:p>
            <w:pPr>
              <w:spacing w:after="0"/>
              <w:rPr>
                <w:sz w:val="12"/>
                <w:szCs w:val="12"/>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Investments in Non-Controlled, Affiliated Portfolio Companies—8.0% </w:t>
            </w:r>
            <w:r>
              <w:rPr>
                <w:rFonts w:ascii="Arial" w:cs="Arial" w:eastAsia="Arial" w:hAnsi="Arial"/>
                <w:sz w:val="9"/>
                <w:szCs w:val="9"/>
                <w:b w:val="1"/>
                <w:bCs w:val="1"/>
                <w:color w:val="auto"/>
                <w:w w:val="93"/>
              </w:rPr>
              <w:t>(1), (2)</w:t>
            </w: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Equity—1.5% </w:t>
            </w:r>
            <w:r>
              <w:rPr>
                <w:rFonts w:ascii="Arial" w:cs="Arial" w:eastAsia="Arial" w:hAnsi="Arial"/>
                <w:sz w:val="9"/>
                <w:szCs w:val="9"/>
                <w:b w:val="1"/>
                <w:bCs w:val="1"/>
                <w:color w:val="auto"/>
              </w:rPr>
              <w:t>(6)</w:t>
            </w:r>
          </w:p>
        </w:tc>
        <w:tc>
          <w:tcPr>
            <w:tcW w:w="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23,269</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2,326,900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9,307,600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9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2,326,900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9,307,600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Interests/Warrants—6.5% </w:t>
            </w:r>
            <w:r>
              <w:rPr>
                <w:rFonts w:ascii="Arial" w:cs="Arial" w:eastAsia="Arial" w:hAnsi="Arial"/>
                <w:sz w:val="9"/>
                <w:szCs w:val="9"/>
                <w:b w:val="1"/>
                <w:bCs w:val="1"/>
                <w:color w:val="auto"/>
                <w:w w:val="91"/>
              </w:rPr>
              <w:t>(6)</w:t>
            </w:r>
          </w:p>
        </w:tc>
        <w:tc>
          <w:tcPr>
            <w:tcW w:w="960" w:type="dxa"/>
            <w:vAlign w:val="bottom"/>
            <w:shd w:val="clear" w:color="auto" w:fill="CCECFF"/>
          </w:tcPr>
          <w:p>
            <w:pPr>
              <w:spacing w:after="0"/>
              <w:rPr>
                <w:sz w:val="12"/>
                <w:szCs w:val="12"/>
                <w:color w:val="auto"/>
              </w:rPr>
            </w:pP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16,804,236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16,571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60" w:type="dxa"/>
            <w:vAlign w:val="bottom"/>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tcPr>
          <w:p>
            <w:pPr>
              <w:ind w:left="7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21,768,908</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ETX Energy Management Company, LLC</w:t>
            </w:r>
          </w:p>
        </w:tc>
        <w:tc>
          <w:tcPr>
            <w:tcW w:w="960" w:type="dxa"/>
            <w:vAlign w:val="bottom"/>
            <w:shd w:val="clear" w:color="auto" w:fill="CCECFF"/>
          </w:tcPr>
          <w:p>
            <w:pPr>
              <w:ind w:left="300"/>
              <w:spacing w:after="0"/>
              <w:rPr>
                <w:sz w:val="20"/>
                <w:szCs w:val="20"/>
                <w:color w:val="auto"/>
              </w:rPr>
            </w:pPr>
            <w:r>
              <w:rPr>
                <w:rFonts w:ascii="Arial" w:cs="Arial" w:eastAsia="Arial" w:hAnsi="Arial"/>
                <w:sz w:val="12"/>
                <w:szCs w:val="12"/>
                <w:color w:val="auto"/>
              </w:rPr>
              <w:t>—</w:t>
            </w:r>
          </w:p>
        </w:tc>
        <w:tc>
          <w:tcPr>
            <w:tcW w:w="256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880" w:type="dxa"/>
            <w:vAlign w:val="bottom"/>
            <w:gridSpan w:val="2"/>
            <w:shd w:val="clear" w:color="auto" w:fill="CCECFF"/>
          </w:tcPr>
          <w:p>
            <w:pPr>
              <w:ind w:left="52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ind w:left="7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1,160,304</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8"/>
              </w:rPr>
              <w:t>Total Common Equity/Partnership Interests/Warrants</w:t>
            </w:r>
          </w:p>
        </w:tc>
        <w:tc>
          <w:tcPr>
            <w:tcW w:w="960" w:type="dxa"/>
            <w:vAlign w:val="bottom"/>
            <w:tcBorders>
              <w:bottom w:val="single" w:sz="8" w:color="CCECFF"/>
            </w:tcBorders>
          </w:tcPr>
          <w:p>
            <w:pPr>
              <w:spacing w:after="0"/>
              <w:rPr>
                <w:sz w:val="12"/>
                <w:szCs w:val="12"/>
                <w:color w:val="auto"/>
              </w:rPr>
            </w:pPr>
          </w:p>
        </w:tc>
        <w:tc>
          <w:tcPr>
            <w:tcW w:w="24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72,043,062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39,750,019</w:t>
            </w:r>
          </w:p>
        </w:tc>
        <w:tc>
          <w:tcPr>
            <w:tcW w:w="100" w:type="dxa"/>
            <w:vAlign w:val="bottom"/>
            <w:tcBorders>
              <w:bottom w:val="single" w:sz="8" w:color="CCECFF"/>
            </w:tcBorders>
          </w:tcPr>
          <w:p>
            <w:pPr>
              <w:spacing w:after="0"/>
              <w:rPr>
                <w:sz w:val="12"/>
                <w:szCs w:val="12"/>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74,369,962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49,057,619</w:t>
            </w:r>
          </w:p>
        </w:tc>
        <w:tc>
          <w:tcPr>
            <w:tcW w:w="100" w:type="dxa"/>
            <w:vAlign w:val="bottom"/>
            <w:shd w:val="clear" w:color="auto" w:fill="CCECFF"/>
          </w:tcPr>
          <w:p>
            <w:pPr>
              <w:spacing w:after="0"/>
              <w:rPr>
                <w:sz w:val="12"/>
                <w:szCs w:val="12"/>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7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80" w:type="dxa"/>
            <w:vAlign w:val="bottom"/>
          </w:tcPr>
          <w:p>
            <w:pPr>
              <w:spacing w:after="0"/>
              <w:rPr>
                <w:sz w:val="11"/>
                <w:szCs w:val="11"/>
                <w:color w:val="auto"/>
              </w:rPr>
            </w:pPr>
          </w:p>
        </w:tc>
        <w:tc>
          <w:tcPr>
            <w:tcW w:w="11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7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ind w:left="280"/>
              <w:spacing w:after="0"/>
              <w:rPr>
                <w:sz w:val="20"/>
                <w:szCs w:val="20"/>
                <w:color w:val="auto"/>
              </w:rPr>
            </w:pPr>
            <w:r>
              <w:rPr>
                <w:rFonts w:ascii="Arial" w:cs="Arial" w:eastAsia="Arial" w:hAnsi="Arial"/>
                <w:sz w:val="12"/>
                <w:szCs w:val="12"/>
                <w:b w:val="1"/>
                <w:bCs w:val="1"/>
                <w:color w:val="auto"/>
              </w:rPr>
              <w:t>Expiration</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Cost</w:t>
            </w: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Companies—24.7% </w:t>
            </w:r>
            <w:r>
              <w:rPr>
                <w:rFonts w:ascii="Arial" w:cs="Arial" w:eastAsia="Arial" w:hAnsi="Arial"/>
                <w:sz w:val="9"/>
                <w:szCs w:val="9"/>
                <w:b w:val="1"/>
                <w:bCs w:val="1"/>
                <w:color w:val="auto"/>
                <w:w w:val="97"/>
              </w:rPr>
              <w:t>(1), (2)</w:t>
            </w:r>
          </w:p>
        </w:tc>
        <w:tc>
          <w:tcPr>
            <w:tcW w:w="23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2"/>
                <w:szCs w:val="12"/>
                <w:b w:val="1"/>
                <w:bCs w:val="1"/>
                <w:color w:val="auto"/>
              </w:rPr>
              <w:t>First Lien Secured Debt—15.1%</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80" w:type="dxa"/>
            <w:vAlign w:val="bottom"/>
            <w:shd w:val="clear" w:color="auto" w:fill="CCECFF"/>
          </w:tcPr>
          <w:p>
            <w:pPr>
              <w:ind w:left="280"/>
              <w:spacing w:after="0"/>
              <w:rPr>
                <w:sz w:val="20"/>
                <w:szCs w:val="20"/>
                <w:color w:val="auto"/>
              </w:rPr>
            </w:pPr>
            <w:r>
              <w:rPr>
                <w:rFonts w:ascii="Arial" w:cs="Arial" w:eastAsia="Arial" w:hAnsi="Arial"/>
                <w:sz w:val="12"/>
                <w:szCs w:val="12"/>
                <w:color w:val="auto"/>
              </w:rPr>
              <w:t>03/13/2024</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6.65%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35,660,604</w:t>
            </w:r>
          </w:p>
        </w:tc>
        <w:tc>
          <w:tcPr>
            <w:tcW w:w="100" w:type="dxa"/>
            <w:vAlign w:val="bottom"/>
            <w:shd w:val="clear" w:color="auto" w:fill="CCECFF"/>
          </w:tcPr>
          <w:p>
            <w:pPr>
              <w:spacing w:after="0"/>
              <w:rPr>
                <w:sz w:val="12"/>
                <w:szCs w:val="12"/>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2"/>
                <w:szCs w:val="12"/>
                <w:color w:val="auto"/>
              </w:rPr>
              <w:t>RAM Energy LLC</w:t>
            </w:r>
          </w:p>
        </w:tc>
        <w:tc>
          <w:tcPr>
            <w:tcW w:w="1180" w:type="dxa"/>
            <w:vAlign w:val="bottom"/>
          </w:tcPr>
          <w:p>
            <w:pPr>
              <w:ind w:left="28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180" w:type="dxa"/>
            <w:vAlign w:val="bottom"/>
            <w:shd w:val="clear" w:color="auto" w:fill="CCECFF"/>
          </w:tcPr>
          <w:p>
            <w:pPr>
              <w:ind w:left="280"/>
              <w:spacing w:after="0"/>
              <w:rPr>
                <w:sz w:val="20"/>
                <w:szCs w:val="20"/>
                <w:color w:val="auto"/>
              </w:rPr>
            </w:pPr>
            <w:r>
              <w:rPr>
                <w:rFonts w:ascii="Arial" w:cs="Arial" w:eastAsia="Arial" w:hAnsi="Arial"/>
                <w:sz w:val="12"/>
                <w:szCs w:val="12"/>
                <w:color w:val="auto"/>
              </w:rPr>
              <w:t>07/01/2022</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100" w:type="dxa"/>
            <w:vAlign w:val="bottom"/>
            <w:shd w:val="clear" w:color="auto" w:fill="CCECFF"/>
          </w:tcPr>
          <w:p>
            <w:pPr>
              <w:spacing w:after="0"/>
              <w:rPr>
                <w:sz w:val="12"/>
                <w:szCs w:val="12"/>
                <w:color w:val="auto"/>
              </w:rPr>
            </w:pPr>
          </w:p>
        </w:tc>
      </w:tr>
      <w:tr>
        <w:trPr>
          <w:trHeight w:val="156"/>
        </w:trPr>
        <w:tc>
          <w:tcPr>
            <w:tcW w:w="278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180" w:type="dxa"/>
            <w:vAlign w:val="bottom"/>
          </w:tcPr>
          <w:p>
            <w:pPr>
              <w:ind w:left="280"/>
              <w:spacing w:after="0"/>
              <w:rPr>
                <w:sz w:val="20"/>
                <w:szCs w:val="20"/>
                <w:color w:val="auto"/>
              </w:rPr>
            </w:pPr>
            <w:r>
              <w:rPr>
                <w:rFonts w:ascii="Arial" w:cs="Arial" w:eastAsia="Arial" w:hAnsi="Arial"/>
                <w:sz w:val="12"/>
                <w:szCs w:val="12"/>
                <w:color w:val="auto"/>
              </w:rPr>
              <w:t>12/31/2019</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3.00%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7,504,371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7,243,236</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7,500,000</w:t>
            </w:r>
          </w:p>
        </w:tc>
        <w:tc>
          <w:tcPr>
            <w:tcW w:w="100" w:type="dxa"/>
            <w:vAlign w:val="bottom"/>
          </w:tcPr>
          <w:p>
            <w:pPr>
              <w:spacing w:after="0"/>
              <w:rPr>
                <w:sz w:val="13"/>
                <w:szCs w:val="13"/>
                <w:color w:val="auto"/>
              </w:rPr>
            </w:pPr>
          </w:p>
        </w:tc>
      </w:tr>
      <w:tr>
        <w:trPr>
          <w:trHeight w:val="142"/>
        </w:trPr>
        <w:tc>
          <w:tcPr>
            <w:tcW w:w="2780" w:type="dxa"/>
            <w:vAlign w:val="bottom"/>
            <w:tcBorders>
              <w:bottom w:val="single" w:sz="8" w:color="CCECFF"/>
            </w:tcBorders>
          </w:tcPr>
          <w:p>
            <w:pPr>
              <w:spacing w:after="0"/>
              <w:rPr>
                <w:sz w:val="12"/>
                <w:szCs w:val="12"/>
                <w:color w:val="auto"/>
              </w:rPr>
            </w:pPr>
          </w:p>
        </w:tc>
        <w:tc>
          <w:tcPr>
            <w:tcW w:w="118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1060" w:type="dxa"/>
            <w:vAlign w:val="bottom"/>
            <w:tcBorders>
              <w:bottom w:val="single" w:sz="8" w:color="CCECFF"/>
            </w:tcBorders>
            <w:gridSpan w:val="2"/>
          </w:tcPr>
          <w:p>
            <w:pPr>
              <w:jc w:val="right"/>
              <w:ind w:right="20"/>
              <w:spacing w:after="0"/>
              <w:rPr>
                <w:sz w:val="20"/>
                <w:szCs w:val="20"/>
                <w:color w:val="auto"/>
              </w:rPr>
            </w:pPr>
            <w:r>
              <w:rPr>
                <w:rFonts w:ascii="Arial" w:cs="Arial" w:eastAsia="Arial" w:hAnsi="Arial"/>
                <w:sz w:val="12"/>
                <w:szCs w:val="12"/>
                <w:color w:val="auto"/>
              </w:rPr>
              <w:t>(PIK 3.00%)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27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96,294,836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93,160,604</w:t>
            </w:r>
          </w:p>
        </w:tc>
        <w:tc>
          <w:tcPr>
            <w:tcW w:w="100" w:type="dxa"/>
            <w:vAlign w:val="bottom"/>
            <w:shd w:val="clear" w:color="auto" w:fill="CCECFF"/>
          </w:tcPr>
          <w:p>
            <w:pPr>
              <w:spacing w:after="0"/>
              <w:rPr>
                <w:sz w:val="12"/>
                <w:szCs w:val="12"/>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Equity—1.4% </w:t>
            </w:r>
            <w:r>
              <w:rPr>
                <w:rFonts w:ascii="Arial" w:cs="Arial" w:eastAsia="Arial" w:hAnsi="Arial"/>
                <w:sz w:val="9"/>
                <w:szCs w:val="9"/>
                <w:b w:val="1"/>
                <w:bCs w:val="1"/>
                <w:color w:val="auto"/>
              </w:rPr>
              <w:t>(6)</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180" w:type="dxa"/>
            <w:vAlign w:val="bottom"/>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15,392,188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9,082,240</w:t>
            </w:r>
          </w:p>
        </w:tc>
        <w:tc>
          <w:tcPr>
            <w:tcW w:w="100" w:type="dxa"/>
            <w:vAlign w:val="bottom"/>
            <w:shd w:val="clear" w:color="auto" w:fill="CCECFF"/>
          </w:tcPr>
          <w:p>
            <w:pPr>
              <w:spacing w:after="0"/>
              <w:rPr>
                <w:sz w:val="12"/>
                <w:szCs w:val="12"/>
                <w:color w:val="auto"/>
              </w:rPr>
            </w:pPr>
          </w:p>
        </w:tc>
      </w:tr>
      <w:tr>
        <w:trPr>
          <w:trHeight w:val="149"/>
        </w:trPr>
        <w:tc>
          <w:tcPr>
            <w:tcW w:w="278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180" w:type="dxa"/>
            <w:vAlign w:val="bottom"/>
          </w:tcPr>
          <w:p>
            <w:pPr>
              <w:ind w:left="54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1,416,392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46,254,586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7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180" w:type="dxa"/>
            <w:vAlign w:val="bottom"/>
            <w:tcBorders>
              <w:top w:val="single" w:sz="8" w:color="CCECFF"/>
            </w:tcBorders>
            <w:shd w:val="clear" w:color="auto" w:fill="CCECFF"/>
          </w:tcPr>
          <w:p>
            <w:pPr>
              <w:spacing w:after="0"/>
              <w:rPr>
                <w:sz w:val="12"/>
                <w:szCs w:val="12"/>
                <w:color w:val="auto"/>
              </w:rPr>
            </w:pPr>
          </w:p>
        </w:tc>
        <w:tc>
          <w:tcPr>
            <w:tcW w:w="236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5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61,646,774</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9,082,240</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b w:val="1"/>
                <w:bCs w:val="1"/>
                <w:color w:val="auto"/>
              </w:rPr>
              <w:t xml:space="preserve">Common Equity—8.2% </w:t>
            </w:r>
            <w:r>
              <w:rPr>
                <w:rFonts w:ascii="Arial" w:cs="Arial" w:eastAsia="Arial" w:hAnsi="Arial"/>
                <w:sz w:val="9"/>
                <w:szCs w:val="9"/>
                <w:b w:val="1"/>
                <w:bCs w:val="1"/>
                <w:color w:val="auto"/>
              </w:rPr>
              <w:t>(6)</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180" w:type="dxa"/>
            <w:vAlign w:val="bottom"/>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7,307,469</w:t>
            </w:r>
          </w:p>
        </w:tc>
        <w:tc>
          <w:tcPr>
            <w:tcW w:w="100" w:type="dxa"/>
            <w:vAlign w:val="bottom"/>
            <w:shd w:val="clear" w:color="auto" w:fill="CCECFF"/>
          </w:tcPr>
          <w:p>
            <w:pPr>
              <w:spacing w:after="0"/>
              <w:rPr>
                <w:sz w:val="12"/>
                <w:szCs w:val="12"/>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180" w:type="dxa"/>
            <w:vAlign w:val="bottom"/>
          </w:tcPr>
          <w:p>
            <w:pPr>
              <w:ind w:left="54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180" w:type="dxa"/>
            <w:vAlign w:val="bottom"/>
            <w:shd w:val="clear" w:color="auto" w:fill="CCECFF"/>
          </w:tcPr>
          <w:p>
            <w:pPr>
              <w:ind w:left="54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43,330,000</w:t>
            </w:r>
          </w:p>
        </w:tc>
        <w:tc>
          <w:tcPr>
            <w:tcW w:w="100" w:type="dxa"/>
            <w:vAlign w:val="bottom"/>
            <w:shd w:val="clear" w:color="auto" w:fill="CCECFF"/>
          </w:tcPr>
          <w:p>
            <w:pPr>
              <w:spacing w:after="0"/>
              <w:rPr>
                <w:sz w:val="12"/>
                <w:szCs w:val="12"/>
                <w:color w:val="auto"/>
              </w:rPr>
            </w:pPr>
          </w:p>
        </w:tc>
      </w:tr>
      <w:tr>
        <w:trPr>
          <w:trHeight w:val="148"/>
        </w:trPr>
        <w:tc>
          <w:tcPr>
            <w:tcW w:w="278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180" w:type="dxa"/>
            <w:vAlign w:val="bottom"/>
          </w:tcPr>
          <w:p>
            <w:pPr>
              <w:ind w:left="54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27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t>
            </w:r>
          </w:p>
        </w:tc>
        <w:tc>
          <w:tcPr>
            <w:tcW w:w="1180" w:type="dxa"/>
            <w:vAlign w:val="bottom"/>
            <w:tcBorders>
              <w:top w:val="single" w:sz="8" w:color="CCECFF"/>
            </w:tcBorders>
            <w:shd w:val="clear" w:color="auto" w:fill="CCECFF"/>
          </w:tcPr>
          <w:p>
            <w:pPr>
              <w:spacing w:after="0"/>
              <w:rPr>
                <w:sz w:val="12"/>
                <w:szCs w:val="12"/>
                <w:color w:val="auto"/>
              </w:rPr>
            </w:pPr>
          </w:p>
        </w:tc>
        <w:tc>
          <w:tcPr>
            <w:tcW w:w="236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5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50,637,469</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9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261,311,677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152,880,313</w:t>
            </w:r>
          </w:p>
        </w:tc>
        <w:tc>
          <w:tcPr>
            <w:tcW w:w="100" w:type="dxa"/>
            <w:vAlign w:val="bottom"/>
            <w:tcBorders>
              <w:bottom w:val="single" w:sz="8" w:color="CCECFF"/>
            </w:tcBorders>
          </w:tcPr>
          <w:p>
            <w:pPr>
              <w:spacing w:after="0"/>
              <w:rPr>
                <w:sz w:val="12"/>
                <w:szCs w:val="12"/>
                <w:color w:val="auto"/>
              </w:rPr>
            </w:pPr>
          </w:p>
        </w:tc>
      </w:tr>
      <w:tr>
        <w:trPr>
          <w:trHeight w:val="142"/>
        </w:trPr>
        <w:tc>
          <w:tcPr>
            <w:tcW w:w="27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Investments—193.4%</w:t>
            </w:r>
          </w:p>
        </w:tc>
        <w:tc>
          <w:tcPr>
            <w:tcW w:w="118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1,323,611,144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8"/>
              </w:rPr>
              <w:t>1,191,453,811</w:t>
            </w:r>
          </w:p>
        </w:tc>
        <w:tc>
          <w:tcPr>
            <w:tcW w:w="100" w:type="dxa"/>
            <w:vAlign w:val="bottom"/>
            <w:shd w:val="clear" w:color="auto" w:fill="CCECFF"/>
          </w:tcPr>
          <w:p>
            <w:pPr>
              <w:spacing w:after="0"/>
              <w:rPr>
                <w:sz w:val="12"/>
                <w:szCs w:val="12"/>
                <w:color w:val="auto"/>
              </w:rPr>
            </w:pPr>
          </w:p>
        </w:tc>
      </w:tr>
      <w:tr>
        <w:trPr>
          <w:trHeight w:val="142"/>
        </w:trPr>
        <w:tc>
          <w:tcPr>
            <w:tcW w:w="2780" w:type="dxa"/>
            <w:vAlign w:val="bottom"/>
          </w:tcPr>
          <w:p>
            <w:pPr>
              <w:spacing w:after="0"/>
              <w:rPr>
                <w:sz w:val="20"/>
                <w:szCs w:val="20"/>
                <w:color w:val="auto"/>
              </w:rPr>
            </w:pPr>
            <w:r>
              <w:rPr>
                <w:rFonts w:ascii="Arial" w:cs="Arial" w:eastAsia="Arial" w:hAnsi="Arial"/>
                <w:sz w:val="12"/>
                <w:szCs w:val="12"/>
                <w:b w:val="1"/>
                <w:bCs w:val="1"/>
                <w:color w:val="auto"/>
              </w:rPr>
              <w:t>Cash and Cash Equivalents—4.0%</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78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4,846,547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4,846,547</w:t>
            </w:r>
          </w:p>
        </w:tc>
        <w:tc>
          <w:tcPr>
            <w:tcW w:w="100" w:type="dxa"/>
            <w:vAlign w:val="bottom"/>
            <w:shd w:val="clear" w:color="auto" w:fill="CCECFF"/>
          </w:tcPr>
          <w:p>
            <w:pPr>
              <w:spacing w:after="0"/>
              <w:rPr>
                <w:sz w:val="12"/>
                <w:szCs w:val="12"/>
                <w:color w:val="auto"/>
              </w:rPr>
            </w:pPr>
          </w:p>
        </w:tc>
      </w:tr>
      <w:tr>
        <w:trPr>
          <w:trHeight w:val="148"/>
        </w:trPr>
        <w:tc>
          <w:tcPr>
            <w:tcW w:w="27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 Reserve and Cash</w:t>
            </w:r>
          </w:p>
        </w:tc>
        <w:tc>
          <w:tcPr>
            <w:tcW w:w="118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19,811,323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19,807,342</w:t>
            </w:r>
          </w:p>
        </w:tc>
        <w:tc>
          <w:tcPr>
            <w:tcW w:w="100" w:type="dxa"/>
            <w:vAlign w:val="bottom"/>
            <w:tcBorders>
              <w:bottom w:val="single" w:sz="8" w:color="CCECFF"/>
            </w:tcBorders>
          </w:tcPr>
          <w:p>
            <w:pPr>
              <w:spacing w:after="0"/>
              <w:rPr>
                <w:sz w:val="12"/>
                <w:szCs w:val="12"/>
                <w:color w:val="auto"/>
              </w:rPr>
            </w:pPr>
          </w:p>
        </w:tc>
      </w:tr>
      <w:tr>
        <w:trPr>
          <w:trHeight w:val="142"/>
        </w:trPr>
        <w:tc>
          <w:tcPr>
            <w:tcW w:w="27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24,657,870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24,653,889</w:t>
            </w:r>
          </w:p>
        </w:tc>
        <w:tc>
          <w:tcPr>
            <w:tcW w:w="100" w:type="dxa"/>
            <w:vAlign w:val="bottom"/>
            <w:shd w:val="clear" w:color="auto" w:fill="CCECFF"/>
          </w:tcPr>
          <w:p>
            <w:pPr>
              <w:spacing w:after="0"/>
              <w:rPr>
                <w:sz w:val="12"/>
                <w:szCs w:val="12"/>
                <w:color w:val="auto"/>
              </w:rPr>
            </w:pPr>
          </w:p>
        </w:tc>
      </w:tr>
      <w:tr>
        <w:trPr>
          <w:trHeight w:val="182"/>
        </w:trPr>
        <w:tc>
          <w:tcPr>
            <w:tcW w:w="27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7"/>
              </w:rPr>
              <w:t>Total Investments and Cash Equivalents—197.4%</w:t>
            </w:r>
          </w:p>
        </w:tc>
        <w:tc>
          <w:tcPr>
            <w:tcW w:w="1180" w:type="dxa"/>
            <w:vAlign w:val="bottom"/>
            <w:tcBorders>
              <w:bottom w:val="single" w:sz="8" w:color="CCECFF"/>
            </w:tcBorders>
          </w:tcPr>
          <w:p>
            <w:pPr>
              <w:spacing w:after="0"/>
              <w:rPr>
                <w:sz w:val="15"/>
                <w:szCs w:val="15"/>
                <w:color w:val="auto"/>
              </w:rPr>
            </w:pPr>
          </w:p>
        </w:tc>
        <w:tc>
          <w:tcPr>
            <w:tcW w:w="2360" w:type="dxa"/>
            <w:vAlign w:val="bottom"/>
            <w:tcBorders>
              <w:bottom w:val="single" w:sz="8" w:color="CCECFF"/>
            </w:tcBorders>
          </w:tcPr>
          <w:p>
            <w:pPr>
              <w:spacing w:after="0"/>
              <w:rPr>
                <w:sz w:val="15"/>
                <w:szCs w:val="15"/>
                <w:color w:val="auto"/>
              </w:rPr>
            </w:pPr>
          </w:p>
        </w:tc>
        <w:tc>
          <w:tcPr>
            <w:tcW w:w="900" w:type="dxa"/>
            <w:vAlign w:val="bottom"/>
            <w:tcBorders>
              <w:bottom w:val="single" w:sz="8" w:color="CCECFF"/>
            </w:tcBorders>
          </w:tcPr>
          <w:p>
            <w:pPr>
              <w:spacing w:after="0"/>
              <w:rPr>
                <w:sz w:val="15"/>
                <w:szCs w:val="15"/>
                <w:color w:val="auto"/>
              </w:rPr>
            </w:pPr>
          </w:p>
        </w:tc>
        <w:tc>
          <w:tcPr>
            <w:tcW w:w="160" w:type="dxa"/>
            <w:vAlign w:val="bottom"/>
            <w:tcBorders>
              <w:bottom w:val="single" w:sz="8" w:color="CCECFF"/>
            </w:tcBorders>
          </w:tcPr>
          <w:p>
            <w:pPr>
              <w:spacing w:after="0"/>
              <w:rPr>
                <w:sz w:val="15"/>
                <w:szCs w:val="15"/>
                <w:color w:val="auto"/>
              </w:rPr>
            </w:pPr>
          </w:p>
        </w:tc>
        <w:tc>
          <w:tcPr>
            <w:tcW w:w="80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5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1,348,269,014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1,216,107,700</w:t>
            </w:r>
          </w:p>
        </w:tc>
        <w:tc>
          <w:tcPr>
            <w:tcW w:w="100" w:type="dxa"/>
            <w:vAlign w:val="bottom"/>
            <w:tcBorders>
              <w:bottom w:val="single" w:sz="8" w:color="CCECFF"/>
            </w:tcBorders>
          </w:tcPr>
          <w:p>
            <w:pPr>
              <w:spacing w:after="0"/>
              <w:rPr>
                <w:sz w:val="15"/>
                <w:szCs w:val="15"/>
                <w:color w:val="auto"/>
              </w:rPr>
            </w:pPr>
          </w:p>
        </w:tc>
      </w:tr>
      <w:tr>
        <w:trPr>
          <w:trHeight w:val="129"/>
        </w:trPr>
        <w:tc>
          <w:tcPr>
            <w:tcW w:w="278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Assets—(97.4%)</w:t>
            </w:r>
          </w:p>
        </w:tc>
        <w:tc>
          <w:tcPr>
            <w:tcW w:w="1180" w:type="dxa"/>
            <w:vAlign w:val="bottom"/>
            <w:shd w:val="clear" w:color="auto" w:fill="CCECFF"/>
          </w:tcPr>
          <w:p>
            <w:pPr>
              <w:spacing w:after="0"/>
              <w:rPr>
                <w:sz w:val="11"/>
                <w:szCs w:val="11"/>
                <w:color w:val="auto"/>
              </w:rPr>
            </w:pPr>
          </w:p>
        </w:tc>
        <w:tc>
          <w:tcPr>
            <w:tcW w:w="2360" w:type="dxa"/>
            <w:vAlign w:val="bottom"/>
            <w:shd w:val="clear" w:color="auto" w:fill="CCECFF"/>
          </w:tcPr>
          <w:p>
            <w:pPr>
              <w:spacing w:after="0"/>
              <w:rPr>
                <w:sz w:val="11"/>
                <w:szCs w:val="11"/>
                <w:color w:val="auto"/>
              </w:rPr>
            </w:pPr>
          </w:p>
        </w:tc>
        <w:tc>
          <w:tcPr>
            <w:tcW w:w="900" w:type="dxa"/>
            <w:vAlign w:val="bottom"/>
            <w:shd w:val="clear" w:color="auto" w:fill="CCECFF"/>
          </w:tcPr>
          <w:p>
            <w:pPr>
              <w:spacing w:after="0"/>
              <w:rPr>
                <w:sz w:val="11"/>
                <w:szCs w:val="11"/>
                <w:color w:val="auto"/>
              </w:rPr>
            </w:pPr>
          </w:p>
        </w:tc>
        <w:tc>
          <w:tcPr>
            <w:tcW w:w="1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8"/>
              </w:rPr>
              <w:t>(600,166,595)</w:t>
            </w:r>
          </w:p>
        </w:tc>
      </w:tr>
      <w:tr>
        <w:trPr>
          <w:trHeight w:val="148"/>
        </w:trPr>
        <w:tc>
          <w:tcPr>
            <w:tcW w:w="278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615,941,105</w:t>
            </w:r>
          </w:p>
        </w:tc>
        <w:tc>
          <w:tcPr>
            <w:tcW w:w="100" w:type="dxa"/>
            <w:vAlign w:val="bottom"/>
          </w:tcPr>
          <w:p>
            <w:pPr>
              <w:spacing w:after="0"/>
              <w:rPr>
                <w:sz w:val="12"/>
                <w:szCs w:val="12"/>
                <w:color w:val="auto"/>
              </w:rPr>
            </w:pPr>
          </w:p>
        </w:tc>
      </w:tr>
      <w:tr>
        <w:trPr>
          <w:trHeight w:val="20"/>
        </w:trPr>
        <w:tc>
          <w:tcPr>
            <w:tcW w:w="2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hanging="372"/>
        <w:spacing w:after="0" w:line="313" w:lineRule="auto"/>
        <w:tabs>
          <w:tab w:leader="none" w:pos="380" w:val="left"/>
        </w:tabs>
        <w:numPr>
          <w:ilvl w:val="0"/>
          <w:numId w:val="3"/>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payment-in-kind, or PIK, interest and other fee rates, if any.</w:t>
      </w:r>
    </w:p>
    <w:p>
      <w:pPr>
        <w:ind w:left="380" w:right="36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December 31, 2018, qualifying assets represent 89% of the Company’s total assets and non-qualifying assets represent 11% of the Company’s total assets.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6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Companies—144.0%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b w:val="1"/>
                <w:bCs w:val="1"/>
                <w:color w:val="auto"/>
              </w:rPr>
              <w:t>First Lien Secured Debt—66.9%</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21,435,548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21,116,138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21,478,419</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02/01/2024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1"/>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14,783,825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14,925,000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19,345,650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12/02/2022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31,678,078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31,676,768</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Cano Health, LLC</w:t>
            </w:r>
          </w:p>
        </w:tc>
        <w:tc>
          <w:tcPr>
            <w:tcW w:w="900" w:type="dxa"/>
            <w:vAlign w:val="bottom"/>
          </w:tcPr>
          <w:p>
            <w:pPr>
              <w:ind w:left="120"/>
              <w:spacing w:after="0"/>
              <w:rPr>
                <w:sz w:val="20"/>
                <w:szCs w:val="20"/>
                <w:color w:val="auto"/>
              </w:rPr>
            </w:pPr>
            <w:r>
              <w:rPr>
                <w:rFonts w:ascii="Arial" w:cs="Arial" w:eastAsia="Arial" w:hAnsi="Arial"/>
                <w:sz w:val="12"/>
                <w:szCs w:val="12"/>
                <w:color w:val="auto"/>
              </w:rPr>
              <w:t>12/23/2021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10.61%</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32,813,941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32,240,776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32,813,941</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11/05/2018</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10.68%</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3,150,000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tcPr>
          <w:p>
            <w:pPr>
              <w:jc w:val="right"/>
              <w:spacing w:after="0"/>
              <w:rPr>
                <w:sz w:val="20"/>
                <w:szCs w:val="20"/>
                <w:color w:val="auto"/>
              </w:rPr>
            </w:pPr>
            <w:r>
              <w:rPr>
                <w:rFonts w:ascii="Arial" w:cs="Arial" w:eastAsia="Arial" w:hAnsi="Arial"/>
                <w:sz w:val="12"/>
                <w:szCs w:val="12"/>
                <w:color w:val="auto"/>
              </w:rPr>
              <w:t>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9,738,431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9,683,465</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7.74%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4,877,212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4,962,500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10/31/2022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19,475,599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(7), (11)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10.39%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19,386,443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19,516,699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Impact Group,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22,457,923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22,225,155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22,345,634</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12,491,009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(62,455)</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11.61%</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14,140,360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14,350,500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11.24%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14,243,249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14,033,015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14,243,249</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Ox Two,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8.49%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21,819,701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22,218,750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Ox Two,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12.50%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750,000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Questex, LLC</w:t>
            </w:r>
          </w:p>
        </w:tc>
        <w:tc>
          <w:tcPr>
            <w:tcW w:w="90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8.57%</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22,054,120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Questex,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598,404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586,436</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Questex,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09/09/2024</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2,992,021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(59,840)</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8.36%</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22,071,351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(182,432)</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8.36%</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1,748,108</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2,270,270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(45,405)</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20,642,473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20,925,313</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tcPr>
          <w:p>
            <w:pPr>
              <w:ind w:left="120"/>
              <w:spacing w:after="0"/>
              <w:rPr>
                <w:sz w:val="20"/>
                <w:szCs w:val="20"/>
                <w:color w:val="auto"/>
              </w:rPr>
            </w:pPr>
            <w:r>
              <w:rPr>
                <w:rFonts w:ascii="Arial" w:cs="Arial" w:eastAsia="Arial" w:hAnsi="Arial"/>
                <w:sz w:val="12"/>
                <w:szCs w:val="12"/>
                <w:color w:val="auto"/>
              </w:rPr>
              <w:t>12/28/2020</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15.49%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L+1,325</w:t>
            </w:r>
          </w:p>
        </w:tc>
        <w:tc>
          <w:tcPr>
            <w:tcW w:w="660" w:type="dxa"/>
            <w:vAlign w:val="bottom"/>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23,464,517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23,006,827</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US Dominion,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07/15/2024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9.14%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29,415,076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29,925,000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US Dominion,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07/15/2024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Electronics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11.39%</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8,476,563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8,052,732</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Walker Edison Furniture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09/26/2024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Home and Office Furnishings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8.88%</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22,050,866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10/18/2022</w:t>
            </w:r>
          </w:p>
        </w:tc>
        <w:tc>
          <w:tcPr>
            <w:tcW w:w="274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11.25%</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18,977,907</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19,305,000</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418,295,444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420,847,539</w:t>
            </w:r>
          </w:p>
        </w:tc>
        <w:tc>
          <w:tcPr>
            <w:tcW w:w="100" w:type="dxa"/>
            <w:vAlign w:val="bottom"/>
          </w:tcPr>
          <w:p>
            <w:pPr>
              <w:spacing w:after="0"/>
              <w:rPr>
                <w:sz w:val="12"/>
                <w:szCs w:val="12"/>
                <w:color w:val="auto"/>
              </w:rPr>
            </w:pPr>
          </w:p>
        </w:tc>
      </w:tr>
      <w:tr>
        <w:trPr>
          <w:trHeight w:val="142"/>
        </w:trPr>
        <w:tc>
          <w:tcPr>
            <w:tcW w:w="29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Debt—62.2%</w:t>
            </w:r>
          </w:p>
        </w:tc>
        <w:tc>
          <w:tcPr>
            <w:tcW w:w="900" w:type="dxa"/>
            <w:vAlign w:val="bottom"/>
            <w:tcBorders>
              <w:top w:val="single" w:sz="8" w:color="CCECFF"/>
            </w:tcBorders>
            <w:shd w:val="clear" w:color="auto" w:fill="CCECFF"/>
          </w:tcPr>
          <w:p>
            <w:pPr>
              <w:spacing w:after="0"/>
              <w:rPr>
                <w:sz w:val="12"/>
                <w:szCs w:val="12"/>
                <w:color w:val="auto"/>
              </w:rPr>
            </w:pPr>
          </w:p>
        </w:tc>
        <w:tc>
          <w:tcPr>
            <w:tcW w:w="26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82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Condor Borrower, LLC</w:t>
            </w:r>
          </w:p>
        </w:tc>
        <w:tc>
          <w:tcPr>
            <w:tcW w:w="900" w:type="dxa"/>
            <w:vAlign w:val="bottom"/>
          </w:tcPr>
          <w:p>
            <w:pPr>
              <w:ind w:left="120"/>
              <w:spacing w:after="0"/>
              <w:rPr>
                <w:sz w:val="20"/>
                <w:szCs w:val="20"/>
                <w:color w:val="auto"/>
              </w:rPr>
            </w:pPr>
            <w:r>
              <w:rPr>
                <w:rFonts w:ascii="Arial" w:cs="Arial" w:eastAsia="Arial" w:hAnsi="Arial"/>
                <w:sz w:val="12"/>
                <w:szCs w:val="12"/>
                <w:color w:val="auto"/>
              </w:rPr>
              <w:t>04/25/2025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11.09%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12,271,734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03/31/2025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22,607,675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Halo Buyer, Inc.</w:t>
            </w:r>
          </w:p>
        </w:tc>
        <w:tc>
          <w:tcPr>
            <w:tcW w:w="900" w:type="dxa"/>
            <w:vAlign w:val="bottom"/>
          </w:tcPr>
          <w:p>
            <w:pPr>
              <w:ind w:left="120"/>
              <w:spacing w:after="0"/>
              <w:rPr>
                <w:sz w:val="20"/>
                <w:szCs w:val="20"/>
                <w:color w:val="auto"/>
              </w:rPr>
            </w:pPr>
            <w:r>
              <w:rPr>
                <w:rFonts w:ascii="Arial" w:cs="Arial" w:eastAsia="Arial" w:hAnsi="Arial"/>
                <w:sz w:val="12"/>
                <w:szCs w:val="12"/>
                <w:color w:val="auto"/>
              </w:rPr>
              <w:t>07/06/2026</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10.49%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L+825</w:t>
            </w:r>
          </w:p>
        </w:tc>
        <w:tc>
          <w:tcPr>
            <w:tcW w:w="660" w:type="dxa"/>
            <w:vAlign w:val="bottom"/>
          </w:tcPr>
          <w:p>
            <w:pPr>
              <w:jc w:val="right"/>
              <w:spacing w:after="0"/>
              <w:rPr>
                <w:sz w:val="20"/>
                <w:szCs w:val="20"/>
                <w:color w:val="auto"/>
              </w:rPr>
            </w:pPr>
            <w:r>
              <w:rPr>
                <w:rFonts w:ascii="Arial" w:cs="Arial" w:eastAsia="Arial" w:hAnsi="Arial"/>
                <w:sz w:val="12"/>
                <w:szCs w:val="12"/>
                <w:color w:val="auto"/>
              </w:rPr>
              <w:t>45,000,000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44,338,109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44,325,000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04/03/2024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11.64%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20,056,087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00" w:type="dxa"/>
            <w:vAlign w:val="bottom"/>
          </w:tcPr>
          <w:p>
            <w:pPr>
              <w:ind w:left="120"/>
              <w:spacing w:after="0"/>
              <w:rPr>
                <w:sz w:val="20"/>
                <w:szCs w:val="20"/>
                <w:color w:val="auto"/>
              </w:rPr>
            </w:pPr>
            <w:r>
              <w:rPr>
                <w:rFonts w:ascii="Arial" w:cs="Arial" w:eastAsia="Arial" w:hAnsi="Arial"/>
                <w:sz w:val="12"/>
                <w:szCs w:val="12"/>
                <w:color w:val="auto"/>
              </w:rPr>
              <w:t>01/02/2023</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11.17%</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5,913,341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5,987,443</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447,988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481,052</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rPr>
              <w:t>(PIK 11.00%)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MailSouth,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10/23/2024</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91"/>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48,425,000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47,496,549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MBS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01/02/2024</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10.60%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14,710,035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14.39%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80,904,325</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Pathway Partners Vet Management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10/10/2025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19,300,700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19,246,644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19,107,693</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10/10/2025</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4,699,300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(46,993)</w:t>
            </w: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PT Network,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04/12/2023</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40,959,198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tcPr>
          <w:p>
            <w:pPr>
              <w:spacing w:after="0"/>
              <w:rPr>
                <w:sz w:val="20"/>
                <w:szCs w:val="20"/>
                <w:color w:val="auto"/>
              </w:rPr>
            </w:pPr>
            <w:r>
              <w:rPr>
                <w:rFonts w:ascii="Arial" w:cs="Arial" w:eastAsia="Arial" w:hAnsi="Arial"/>
                <w:sz w:val="12"/>
                <w:szCs w:val="12"/>
                <w:color w:val="auto"/>
              </w:rPr>
              <w:t>Shift4 Payments, LLC</w:t>
            </w:r>
          </w:p>
        </w:tc>
        <w:tc>
          <w:tcPr>
            <w:tcW w:w="900" w:type="dxa"/>
            <w:vAlign w:val="bottom"/>
          </w:tcPr>
          <w:p>
            <w:pPr>
              <w:ind w:left="120"/>
              <w:spacing w:after="0"/>
              <w:rPr>
                <w:sz w:val="20"/>
                <w:szCs w:val="20"/>
                <w:color w:val="auto"/>
              </w:rPr>
            </w:pPr>
            <w:r>
              <w:rPr>
                <w:rFonts w:ascii="Arial" w:cs="Arial" w:eastAsia="Arial" w:hAnsi="Arial"/>
                <w:sz w:val="12"/>
                <w:szCs w:val="12"/>
                <w:color w:val="auto"/>
              </w:rPr>
              <w:t>11/28/2025</w:t>
            </w:r>
          </w:p>
        </w:tc>
        <w:tc>
          <w:tcPr>
            <w:tcW w:w="274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10.84%</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37,000,000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36,835,458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36,768,750</w:t>
            </w: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VT Topco,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08/24/2026</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9.34%</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12,437,500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Winter Park Intermediate, Inc.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04/03/2026</w:t>
            </w:r>
          </w:p>
        </w:tc>
        <w:tc>
          <w:tcPr>
            <w:tcW w:w="274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Auto Sector</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10.62%</w:t>
            </w:r>
          </w:p>
        </w:tc>
        <w:tc>
          <w:tcPr>
            <w:tcW w:w="104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32,000,000</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31,380,959</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31,680,000</w:t>
            </w: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385,201,277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391,038,029</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Subordinated Debt/Corporate Notes—7.7%</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Blackhawk Industrial Distribution,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03/17/2025</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13,230,411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13,230,000</w:t>
            </w:r>
          </w:p>
        </w:tc>
        <w:tc>
          <w:tcPr>
            <w:tcW w:w="100" w:type="dxa"/>
            <w:vAlign w:val="bottom"/>
            <w:shd w:val="clear" w:color="auto" w:fill="CCECFF"/>
          </w:tcPr>
          <w:p>
            <w:pPr>
              <w:spacing w:after="0"/>
              <w:rPr>
                <w:sz w:val="12"/>
                <w:szCs w:val="12"/>
                <w:color w:val="auto"/>
              </w:rPr>
            </w:pPr>
          </w:p>
        </w:tc>
      </w:tr>
      <w:tr>
        <w:trPr>
          <w:trHeight w:val="148"/>
        </w:trPr>
        <w:tc>
          <w:tcPr>
            <w:tcW w:w="2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2.00%)</w:t>
            </w: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2960" w:type="dxa"/>
            <w:vAlign w:val="bottom"/>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tcPr>
          <w:p>
            <w:pPr>
              <w:ind w:left="120"/>
              <w:spacing w:after="0"/>
              <w:rPr>
                <w:sz w:val="20"/>
                <w:szCs w:val="20"/>
                <w:color w:val="auto"/>
              </w:rPr>
            </w:pPr>
            <w:r>
              <w:rPr>
                <w:rFonts w:ascii="Arial" w:cs="Arial" w:eastAsia="Arial" w:hAnsi="Arial"/>
                <w:sz w:val="12"/>
                <w:szCs w:val="12"/>
                <w:color w:val="auto"/>
              </w:rPr>
              <w:t>08/20/2021</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35,792,396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35,386,702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34,897,586</w:t>
            </w:r>
          </w:p>
        </w:tc>
        <w:tc>
          <w:tcPr>
            <w:tcW w:w="100" w:type="dxa"/>
            <w:vAlign w:val="bottom"/>
          </w:tcPr>
          <w:p>
            <w:pPr>
              <w:spacing w:after="0"/>
              <w:rPr>
                <w:sz w:val="13"/>
                <w:szCs w:val="13"/>
                <w:color w:val="auto"/>
              </w:rPr>
            </w:pPr>
          </w:p>
        </w:tc>
      </w:tr>
      <w:tr>
        <w:trPr>
          <w:trHeight w:val="141"/>
        </w:trPr>
        <w:tc>
          <w:tcPr>
            <w:tcW w:w="29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26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40" w:type="dxa"/>
            <w:vAlign w:val="bottom"/>
            <w:tcBorders>
              <w:bottom w:val="single" w:sz="8" w:color="CCECFF"/>
            </w:tcBorders>
            <w:gridSpan w:val="2"/>
          </w:tcPr>
          <w:p>
            <w:pPr>
              <w:ind w:left="120"/>
              <w:spacing w:after="0"/>
              <w:rPr>
                <w:sz w:val="20"/>
                <w:szCs w:val="20"/>
                <w:color w:val="auto"/>
              </w:rPr>
            </w:pPr>
            <w:r>
              <w:rPr>
                <w:rFonts w:ascii="Arial" w:cs="Arial" w:eastAsia="Arial" w:hAnsi="Arial"/>
                <w:sz w:val="12"/>
                <w:szCs w:val="12"/>
                <w:color w:val="auto"/>
              </w:rPr>
              <w:t>(PIK 13.00%)</w:t>
            </w:r>
          </w:p>
        </w:tc>
        <w:tc>
          <w:tcPr>
            <w:tcW w:w="82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29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48,617,113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48,127,586</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396,898</w:t>
            </w:r>
          </w:p>
        </w:tc>
        <w:tc>
          <w:tcPr>
            <w:tcW w:w="100" w:type="dxa"/>
            <w:vAlign w:val="bottom"/>
            <w:shd w:val="clear" w:color="auto" w:fill="CCECFF"/>
          </w:tcPr>
          <w:p>
            <w:pPr>
              <w:spacing w:after="0"/>
              <w:rPr>
                <w:sz w:val="12"/>
                <w:szCs w:val="12"/>
                <w:color w:val="auto"/>
              </w:rPr>
            </w:pPr>
          </w:p>
        </w:tc>
      </w:tr>
      <w:tr>
        <w:trPr>
          <w:trHeight w:val="155"/>
        </w:trPr>
        <w:tc>
          <w:tcPr>
            <w:tcW w:w="296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565,339</w:t>
            </w:r>
          </w:p>
        </w:tc>
        <w:tc>
          <w:tcPr>
            <w:tcW w:w="100" w:type="dxa"/>
            <w:vAlign w:val="bottom"/>
          </w:tcPr>
          <w:p>
            <w:pPr>
              <w:spacing w:after="0"/>
              <w:rPr>
                <w:sz w:val="13"/>
                <w:szCs w:val="13"/>
                <w:color w:val="auto"/>
              </w:rPr>
            </w:pPr>
          </w:p>
        </w:tc>
      </w:tr>
      <w:tr>
        <w:trPr>
          <w:trHeight w:val="141"/>
        </w:trPr>
        <w:tc>
          <w:tcPr>
            <w:tcW w:w="296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shd w:val="clear" w:color="auto" w:fill="CCECFF"/>
          </w:tcPr>
          <w:p>
            <w:pPr>
              <w:spacing w:after="0"/>
              <w:rPr>
                <w:sz w:val="12"/>
                <w:szCs w:val="12"/>
                <w:color w:val="auto"/>
              </w:rPr>
            </w:pPr>
          </w:p>
        </w:tc>
      </w:tr>
      <w:tr>
        <w:trPr>
          <w:trHeight w:val="149"/>
        </w:trPr>
        <w:tc>
          <w:tcPr>
            <w:tcW w:w="296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tcPr>
          <w:p>
            <w:pPr>
              <w:spacing w:after="0"/>
              <w:rPr>
                <w:sz w:val="12"/>
                <w:szCs w:val="12"/>
                <w:color w:val="auto"/>
              </w:rPr>
            </w:pPr>
          </w:p>
        </w:tc>
      </w:tr>
      <w:tr>
        <w:trPr>
          <w:trHeight w:val="149"/>
        </w:trPr>
        <w:tc>
          <w:tcPr>
            <w:tcW w:w="296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3,591</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25,771</w:t>
            </w:r>
          </w:p>
        </w:tc>
        <w:tc>
          <w:tcPr>
            <w:tcW w:w="100" w:type="dxa"/>
            <w:vAlign w:val="bottom"/>
            <w:shd w:val="clear" w:color="auto" w:fill="CCECFF"/>
          </w:tcPr>
          <w:p>
            <w:pPr>
              <w:spacing w:after="0"/>
              <w:rPr>
                <w:sz w:val="12"/>
                <w:szCs w:val="12"/>
                <w:color w:val="auto"/>
              </w:rPr>
            </w:pPr>
          </w:p>
        </w:tc>
      </w:tr>
      <w:tr>
        <w:trPr>
          <w:trHeight w:val="142"/>
        </w:trPr>
        <w:tc>
          <w:tcPr>
            <w:tcW w:w="296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1,602,750</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1,544,008</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2"/>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3"/>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Interests/Warrants—7.0% </w:t>
            </w:r>
            <w:r>
              <w:rPr>
                <w:rFonts w:ascii="Arial" w:cs="Arial" w:eastAsia="Arial" w:hAnsi="Arial"/>
                <w:sz w:val="9"/>
                <w:szCs w:val="9"/>
                <w:b w:val="1"/>
                <w:bCs w:val="1"/>
                <w:color w:val="auto"/>
                <w:w w:val="93"/>
              </w:rPr>
              <w:t>(6)</w:t>
            </w:r>
          </w:p>
        </w:tc>
        <w:tc>
          <w:tcPr>
            <w:tcW w:w="960" w:type="dxa"/>
            <w:vAlign w:val="bottom"/>
            <w:tcBorders>
              <w:top w:val="single" w:sz="8" w:color="auto"/>
            </w:tcBorders>
            <w:shd w:val="clear" w:color="auto" w:fill="CCECFF"/>
          </w:tcPr>
          <w:p>
            <w:pPr>
              <w:spacing w:after="0"/>
              <w:rPr>
                <w:sz w:val="12"/>
                <w:szCs w:val="12"/>
                <w:color w:val="auto"/>
              </w:rPr>
            </w:pPr>
          </w:p>
        </w:tc>
        <w:tc>
          <w:tcPr>
            <w:tcW w:w="24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60" w:type="dxa"/>
            <w:vAlign w:val="bottom"/>
          </w:tcPr>
          <w:p>
            <w:pPr>
              <w:ind w:left="20"/>
              <w:spacing w:after="0"/>
              <w:rPr>
                <w:sz w:val="20"/>
                <w:szCs w:val="20"/>
                <w:color w:val="auto"/>
              </w:rPr>
            </w:pPr>
            <w:r>
              <w:rPr>
                <w:rFonts w:ascii="Arial" w:cs="Arial" w:eastAsia="Arial" w:hAnsi="Arial"/>
                <w:sz w:val="12"/>
                <w:szCs w:val="12"/>
                <w:color w:val="auto"/>
              </w:rPr>
              <w:t>03/23/2021</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ASP LCG Holdings, Inc. (Warrants)</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05/05/2026</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1,651,653</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Autumn Games,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Cardinal Logistics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9"/>
              </w:rPr>
              <w:t>Cargo Transport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CFF"/>
          </w:tcPr>
          <w:p>
            <w:pPr>
              <w:jc w:val="right"/>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2,776,777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1,186,539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957,866</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1,245,827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(SFP Holdings,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Cowboy Parent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2,250,000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2,250,000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2,250,000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(Blackhawk Industrial Distribution,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4,165,759</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1,049,378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1,147,011</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Green Veracity Holdings, LP - Class A</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(VT Topco,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HW Holdco,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2,787,265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Infogroup Parent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2,167,874</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3,654,472</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JWC-WE Holdings,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Home and Office Furnishings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1,906,433</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1,906,433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1,906,433</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(Walker Edison Furniture Company LLC)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841,727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522,889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1,148,703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1,158,703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672,195</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1,500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1,500,000</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Class A (US Dominion, Inc.)</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SSC Dominion Holdings, LLC</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Class B (US Dominion,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WBB Equity,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1,181,714</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Wheel Pros Holdings, L.P.</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9"/>
              </w:rPr>
              <w:t>Auto Sector</w:t>
            </w: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4,513,118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(Winter Park Intermediate, Inc.)</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ZS Juniper L.P.</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856</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855,515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1,035,599</w:t>
            </w:r>
          </w:p>
        </w:tc>
        <w:tc>
          <w:tcPr>
            <w:tcW w:w="100" w:type="dxa"/>
            <w:vAlign w:val="bottom"/>
          </w:tcPr>
          <w:p>
            <w:pPr>
              <w:spacing w:after="0"/>
              <w:rPr>
                <w:sz w:val="13"/>
                <w:szCs w:val="13"/>
                <w:color w:val="auto"/>
              </w:rPr>
            </w:pPr>
          </w:p>
        </w:tc>
      </w:tr>
      <w:tr>
        <w:trPr>
          <w:trHeight w:val="141"/>
        </w:trPr>
        <w:tc>
          <w:tcPr>
            <w:tcW w:w="3040" w:type="dxa"/>
            <w:vAlign w:val="bottom"/>
            <w:tcBorders>
              <w:bottom w:val="single" w:sz="8" w:color="CCECFF"/>
            </w:tcBorders>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43,004,366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43,714,096</w:t>
            </w:r>
          </w:p>
        </w:tc>
        <w:tc>
          <w:tcPr>
            <w:tcW w:w="100" w:type="dxa"/>
            <w:vAlign w:val="bottom"/>
            <w:shd w:val="clear" w:color="auto" w:fill="CCECFF"/>
          </w:tcPr>
          <w:p>
            <w:pPr>
              <w:spacing w:after="0"/>
              <w:rPr>
                <w:sz w:val="12"/>
                <w:szCs w:val="12"/>
                <w:color w:val="auto"/>
              </w:rPr>
            </w:pPr>
          </w:p>
        </w:tc>
      </w:tr>
      <w:tr>
        <w:trPr>
          <w:trHeight w:val="142"/>
        </w:trPr>
        <w:tc>
          <w:tcPr>
            <w:tcW w:w="40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896,720,950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905,271,258</w:t>
            </w:r>
          </w:p>
        </w:tc>
        <w:tc>
          <w:tcPr>
            <w:tcW w:w="100" w:type="dxa"/>
            <w:vAlign w:val="bottom"/>
            <w:tcBorders>
              <w:bottom w:val="single" w:sz="8" w:color="CCECFF"/>
            </w:tcBorders>
          </w:tcPr>
          <w:p>
            <w:pPr>
              <w:spacing w:after="0"/>
              <w:rPr>
                <w:sz w:val="12"/>
                <w:szCs w:val="12"/>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 xml:space="preserve">Investments in Non-Controlled, Affiliated Portfolio Companies—12.4% </w:t>
            </w:r>
            <w:r>
              <w:rPr>
                <w:rFonts w:ascii="Arial" w:cs="Arial" w:eastAsia="Arial" w:hAnsi="Arial"/>
                <w:sz w:val="9"/>
                <w:szCs w:val="9"/>
                <w:b w:val="1"/>
                <w:bCs w:val="1"/>
                <w:color w:val="auto"/>
                <w:w w:val="92"/>
              </w:rPr>
              <w:t>(1), (2)</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Debt—1.9%</w:t>
            </w:r>
          </w:p>
        </w:tc>
        <w:tc>
          <w:tcPr>
            <w:tcW w:w="9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13.08%</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L+1,100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10,160,537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10,098,625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10,160,537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13.08%)</w:t>
            </w: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960" w:type="dxa"/>
            <w:vAlign w:val="bottom"/>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8.08%</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60" w:type="dxa"/>
            <w:vAlign w:val="bottom"/>
            <w:shd w:val="clear" w:color="auto" w:fill="CCECFF"/>
          </w:tcPr>
          <w:p>
            <w:pPr>
              <w:ind w:left="20"/>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11,779,153</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11,841,065</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Interests/Warrants—10.5% </w:t>
            </w:r>
            <w:r>
              <w:rPr>
                <w:rFonts w:ascii="Arial" w:cs="Arial" w:eastAsia="Arial" w:hAnsi="Arial"/>
                <w:sz w:val="9"/>
                <w:szCs w:val="9"/>
                <w:b w:val="1"/>
                <w:bCs w:val="1"/>
                <w:color w:val="auto"/>
                <w:w w:val="91"/>
              </w:rPr>
              <w:t>(6)</w:t>
            </w:r>
          </w:p>
        </w:tc>
        <w:tc>
          <w:tcPr>
            <w:tcW w:w="9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18,137,081</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29,841</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Big Run, Inc.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397,025</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33,040,294</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ETX Energy Management Company, LLC</w:t>
            </w:r>
          </w:p>
        </w:tc>
        <w:tc>
          <w:tcPr>
            <w:tcW w:w="960" w:type="dxa"/>
            <w:vAlign w:val="bottom"/>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1,761,079</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9"/>
                <w:szCs w:val="9"/>
                <w:color w:val="auto"/>
              </w:rPr>
              <w:t>(9)</w:t>
            </w:r>
          </w:p>
        </w:tc>
        <w:tc>
          <w:tcPr>
            <w:tcW w:w="960" w:type="dxa"/>
            <w:vAlign w:val="bottom"/>
            <w:shd w:val="clear" w:color="auto" w:fill="CCECFF"/>
          </w:tcPr>
          <w:p>
            <w:pPr>
              <w:ind w:left="28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12,871,946</w:t>
            </w: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6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79,741,755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66,237,266</w:t>
            </w:r>
          </w:p>
        </w:tc>
        <w:tc>
          <w:tcPr>
            <w:tcW w:w="100" w:type="dxa"/>
            <w:vAlign w:val="bottom"/>
            <w:tcBorders>
              <w:bottom w:val="single" w:sz="8" w:color="CCECFF"/>
            </w:tcBorders>
          </w:tcPr>
          <w:p>
            <w:pPr>
              <w:spacing w:after="0"/>
              <w:rPr>
                <w:sz w:val="12"/>
                <w:szCs w:val="12"/>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91,520,908</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78,078,331</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Companies—23.6% </w:t>
            </w:r>
            <w:r>
              <w:rPr>
                <w:rFonts w:ascii="Arial" w:cs="Arial" w:eastAsia="Arial" w:hAnsi="Arial"/>
                <w:sz w:val="9"/>
                <w:szCs w:val="9"/>
                <w:b w:val="1"/>
                <w:bCs w:val="1"/>
                <w:color w:val="auto"/>
                <w:w w:val="97"/>
              </w:rPr>
              <w:t>(1), (2)</w:t>
            </w:r>
          </w:p>
        </w:tc>
        <w:tc>
          <w:tcPr>
            <w:tcW w:w="23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Debt—15.7%</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03/13/2024</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6.55%</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36,513,484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RAM Energy LLC</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12/31/2018</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7.84%</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L+550</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23,208,601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22,749,435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17,220,000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7.84%)</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106,801,035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98,733,484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Equity—1.9%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873,289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30,011,026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45,403,215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12,099,647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Equity—6.0%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3,987,794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33,914,960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37,902,754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255,574,317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148,735,885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Investments—180.0%</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1,243,816,175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1,132,085,474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Equivalents—3.1%</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531,379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531,379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19,012,246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18,974,775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19,543,625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19,506,154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Equivalents—183.1%</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1,263,359,800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1,151,591,628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Assets—(83.1%)</w:t>
            </w: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(522,689,733)</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628,901,895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4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LIBOR “L”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at the borrower’s option. All securities are subject to a LIBOR or Prime rate floor where a spread is provided, unless noted. The spread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2018, qualifying assets represent 88% of the Company’s total assets and non-qualifying assets represent 12% of the Company’s total assets.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120" w:firstLine="456"/>
        <w:spacing w:after="0" w:line="335" w:lineRule="auto"/>
        <w:rPr>
          <w:sz w:val="20"/>
          <w:szCs w:val="20"/>
          <w:color w:val="auto"/>
        </w:rPr>
      </w:pPr>
      <w:r>
        <w:rPr>
          <w:rFonts w:ascii="Arial" w:cs="Arial" w:eastAsia="Arial" w:hAnsi="Arial"/>
          <w:sz w:val="12"/>
          <w:szCs w:val="12"/>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680" w:firstLine="452"/>
        <w:spacing w:after="0" w:line="290"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60"/>
        <w:spacing w:after="0" w:line="238" w:lineRule="auto"/>
        <w:rPr>
          <w:sz w:val="20"/>
          <w:szCs w:val="20"/>
          <w:color w:val="auto"/>
        </w:rPr>
      </w:pPr>
      <w:r>
        <w:rPr>
          <w:rFonts w:ascii="Arial" w:cs="Arial" w:eastAsia="Arial" w:hAnsi="Arial"/>
          <w:sz w:val="14"/>
          <w:szCs w:val="14"/>
          <w:color w:val="auto"/>
        </w:rPr>
        <w:t>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60" w:firstLine="45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2019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100" w:firstLine="452"/>
        <w:spacing w:after="0" w:line="271"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7" w:lineRule="exact"/>
        <w:rPr>
          <w:sz w:val="20"/>
          <w:szCs w:val="20"/>
          <w:color w:val="auto"/>
        </w:rPr>
      </w:pPr>
    </w:p>
    <w:p>
      <w:pPr>
        <w:ind w:right="22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firstLine="452"/>
        <w:spacing w:after="0" w:line="273" w:lineRule="auto"/>
        <w:rPr>
          <w:sz w:val="20"/>
          <w:szCs w:val="20"/>
          <w:color w:val="auto"/>
        </w:rPr>
      </w:pPr>
      <w:r>
        <w:rPr>
          <w:rFonts w:ascii="Arial" w:cs="Arial" w:eastAsia="Arial" w:hAnsi="Arial"/>
          <w:sz w:val="12"/>
          <w:szCs w:val="12"/>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three months ended December 31, 2018 and 2017, we recorded a provision for taxes of $0.3 million ($0.1 million of excise tax and $0.2 million of U.S. federal and state income taxes related to the Taxable Subsidiaries) and zero, respectively.</w:t>
      </w:r>
    </w:p>
    <w:p>
      <w:pPr>
        <w:spacing w:after="0" w:line="98" w:lineRule="exact"/>
        <w:rPr>
          <w:sz w:val="20"/>
          <w:szCs w:val="20"/>
          <w:color w:val="auto"/>
        </w:rPr>
      </w:pPr>
    </w:p>
    <w:p>
      <w:pPr>
        <w:ind w:right="16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December 31,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40" w:lineRule="exact"/>
        <w:rPr>
          <w:sz w:val="20"/>
          <w:szCs w:val="20"/>
          <w:color w:val="auto"/>
        </w:rPr>
      </w:pPr>
    </w:p>
    <w:p>
      <w:pPr>
        <w:jc w:val="both"/>
        <w:ind w:right="360" w:firstLine="45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36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18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6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ind w:right="10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jc w:val="both"/>
        <w:ind w:right="420" w:firstLine="452"/>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1080" w:hanging="824"/>
        <w:spacing w:after="0"/>
        <w:tabs>
          <w:tab w:leader="none" w:pos="1080" w:val="left"/>
        </w:tabs>
        <w:numPr>
          <w:ilvl w:val="0"/>
          <w:numId w:val="1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In August 2018, the FASB issued Accounting Standards Update, or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07"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 xml:space="preserve">In August 2018, the SEC issued the Final Rule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but do not anticipate the impact of this final rule to have a material impact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80" w:firstLine="452"/>
        <w:spacing w:after="0" w:line="229" w:lineRule="auto"/>
        <w:rPr>
          <w:sz w:val="20"/>
          <w:szCs w:val="20"/>
          <w:color w:val="auto"/>
        </w:rPr>
      </w:pPr>
      <w:r>
        <w:rPr>
          <w:rFonts w:ascii="Arial" w:cs="Arial" w:eastAsia="Arial" w:hAnsi="Arial"/>
          <w:sz w:val="14"/>
          <w:szCs w:val="14"/>
          <w:color w:val="auto"/>
        </w:rPr>
        <w:t>Under the Investment Management Agreement, as amended and restated on February 5, 2019,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2019.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8" w:lineRule="exact"/>
        <w:rPr>
          <w:sz w:val="20"/>
          <w:szCs w:val="20"/>
          <w:color w:val="auto"/>
        </w:rPr>
      </w:pPr>
    </w:p>
    <w:p>
      <w:pPr>
        <w:ind w:right="100" w:firstLine="452"/>
        <w:spacing w:after="0" w:line="243" w:lineRule="auto"/>
        <w:rPr>
          <w:sz w:val="20"/>
          <w:szCs w:val="20"/>
          <w:color w:val="auto"/>
        </w:rPr>
      </w:pPr>
      <w:r>
        <w:rPr>
          <w:rFonts w:ascii="Arial" w:cs="Arial" w:eastAsia="Arial" w:hAnsi="Arial"/>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requirements to the Company, our board of directors also approved an amendment to the Investment Advisory Agreement reducing the Investment Advisor’s annual base management fee from 1.50% to 1.00% on gross assets that exceed 200% of the Company’s total net assets as of the immediately preceding quarter-end.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months ended December 31, 2018 and 2017, the Investment Adviser earned a base management fee of $4.4 million and $4.8 million (after a waiver of $0.9 million), respectively, from us.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months ended December 31, 2018 and 2017, the Investment Adviser earned $2.7 million and $2.7 million (after a waiver of $0.5 million), respectively, in incentive fees on net investment income from us.</w:t>
      </w:r>
    </w:p>
    <w:p>
      <w:pPr>
        <w:spacing w:after="0" w:line="288" w:lineRule="exact"/>
        <w:rPr>
          <w:sz w:val="20"/>
          <w:szCs w:val="20"/>
          <w:color w:val="auto"/>
        </w:rPr>
      </w:pPr>
    </w:p>
    <w:p>
      <w:pPr>
        <w:ind w:right="4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2018 and 2017, the Investment Adviser did not accrue an incentive fee on capital gains as calculated under the Investment Management Agreement (as described above).</w:t>
      </w:r>
    </w:p>
    <w:p>
      <w:pPr>
        <w:spacing w:after="0" w:line="119" w:lineRule="exact"/>
        <w:rPr>
          <w:sz w:val="20"/>
          <w:szCs w:val="20"/>
          <w:color w:val="auto"/>
        </w:rPr>
      </w:pPr>
    </w:p>
    <w:p>
      <w:pPr>
        <w:ind w:right="180" w:firstLine="432"/>
        <w:spacing w:after="0" w:line="238"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months ended December 31, 2018 and 2017, the Investment Adviser did not accrue an incentive fee on capital gains as calculated under GAAP.</w:t>
      </w:r>
    </w:p>
    <w:p>
      <w:pPr>
        <w:spacing w:after="0" w:line="116" w:lineRule="exact"/>
        <w:rPr>
          <w:sz w:val="20"/>
          <w:szCs w:val="20"/>
          <w:color w:val="auto"/>
        </w:rPr>
      </w:pPr>
    </w:p>
    <w:p>
      <w:pPr>
        <w:ind w:right="220" w:firstLine="434"/>
        <w:spacing w:after="0" w:line="227"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our directors who are not interested persons of us, in February 2019.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both the three months ended December 31, 2018 and 2017, we reimbursed the Investment Adviser approximately $0.3 million, including expenses the Investment Adviser incurred on behalf of the Administrator, for services described above.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There were no transactions subject to Rule 17a-7 under the 1940 Act during both the three months ended December 31, 2018 and 2017.</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480" w:firstLine="434"/>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2018 and 2017 totaled $196.4 million and $142.1 million, respectively. Sales and repayments of investments for the same periods totaled $125.8 million and $192.3 million, respectively.</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968"/>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580,205,266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577,393,518</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536,875,632</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531,422,088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395,646,750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403,170,805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385,201,277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391,038,029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49,887,593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48,123,067</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48,617,113</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48,127,586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297,871,535</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162,766,421</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273,122,153</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161,497,771</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1,323,611,144</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1,191,453,811</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1,243,816,175</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24,657,870</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24,653,889</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19,543,625</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19,506,154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1,348,269,014</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1,216,107,700</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1,263,359,800</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84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CCECFF"/>
            </w:tcBorders>
          </w:tcPr>
          <w:p>
            <w:pPr>
              <w:spacing w:after="0"/>
              <w:rPr>
                <w:sz w:val="14"/>
                <w:szCs w:val="14"/>
                <w:color w:val="auto"/>
              </w:rPr>
            </w:pPr>
          </w:p>
        </w:tc>
      </w:tr>
      <w:tr>
        <w:trPr>
          <w:trHeight w:val="155"/>
        </w:trPr>
        <w:tc>
          <w:tcPr>
            <w:tcW w:w="62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13%</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Consumer Products</w:t>
            </w: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Energy and Utilities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Hotels, Motels, Inns and Gaming</w:t>
            </w:r>
          </w:p>
        </w:tc>
        <w:tc>
          <w:tcPr>
            <w:tcW w:w="2140" w:type="dxa"/>
            <w:vAlign w:val="bottom"/>
          </w:tcPr>
          <w:p>
            <w:pPr>
              <w:jc w:val="right"/>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Electronics</w:t>
            </w: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Personal, Food and Miscellaneous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Auto Sector</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Beverage, Food and Tobacco</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Environmental Services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Financial Services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Insurance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28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Manufacturing / Basic Industries</w:t>
            </w: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Oil and Gas</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Aerospace and Defense</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Buildings and Real Estate</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Distribution</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gridSpan w:val="2"/>
          </w:tcPr>
          <w:p>
            <w:pPr>
              <w:spacing w:after="0"/>
              <w:rPr>
                <w:sz w:val="20"/>
                <w:szCs w:val="20"/>
                <w:color w:val="auto"/>
              </w:rPr>
            </w:pPr>
            <w:r>
              <w:rPr>
                <w:rFonts w:ascii="Arial" w:cs="Arial" w:eastAsia="Arial" w:hAnsi="Arial"/>
                <w:sz w:val="14"/>
                <w:szCs w:val="14"/>
                <w:color w:val="auto"/>
              </w:rPr>
              <w:t>Home and Office Furnishings</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64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Other Media</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4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Other</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5"/>
        </w:trPr>
        <w:tc>
          <w:tcPr>
            <w:tcW w:w="64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2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CFF"/>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80" w:firstLine="454"/>
        <w:spacing w:after="0" w:line="238" w:lineRule="auto"/>
        <w:rPr>
          <w:sz w:val="20"/>
          <w:szCs w:val="20"/>
          <w:color w:val="auto"/>
        </w:rPr>
      </w:pPr>
      <w:r>
        <w:rPr>
          <w:rFonts w:ascii="Arial" w:cs="Arial" w:eastAsia="Arial" w:hAnsi="Arial"/>
          <w:sz w:val="14"/>
          <w:szCs w:val="14"/>
          <w:color w:val="auto"/>
        </w:rPr>
        <w:t>Fair value, as defined under ASC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8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4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0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8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20" w:firstLine="425"/>
        <w:spacing w:after="0" w:line="264"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three months ended December 31, 2018 and 2017, our ability to observe valuation inputs resulted in no reclassifications.</w:t>
      </w:r>
    </w:p>
    <w:p>
      <w:pPr>
        <w:spacing w:after="0" w:line="101" w:lineRule="exact"/>
        <w:rPr>
          <w:sz w:val="20"/>
          <w:szCs w:val="20"/>
          <w:color w:val="auto"/>
        </w:rPr>
      </w:pPr>
    </w:p>
    <w:p>
      <w:pPr>
        <w:ind w:right="26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26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200" w:firstLine="425"/>
        <w:spacing w:after="0" w:line="243"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3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ind w:right="168"/>
              <w:spacing w:after="0"/>
              <w:rPr>
                <w:sz w:val="20"/>
                <w:szCs w:val="20"/>
                <w:color w:val="auto"/>
              </w:rPr>
            </w:pPr>
            <w:r>
              <w:rPr>
                <w:rFonts w:ascii="Arial" w:cs="Arial" w:eastAsia="Arial" w:hAnsi="Arial"/>
                <w:sz w:val="14"/>
                <w:szCs w:val="14"/>
                <w:b w:val="1"/>
                <w:bCs w:val="1"/>
                <w:color w:val="auto"/>
                <w:w w:val="95"/>
              </w:rPr>
              <w:t>December 31,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7,120,000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180,966,837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570,273,518</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7.5% – 17.6% (10.0%)</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222,203,968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11.0% – 14.1% (13.1%)</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48,123,067</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12.0% – 17.0% (15.6%)</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161,713,242</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tcPr>
          <w:p>
            <w:pPr>
              <w:jc w:val="center"/>
              <w:spacing w:after="0"/>
              <w:rPr>
                <w:sz w:val="20"/>
                <w:szCs w:val="20"/>
                <w:color w:val="auto"/>
              </w:rPr>
            </w:pPr>
            <w:r>
              <w:rPr>
                <w:rFonts w:ascii="Arial" w:cs="Arial" w:eastAsia="Arial" w:hAnsi="Arial"/>
                <w:sz w:val="14"/>
                <w:szCs w:val="14"/>
                <w:color w:val="auto"/>
                <w:w w:val="94"/>
              </w:rPr>
              <w:t>6.0x – 13.0x (9.0x)</w:t>
            </w:r>
          </w:p>
        </w:tc>
        <w:tc>
          <w:tcPr>
            <w:tcW w:w="0" w:type="dxa"/>
            <w:vAlign w:val="bottom"/>
          </w:tcPr>
          <w:p>
            <w:pPr>
              <w:spacing w:after="0"/>
              <w:rPr>
                <w:sz w:val="1"/>
                <w:szCs w:val="1"/>
                <w:color w:val="auto"/>
              </w:rPr>
            </w:pPr>
          </w:p>
        </w:tc>
      </w:tr>
      <w:tr>
        <w:trPr>
          <w:trHeight w:val="155"/>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1,190,400,632</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vMerge w:val="restart"/>
          </w:tcPr>
          <w:p>
            <w:pPr>
              <w:jc w:val="center"/>
              <w:spacing w:after="0"/>
              <w:rPr>
                <w:sz w:val="20"/>
                <w:szCs w:val="20"/>
                <w:color w:val="auto"/>
              </w:rPr>
            </w:pPr>
            <w:r>
              <w:rPr>
                <w:rFonts w:ascii="Arial" w:cs="Arial" w:eastAsia="Arial" w:hAnsi="Arial"/>
                <w:sz w:val="14"/>
                <w:szCs w:val="14"/>
                <w:color w:val="auto"/>
                <w:w w:val="93"/>
              </w:rPr>
              <w:t>5.6%</w:t>
            </w: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167,088,178</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164,734,450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531,422,088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7.4% – 17.5% (10.1%)</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226,303,579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10.7% – 14.1% (13.3%)</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48,127,586</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12.5% – 15.3% (14.5%)</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160,656,044</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3.9x – 13.8x (8.2x)</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1,131,243,747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investments, cash and cash equivalents, Credit Facility and the 2019 Notes were categorized as follows in the fair value hierarchy for ASC 820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300"/>
              <w:spacing w:after="0"/>
              <w:rPr>
                <w:sz w:val="20"/>
                <w:szCs w:val="20"/>
                <w:color w:val="auto"/>
              </w:rPr>
            </w:pPr>
            <w:r>
              <w:rPr>
                <w:rFonts w:ascii="Arial" w:cs="Arial" w:eastAsia="Arial" w:hAnsi="Arial"/>
                <w:sz w:val="14"/>
                <w:szCs w:val="14"/>
                <w:b w:val="1"/>
                <w:bCs w:val="1"/>
                <w:color w:val="auto"/>
              </w:rPr>
              <w:t>Fair Value at December 31, 2018</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1,028,687,390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1,028,687,390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162,766,421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1,053,179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161,713,242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1,191,453,811</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1,053,179</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1,190,400,632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24,653,889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24,653,889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1,216,107,700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25,707,068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1,190,400,632</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167,088,178</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167,088,178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249,430,000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249,430,000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416,518,178</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249,430,000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167,088,178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161,497,771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841,727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160,656,044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1,132,085,474</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841,727</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19,506,154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19,506,154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1,151,591,628</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20,347,881</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0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1,131,243,747</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77,645,830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251,322,500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328,968,330</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251,322,500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77,645,830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80" w:type="dxa"/>
            <w:vAlign w:val="bottom"/>
            <w:gridSpan w:val="20"/>
          </w:tcPr>
          <w:p>
            <w:pPr>
              <w:jc w:val="center"/>
              <w:ind w:left="14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11"/>
          </w:tcPr>
          <w:p>
            <w:pPr>
              <w:jc w:val="center"/>
              <w:ind w:left="788"/>
              <w:spacing w:after="0"/>
              <w:rPr>
                <w:sz w:val="20"/>
                <w:szCs w:val="20"/>
                <w:color w:val="auto"/>
              </w:rPr>
            </w:pPr>
            <w:r>
              <w:rPr>
                <w:rFonts w:ascii="Arial" w:cs="Arial" w:eastAsia="Arial" w:hAnsi="Arial"/>
                <w:sz w:val="14"/>
                <w:szCs w:val="14"/>
                <w:b w:val="1"/>
                <w:bCs w:val="1"/>
                <w:color w:val="auto"/>
                <w:w w:val="93"/>
              </w:rPr>
              <w:t>Three Months Ended December 31, 2018</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right"/>
              <w:ind w:right="640"/>
              <w:spacing w:after="0" w:line="133" w:lineRule="exact"/>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970,587,703</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160,656,044</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805,044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7,672,845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8,477,889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3,054,099</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(22,878,354)</w:t>
            </w: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(19,824,255)</w:t>
            </w: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175,080,250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21,214,018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196,294,268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(120,839,706)</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(4,951,311)</w:t>
            </w:r>
          </w:p>
        </w:tc>
        <w:tc>
          <w:tcPr>
            <w:tcW w:w="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16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(125,791,017)</w:t>
            </w: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1,028,687,390</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161,713,242</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1,190,400,632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depreciation on investments in our Consolidated Statements of Operations attributable to our Level 3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3,476,349</w:t>
            </w:r>
          </w:p>
        </w:tc>
        <w:tc>
          <w:tcPr>
            <w:tcW w:w="80" w:type="dxa"/>
            <w:vAlign w:val="bottom"/>
          </w:tcPr>
          <w:p>
            <w:pPr>
              <w:spacing w:after="0"/>
              <w:rPr>
                <w:sz w:val="14"/>
                <w:szCs w:val="14"/>
                <w:color w:val="auto"/>
              </w:rPr>
            </w:pP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(14,245,662)</w:t>
            </w:r>
          </w:p>
        </w:tc>
        <w:tc>
          <w:tcPr>
            <w:tcW w:w="4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(10,769,313)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10"/>
          </w:tcPr>
          <w:p>
            <w:pPr>
              <w:jc w:val="center"/>
              <w:ind w:left="728"/>
              <w:spacing w:after="0"/>
              <w:rPr>
                <w:sz w:val="20"/>
                <w:szCs w:val="20"/>
                <w:color w:val="auto"/>
              </w:rPr>
            </w:pPr>
            <w:r>
              <w:rPr>
                <w:rFonts w:ascii="Arial" w:cs="Arial" w:eastAsia="Arial" w:hAnsi="Arial"/>
                <w:sz w:val="14"/>
                <w:szCs w:val="14"/>
                <w:b w:val="1"/>
                <w:bCs w:val="1"/>
                <w:color w:val="auto"/>
                <w:w w:val="93"/>
              </w:rPr>
              <w:t>Three Months Ended December 31, 2017</w:t>
            </w: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4"/>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1"/>
                <w:szCs w:val="11"/>
                <w:color w:val="auto"/>
              </w:rPr>
            </w:pPr>
          </w:p>
        </w:tc>
        <w:tc>
          <w:tcPr>
            <w:tcW w:w="134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9"/>
                <w:szCs w:val="9"/>
                <w:color w:val="auto"/>
              </w:rPr>
            </w:pPr>
          </w:p>
        </w:tc>
        <w:tc>
          <w:tcPr>
            <w:tcW w:w="13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166,268,568</w:t>
            </w:r>
          </w:p>
        </w:tc>
        <w:tc>
          <w:tcPr>
            <w:tcW w:w="10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380" w:type="dxa"/>
            <w:vAlign w:val="bottom"/>
            <w:tcBorders>
              <w:top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1,961,209</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1,810,786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3,771,995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(3,759,168)</w:t>
            </w:r>
          </w:p>
        </w:tc>
        <w:tc>
          <w:tcPr>
            <w:tcW w:w="160" w:type="dxa"/>
            <w:vAlign w:val="bottom"/>
            <w:shd w:val="clear" w:color="auto" w:fill="CCECFF"/>
          </w:tcPr>
          <w:p>
            <w:pPr>
              <w:spacing w:after="0"/>
              <w:rPr>
                <w:sz w:val="14"/>
                <w:szCs w:val="14"/>
                <w:color w:val="auto"/>
              </w:rPr>
            </w:pPr>
          </w:p>
        </w:tc>
        <w:tc>
          <w:tcPr>
            <w:tcW w:w="13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(2,980,993)</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(6,740,161)</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133,670,716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8,708,434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142,379,150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4"/>
            <w:shd w:val="clear" w:color="auto" w:fill="CCECFF"/>
          </w:tcPr>
          <w:p>
            <w:pPr>
              <w:jc w:val="right"/>
              <w:ind w:right="220"/>
              <w:spacing w:after="0"/>
              <w:rPr>
                <w:sz w:val="20"/>
                <w:szCs w:val="20"/>
                <w:color w:val="auto"/>
              </w:rPr>
            </w:pPr>
            <w:r>
              <w:rPr>
                <w:rFonts w:ascii="Arial" w:cs="Arial" w:eastAsia="Arial" w:hAnsi="Arial"/>
                <w:sz w:val="14"/>
                <w:szCs w:val="14"/>
                <w:color w:val="auto"/>
              </w:rPr>
              <w:t>(190,492,232)</w:t>
            </w:r>
          </w:p>
        </w:tc>
        <w:tc>
          <w:tcPr>
            <w:tcW w:w="160" w:type="dxa"/>
            <w:vAlign w:val="bottom"/>
            <w:shd w:val="clear" w:color="auto" w:fill="CCECFF"/>
          </w:tcPr>
          <w:p>
            <w:pPr>
              <w:spacing w:after="0"/>
              <w:rPr>
                <w:sz w:val="14"/>
                <w:szCs w:val="14"/>
                <w:color w:val="auto"/>
              </w:rPr>
            </w:pPr>
          </w:p>
        </w:tc>
        <w:tc>
          <w:tcPr>
            <w:tcW w:w="13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(1,810,786)</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(192,303,018)</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rPr>
              <w:t>927,709,023</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171,996,009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80" w:type="dxa"/>
            <w:vAlign w:val="bottom"/>
            <w:tcBorders>
              <w:top w:val="single" w:sz="8" w:color="auto"/>
              <w:bottom w:val="single" w:sz="8" w:color="auto"/>
            </w:tcBorders>
            <w:shd w:val="clear" w:color="auto" w:fill="CCECFF"/>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1,099,705,032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460" w:type="dxa"/>
            <w:vAlign w:val="bottom"/>
            <w:gridSpan w:val="4"/>
          </w:tcPr>
          <w:p>
            <w:pPr>
              <w:jc w:val="right"/>
              <w:ind w:right="220"/>
              <w:spacing w:after="0"/>
              <w:rPr>
                <w:sz w:val="20"/>
                <w:szCs w:val="20"/>
                <w:color w:val="auto"/>
              </w:rPr>
            </w:pPr>
            <w:r>
              <w:rPr>
                <w:rFonts w:ascii="Arial" w:cs="Arial" w:eastAsia="Arial" w:hAnsi="Arial"/>
                <w:sz w:val="14"/>
                <w:szCs w:val="14"/>
                <w:color w:val="auto"/>
              </w:rPr>
              <w:t>(1,441,348)</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gridSpan w:val="3"/>
          </w:tcPr>
          <w:p>
            <w:pPr>
              <w:jc w:val="right"/>
              <w:ind w:right="60"/>
              <w:spacing w:after="0"/>
              <w:rPr>
                <w:sz w:val="20"/>
                <w:szCs w:val="20"/>
                <w:color w:val="auto"/>
              </w:rPr>
            </w:pPr>
            <w:r>
              <w:rPr>
                <w:rFonts w:ascii="Arial" w:cs="Arial" w:eastAsia="Arial" w:hAnsi="Arial"/>
                <w:sz w:val="14"/>
                <w:szCs w:val="14"/>
                <w:color w:val="auto"/>
              </w:rPr>
              <w:t>(2,980,993)</w:t>
            </w:r>
          </w:p>
        </w:tc>
        <w:tc>
          <w:tcPr>
            <w:tcW w:w="5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color w:val="auto"/>
              </w:rPr>
              <w:t>(4,422,341)</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0100" w:type="dxa"/>
            <w:vAlign w:val="bottom"/>
            <w:gridSpan w:val="13"/>
          </w:tcPr>
          <w:p>
            <w:pPr>
              <w:ind w:left="460"/>
              <w:spacing w:after="0"/>
              <w:rPr>
                <w:sz w:val="20"/>
                <w:szCs w:val="20"/>
                <w:color w:val="auto"/>
              </w:rPr>
            </w:pPr>
            <w:r>
              <w:rPr>
                <w:rFonts w:ascii="Arial" w:cs="Arial" w:eastAsia="Arial" w:hAnsi="Arial"/>
                <w:sz w:val="14"/>
                <w:szCs w:val="14"/>
                <w:color w:val="auto"/>
                <w:w w:val="97"/>
              </w:rPr>
              <w:t>The table below shows a reconciliation of the beginning and ending balances for fair valued liabilities measured using significant unobservable inputs (Level 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w w:val="96"/>
              </w:rPr>
              <w:t>Three Months Ended December 31,</w:t>
            </w:r>
          </w:p>
        </w:tc>
        <w:tc>
          <w:tcPr>
            <w:tcW w:w="0" w:type="dxa"/>
            <w:vAlign w:val="bottom"/>
          </w:tcPr>
          <w:p>
            <w:pPr>
              <w:spacing w:after="0"/>
              <w:rPr>
                <w:sz w:val="1"/>
                <w:szCs w:val="1"/>
                <w:color w:val="auto"/>
              </w:rPr>
            </w:pPr>
          </w:p>
        </w:tc>
      </w:tr>
      <w:tr>
        <w:trPr>
          <w:trHeight w:val="26"/>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24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$80,520,000 and $79,392,900, respectively)</w:t>
            </w: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CFF"/>
          </w:tcPr>
          <w:p>
            <w:pPr>
              <w:spacing w:after="0"/>
              <w:rPr>
                <w:sz w:val="13"/>
                <w:szCs w:val="13"/>
                <w:color w:val="auto"/>
              </w:rPr>
            </w:pPr>
          </w:p>
        </w:tc>
        <w:tc>
          <w:tcPr>
            <w:tcW w:w="10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77,645,830</w:t>
            </w:r>
          </w:p>
        </w:tc>
        <w:tc>
          <w:tcPr>
            <w:tcW w:w="1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CFF"/>
          </w:tcPr>
          <w:p>
            <w:pPr>
              <w:spacing w:after="0"/>
              <w:rPr>
                <w:sz w:val="13"/>
                <w:szCs w:val="13"/>
                <w:color w:val="auto"/>
              </w:rPr>
            </w:pPr>
          </w:p>
        </w:tc>
        <w:tc>
          <w:tcPr>
            <w:tcW w:w="10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(4,173,652)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540,734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217,000,000</w:t>
            </w:r>
          </w:p>
        </w:tc>
        <w:tc>
          <w:tcPr>
            <w:tcW w:w="1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35,000,000</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Arial" w:cs="Arial" w:eastAsia="Arial" w:hAnsi="Arial"/>
                <w:sz w:val="14"/>
                <w:szCs w:val="14"/>
                <w:color w:val="auto"/>
              </w:rPr>
              <w:t>(123,384,000)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(35,000,000)</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Pr>
          <w:p>
            <w:pPr>
              <w:spacing w:after="0" w:line="155" w:lineRule="exact"/>
              <w:rPr>
                <w:sz w:val="20"/>
                <w:szCs w:val="20"/>
                <w:color w:val="auto"/>
              </w:rPr>
            </w:pPr>
            <w:r>
              <w:rPr>
                <w:rFonts w:ascii="Arial" w:cs="Arial" w:eastAsia="Arial" w:hAnsi="Arial"/>
                <w:sz w:val="14"/>
                <w:szCs w:val="14"/>
                <w:color w:val="auto"/>
              </w:rPr>
              <w:t>Ending Balance (cost – $174,136,000 and $79,392,900,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167,088,178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76,578,075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40" w:type="dxa"/>
            <w:vAlign w:val="bottom"/>
            <w:gridSpan w:val="3"/>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1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Pr>
          <w:p>
            <w:pPr>
              <w:spacing w:after="0" w:line="155" w:lineRule="exact"/>
              <w:rPr>
                <w:sz w:val="20"/>
                <w:szCs w:val="20"/>
                <w:color w:val="auto"/>
              </w:rPr>
            </w:pPr>
            <w:r>
              <w:rPr>
                <w:rFonts w:ascii="Arial" w:cs="Arial" w:eastAsia="Arial" w:hAnsi="Arial"/>
                <w:sz w:val="14"/>
                <w:szCs w:val="14"/>
                <w:color w:val="auto"/>
              </w:rPr>
              <w:t>Ending Balance (cost – $174,136,000 and $79,392,900, respectively)</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167,088,178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76,578,075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380" w:firstLine="443"/>
        <w:spacing w:after="0" w:line="253" w:lineRule="auto"/>
        <w:rPr>
          <w:sz w:val="20"/>
          <w:szCs w:val="20"/>
          <w:color w:val="auto"/>
        </w:rPr>
      </w:pPr>
      <w:r>
        <w:rPr>
          <w:rFonts w:ascii="Arial" w:cs="Arial" w:eastAsia="Arial" w:hAnsi="Arial"/>
          <w:sz w:val="14"/>
          <w:szCs w:val="14"/>
          <w:color w:val="auto"/>
        </w:rPr>
        <w:t>As of December 31, 2018,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36,934,197</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March 15,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(3,201,803)</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360" w:firstLine="443"/>
        <w:spacing w:after="0" w:line="253" w:lineRule="auto"/>
        <w:rPr>
          <w:sz w:val="20"/>
          <w:szCs w:val="20"/>
          <w:color w:val="auto"/>
        </w:rPr>
      </w:pPr>
      <w:r>
        <w:rPr>
          <w:rFonts w:ascii="Arial" w:cs="Arial" w:eastAsia="Arial" w:hAnsi="Arial"/>
          <w:sz w:val="14"/>
          <w:szCs w:val="14"/>
          <w:color w:val="auto"/>
        </w:rPr>
        <w:t>As of September 30, 2018,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41,520,000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39,121,590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December 14,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(2,398,410)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360" w:firstLine="443"/>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have adopted the principles under ASC Subtopic ASC 825-10, Financial Instruments, or ASC 825-10, which provides companies with an option to report selected financial assets and liabilities at fair value, and made an irrevocable election to apply ASC 825-10 to our Credit Facility and the 2019 Notes. We elected to use the fair value option for the Credit Facility and the 2019 Notes to align the measurement attributes of both our assets and liabilities while mitigating volatility in earnings from using different measurement attributes. During both the three months ended December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 liabilities, including the SBA debentures. For the three months ended December 31, 2018 and 2017, our Credit Facility and the 2019 Notes had a net change in unrealized depreciation of $6.1 million and $1.1 million, respectively. As of December 31, 2018 and September 30, 2018, the net unrealized depreciation on our Credit Facility and the 2019 Notes totaled $7.6 million and $1.6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 at</w:t>
            </w:r>
          </w:p>
        </w:tc>
        <w:tc>
          <w:tcPr>
            <w:tcW w:w="6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Purchases of /</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Sale of /</w:t>
            </w:r>
          </w:p>
        </w:tc>
        <w:tc>
          <w:tcPr>
            <w:tcW w:w="80" w:type="dxa"/>
            <w:vAlign w:val="bottom"/>
          </w:tcPr>
          <w:p>
            <w:pPr>
              <w:spacing w:after="0"/>
              <w:rPr>
                <w:sz w:val="14"/>
                <w:szCs w:val="14"/>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8"/>
              </w:rPr>
              <w:t>Advances to</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1860" w:type="dxa"/>
            <w:vAlign w:val="bottom"/>
            <w:vMerge w:val="continue"/>
          </w:tcPr>
          <w:p>
            <w:pPr>
              <w:spacing w:after="0"/>
              <w:rPr>
                <w:sz w:val="14"/>
                <w:szCs w:val="14"/>
                <w:color w:val="auto"/>
              </w:rPr>
            </w:pPr>
          </w:p>
        </w:tc>
        <w:tc>
          <w:tcPr>
            <w:tcW w:w="1720" w:type="dxa"/>
            <w:vAlign w:val="bottom"/>
            <w:gridSpan w:val="4"/>
          </w:tcPr>
          <w:p>
            <w:pPr>
              <w:ind w:left="100"/>
              <w:spacing w:after="0"/>
              <w:rPr>
                <w:sz w:val="20"/>
                <w:szCs w:val="20"/>
                <w:color w:val="auto"/>
              </w:rPr>
            </w:pPr>
            <w:r>
              <w:rPr>
                <w:rFonts w:ascii="Arial" w:cs="Arial" w:eastAsia="Arial" w:hAnsi="Arial"/>
                <w:sz w:val="14"/>
                <w:szCs w:val="14"/>
                <w:b w:val="1"/>
                <w:bCs w:val="1"/>
                <w:color w:val="auto"/>
              </w:rPr>
              <w:t xml:space="preserve">September 30, 2018 </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220" w:type="dxa"/>
            <w:vAlign w:val="bottom"/>
          </w:tcPr>
          <w:p>
            <w:pPr>
              <w:spacing w:after="0"/>
              <w:rPr>
                <w:sz w:val="14"/>
                <w:szCs w:val="14"/>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(Depreciation)</w:t>
            </w:r>
          </w:p>
        </w:tc>
        <w:tc>
          <w:tcPr>
            <w:tcW w:w="80" w:type="dxa"/>
            <w:vAlign w:val="bottom"/>
          </w:tcPr>
          <w:p>
            <w:pPr>
              <w:spacing w:after="0"/>
              <w:rPr>
                <w:sz w:val="14"/>
                <w:szCs w:val="14"/>
                <w:color w:val="auto"/>
              </w:rPr>
            </w:pPr>
          </w:p>
        </w:tc>
        <w:tc>
          <w:tcPr>
            <w:tcW w:w="14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5"/>
              </w:rPr>
              <w:t xml:space="preserve">December 31, 2018 </w:t>
            </w:r>
            <w:r>
              <w:rPr>
                <w:rFonts w:ascii="Arial" w:cs="Arial" w:eastAsia="Arial" w:hAnsi="Arial"/>
                <w:sz w:val="12"/>
                <w:szCs w:val="12"/>
                <w:b w:val="1"/>
                <w:bCs w:val="1"/>
                <w:color w:val="auto"/>
                <w:w w:val="95"/>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5"/>
        </w:trPr>
        <w:tc>
          <w:tcPr>
            <w:tcW w:w="18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2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AKW Holdings Limited</w:t>
            </w:r>
          </w:p>
        </w:tc>
        <w:tc>
          <w:tcPr>
            <w:tcW w:w="2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40,501,278</w:t>
            </w:r>
          </w:p>
        </w:tc>
        <w:tc>
          <w:tcPr>
            <w:tcW w:w="2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580,572</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2,466,795</w:t>
            </w:r>
          </w:p>
        </w:tc>
        <w:tc>
          <w:tcPr>
            <w:tcW w:w="140" w:type="dxa"/>
            <w:vAlign w:val="bottom"/>
          </w:tcPr>
          <w:p>
            <w:pPr>
              <w:spacing w:after="0"/>
              <w:rPr>
                <w:sz w:val="14"/>
                <w:szCs w:val="14"/>
                <w:color w:val="auto"/>
              </w:rPr>
            </w:pPr>
          </w:p>
        </w:tc>
        <w:tc>
          <w:tcPr>
            <w:tcW w:w="2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42,968,073</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MidOcean JF Holdings Corp.</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CFF"/>
          </w:tcPr>
          <w:p>
            <w:pPr>
              <w:ind w:left="120"/>
              <w:spacing w:after="0"/>
              <w:rPr>
                <w:sz w:val="20"/>
                <w:szCs w:val="20"/>
                <w:color w:val="auto"/>
              </w:rPr>
            </w:pPr>
            <w:r>
              <w:rPr>
                <w:rFonts w:ascii="Arial" w:cs="Arial" w:eastAsia="Arial" w:hAnsi="Arial"/>
                <w:sz w:val="14"/>
                <w:szCs w:val="14"/>
                <w:color w:val="auto"/>
              </w:rPr>
              <w:t>(JF Acquisition, LLC)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12,099,647</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(3,017,406)</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9,082,240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RAM Energy LLC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78,914,960</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1,010,000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9,415,040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93,330,000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86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Superior Digital Displays</w:t>
            </w:r>
          </w:p>
        </w:tc>
        <w:tc>
          <w:tcPr>
            <w:tcW w:w="10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860" w:type="dxa"/>
            <w:vAlign w:val="bottom"/>
            <w:shd w:val="clear" w:color="auto" w:fill="CCECFF"/>
          </w:tcPr>
          <w:p>
            <w:pPr>
              <w:ind w:left="120"/>
              <w:spacing w:after="0"/>
              <w:rPr>
                <w:sz w:val="20"/>
                <w:szCs w:val="20"/>
                <w:color w:val="auto"/>
              </w:rPr>
            </w:pPr>
            <w:r>
              <w:rPr>
                <w:rFonts w:ascii="Arial" w:cs="Arial" w:eastAsia="Arial" w:hAnsi="Arial"/>
                <w:sz w:val="14"/>
                <w:szCs w:val="14"/>
                <w:color w:val="auto"/>
              </w:rPr>
              <w:t>Holdings, Inc.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17,220,000</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16,707,877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(16,168,548)</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203,031</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(10,457,361)</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7,500,000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b w:val="1"/>
                <w:bCs w:val="1"/>
                <w:color w:val="auto"/>
              </w:rPr>
              <w:t>Non-Controlled Affiliates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shd w:val="clear" w:color="auto" w:fill="CCECFF"/>
          </w:tcPr>
          <w:p>
            <w:pPr>
              <w:spacing w:after="0"/>
              <w:rPr>
                <w:sz w:val="20"/>
                <w:szCs w:val="20"/>
                <w:color w:val="auto"/>
              </w:rPr>
            </w:pPr>
            <w:r>
              <w:rPr>
                <w:rFonts w:ascii="Arial" w:cs="Arial" w:eastAsia="Arial" w:hAnsi="Arial"/>
                <w:sz w:val="14"/>
                <w:szCs w:val="14"/>
                <w:color w:val="auto"/>
              </w:rPr>
              <w:t>Affinion Group Holdings, Inc.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18,166,922</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(1,346,115)</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16,820,807</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Big Run, Inc.</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397,025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(447,844)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277,918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(227,099)</w:t>
            </w:r>
          </w:p>
        </w:tc>
        <w:tc>
          <w:tcPr>
            <w:tcW w:w="0" w:type="dxa"/>
            <w:vAlign w:val="bottom"/>
          </w:tcPr>
          <w:p>
            <w:pPr>
              <w:spacing w:after="0"/>
              <w:rPr>
                <w:sz w:val="1"/>
                <w:szCs w:val="1"/>
                <w:color w:val="auto"/>
              </w:rPr>
            </w:pPr>
          </w:p>
        </w:tc>
      </w:tr>
      <w:tr>
        <w:trPr>
          <w:trHeight w:val="162"/>
        </w:trPr>
        <w:tc>
          <w:tcPr>
            <w:tcW w:w="1860" w:type="dxa"/>
            <w:vAlign w:val="bottom"/>
            <w:shd w:val="clear" w:color="auto" w:fill="CCECFF"/>
          </w:tcPr>
          <w:p>
            <w:pPr>
              <w:spacing w:after="0"/>
              <w:rPr>
                <w:sz w:val="20"/>
                <w:szCs w:val="20"/>
                <w:color w:val="auto"/>
              </w:rPr>
            </w:pPr>
            <w:r>
              <w:rPr>
                <w:rFonts w:ascii="Arial" w:cs="Arial" w:eastAsia="Arial" w:hAnsi="Arial"/>
                <w:sz w:val="14"/>
                <w:szCs w:val="14"/>
                <w:color w:val="auto"/>
              </w:rPr>
              <w:t>ETX Energy, LLC</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34,801,373</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2,326,900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(4,891,461)</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32,236,812</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 xml:space="preserve">U.S. Well Services, LLC </w:t>
            </w:r>
            <w:r>
              <w:rPr>
                <w:rFonts w:ascii="Arial" w:cs="Arial" w:eastAsia="Arial" w:hAnsi="Arial"/>
                <w:sz w:val="12"/>
                <w:szCs w:val="12"/>
                <w:color w:val="auto"/>
              </w:rPr>
              <w:t>(3)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24,713,011</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225,253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(11,252,488)</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213,730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(5,910,108)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4,859,930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6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0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spacing w:after="0"/>
              <w:rPr>
                <w:sz w:val="11"/>
                <w:szCs w:val="11"/>
                <w:color w:val="auto"/>
              </w:rPr>
            </w:pPr>
          </w:p>
        </w:tc>
        <w:tc>
          <w:tcPr>
            <w:tcW w:w="12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86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280" w:type="dxa"/>
            <w:vAlign w:val="bottom"/>
            <w:gridSpan w:val="2"/>
            <w:shd w:val="clear" w:color="auto" w:fill="CCECFF"/>
          </w:tcPr>
          <w:p>
            <w:pPr>
              <w:ind w:left="1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226,814,216</w:t>
            </w:r>
          </w:p>
        </w:tc>
        <w:tc>
          <w:tcPr>
            <w:tcW w:w="220" w:type="dxa"/>
            <w:vAlign w:val="bottom"/>
            <w:shd w:val="clear" w:color="auto" w:fill="CCECFF"/>
          </w:tcPr>
          <w:p>
            <w:pPr>
              <w:spacing w:after="0"/>
              <w:rPr>
                <w:sz w:val="14"/>
                <w:szCs w:val="14"/>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24,260,030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(27,868,880)</w:t>
            </w:r>
          </w:p>
        </w:tc>
        <w:tc>
          <w:tcPr>
            <w:tcW w:w="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2,007,333</w:t>
            </w:r>
          </w:p>
        </w:tc>
        <w:tc>
          <w:tcPr>
            <w:tcW w:w="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(13,462,698)</w:t>
            </w:r>
          </w:p>
        </w:tc>
        <w:tc>
          <w:tcPr>
            <w:tcW w:w="28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201,937,932</w:t>
            </w:r>
          </w:p>
        </w:tc>
        <w:tc>
          <w:tcPr>
            <w:tcW w:w="360" w:type="dxa"/>
            <w:vAlign w:val="bottom"/>
            <w:gridSpan w:val="2"/>
            <w:shd w:val="clear" w:color="auto" w:fill="CCEC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4,632,831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80" w:hanging="372"/>
        <w:spacing w:after="0" w:line="221"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Ceased to be an affiliate during the three months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13455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8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6040" w:type="dxa"/>
            <w:vAlign w:val="bottom"/>
          </w:tcPr>
          <w:p>
            <w:pPr>
              <w:spacing w:after="0"/>
              <w:rPr>
                <w:sz w:val="2"/>
                <w:szCs w:val="2"/>
                <w:color w:val="auto"/>
              </w:rPr>
            </w:pPr>
          </w:p>
        </w:tc>
        <w:tc>
          <w:tcPr>
            <w:tcW w:w="250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60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604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15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9"/>
              </w:rPr>
              <w:t>6,778,189</w:t>
            </w:r>
          </w:p>
        </w:tc>
        <w:tc>
          <w:tcPr>
            <w:tcW w:w="30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12,295,397</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604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1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68,908,920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1"/>
              </w:rPr>
              <w:t>71,060,836</w:t>
            </w:r>
          </w:p>
        </w:tc>
        <w:tc>
          <w:tcPr>
            <w:tcW w:w="100" w:type="dxa"/>
            <w:vAlign w:val="bottom"/>
          </w:tcPr>
          <w:p>
            <w:pPr>
              <w:spacing w:after="0"/>
              <w:rPr>
                <w:sz w:val="14"/>
                <w:szCs w:val="14"/>
                <w:color w:val="auto"/>
              </w:rPr>
            </w:pPr>
          </w:p>
        </w:tc>
      </w:tr>
      <w:tr>
        <w:trPr>
          <w:trHeight w:val="162"/>
        </w:trPr>
        <w:tc>
          <w:tcPr>
            <w:tcW w:w="604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500" w:type="dxa"/>
            <w:vAlign w:val="bottom"/>
            <w:gridSpan w:val="2"/>
            <w:shd w:val="clear" w:color="auto" w:fill="CCECFF"/>
          </w:tcPr>
          <w:p>
            <w:pPr>
              <w:jc w:val="right"/>
              <w:ind w:right="8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1260" w:type="dxa"/>
            <w:vAlign w:val="bottom"/>
            <w:gridSpan w:val="2"/>
            <w:shd w:val="clear" w:color="auto" w:fill="CCECFF"/>
          </w:tcPr>
          <w:p>
            <w:pPr>
              <w:jc w:val="right"/>
              <w:ind w:right="8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2018 and September 30, 2018, cash and cash equivalents consisted of money market funds in the amounts of $24.7 million and $19.5 million at fair value,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820" w:type="dxa"/>
            <w:vAlign w:val="bottom"/>
          </w:tcPr>
          <w:p>
            <w:pPr>
              <w:ind w:left="16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820" w:type="dxa"/>
            <w:vAlign w:val="bottom"/>
          </w:tcPr>
          <w:p>
            <w:pPr>
              <w:spacing w:after="0"/>
              <w:rPr>
                <w:sz w:val="24"/>
                <w:szCs w:val="24"/>
                <w:color w:val="auto"/>
              </w:rPr>
            </w:pPr>
          </w:p>
        </w:tc>
        <w:tc>
          <w:tcPr>
            <w:tcW w:w="346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rPr>
              <w:t>Three Months Ended December 31,</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2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ind w:right="4"/>
              <w:spacing w:after="0" w:line="155"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ind w:right="6"/>
              <w:spacing w:after="0" w:line="155"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420" w:type="dxa"/>
            <w:vAlign w:val="bottom"/>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9.11</w:t>
            </w:r>
          </w:p>
        </w:tc>
        <w:tc>
          <w:tcPr>
            <w:tcW w:w="420" w:type="dxa"/>
            <w:vAlign w:val="bottom"/>
          </w:tcPr>
          <w:p>
            <w:pPr>
              <w:spacing w:after="0"/>
              <w:rPr>
                <w:sz w:val="14"/>
                <w:szCs w:val="14"/>
                <w:color w:val="auto"/>
              </w:rPr>
            </w:pP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0.18</w:t>
            </w:r>
          </w:p>
        </w:tc>
        <w:tc>
          <w:tcPr>
            <w:tcW w:w="42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0.20</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(0.08)</w:t>
            </w:r>
          </w:p>
        </w:tc>
        <w:tc>
          <w:tcPr>
            <w:tcW w:w="1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56"/>
        </w:trPr>
        <w:tc>
          <w:tcPr>
            <w:tcW w:w="68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0.10</w:t>
            </w:r>
          </w:p>
        </w:tc>
        <w:tc>
          <w:tcPr>
            <w:tcW w:w="420" w:type="dxa"/>
            <w:vAlign w:val="bottom"/>
            <w:tcBorders>
              <w:top w:val="single" w:sz="8" w:color="CCECFF"/>
            </w:tcBorders>
            <w:shd w:val="clear" w:color="auto" w:fill="CCECFF"/>
          </w:tcPr>
          <w:p>
            <w:pPr>
              <w:spacing w:after="0"/>
              <w:rPr>
                <w:sz w:val="13"/>
                <w:szCs w:val="13"/>
                <w:color w:val="auto"/>
              </w:rPr>
            </w:pP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0.18</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color w:val="auto"/>
              </w:rPr>
              <w:t>(0.18)</w:t>
            </w:r>
          </w:p>
        </w:tc>
        <w:tc>
          <w:tcPr>
            <w:tcW w:w="114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0.02</w:t>
            </w:r>
          </w:p>
        </w:tc>
        <w:tc>
          <w:tcPr>
            <w:tcW w:w="420" w:type="dxa"/>
            <w:vAlign w:val="bottom"/>
            <w:shd w:val="clear" w:color="auto" w:fill="CCECFF"/>
          </w:tcPr>
          <w:p>
            <w:pPr>
              <w:spacing w:after="0"/>
              <w:rPr>
                <w:sz w:val="14"/>
                <w:szCs w:val="14"/>
                <w:color w:val="auto"/>
              </w:rPr>
            </w:pPr>
          </w:p>
        </w:tc>
        <w:tc>
          <w:tcPr>
            <w:tcW w:w="114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8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w:t>
            </w:r>
          </w:p>
        </w:tc>
        <w:tc>
          <w:tcPr>
            <w:tcW w:w="420" w:type="dxa"/>
            <w:vAlign w:val="bottom"/>
            <w:tcBorders>
              <w:bottom w:val="single" w:sz="8" w:color="CCEC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9.10</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8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140" w:type="dxa"/>
            <w:vAlign w:val="bottom"/>
            <w:tcBorders>
              <w:bottom w:val="single" w:sz="8" w:color="auto"/>
            </w:tcBorders>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6.37</w:t>
            </w:r>
          </w:p>
        </w:tc>
        <w:tc>
          <w:tcPr>
            <w:tcW w:w="420" w:type="dxa"/>
            <w:vAlign w:val="bottom"/>
            <w:tcBorders>
              <w:bottom w:val="single" w:sz="8" w:color="CCECFF"/>
            </w:tcBorders>
            <w:shd w:val="clear" w:color="auto" w:fill="CCECFF"/>
          </w:tcPr>
          <w:p>
            <w:pPr>
              <w:spacing w:after="0"/>
              <w:rPr>
                <w:sz w:val="12"/>
                <w:szCs w:val="12"/>
                <w:color w:val="auto"/>
              </w:rPr>
            </w:pPr>
          </w:p>
        </w:tc>
        <w:tc>
          <w:tcPr>
            <w:tcW w:w="1140" w:type="dxa"/>
            <w:vAlign w:val="bottom"/>
            <w:tcBorders>
              <w:bottom w:val="single" w:sz="8" w:color="auto"/>
            </w:tcBorders>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6.91</w:t>
            </w:r>
          </w:p>
        </w:tc>
        <w:tc>
          <w:tcPr>
            <w:tcW w:w="18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(12.39)%</w:t>
            </w:r>
          </w:p>
        </w:tc>
        <w:tc>
          <w:tcPr>
            <w:tcW w:w="1140" w:type="dxa"/>
            <w:vAlign w:val="bottom"/>
          </w:tcPr>
          <w:p>
            <w:pPr>
              <w:spacing w:after="0"/>
              <w:rPr>
                <w:sz w:val="12"/>
                <w:szCs w:val="12"/>
                <w:color w:val="auto"/>
              </w:rPr>
            </w:pPr>
          </w:p>
        </w:tc>
        <w:tc>
          <w:tcPr>
            <w:tcW w:w="9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2"/>
        </w:trPr>
        <w:tc>
          <w:tcPr>
            <w:tcW w:w="68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68,027,537</w:t>
            </w:r>
          </w:p>
        </w:tc>
        <w:tc>
          <w:tcPr>
            <w:tcW w:w="420" w:type="dxa"/>
            <w:vAlign w:val="bottom"/>
            <w:tcBorders>
              <w:bottom w:val="single" w:sz="8" w:color="CCECFF"/>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18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5.43%</w:t>
            </w:r>
          </w:p>
        </w:tc>
        <w:tc>
          <w:tcPr>
            <w:tcW w:w="114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4.00%</w:t>
            </w:r>
          </w:p>
        </w:tc>
        <w:tc>
          <w:tcPr>
            <w:tcW w:w="1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20"/>
        </w:trPr>
        <w:tc>
          <w:tcPr>
            <w:tcW w:w="682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20" w:type="dxa"/>
            <w:vAlign w:val="bottom"/>
            <w:vMerge w:val="continue"/>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180" w:type="dxa"/>
            <w:vAlign w:val="bottom"/>
            <w:gridSpan w:val="2"/>
            <w:shd w:val="clear" w:color="auto" w:fill="CCECFF"/>
          </w:tcPr>
          <w:p>
            <w:pPr>
              <w:jc w:val="right"/>
              <w:ind w:right="300"/>
              <w:spacing w:after="0" w:line="155" w:lineRule="exact"/>
              <w:rPr>
                <w:sz w:val="20"/>
                <w:szCs w:val="20"/>
                <w:color w:val="auto"/>
              </w:rPr>
            </w:pPr>
            <w:r>
              <w:rPr>
                <w:rFonts w:ascii="Arial" w:cs="Arial" w:eastAsia="Arial" w:hAnsi="Arial"/>
                <w:sz w:val="14"/>
                <w:szCs w:val="14"/>
                <w:color w:val="auto"/>
              </w:rPr>
              <w:t>9.43%</w:t>
            </w:r>
          </w:p>
        </w:tc>
        <w:tc>
          <w:tcPr>
            <w:tcW w:w="1140" w:type="dxa"/>
            <w:vAlign w:val="bottom"/>
            <w:shd w:val="clear" w:color="auto" w:fill="CCECFF"/>
          </w:tcPr>
          <w:p>
            <w:pPr>
              <w:spacing w:after="0"/>
              <w:rPr>
                <w:sz w:val="13"/>
                <w:szCs w:val="13"/>
                <w:color w:val="auto"/>
              </w:rPr>
            </w:pPr>
          </w:p>
        </w:tc>
        <w:tc>
          <w:tcPr>
            <w:tcW w:w="960" w:type="dxa"/>
            <w:vAlign w:val="bottom"/>
            <w:gridSpan w:val="2"/>
            <w:shd w:val="clear" w:color="auto" w:fill="CCECFF"/>
          </w:tcPr>
          <w:p>
            <w:pPr>
              <w:jc w:val="right"/>
              <w:ind w:right="60"/>
              <w:spacing w:after="0" w:line="155" w:lineRule="exact"/>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8.01%</w:t>
            </w:r>
          </w:p>
        </w:tc>
        <w:tc>
          <w:tcPr>
            <w:tcW w:w="114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tcBorders>
              <w:bottom w:val="single" w:sz="8" w:color="auto"/>
            </w:tcBorders>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615,941,105</w:t>
            </w:r>
          </w:p>
        </w:tc>
        <w:tc>
          <w:tcPr>
            <w:tcW w:w="420" w:type="dxa"/>
            <w:vAlign w:val="bottom"/>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w w:val="95"/>
              </w:rPr>
              <w:t>646,312,918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8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bottom w:val="single" w:sz="8" w:color="auto"/>
            </w:tcBorders>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532,965,659</w:t>
            </w:r>
          </w:p>
        </w:tc>
        <w:tc>
          <w:tcPr>
            <w:tcW w:w="42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541,820,206</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shd w:val="clear" w:color="auto" w:fill="CCECFF"/>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7.73</w:t>
            </w:r>
          </w:p>
        </w:tc>
        <w:tc>
          <w:tcPr>
            <w:tcW w:w="420" w:type="dxa"/>
            <w:vAlign w:val="bottom"/>
            <w:shd w:val="clear" w:color="auto" w:fill="CCECFF"/>
          </w:tcPr>
          <w:p>
            <w:pPr>
              <w:spacing w:after="0"/>
              <w:rPr>
                <w:sz w:val="13"/>
                <w:szCs w:val="13"/>
                <w:color w:val="auto"/>
              </w:rPr>
            </w:pPr>
          </w:p>
        </w:tc>
        <w:tc>
          <w:tcPr>
            <w:tcW w:w="1140" w:type="dxa"/>
            <w:vAlign w:val="bottom"/>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7.62</w:t>
            </w: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2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tcPr>
          <w:p>
            <w:pPr>
              <w:jc w:val="right"/>
              <w:ind w:right="1024"/>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2,479</w:t>
            </w:r>
          </w:p>
        </w:tc>
        <w:tc>
          <w:tcPr>
            <w:tcW w:w="420" w:type="dxa"/>
            <w:vAlign w:val="bottom"/>
          </w:tcPr>
          <w:p>
            <w:pPr>
              <w:spacing w:after="0"/>
              <w:rPr>
                <w:sz w:val="14"/>
                <w:szCs w:val="14"/>
                <w:color w:val="auto"/>
              </w:rPr>
            </w:pP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2,955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2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44.50%</w:t>
            </w:r>
          </w:p>
        </w:tc>
        <w:tc>
          <w:tcPr>
            <w:tcW w:w="114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48.71%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right="8240" w:firstLine="8"/>
        <w:spacing w:after="0" w:line="276" w:lineRule="auto"/>
        <w:tabs>
          <w:tab w:leader="none" w:pos="36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260" w:hanging="352"/>
        <w:spacing w:after="0" w:line="261"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For the three months ended December 31, 2017, the ratio of operating expenses to average net assets before the waiver of certain Management Fees to average net assets was 6.20% and the ratio of total expenses before the waiver of certain Management Fees to average net assets was 9.81%.</w:t>
      </w: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ind w:left="360" w:right="120" w:hanging="352"/>
        <w:spacing w:after="0" w:line="272"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20" w:firstLine="456"/>
        <w:spacing w:after="0" w:line="233" w:lineRule="auto"/>
        <w:rPr>
          <w:sz w:val="20"/>
          <w:szCs w:val="20"/>
          <w:color w:val="auto"/>
        </w:rPr>
      </w:pPr>
      <w:r>
        <w:rPr>
          <w:rFonts w:ascii="Arial" w:cs="Arial" w:eastAsia="Arial" w:hAnsi="Arial"/>
          <w:sz w:val="14"/>
          <w:szCs w:val="14"/>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17" w:lineRule="exact"/>
        <w:rPr>
          <w:sz w:val="20"/>
          <w:szCs w:val="20"/>
          <w:color w:val="auto"/>
        </w:rPr>
      </w:pPr>
    </w:p>
    <w:p>
      <w:pPr>
        <w:ind w:right="280" w:firstLine="434"/>
        <w:spacing w:after="0" w:line="233"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Small Business Credit Availability Act, or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80" w:firstLine="438"/>
        <w:spacing w:after="0" w:line="251" w:lineRule="auto"/>
        <w:rPr>
          <w:sz w:val="20"/>
          <w:szCs w:val="20"/>
          <w:color w:val="auto"/>
        </w:rPr>
      </w:pPr>
      <w:r>
        <w:rPr>
          <w:rFonts w:ascii="Arial" w:cs="Arial" w:eastAsia="Arial" w:hAnsi="Arial"/>
          <w:sz w:val="13"/>
          <w:szCs w:val="13"/>
          <w:color w:val="auto"/>
        </w:rPr>
        <w:t>As of December 31, 2018, we had a $445 million multi-currency Credit Facility with certain lenders and SunTrust Bank, acting as administrative agent, and JPMorgan Chase Bank, N.A., acting as syndication agent for the lenders. As of December 31, 2018 and September 30, 2018, we had $174.1 million and $80.5 million (including a $2.0 million temporary draw), respectively, in outstanding borrowings under the Credit Facility. The Credit Facility had a weighted average interest rate of 4.39% and 3.79%, respectively, exclusive of the fee on undrawn commitments of 0.375%, as of December 31, 2018 and September 30, 2018.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100" w:firstLine="43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December 31, 2018. We have funded SBIC II with $75.0 million of equity capital and it had SBA debentures outstanding of $150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340" w:firstLine="434"/>
        <w:spacing w:after="0" w:line="238" w:lineRule="auto"/>
        <w:rPr>
          <w:sz w:val="20"/>
          <w:szCs w:val="20"/>
          <w:color w:val="auto"/>
        </w:rPr>
      </w:pPr>
      <w:r>
        <w:rPr>
          <w:rFonts w:ascii="Arial" w:cs="Arial" w:eastAsia="Arial" w:hAnsi="Arial"/>
          <w:sz w:val="14"/>
          <w:szCs w:val="14"/>
          <w:color w:val="auto"/>
        </w:rPr>
        <w:t>As of December 31, 2018 and September 30, 2018, our SBIC Funds had $150.0 million and $300.0 million in debt commitments, respectively, of which $150.0 million and $180.0 million was drawn, respectively. As of December 31, 2018 and September 30, 2018, the unamortized fees on the SBA debentures was $4.2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As of December 31, 2018 Principal</w:t>
            </w:r>
          </w:p>
        </w:tc>
        <w:tc>
          <w:tcPr>
            <w:tcW w:w="0" w:type="dxa"/>
            <w:vAlign w:val="bottom"/>
          </w:tcPr>
          <w:p>
            <w:pPr>
              <w:spacing w:after="0"/>
              <w:rPr>
                <w:sz w:val="1"/>
                <w:szCs w:val="1"/>
                <w:color w:val="auto"/>
              </w:rPr>
            </w:pPr>
          </w:p>
        </w:tc>
      </w:tr>
      <w:tr>
        <w:trPr>
          <w:trHeight w:val="124"/>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10"/>
                <w:szCs w:val="10"/>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10"/>
                <w:szCs w:val="10"/>
                <w:color w:val="auto"/>
              </w:rPr>
            </w:pPr>
          </w:p>
        </w:tc>
        <w:tc>
          <w:tcPr>
            <w:tcW w:w="2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10"/>
                <w:szCs w:val="10"/>
                <w:color w:val="auto"/>
              </w:rPr>
            </w:pPr>
          </w:p>
        </w:tc>
        <w:tc>
          <w:tcPr>
            <w:tcW w:w="23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40" w:type="dxa"/>
            <w:vAlign w:val="bottom"/>
            <w:shd w:val="clear" w:color="auto" w:fill="CCECFF"/>
          </w:tcPr>
          <w:p>
            <w:pPr>
              <w:spacing w:after="0"/>
              <w:rPr>
                <w:sz w:val="13"/>
                <w:szCs w:val="13"/>
                <w:color w:val="auto"/>
              </w:rPr>
            </w:pPr>
          </w:p>
        </w:tc>
        <w:tc>
          <w:tcPr>
            <w:tcW w:w="254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CFF"/>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September 21, 2016</w:t>
            </w:r>
          </w:p>
        </w:tc>
        <w:tc>
          <w:tcPr>
            <w:tcW w:w="2680" w:type="dxa"/>
            <w:vAlign w:val="bottom"/>
            <w:gridSpan w:val="3"/>
          </w:tcPr>
          <w:p>
            <w:pPr>
              <w:ind w:left="220"/>
              <w:spacing w:after="0"/>
              <w:rPr>
                <w:sz w:val="20"/>
                <w:szCs w:val="20"/>
                <w:color w:val="auto"/>
              </w:rPr>
            </w:pPr>
            <w:r>
              <w:rPr>
                <w:rFonts w:ascii="Arial" w:cs="Arial" w:eastAsia="Arial" w:hAnsi="Arial"/>
                <w:sz w:val="14"/>
                <w:szCs w:val="14"/>
                <w:color w:val="auto"/>
              </w:rPr>
              <w:t>September 1, 2026</w:t>
            </w:r>
          </w:p>
        </w:tc>
        <w:tc>
          <w:tcPr>
            <w:tcW w:w="2120" w:type="dxa"/>
            <w:vAlign w:val="bottom"/>
          </w:tcPr>
          <w:p>
            <w:pPr>
              <w:ind w:left="1840"/>
              <w:spacing w:after="0"/>
              <w:rPr>
                <w:sz w:val="20"/>
                <w:szCs w:val="20"/>
                <w:color w:val="auto"/>
              </w:rPr>
            </w:pPr>
            <w:r>
              <w:rPr>
                <w:rFonts w:ascii="Arial" w:cs="Arial" w:eastAsia="Arial" w:hAnsi="Arial"/>
                <w:sz w:val="14"/>
                <w:szCs w:val="14"/>
                <w:color w:val="auto"/>
                <w:w w:val="95"/>
              </w:rPr>
              <w:t>2.41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68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2027</w:t>
            </w:r>
          </w:p>
        </w:tc>
        <w:tc>
          <w:tcPr>
            <w:tcW w:w="212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95"/>
              </w:rPr>
              <w:t>2.87</w:t>
            </w:r>
          </w:p>
        </w:tc>
        <w:tc>
          <w:tcPr>
            <w:tcW w:w="42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March 21, 2018</w:t>
            </w:r>
          </w:p>
        </w:tc>
        <w:tc>
          <w:tcPr>
            <w:tcW w:w="2680" w:type="dxa"/>
            <w:vAlign w:val="bottom"/>
            <w:tcBorders>
              <w:bottom w:val="single" w:sz="8" w:color="CCECFF"/>
            </w:tcBorders>
            <w:gridSpan w:val="3"/>
          </w:tcPr>
          <w:p>
            <w:pPr>
              <w:ind w:left="220"/>
              <w:spacing w:after="0"/>
              <w:rPr>
                <w:sz w:val="20"/>
                <w:szCs w:val="20"/>
                <w:color w:val="auto"/>
              </w:rPr>
            </w:pPr>
            <w:r>
              <w:rPr>
                <w:rFonts w:ascii="Arial" w:cs="Arial" w:eastAsia="Arial" w:hAnsi="Arial"/>
                <w:sz w:val="14"/>
                <w:szCs w:val="14"/>
                <w:color w:val="auto"/>
              </w:rPr>
              <w:t>March 1, 2028</w:t>
            </w:r>
          </w:p>
        </w:tc>
        <w:tc>
          <w:tcPr>
            <w:tcW w:w="212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95"/>
              </w:rPr>
              <w:t>3.53</w:t>
            </w:r>
          </w:p>
        </w:tc>
        <w:tc>
          <w:tcPr>
            <w:tcW w:w="420" w:type="dxa"/>
            <w:vAlign w:val="bottom"/>
            <w:tcBorders>
              <w:bottom w:val="single" w:sz="8" w:color="CCEC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54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3.11%</w:t>
            </w:r>
          </w:p>
        </w:tc>
        <w:tc>
          <w:tcPr>
            <w:tcW w:w="460" w:type="dxa"/>
            <w:vAlign w:val="bottom"/>
            <w:shd w:val="clear" w:color="auto" w:fill="CCECFF"/>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2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24"/>
                <w:szCs w:val="24"/>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As of September 30, 2018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40" w:type="dxa"/>
            <w:vAlign w:val="bottom"/>
            <w:shd w:val="clear" w:color="auto" w:fill="CCECFF"/>
          </w:tcPr>
          <w:p>
            <w:pPr>
              <w:spacing w:after="0"/>
              <w:rPr>
                <w:sz w:val="13"/>
                <w:szCs w:val="13"/>
                <w:color w:val="auto"/>
              </w:rPr>
            </w:pPr>
          </w:p>
        </w:tc>
        <w:tc>
          <w:tcPr>
            <w:tcW w:w="254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3.35%</w:t>
            </w:r>
          </w:p>
        </w:tc>
        <w:tc>
          <w:tcPr>
            <w:tcW w:w="460" w:type="dxa"/>
            <w:vAlign w:val="bottom"/>
            <w:shd w:val="clear" w:color="auto" w:fill="CCECFF"/>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March 23, 2016</w:t>
            </w:r>
          </w:p>
        </w:tc>
        <w:tc>
          <w:tcPr>
            <w:tcW w:w="2680" w:type="dxa"/>
            <w:vAlign w:val="bottom"/>
            <w:gridSpan w:val="3"/>
          </w:tcPr>
          <w:p>
            <w:pPr>
              <w:ind w:left="220"/>
              <w:spacing w:after="0"/>
              <w:rPr>
                <w:sz w:val="20"/>
                <w:szCs w:val="20"/>
                <w:color w:val="auto"/>
              </w:rPr>
            </w:pPr>
            <w:r>
              <w:rPr>
                <w:rFonts w:ascii="Arial" w:cs="Arial" w:eastAsia="Arial" w:hAnsi="Arial"/>
                <w:sz w:val="14"/>
                <w:szCs w:val="14"/>
                <w:color w:val="auto"/>
              </w:rPr>
              <w:t>March 1, 2026</w:t>
            </w:r>
          </w:p>
        </w:tc>
        <w:tc>
          <w:tcPr>
            <w:tcW w:w="2120" w:type="dxa"/>
            <w:vAlign w:val="bottom"/>
          </w:tcPr>
          <w:p>
            <w:pPr>
              <w:ind w:left="1840"/>
              <w:spacing w:after="0"/>
              <w:rPr>
                <w:sz w:val="20"/>
                <w:szCs w:val="20"/>
                <w:color w:val="auto"/>
              </w:rPr>
            </w:pPr>
            <w:r>
              <w:rPr>
                <w:rFonts w:ascii="Arial" w:cs="Arial" w:eastAsia="Arial" w:hAnsi="Arial"/>
                <w:sz w:val="14"/>
                <w:szCs w:val="14"/>
                <w:color w:val="auto"/>
                <w:w w:val="95"/>
              </w:rPr>
              <w:t>2.86</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68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2026</w:t>
            </w:r>
          </w:p>
        </w:tc>
        <w:tc>
          <w:tcPr>
            <w:tcW w:w="212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95"/>
              </w:rPr>
              <w:t>2.41</w:t>
            </w:r>
          </w:p>
        </w:tc>
        <w:tc>
          <w:tcPr>
            <w:tcW w:w="42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September 20, 2017</w:t>
            </w:r>
          </w:p>
        </w:tc>
        <w:tc>
          <w:tcPr>
            <w:tcW w:w="2680" w:type="dxa"/>
            <w:vAlign w:val="bottom"/>
            <w:gridSpan w:val="3"/>
          </w:tcPr>
          <w:p>
            <w:pPr>
              <w:ind w:left="220"/>
              <w:spacing w:after="0"/>
              <w:rPr>
                <w:sz w:val="20"/>
                <w:szCs w:val="20"/>
                <w:color w:val="auto"/>
              </w:rPr>
            </w:pPr>
            <w:r>
              <w:rPr>
                <w:rFonts w:ascii="Arial" w:cs="Arial" w:eastAsia="Arial" w:hAnsi="Arial"/>
                <w:sz w:val="14"/>
                <w:szCs w:val="14"/>
                <w:color w:val="auto"/>
              </w:rPr>
              <w:t>September 1, 2027</w:t>
            </w:r>
          </w:p>
        </w:tc>
        <w:tc>
          <w:tcPr>
            <w:tcW w:w="2120" w:type="dxa"/>
            <w:vAlign w:val="bottom"/>
          </w:tcPr>
          <w:p>
            <w:pPr>
              <w:ind w:left="1840"/>
              <w:spacing w:after="0"/>
              <w:rPr>
                <w:sz w:val="20"/>
                <w:szCs w:val="20"/>
                <w:color w:val="auto"/>
              </w:rPr>
            </w:pPr>
            <w:r>
              <w:rPr>
                <w:rFonts w:ascii="Arial" w:cs="Arial" w:eastAsia="Arial" w:hAnsi="Arial"/>
                <w:sz w:val="14"/>
                <w:szCs w:val="14"/>
                <w:color w:val="auto"/>
                <w:w w:val="95"/>
              </w:rPr>
              <w:t>2.87</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68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March 1, 2028</w:t>
            </w:r>
          </w:p>
        </w:tc>
        <w:tc>
          <w:tcPr>
            <w:tcW w:w="2120" w:type="dxa"/>
            <w:vAlign w:val="bottom"/>
            <w:tcBorders>
              <w:bottom w:val="single" w:sz="8" w:color="auto"/>
            </w:tcBorders>
            <w:shd w:val="clear" w:color="auto" w:fill="CCECFF"/>
          </w:tcPr>
          <w:p>
            <w:pPr>
              <w:ind w:left="1840"/>
              <w:spacing w:after="0"/>
              <w:rPr>
                <w:sz w:val="20"/>
                <w:szCs w:val="20"/>
                <w:color w:val="auto"/>
              </w:rPr>
            </w:pPr>
            <w:r>
              <w:rPr>
                <w:rFonts w:ascii="Arial" w:cs="Arial" w:eastAsia="Arial" w:hAnsi="Arial"/>
                <w:sz w:val="14"/>
                <w:szCs w:val="14"/>
                <w:color w:val="auto"/>
                <w:w w:val="95"/>
              </w:rPr>
              <w:t>3.53</w:t>
            </w:r>
          </w:p>
        </w:tc>
        <w:tc>
          <w:tcPr>
            <w:tcW w:w="420" w:type="dxa"/>
            <w:vAlign w:val="bottom"/>
            <w:shd w:val="clear" w:color="auto" w:fill="CCECFF"/>
          </w:tcPr>
          <w:p>
            <w:pPr>
              <w:spacing w:after="0"/>
              <w:rPr>
                <w:sz w:val="14"/>
                <w:szCs w:val="14"/>
                <w:color w:val="auto"/>
              </w:rPr>
            </w:pPr>
          </w:p>
        </w:tc>
        <w:tc>
          <w:tcPr>
            <w:tcW w:w="4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3.15%</w:t>
            </w:r>
          </w:p>
        </w:tc>
        <w:tc>
          <w:tcPr>
            <w:tcW w:w="460" w:type="dxa"/>
            <w:vAlign w:val="bottom"/>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6"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As of December 31, 2018 and September 30, 2018,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3"/>
          <w:szCs w:val="13"/>
          <w:color w:val="auto"/>
        </w:rPr>
        <w:t>On November 13, 2018, our board of directors authorized the Company to redeem $250.0 million outstanding aggregate principal amount of its 2019 Notes. Upon the delivery of a notice of redemption, the 2019 Notes will be prepaid at 100% of the principal amount, plus accrued and unpaid interest through the prepayment date, as well as a make-whole premium.</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December 31, 2018 and September 30, 2018, we had $41.0 million and $60.6 million, respectively, in commitments to fund investments. For the same periods, there were no letters of credit issued.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DECEMBER 31,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40"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Superior Digital Displays, LLC became a controlled affiliated investment as of December 31, 2013. We have determined that, as of December 31, 2018, Superior Digital Displays, LLC triggered at least one of the significance tests by 20%. As a result and in accordance with Rule 4-08(g) of Regulation S-K, presented below is summarized unaudited financial information for Superior Digital Displays, LLC as of December 31, 2018 and September 30, 2018 as well as for the three months ended December 31, 2018 and 2017.</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Balance Sheet </w:t>
            </w:r>
            <w:r>
              <w:rPr>
                <w:rFonts w:ascii="Arial" w:cs="Arial" w:eastAsia="Arial" w:hAnsi="Arial"/>
                <w:sz w:val="12"/>
                <w:szCs w:val="12"/>
                <w:b w:val="1"/>
                <w:bCs w:val="1"/>
                <w:color w:val="auto"/>
              </w:rPr>
              <w:t>(1)</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jc w:val="right"/>
              <w:ind w:right="608"/>
              <w:spacing w:after="0"/>
              <w:rPr>
                <w:sz w:val="20"/>
                <w:szCs w:val="20"/>
                <w:color w:val="auto"/>
              </w:rPr>
            </w:pPr>
            <w:r>
              <w:rPr>
                <w:rFonts w:ascii="Arial" w:cs="Arial" w:eastAsia="Arial" w:hAnsi="Arial"/>
                <w:sz w:val="14"/>
                <w:szCs w:val="14"/>
                <w:b w:val="1"/>
                <w:bCs w:val="1"/>
                <w:color w:val="auto"/>
              </w:rPr>
              <w:t xml:space="preserve">December 31, 2018 </w:t>
            </w:r>
            <w:r>
              <w:rPr>
                <w:rFonts w:ascii="Arial" w:cs="Arial" w:eastAsia="Arial" w:hAnsi="Arial"/>
                <w:sz w:val="12"/>
                <w:szCs w:val="12"/>
                <w:b w:val="1"/>
                <w:bCs w:val="1"/>
                <w:color w:val="auto"/>
              </w:rPr>
              <w:t>(2)</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26"/>
        </w:trPr>
        <w:tc>
          <w:tcPr>
            <w:tcW w:w="212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56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Current assets</w:t>
            </w:r>
          </w:p>
        </w:tc>
        <w:tc>
          <w:tcPr>
            <w:tcW w:w="260" w:type="dxa"/>
            <w:vAlign w:val="bottom"/>
            <w:shd w:val="clear" w:color="auto" w:fill="CCECFF"/>
          </w:tcPr>
          <w:p>
            <w:pPr>
              <w:spacing w:after="0"/>
              <w:rPr>
                <w:sz w:val="13"/>
                <w:szCs w:val="13"/>
                <w:color w:val="auto"/>
              </w:rPr>
            </w:pPr>
          </w:p>
        </w:tc>
        <w:tc>
          <w:tcPr>
            <w:tcW w:w="320" w:type="dxa"/>
            <w:vAlign w:val="bottom"/>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2260" w:type="dxa"/>
            <w:vAlign w:val="bottom"/>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739.5</w:t>
            </w:r>
          </w:p>
        </w:tc>
        <w:tc>
          <w:tcPr>
            <w:tcW w:w="26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1,033.7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Noncurrent assets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right"/>
              <w:ind w:right="48"/>
              <w:spacing w:after="0"/>
              <w:rPr>
                <w:sz w:val="20"/>
                <w:szCs w:val="20"/>
                <w:color w:val="auto"/>
              </w:rPr>
            </w:pPr>
            <w:r>
              <w:rPr>
                <w:rFonts w:ascii="Arial" w:cs="Arial" w:eastAsia="Arial" w:hAnsi="Arial"/>
                <w:sz w:val="14"/>
                <w:szCs w:val="14"/>
                <w:color w:val="auto"/>
              </w:rPr>
              <w:t>5,923.5</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6,663.1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226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1,599.0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1,206.7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6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8"/>
              <w:spacing w:after="0"/>
              <w:rPr>
                <w:sz w:val="20"/>
                <w:szCs w:val="20"/>
                <w:color w:val="auto"/>
              </w:rPr>
            </w:pPr>
            <w:r>
              <w:rPr>
                <w:rFonts w:ascii="Arial" w:cs="Arial" w:eastAsia="Arial" w:hAnsi="Arial"/>
                <w:sz w:val="14"/>
                <w:szCs w:val="14"/>
                <w:color w:val="auto"/>
              </w:rPr>
              <w:t>7,225.0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23,065.9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12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00" w:type="dxa"/>
            <w:vAlign w:val="bottom"/>
            <w:gridSpan w:val="5"/>
            <w:vMerge w:val="restart"/>
          </w:tcPr>
          <w:p>
            <w:pPr>
              <w:jc w:val="right"/>
              <w:ind w:right="16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211"/>
        </w:trPr>
        <w:tc>
          <w:tcPr>
            <w:tcW w:w="2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55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Income Statement </w:t>
            </w:r>
            <w:r>
              <w:rPr>
                <w:rFonts w:ascii="Arial" w:cs="Arial" w:eastAsia="Arial" w:hAnsi="Arial"/>
                <w:sz w:val="12"/>
                <w:szCs w:val="12"/>
                <w:b w:val="1"/>
                <w:bCs w:val="1"/>
                <w:color w:val="auto"/>
              </w:rPr>
              <w:t>(1)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tcPr>
          <w:p>
            <w:pPr>
              <w:jc w:val="right"/>
              <w:ind w:right="1048"/>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(2)</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10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5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22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56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revenue</w:t>
            </w:r>
          </w:p>
        </w:tc>
        <w:tc>
          <w:tcPr>
            <w:tcW w:w="2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226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rPr>
              <w:t>367.7</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413.1</w:t>
            </w:r>
          </w:p>
        </w:tc>
        <w:tc>
          <w:tcPr>
            <w:tcW w:w="120" w:type="dxa"/>
            <w:vAlign w:val="bottom"/>
            <w:tcBorders>
              <w:top w:val="single" w:sz="8" w:color="auto"/>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tcPr>
          <w:p>
            <w:pPr>
              <w:jc w:val="right"/>
              <w:ind w:right="48"/>
              <w:spacing w:after="0"/>
              <w:rPr>
                <w:sz w:val="20"/>
                <w:szCs w:val="20"/>
                <w:color w:val="auto"/>
              </w:rPr>
            </w:pPr>
            <w:r>
              <w:rPr>
                <w:rFonts w:ascii="Arial" w:cs="Arial" w:eastAsia="Arial" w:hAnsi="Arial"/>
                <w:sz w:val="14"/>
                <w:szCs w:val="14"/>
                <w:color w:val="auto"/>
              </w:rPr>
              <w:t>2,255.3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2,992.1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22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(1,887.6)</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24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(2,579.0)</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460" w:hanging="371"/>
        <w:spacing w:after="0"/>
        <w:tabs>
          <w:tab w:leader="none" w:pos="460" w:val="left"/>
        </w:tabs>
        <w:numPr>
          <w:ilvl w:val="1"/>
          <w:numId w:val="18"/>
        </w:numPr>
        <w:rPr>
          <w:rFonts w:ascii="Arial" w:cs="Arial" w:eastAsia="Arial" w:hAnsi="Arial"/>
          <w:sz w:val="12"/>
          <w:szCs w:val="12"/>
          <w:color w:val="auto"/>
        </w:rPr>
      </w:pPr>
      <w:r>
        <w:rPr>
          <w:rFonts w:ascii="Arial" w:cs="Arial" w:eastAsia="Arial" w:hAnsi="Arial"/>
          <w:sz w:val="14"/>
          <w:szCs w:val="14"/>
          <w:color w:val="auto"/>
        </w:rPr>
        <w:t>All amounts are in thousands.</w:t>
      </w:r>
    </w:p>
    <w:p>
      <w:pPr>
        <w:ind w:left="460" w:hanging="371"/>
        <w:spacing w:after="0"/>
        <w:tabs>
          <w:tab w:leader="none" w:pos="460" w:val="left"/>
        </w:tabs>
        <w:numPr>
          <w:ilvl w:val="1"/>
          <w:numId w:val="18"/>
        </w:numPr>
        <w:rPr>
          <w:rFonts w:ascii="Arial" w:cs="Arial" w:eastAsia="Arial" w:hAnsi="Arial"/>
          <w:sz w:val="12"/>
          <w:szCs w:val="12"/>
          <w:color w:val="auto"/>
        </w:rPr>
      </w:pPr>
      <w:r>
        <w:rPr>
          <w:rFonts w:ascii="Arial" w:cs="Arial" w:eastAsia="Arial" w:hAnsi="Arial"/>
          <w:sz w:val="14"/>
          <w:szCs w:val="14"/>
          <w:color w:val="auto"/>
        </w:rPr>
        <w:t>Unaudited.</w:t>
      </w:r>
    </w:p>
    <w:p>
      <w:pPr>
        <w:spacing w:after="0" w:line="120" w:lineRule="exact"/>
        <w:rPr>
          <w:rFonts w:ascii="Arial" w:cs="Arial" w:eastAsia="Arial" w:hAnsi="Arial"/>
          <w:sz w:val="12"/>
          <w:szCs w:val="12"/>
          <w:color w:val="auto"/>
        </w:rPr>
      </w:pPr>
    </w:p>
    <w:p>
      <w:pPr>
        <w:ind w:left="220" w:hanging="212"/>
        <w:spacing w:after="0"/>
        <w:tabs>
          <w:tab w:leader="none" w:pos="22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13455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0" w:lineRule="exact"/>
        <w:rPr>
          <w:sz w:val="20"/>
          <w:szCs w:val="20"/>
          <w:color w:val="auto"/>
        </w:rPr>
      </w:pPr>
    </w:p>
    <w:p>
      <w:pPr>
        <w:ind w:right="80" w:firstLine="456"/>
        <w:spacing w:after="0" w:line="231" w:lineRule="auto"/>
        <w:rPr>
          <w:sz w:val="20"/>
          <w:szCs w:val="20"/>
          <w:color w:val="auto"/>
        </w:rPr>
      </w:pPr>
      <w:r>
        <w:rPr>
          <w:rFonts w:ascii="Arial" w:cs="Arial" w:eastAsia="Arial" w:hAnsi="Arial"/>
          <w:sz w:val="14"/>
          <w:szCs w:val="14"/>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 SUBSEQUENT EVENTS</w:t>
      </w:r>
    </w:p>
    <w:p>
      <w:pPr>
        <w:spacing w:after="0" w:line="140"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3"/>
          <w:szCs w:val="13"/>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07" w:lineRule="exact"/>
        <w:rPr>
          <w:sz w:val="20"/>
          <w:szCs w:val="20"/>
          <w:color w:val="auto"/>
        </w:rPr>
      </w:pPr>
    </w:p>
    <w:p>
      <w:pPr>
        <w:ind w:right="160" w:firstLine="456"/>
        <w:spacing w:after="0" w:line="253" w:lineRule="auto"/>
        <w:rPr>
          <w:sz w:val="20"/>
          <w:szCs w:val="20"/>
          <w:color w:val="auto"/>
        </w:rPr>
      </w:pPr>
      <w:r>
        <w:rPr>
          <w:rFonts w:ascii="Arial" w:cs="Arial" w:eastAsia="Arial" w:hAnsi="Arial"/>
          <w:sz w:val="14"/>
          <w:szCs w:val="14"/>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0" w:lineRule="exact"/>
        <w:rPr>
          <w:sz w:val="20"/>
          <w:szCs w:val="20"/>
          <w:color w:val="auto"/>
        </w:rPr>
      </w:pPr>
    </w:p>
    <w:p>
      <w:pPr>
        <w:spacing w:after="0" w:line="237" w:lineRule="exact"/>
        <w:rPr>
          <w:sz w:val="20"/>
          <w:szCs w:val="20"/>
          <w:color w:val="auto"/>
        </w:rPr>
      </w:pPr>
    </w:p>
    <w:p>
      <w:pPr>
        <w:ind w:right="5240"/>
        <w:spacing w:after="0" w:line="442" w:lineRule="auto"/>
        <w:rPr>
          <w:sz w:val="20"/>
          <w:szCs w:val="20"/>
          <w:color w:val="auto"/>
        </w:rPr>
      </w:pPr>
      <w:r>
        <w:rPr>
          <w:rFonts w:ascii="Arial" w:cs="Arial" w:eastAsia="Arial" w:hAnsi="Arial"/>
          <w:sz w:val="14"/>
          <w:szCs w:val="14"/>
          <w:color w:val="auto"/>
        </w:rPr>
        <w:t xml:space="preserve">To the Board of Directors and Stockholders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1" w:lineRule="exact"/>
        <w:rPr>
          <w:sz w:val="20"/>
          <w:szCs w:val="20"/>
          <w:color w:val="auto"/>
        </w:rPr>
      </w:pPr>
    </w:p>
    <w:p>
      <w:pPr>
        <w:ind w:firstLine="365"/>
        <w:spacing w:after="0" w:line="231" w:lineRule="auto"/>
        <w:rPr>
          <w:sz w:val="20"/>
          <w:szCs w:val="20"/>
          <w:color w:val="auto"/>
        </w:rPr>
      </w:pPr>
      <w:r>
        <w:rPr>
          <w:rFonts w:ascii="Arial" w:cs="Arial" w:eastAsia="Arial" w:hAnsi="Arial"/>
          <w:sz w:val="14"/>
          <w:szCs w:val="14"/>
          <w:color w:val="auto"/>
        </w:rPr>
        <w:t>We have reviewed the accompanying consolidated statement of assets and liabilities of PennantPark Investment Corporation and its Subsidiaries (collectively referred to as the “Company”), including the consolidated schedule of investments, as of December 31, 2018, and the related consolidated statements of operations, the related consolidated statements of changes in net assets, and cash flows for the three-month periods ended December 31, 2018 and 2017, and the related notes to the consolidated financial statements (collectively, the interim financial statements). Based on our reviews, we are not aware of any material modifications that should be made to the consolidated financial statements referred to above for them to be in conformity with accounting principles generally accepted in the United States of America.</w:t>
      </w:r>
    </w:p>
    <w:p>
      <w:pPr>
        <w:spacing w:after="0" w:line="116" w:lineRule="exact"/>
        <w:rPr>
          <w:sz w:val="20"/>
          <w:szCs w:val="20"/>
          <w:color w:val="auto"/>
        </w:rPr>
      </w:pPr>
    </w:p>
    <w:p>
      <w:pPr>
        <w:ind w:right="220" w:firstLine="365"/>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2018, and the related consolidated statements of operations, changes in net assets, and cash flows for the year then ended (not presented herein), and in our report dated November 15, 2018, we expressed an unqualified opinion on those financial statements. In our opinion, the information set forth in the accompanying consolidated statement of assets and liabilities as of September 30, 2018,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20" w:firstLine="365"/>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7, 2019</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impact of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a limited amount of capital available for such companies and the potential for rising interest rates.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6" w:name="page27"/>
    <w:bookmarkEnd w:id="26"/>
    <w:p>
      <w:pPr>
        <w:ind w:right="20"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36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8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4"/>
        <w:spacing w:after="0" w:line="269" w:lineRule="auto"/>
        <w:rPr>
          <w:sz w:val="20"/>
          <w:szCs w:val="20"/>
          <w:color w:val="auto"/>
        </w:rPr>
      </w:pPr>
      <w:r>
        <w:rPr>
          <w:rFonts w:ascii="Arial" w:cs="Arial" w:eastAsia="Arial" w:hAnsi="Arial"/>
          <w:sz w:val="12"/>
          <w:szCs w:val="12"/>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4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20" w:hanging="372"/>
        <w:spacing w:after="0" w:line="253" w:lineRule="auto"/>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hanging="372"/>
        <w:spacing w:after="0" w:line="264" w:lineRule="auto"/>
        <w:tabs>
          <w:tab w:leader="none" w:pos="9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7" w:name="page28"/>
    <w:bookmarkEnd w:id="27"/>
    <w:p>
      <w:pPr>
        <w:ind w:right="14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20" w:firstLine="434"/>
        <w:spacing w:after="0" w:line="231" w:lineRule="auto"/>
        <w:rPr>
          <w:sz w:val="20"/>
          <w:szCs w:val="20"/>
          <w:color w:val="auto"/>
        </w:rPr>
      </w:pPr>
      <w:r>
        <w:rPr>
          <w:rFonts w:ascii="Arial" w:cs="Arial" w:eastAsia="Arial" w:hAnsi="Arial"/>
          <w:sz w:val="14"/>
          <w:szCs w:val="14"/>
          <w:color w:val="auto"/>
        </w:rPr>
        <w:t>As of December 31, 2018, our portfolio totaled $1,191.5 million and consisted of $577.4 million of first lien secured debt, $403.2 million of second lien secured debt, $48.1 million of subordinated debt and $162.8 million of preferred and common equity. Our debt portfolio consisted of 90% variable-rate investments and 10% fixed-rate investments. As of December 31, 2018, we had no companies on non-accrual. Overall, the portfolio had net unrealized depreciation of $132.2 million as of December 31, 2018. Our overall portfolio consisted of 56 companies with an average investment size of $21.3 million, had a weighted average yield on interest bearing debt investments of 10.9% and was invested 48% in first lien secured debt, 34% in second lien secured debt, 4% in subordinated debt and 14% in preferred and common equity.</w:t>
      </w:r>
    </w:p>
    <w:p>
      <w:pPr>
        <w:spacing w:after="0" w:line="116" w:lineRule="exact"/>
        <w:rPr>
          <w:sz w:val="20"/>
          <w:szCs w:val="20"/>
          <w:color w:val="auto"/>
        </w:rPr>
      </w:pPr>
    </w:p>
    <w:p>
      <w:pPr>
        <w:ind w:right="20" w:firstLine="434"/>
        <w:spacing w:after="0" w:line="231" w:lineRule="auto"/>
        <w:rPr>
          <w:sz w:val="20"/>
          <w:szCs w:val="20"/>
          <w:color w:val="auto"/>
        </w:rPr>
      </w:pPr>
      <w:r>
        <w:rPr>
          <w:rFonts w:ascii="Arial" w:cs="Arial" w:eastAsia="Arial" w:hAnsi="Arial"/>
          <w:sz w:val="14"/>
          <w:szCs w:val="14"/>
          <w:color w:val="auto"/>
        </w:rPr>
        <w:t>As of September 30, 2018, our portfolio totaled $1,132.1 million and consisted of $531.4 million of first lien secured debt, $391.1 million of second lien secured debt, $48.1 million of subordinated debt and $161.5 million of preferred and common equity. Our debt portfolio consisted of 90% variable-rate investments and 10% fixed-rate investments. As of September 30, 2018, we had no portfolio companies on non-accrual. Overall, the portfolio had net unrealized depreciation of $111.8 million as of September 30, 2018. Our overall portfolio consisted of 53 companies with an average investment size of $21.4 million, had a weighted average yield on interest bearing debt investments of 11.2% and was invested 47% in first lien secured debt, 35% in second lien secured debt, 4% in subordinated debt and 14% in preferred and common equity.</w:t>
      </w:r>
    </w:p>
    <w:p>
      <w:pPr>
        <w:spacing w:after="0" w:line="116" w:lineRule="exact"/>
        <w:rPr>
          <w:sz w:val="20"/>
          <w:szCs w:val="20"/>
          <w:color w:val="auto"/>
        </w:rPr>
      </w:pPr>
    </w:p>
    <w:p>
      <w:pPr>
        <w:ind w:right="100" w:firstLine="434"/>
        <w:spacing w:after="0" w:line="253" w:lineRule="auto"/>
        <w:rPr>
          <w:sz w:val="20"/>
          <w:szCs w:val="20"/>
          <w:color w:val="auto"/>
        </w:rPr>
      </w:pPr>
      <w:r>
        <w:rPr>
          <w:rFonts w:ascii="Arial" w:cs="Arial" w:eastAsia="Arial" w:hAnsi="Arial"/>
          <w:sz w:val="14"/>
          <w:szCs w:val="14"/>
          <w:color w:val="auto"/>
        </w:rPr>
        <w:t>For the three months ended December 31, 2018, we invested $194.5 million in six new and 13 existing portfolio companies with a weighted average yield on debt investments of 9.5%. Sales and repayments of investments for the three months ended December 31, 2018 totaled $125.8 million.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For the three months ended December 31, 2017, we invested $138.4 million in five new and seven existing portfolio companies with a weighted average yield on debt investments of 10.8%.</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2017 totaled $192.3 million.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240" w:firstLine="43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right="20" w:hanging="367"/>
        <w:spacing w:after="0" w:line="253"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20" w:right="80" w:hanging="367"/>
        <w:spacing w:after="0" w:line="264" w:lineRule="auto"/>
        <w:tabs>
          <w:tab w:leader="none" w:pos="8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340" w:hanging="367"/>
        <w:spacing w:after="0" w:line="238"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80" w:hanging="367"/>
        <w:spacing w:after="0" w:line="253" w:lineRule="auto"/>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30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2"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8" w:name="page29"/>
    <w:bookmarkEnd w:id="28"/>
    <w:p>
      <w:pPr>
        <w:ind w:right="360"/>
        <w:spacing w:after="0" w:line="253" w:lineRule="auto"/>
        <w:rPr>
          <w:sz w:val="20"/>
          <w:szCs w:val="20"/>
          <w:color w:val="auto"/>
        </w:rPr>
      </w:pPr>
      <w:r>
        <w:rPr>
          <w:rFonts w:ascii="Arial" w:cs="Arial" w:eastAsia="Arial" w:hAnsi="Arial"/>
          <w:sz w:val="14"/>
          <w:szCs w:val="14"/>
          <w:color w:val="auto"/>
        </w:rPr>
        <w:t>on market data obtained from sources independent of us. Unobservable inputs reflect the assumptions market participants would use in pricing an asset or liability based on the best information available to us on the reporting period date.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6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2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4"/>
        <w:spacing w:after="0" w:line="335" w:lineRule="auto"/>
        <w:rPr>
          <w:sz w:val="20"/>
          <w:szCs w:val="20"/>
          <w:color w:val="auto"/>
        </w:rPr>
      </w:pPr>
      <w:r>
        <w:rPr>
          <w:rFonts w:ascii="Arial" w:cs="Arial" w:eastAsia="Arial" w:hAnsi="Arial"/>
          <w:sz w:val="12"/>
          <w:szCs w:val="12"/>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0" w:lineRule="exact"/>
        <w:rPr>
          <w:sz w:val="20"/>
          <w:szCs w:val="20"/>
          <w:color w:val="auto"/>
        </w:rPr>
      </w:pPr>
    </w:p>
    <w:p>
      <w:pPr>
        <w:ind w:right="200" w:firstLine="443"/>
        <w:spacing w:after="0" w:line="243"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2019 Notes. We elected to use the fair value option for the Credit Facility and the 2019 Notes to align the measurement attributes of both our assets and liabilities while mitigating volatility in earnings from using different measurement attributes. During both the three months ended December 31, 2018 and 2017 we did not incur any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2019 Notes are reported in our Consolidated Statements of Operations. We elected not to apply ASC 825-10 to any other financial assets or liabilities, including the SBA debentures. For the three months ended December 31, 2018 and 2017, our Credit Facility and the 2019 Notes had a net change in unrealized depreciation of $6.1 million and $1.1 million, respectively. As of December 31, 2018 and September 30, 2018, net unrealized depreciation on our Credit Facility and the 2019 Notes totaled $7.6 million and $1.6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2019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2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ind w:right="8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60" w:firstLine="434"/>
        <w:spacing w:after="0" w:line="238" w:lineRule="auto"/>
        <w:rPr>
          <w:sz w:val="20"/>
          <w:szCs w:val="20"/>
          <w:color w:val="auto"/>
        </w:rPr>
      </w:pPr>
      <w:r>
        <w:rPr>
          <w:rFonts w:ascii="Arial" w:cs="Arial" w:eastAsia="Arial" w:hAnsi="Arial"/>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w:t>
      </w: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9" w:name="page30"/>
    <w:bookmarkEnd w:id="29"/>
    <w:p>
      <w:pPr>
        <w:ind w:right="320"/>
        <w:spacing w:after="0" w:line="253" w:lineRule="auto"/>
        <w:rPr>
          <w:sz w:val="20"/>
          <w:szCs w:val="20"/>
          <w:color w:val="auto"/>
        </w:rPr>
      </w:pPr>
      <w:r>
        <w:rPr>
          <w:rFonts w:ascii="Arial" w:cs="Arial" w:eastAsia="Arial" w:hAnsi="Arial"/>
          <w:sz w:val="14"/>
          <w:szCs w:val="14"/>
          <w:color w:val="auto"/>
        </w:rPr>
        <w:t>ordinary income and realized net short-term capital gains in excess of realized net long-term capital losses, or investment company taxable income, determined without regard to any deduction for dividends paid.</w:t>
      </w:r>
    </w:p>
    <w:p>
      <w:pPr>
        <w:spacing w:after="0" w:line="106" w:lineRule="exact"/>
        <w:rPr>
          <w:sz w:val="20"/>
          <w:szCs w:val="20"/>
          <w:color w:val="auto"/>
        </w:rPr>
      </w:pPr>
    </w:p>
    <w:p>
      <w:pPr>
        <w:ind w:right="12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ind w:right="44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280" w:firstLine="434"/>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months ended December 31,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00" w:firstLine="434"/>
        <w:spacing w:after="0" w:line="233" w:lineRule="auto"/>
        <w:rPr>
          <w:sz w:val="20"/>
          <w:szCs w:val="20"/>
          <w:color w:val="auto"/>
        </w:rPr>
      </w:pPr>
      <w:r>
        <w:rPr>
          <w:rFonts w:ascii="Arial" w:cs="Arial" w:eastAsia="Arial" w:hAnsi="Arial"/>
          <w:sz w:val="14"/>
          <w:szCs w:val="14"/>
          <w:color w:val="auto"/>
        </w:rPr>
        <w:t>Investment income for the three months ended December 31, 2018 was $27.4 million and was attributable to $13.2 million from first lien secured debt, $12.4 million from second lien secured debt and $1.8 million from subordinated debt, respectively. Investment income for the three months ended December 31, 2017 was $28.7 million and was attributable to $12.7 million from first lien secured debt, $12.9 million from second lien secured debt and $3.1 million from subordinated debt, respectively. The decrease in investment income compared to the same period in the prior year was primarily due to a decrease in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220" w:firstLine="434"/>
        <w:spacing w:after="0" w:line="251" w:lineRule="auto"/>
        <w:rPr>
          <w:sz w:val="20"/>
          <w:szCs w:val="20"/>
          <w:color w:val="auto"/>
        </w:rPr>
      </w:pPr>
      <w:r>
        <w:rPr>
          <w:rFonts w:ascii="Arial" w:cs="Arial" w:eastAsia="Arial" w:hAnsi="Arial"/>
          <w:sz w:val="13"/>
          <w:szCs w:val="13"/>
          <w:color w:val="auto"/>
        </w:rPr>
        <w:t>Expenses for the three months ended December 31, 2018 totaled $14.8 million. Base management fee for the same period totaled $4.4 million, incentive fee totaled $2.7 million, debt related interest and expenses totaled $6.3 million, general and administrative expenses totaled $1.1 million and provision for taxes totaled $0.3 million. Net expenses for the three months ended December 31, 2017 totaled $14.5 million. Base management fee for the same period totaled $4.8 million (after a base management fee waiver of $0.9 million), incentive fee totaled $2.7 million (after an incentive fee waiver of $0.5 million), debt related interest and expenses totaled $5.9 million and general and administrative expenses totaled $1.1 million. The increase in expenses compared to the same period in the prior year was primarily due to an increase in leverage, which resulted in an increased interest expense.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00" w:firstLine="434"/>
        <w:spacing w:after="0" w:line="238" w:lineRule="auto"/>
        <w:rPr>
          <w:sz w:val="20"/>
          <w:szCs w:val="20"/>
          <w:color w:val="auto"/>
        </w:rPr>
      </w:pPr>
      <w:r>
        <w:rPr>
          <w:rFonts w:ascii="Arial" w:cs="Arial" w:eastAsia="Arial" w:hAnsi="Arial"/>
          <w:sz w:val="14"/>
          <w:szCs w:val="14"/>
          <w:color w:val="auto"/>
        </w:rPr>
        <w:t>Net investment income totaled $12.6 million, or $0.18 per share, for the three months ended December 31, 2018, and $14.2 million, or $0.20 per share, for the three months ended December 31, 2017. The decrease in net investment income compared to the same period in the prior year was primarily due to a decrease in other income and an increase leverage, which resulted in an increased interest expense.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80" w:firstLine="434"/>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2018 totaled $125.8 million and net realized gains totaled $8.5 million. Sales and repayments of investments for the three months ended December 31, 2017 totaled $192.3 million and net realized gains totaled $3.8 million. The change in realized gains/losses was primarily due to changes in the market conditions of our investments and the values at which they were realized.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2019 Notes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For the three months ended December 31, 2018 and 2017, we reported net change in unrealized depreciation on investments of $20.4 million and $6.8 million, respectively. As of December 31, 2018 and September 30, 2018, our net unrealized depreciation on investments totaled $132.2 million and $111.8 million, respectively. The net change in unrealized appreciation/depreciation on our investments compared to the same period in the prior year was primarily due to changes in the capital market conditions, the financial performance of certain portfolio companies and the reversal of unrealized appreciation/depreciation on investments that were realized.</w:t>
      </w:r>
    </w:p>
    <w:p>
      <w:pPr>
        <w:spacing w:after="0" w:line="117" w:lineRule="exact"/>
        <w:rPr>
          <w:sz w:val="20"/>
          <w:szCs w:val="20"/>
          <w:color w:val="auto"/>
        </w:rPr>
      </w:pPr>
    </w:p>
    <w:p>
      <w:pPr>
        <w:ind w:right="200" w:firstLine="456"/>
        <w:spacing w:after="0" w:line="238" w:lineRule="auto"/>
        <w:rPr>
          <w:sz w:val="20"/>
          <w:szCs w:val="20"/>
          <w:color w:val="auto"/>
        </w:rPr>
      </w:pPr>
      <w:r>
        <w:rPr>
          <w:rFonts w:ascii="Arial" w:cs="Arial" w:eastAsia="Arial" w:hAnsi="Arial"/>
          <w:sz w:val="14"/>
          <w:szCs w:val="14"/>
          <w:color w:val="auto"/>
        </w:rPr>
        <w:t>For the three months ended December 31, 2018 and 2017, our Credit Facility and the 2019 Notes had a net change in unrealized depreciation of $6.1 million and $1.1 million, respectively. As of December 31, 2018 and September 30, 2018, the net unrealized depreciation on the Credit Facility and the 2019 Notes totaled $7.6 million and $1.6 million, respectively. The net change in net unrealized depreciation compared to the same period in the prior year was primarily due to changes in the capital markets.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Net change in net assets resulting from operations totaled $6.8 million, or $0.10 per share, for the three months ended December 31, 2018. This compares to a net change in net assets resulting from operations of $12.3 million, or $0.18 per share, for the three months ended December 31, 2017. The decrease in the net change in net assets from operations compared to the same period in the prior year was primarily due to a lower yielding portfolio and depreciation of our investments.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260" w:firstLine="434"/>
        <w:spacing w:after="0" w:line="251"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December 31,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09" w:lineRule="exact"/>
        <w:rPr>
          <w:sz w:val="20"/>
          <w:szCs w:val="20"/>
          <w:color w:val="auto"/>
        </w:rPr>
      </w:pPr>
    </w:p>
    <w:p>
      <w:pPr>
        <w:ind w:right="280" w:firstLine="434"/>
        <w:spacing w:after="0" w:line="233" w:lineRule="auto"/>
        <w:rPr>
          <w:sz w:val="20"/>
          <w:szCs w:val="20"/>
          <w:color w:val="auto"/>
        </w:rPr>
      </w:pPr>
      <w:r>
        <w:rPr>
          <w:rFonts w:ascii="Arial" w:cs="Arial" w:eastAsia="Arial" w:hAnsi="Arial"/>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requirements applicable to us for senior securities have been reduced from 200% to 150%, subject to compliance with certain disclosure requirements. As of December 31, 2018 and September 30, 2018, our asset coverage ratio, as computed in accordance with the 1940 Act, was 248% and 291%, respectively.</w:t>
      </w:r>
    </w:p>
    <w:p>
      <w:pPr>
        <w:spacing w:after="0" w:line="117"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The annualized weighted average cost of debt for the three months ended December 31, 2018 and 2017, inclusive of the fee on the undrawn commitment and amendment costs on the Credit Facility, amortized upfront fees on SBA debentures and debt issuance costs, was 4.71% and 4.32%, respectively.</w:t>
      </w:r>
    </w:p>
    <w:p>
      <w:pPr>
        <w:spacing w:after="0" w:line="106" w:lineRule="exact"/>
        <w:rPr>
          <w:sz w:val="20"/>
          <w:szCs w:val="20"/>
          <w:color w:val="auto"/>
        </w:rPr>
      </w:pPr>
    </w:p>
    <w:p>
      <w:pPr>
        <w:ind w:firstLine="438"/>
        <w:spacing w:after="0" w:line="248" w:lineRule="auto"/>
        <w:rPr>
          <w:sz w:val="20"/>
          <w:szCs w:val="20"/>
          <w:color w:val="auto"/>
        </w:rPr>
      </w:pPr>
      <w:r>
        <w:rPr>
          <w:rFonts w:ascii="Arial" w:cs="Arial" w:eastAsia="Arial" w:hAnsi="Arial"/>
          <w:sz w:val="13"/>
          <w:szCs w:val="13"/>
          <w:color w:val="auto"/>
        </w:rPr>
        <w:t>As of December 31, 2018, we had a $445 million multi-currency Credit Facility with certain lenders and SunTrust Bank, acting as administrative agent, and JPMorgan Chase Bank, N.A., acting as syndication agent for the lenders. As of December 31, 2018 and September 30, 2018, we had $174.1 million and $80.5 million (including a $2.0 million temporary draw), respectively, in outstanding borrowings under the Credit Facility. The Credit Facility had a weighted average interest rate of 4.39% and 3.79%, respectively, exclusive of the fee on undrawn commitments of 0.375%, as of December 31, 2018 and September 30, 2018. The Credit Facility is a five-year revolving facility with a stated maturity date of May 25, 2022, a one-year term-out period following its fourth year and pricing set at 225 basis points over LIBOR. As of December 31, 2018 and September 30, 2018, we had $270.9 million and $364.5 million of unused borrowing capacity under our Credit Facility, respectively, subject to the regulatory restrictions. The Credit Facility is secured by substantially all of our assets excluding assets held by our SBIC Funds.</w:t>
      </w:r>
    </w:p>
    <w:p>
      <w:pPr>
        <w:spacing w:after="0" w:line="113" w:lineRule="exact"/>
        <w:rPr>
          <w:sz w:val="20"/>
          <w:szCs w:val="20"/>
          <w:color w:val="auto"/>
        </w:rPr>
      </w:pPr>
    </w:p>
    <w:p>
      <w:pPr>
        <w:ind w:right="100" w:firstLine="434"/>
        <w:spacing w:after="0" w:line="253" w:lineRule="auto"/>
        <w:rPr>
          <w:sz w:val="20"/>
          <w:szCs w:val="20"/>
          <w:color w:val="auto"/>
        </w:rPr>
      </w:pPr>
      <w:r>
        <w:rPr>
          <w:rFonts w:ascii="Arial" w:cs="Arial" w:eastAsia="Arial" w:hAnsi="Arial"/>
          <w:sz w:val="14"/>
          <w:szCs w:val="14"/>
          <w:color w:val="auto"/>
        </w:rPr>
        <w:t>For a complete list of covenants contained in the Credit Facility, please refer to the Credit Facility agreement filed as Exhibit 10.1 on our Form 10-Q filed August 7, 2017 and incorporated by reference therein. As of December 31, 2018, we were in compliance with the terms of our Credit Facility.</w:t>
      </w:r>
    </w:p>
    <w:p>
      <w:pPr>
        <w:spacing w:after="0" w:line="106" w:lineRule="exact"/>
        <w:rPr>
          <w:sz w:val="20"/>
          <w:szCs w:val="20"/>
          <w:color w:val="auto"/>
        </w:rPr>
      </w:pPr>
    </w:p>
    <w:p>
      <w:pPr>
        <w:ind w:right="20" w:firstLine="452"/>
        <w:spacing w:after="0" w:line="229"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18" w:lineRule="exact"/>
        <w:rPr>
          <w:sz w:val="20"/>
          <w:szCs w:val="20"/>
          <w:color w:val="auto"/>
        </w:rPr>
      </w:pPr>
    </w:p>
    <w:p>
      <w:pPr>
        <w:ind w:right="6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40" w:firstLine="434"/>
        <w:spacing w:after="0" w:line="231" w:lineRule="auto"/>
        <w:rPr>
          <w:sz w:val="20"/>
          <w:szCs w:val="20"/>
          <w:color w:val="auto"/>
        </w:rPr>
      </w:pPr>
      <w:r>
        <w:rPr>
          <w:rFonts w:ascii="Arial" w:cs="Arial" w:eastAsia="Arial" w:hAnsi="Arial"/>
          <w:sz w:val="14"/>
          <w:szCs w:val="14"/>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For the three months ended December 31, 2018 and 2017, we repurchased 1.0 million and zero shares of common stock in open market transactions for an aggregate cost (including transaction costs) of $7.5 million and zero, respectively.</w:t>
      </w:r>
    </w:p>
    <w:p>
      <w:pPr>
        <w:spacing w:after="0" w:line="116" w:lineRule="exact"/>
        <w:rPr>
          <w:sz w:val="20"/>
          <w:szCs w:val="20"/>
          <w:color w:val="auto"/>
        </w:rPr>
      </w:pPr>
    </w:p>
    <w:p>
      <w:pPr>
        <w:ind w:right="20" w:firstLine="434"/>
        <w:spacing w:after="0" w:line="229" w:lineRule="auto"/>
        <w:rPr>
          <w:sz w:val="20"/>
          <w:szCs w:val="20"/>
          <w:color w:val="auto"/>
        </w:rPr>
      </w:pPr>
      <w:r>
        <w:rPr>
          <w:rFonts w:ascii="Arial" w:cs="Arial" w:eastAsia="Arial" w:hAnsi="Arial"/>
          <w:sz w:val="14"/>
          <w:szCs w:val="14"/>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zero SBA debentures outstanding as of December 31, 2018. We have funded SBIC II with $75.0 million of equity capital and it had SBA debentures outstanding of $150.0 million as of December 31,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8"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As of December 31, 2018 and September 30, 2018, our SBIC Funds had $150.0 million and $300.0 million in debt commitments, respectively, of which $150.0 million and $180.0 million was drawn, respectively. As of December 31, 2018 and September 30, 2018, the unamortized fees on the SBA debentures were $4.2 million and $4.6 million, respectively. The SBA debentures’ upfront fees of 3.43% consist of a commitment fee of 1.00% and an issuance discount of 2.43%, which are being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81" w:right="419" w:bottom="1440" w:gutter="0" w:footer="0" w:header="0"/>
        </w:sectPr>
      </w:pPr>
    </w:p>
    <w:bookmarkStart w:id="31" w:name="page32"/>
    <w:bookmarkEnd w:id="31"/>
    <w:p>
      <w:pPr>
        <w:ind w:left="440"/>
        <w:spacing w:after="0"/>
        <w:rPr>
          <w:sz w:val="20"/>
          <w:szCs w:val="20"/>
          <w:color w:val="auto"/>
        </w:rPr>
      </w:pPr>
      <w:r>
        <w:rPr>
          <w:rFonts w:ascii="Arial" w:cs="Arial" w:eastAsia="Arial" w:hAnsi="Arial"/>
          <w:sz w:val="14"/>
          <w:szCs w:val="14"/>
          <w:color w:val="auto"/>
        </w:rPr>
        <w:t>Our fixed-rate SBA debentures as of December 31, 2018 and September 30, 2018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14"/>
                <w:szCs w:val="14"/>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14"/>
                <w:szCs w:val="14"/>
                <w:color w:val="auto"/>
              </w:rPr>
            </w:pPr>
          </w:p>
        </w:tc>
        <w:tc>
          <w:tcPr>
            <w:tcW w:w="2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14"/>
                <w:szCs w:val="14"/>
                <w:color w:val="auto"/>
              </w:rPr>
            </w:pPr>
          </w:p>
        </w:tc>
        <w:tc>
          <w:tcPr>
            <w:tcW w:w="2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As of December 31, 2018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23, 2016</w:t>
            </w:r>
          </w:p>
        </w:tc>
        <w:tc>
          <w:tcPr>
            <w:tcW w:w="2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2026</w:t>
            </w:r>
          </w:p>
        </w:tc>
        <w:tc>
          <w:tcPr>
            <w:tcW w:w="240" w:type="dxa"/>
            <w:vAlign w:val="bottom"/>
            <w:shd w:val="clear" w:color="auto" w:fill="CCECFF"/>
          </w:tcPr>
          <w:p>
            <w:pPr>
              <w:spacing w:after="0"/>
              <w:rPr>
                <w:sz w:val="13"/>
                <w:szCs w:val="13"/>
                <w:color w:val="auto"/>
              </w:rPr>
            </w:pPr>
          </w:p>
        </w:tc>
        <w:tc>
          <w:tcPr>
            <w:tcW w:w="254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2.86%</w:t>
            </w:r>
          </w:p>
        </w:tc>
        <w:tc>
          <w:tcPr>
            <w:tcW w:w="460" w:type="dxa"/>
            <w:vAlign w:val="bottom"/>
            <w:shd w:val="clear" w:color="auto" w:fill="CCECFF"/>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September 21, 2016</w:t>
            </w:r>
          </w:p>
        </w:tc>
        <w:tc>
          <w:tcPr>
            <w:tcW w:w="2680" w:type="dxa"/>
            <w:vAlign w:val="bottom"/>
            <w:gridSpan w:val="3"/>
          </w:tcPr>
          <w:p>
            <w:pPr>
              <w:ind w:left="220"/>
              <w:spacing w:after="0"/>
              <w:rPr>
                <w:sz w:val="20"/>
                <w:szCs w:val="20"/>
                <w:color w:val="auto"/>
              </w:rPr>
            </w:pPr>
            <w:r>
              <w:rPr>
                <w:rFonts w:ascii="Arial" w:cs="Arial" w:eastAsia="Arial" w:hAnsi="Arial"/>
                <w:sz w:val="14"/>
                <w:szCs w:val="14"/>
                <w:color w:val="auto"/>
              </w:rPr>
              <w:t>September 1, 2026</w:t>
            </w:r>
          </w:p>
        </w:tc>
        <w:tc>
          <w:tcPr>
            <w:tcW w:w="2120" w:type="dxa"/>
            <w:vAlign w:val="bottom"/>
          </w:tcPr>
          <w:p>
            <w:pPr>
              <w:ind w:left="1840"/>
              <w:spacing w:after="0"/>
              <w:rPr>
                <w:sz w:val="20"/>
                <w:szCs w:val="20"/>
                <w:color w:val="auto"/>
              </w:rPr>
            </w:pPr>
            <w:r>
              <w:rPr>
                <w:rFonts w:ascii="Arial" w:cs="Arial" w:eastAsia="Arial" w:hAnsi="Arial"/>
                <w:sz w:val="14"/>
                <w:szCs w:val="14"/>
                <w:color w:val="auto"/>
                <w:w w:val="95"/>
              </w:rPr>
              <w:t>2.41</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68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2027</w:t>
            </w:r>
          </w:p>
        </w:tc>
        <w:tc>
          <w:tcPr>
            <w:tcW w:w="212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95"/>
              </w:rPr>
              <w:t>2.87</w:t>
            </w:r>
          </w:p>
        </w:tc>
        <w:tc>
          <w:tcPr>
            <w:tcW w:w="42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March 21, 2018</w:t>
            </w:r>
          </w:p>
        </w:tc>
        <w:tc>
          <w:tcPr>
            <w:tcW w:w="2680" w:type="dxa"/>
            <w:vAlign w:val="bottom"/>
            <w:tcBorders>
              <w:bottom w:val="single" w:sz="8" w:color="CCECFF"/>
            </w:tcBorders>
            <w:gridSpan w:val="3"/>
          </w:tcPr>
          <w:p>
            <w:pPr>
              <w:ind w:left="220"/>
              <w:spacing w:after="0"/>
              <w:rPr>
                <w:sz w:val="20"/>
                <w:szCs w:val="20"/>
                <w:color w:val="auto"/>
              </w:rPr>
            </w:pPr>
            <w:r>
              <w:rPr>
                <w:rFonts w:ascii="Arial" w:cs="Arial" w:eastAsia="Arial" w:hAnsi="Arial"/>
                <w:sz w:val="14"/>
                <w:szCs w:val="14"/>
                <w:color w:val="auto"/>
              </w:rPr>
              <w:t>March 1, 2028</w:t>
            </w:r>
          </w:p>
        </w:tc>
        <w:tc>
          <w:tcPr>
            <w:tcW w:w="2120" w:type="dxa"/>
            <w:vAlign w:val="bottom"/>
            <w:tcBorders>
              <w:bottom w:val="single" w:sz="8" w:color="auto"/>
            </w:tcBorders>
          </w:tcPr>
          <w:p>
            <w:pPr>
              <w:ind w:left="1840"/>
              <w:spacing w:after="0"/>
              <w:rPr>
                <w:sz w:val="20"/>
                <w:szCs w:val="20"/>
                <w:color w:val="auto"/>
              </w:rPr>
            </w:pPr>
            <w:r>
              <w:rPr>
                <w:rFonts w:ascii="Arial" w:cs="Arial" w:eastAsia="Arial" w:hAnsi="Arial"/>
                <w:sz w:val="14"/>
                <w:szCs w:val="14"/>
                <w:color w:val="auto"/>
                <w:w w:val="95"/>
              </w:rPr>
              <w:t>3.53</w:t>
            </w:r>
          </w:p>
        </w:tc>
        <w:tc>
          <w:tcPr>
            <w:tcW w:w="420" w:type="dxa"/>
            <w:vAlign w:val="bottom"/>
            <w:tcBorders>
              <w:bottom w:val="single" w:sz="8" w:color="CCEC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540" w:type="dxa"/>
            <w:vAlign w:val="bottom"/>
            <w:gridSpan w:val="2"/>
            <w:shd w:val="clear" w:color="auto" w:fill="CCECFF"/>
          </w:tcPr>
          <w:p>
            <w:pPr>
              <w:ind w:left="1860"/>
              <w:spacing w:after="0" w:line="155" w:lineRule="exact"/>
              <w:rPr>
                <w:sz w:val="20"/>
                <w:szCs w:val="20"/>
                <w:color w:val="auto"/>
              </w:rPr>
            </w:pPr>
            <w:r>
              <w:rPr>
                <w:rFonts w:ascii="Arial" w:cs="Arial" w:eastAsia="Arial" w:hAnsi="Arial"/>
                <w:sz w:val="14"/>
                <w:szCs w:val="14"/>
                <w:color w:val="auto"/>
              </w:rPr>
              <w:t>3.11%</w:t>
            </w:r>
          </w:p>
        </w:tc>
        <w:tc>
          <w:tcPr>
            <w:tcW w:w="460" w:type="dxa"/>
            <w:vAlign w:val="bottom"/>
            <w:shd w:val="clear" w:color="auto" w:fill="CCECFF"/>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2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CFF"/>
            </w:tcBorders>
          </w:tcPr>
          <w:p>
            <w:pPr>
              <w:spacing w:after="0" w:line="20" w:lineRule="exact"/>
              <w:rPr>
                <w:sz w:val="1"/>
                <w:szCs w:val="1"/>
                <w:color w:val="auto"/>
              </w:rPr>
            </w:pPr>
          </w:p>
        </w:tc>
        <w:tc>
          <w:tcPr>
            <w:tcW w:w="2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680" w:type="dxa"/>
            <w:vAlign w:val="bottom"/>
            <w:vMerge w:val="restart"/>
          </w:tcPr>
          <w:p>
            <w:pPr>
              <w:ind w:left="138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tcPr>
          <w:p>
            <w:pPr>
              <w:spacing w:after="0"/>
              <w:rPr>
                <w:sz w:val="24"/>
                <w:szCs w:val="24"/>
                <w:color w:val="auto"/>
              </w:rPr>
            </w:pPr>
          </w:p>
        </w:tc>
        <w:tc>
          <w:tcPr>
            <w:tcW w:w="222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Maturity</w:t>
            </w:r>
          </w:p>
        </w:tc>
        <w:tc>
          <w:tcPr>
            <w:tcW w:w="240" w:type="dxa"/>
            <w:vAlign w:val="bottom"/>
            <w:vMerge w:val="restart"/>
          </w:tcPr>
          <w:p>
            <w:pPr>
              <w:spacing w:after="0"/>
              <w:rPr>
                <w:sz w:val="24"/>
                <w:szCs w:val="24"/>
                <w:color w:val="auto"/>
              </w:rPr>
            </w:pPr>
          </w:p>
        </w:tc>
        <w:tc>
          <w:tcPr>
            <w:tcW w:w="21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vMerge w:val="restart"/>
          </w:tcPr>
          <w:p>
            <w:pPr>
              <w:spacing w:after="0"/>
              <w:rPr>
                <w:sz w:val="24"/>
                <w:szCs w:val="24"/>
                <w:color w:val="auto"/>
              </w:rPr>
            </w:pPr>
          </w:p>
        </w:tc>
        <w:tc>
          <w:tcPr>
            <w:tcW w:w="23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As of September 30, 2018 Principal</w:t>
            </w: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CFF"/>
            </w:tcBorders>
            <w:vMerge w:val="continue"/>
          </w:tcPr>
          <w:p>
            <w:pPr>
              <w:spacing w:after="0"/>
              <w:rPr>
                <w:sz w:val="14"/>
                <w:szCs w:val="14"/>
                <w:color w:val="auto"/>
              </w:rPr>
            </w:pPr>
          </w:p>
        </w:tc>
        <w:tc>
          <w:tcPr>
            <w:tcW w:w="212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CCECFF"/>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CECFF"/>
          </w:tcPr>
          <w:p>
            <w:pPr>
              <w:spacing w:after="0"/>
              <w:rPr>
                <w:sz w:val="13"/>
                <w:szCs w:val="13"/>
                <w:color w:val="auto"/>
              </w:rPr>
            </w:pPr>
          </w:p>
        </w:tc>
        <w:tc>
          <w:tcPr>
            <w:tcW w:w="22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40" w:type="dxa"/>
            <w:vAlign w:val="bottom"/>
            <w:shd w:val="clear" w:color="auto" w:fill="CCECFF"/>
          </w:tcPr>
          <w:p>
            <w:pPr>
              <w:spacing w:after="0"/>
              <w:rPr>
                <w:sz w:val="13"/>
                <w:szCs w:val="13"/>
                <w:color w:val="auto"/>
              </w:rPr>
            </w:pPr>
          </w:p>
        </w:tc>
        <w:tc>
          <w:tcPr>
            <w:tcW w:w="2540" w:type="dxa"/>
            <w:vAlign w:val="bottom"/>
            <w:gridSpan w:val="2"/>
            <w:shd w:val="clear" w:color="auto" w:fill="CCECFF"/>
          </w:tcPr>
          <w:p>
            <w:pPr>
              <w:ind w:left="1840"/>
              <w:spacing w:after="0" w:line="155" w:lineRule="exact"/>
              <w:rPr>
                <w:sz w:val="20"/>
                <w:szCs w:val="20"/>
                <w:color w:val="auto"/>
              </w:rPr>
            </w:pPr>
            <w:r>
              <w:rPr>
                <w:rFonts w:ascii="Arial" w:cs="Arial" w:eastAsia="Arial" w:hAnsi="Arial"/>
                <w:sz w:val="14"/>
                <w:szCs w:val="14"/>
                <w:color w:val="auto"/>
              </w:rPr>
              <w:t>3.35%</w:t>
            </w:r>
          </w:p>
        </w:tc>
        <w:tc>
          <w:tcPr>
            <w:tcW w:w="460" w:type="dxa"/>
            <w:vAlign w:val="bottom"/>
            <w:shd w:val="clear" w:color="auto" w:fill="CCECFF"/>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March 23, 2016</w:t>
            </w:r>
          </w:p>
        </w:tc>
        <w:tc>
          <w:tcPr>
            <w:tcW w:w="2680" w:type="dxa"/>
            <w:vAlign w:val="bottom"/>
            <w:gridSpan w:val="3"/>
          </w:tcPr>
          <w:p>
            <w:pPr>
              <w:ind w:left="220"/>
              <w:spacing w:after="0"/>
              <w:rPr>
                <w:sz w:val="20"/>
                <w:szCs w:val="20"/>
                <w:color w:val="auto"/>
              </w:rPr>
            </w:pPr>
            <w:r>
              <w:rPr>
                <w:rFonts w:ascii="Arial" w:cs="Arial" w:eastAsia="Arial" w:hAnsi="Arial"/>
                <w:sz w:val="14"/>
                <w:szCs w:val="14"/>
                <w:color w:val="auto"/>
              </w:rPr>
              <w:t>March 1, 2026</w:t>
            </w:r>
          </w:p>
        </w:tc>
        <w:tc>
          <w:tcPr>
            <w:tcW w:w="2120" w:type="dxa"/>
            <w:vAlign w:val="bottom"/>
          </w:tcPr>
          <w:p>
            <w:pPr>
              <w:ind w:left="1840"/>
              <w:spacing w:after="0"/>
              <w:rPr>
                <w:sz w:val="20"/>
                <w:szCs w:val="20"/>
                <w:color w:val="auto"/>
              </w:rPr>
            </w:pPr>
            <w:r>
              <w:rPr>
                <w:rFonts w:ascii="Arial" w:cs="Arial" w:eastAsia="Arial" w:hAnsi="Arial"/>
                <w:sz w:val="14"/>
                <w:szCs w:val="14"/>
                <w:color w:val="auto"/>
                <w:w w:val="95"/>
              </w:rPr>
              <w:t>2.86</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68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September 1, 2026</w:t>
            </w:r>
          </w:p>
        </w:tc>
        <w:tc>
          <w:tcPr>
            <w:tcW w:w="2120" w:type="dxa"/>
            <w:vAlign w:val="bottom"/>
            <w:shd w:val="clear" w:color="auto" w:fill="CCECFF"/>
          </w:tcPr>
          <w:p>
            <w:pPr>
              <w:ind w:left="1840"/>
              <w:spacing w:after="0"/>
              <w:rPr>
                <w:sz w:val="20"/>
                <w:szCs w:val="20"/>
                <w:color w:val="auto"/>
              </w:rPr>
            </w:pPr>
            <w:r>
              <w:rPr>
                <w:rFonts w:ascii="Arial" w:cs="Arial" w:eastAsia="Arial" w:hAnsi="Arial"/>
                <w:sz w:val="14"/>
                <w:szCs w:val="14"/>
                <w:color w:val="auto"/>
                <w:w w:val="95"/>
              </w:rPr>
              <w:t>2.41</w:t>
            </w:r>
          </w:p>
        </w:tc>
        <w:tc>
          <w:tcPr>
            <w:tcW w:w="42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20"/>
                <w:szCs w:val="20"/>
                <w:color w:val="auto"/>
              </w:rPr>
            </w:pPr>
            <w:r>
              <w:rPr>
                <w:rFonts w:ascii="Arial" w:cs="Arial" w:eastAsia="Arial" w:hAnsi="Arial"/>
                <w:sz w:val="14"/>
                <w:szCs w:val="14"/>
                <w:color w:val="auto"/>
              </w:rPr>
              <w:t>September 20, 2017</w:t>
            </w:r>
          </w:p>
        </w:tc>
        <w:tc>
          <w:tcPr>
            <w:tcW w:w="2680" w:type="dxa"/>
            <w:vAlign w:val="bottom"/>
            <w:gridSpan w:val="3"/>
          </w:tcPr>
          <w:p>
            <w:pPr>
              <w:ind w:left="220"/>
              <w:spacing w:after="0"/>
              <w:rPr>
                <w:sz w:val="20"/>
                <w:szCs w:val="20"/>
                <w:color w:val="auto"/>
              </w:rPr>
            </w:pPr>
            <w:r>
              <w:rPr>
                <w:rFonts w:ascii="Arial" w:cs="Arial" w:eastAsia="Arial" w:hAnsi="Arial"/>
                <w:sz w:val="14"/>
                <w:szCs w:val="14"/>
                <w:color w:val="auto"/>
              </w:rPr>
              <w:t>September 1, 2027</w:t>
            </w:r>
          </w:p>
        </w:tc>
        <w:tc>
          <w:tcPr>
            <w:tcW w:w="2120" w:type="dxa"/>
            <w:vAlign w:val="bottom"/>
          </w:tcPr>
          <w:p>
            <w:pPr>
              <w:ind w:left="1840"/>
              <w:spacing w:after="0"/>
              <w:rPr>
                <w:sz w:val="20"/>
                <w:szCs w:val="20"/>
                <w:color w:val="auto"/>
              </w:rPr>
            </w:pPr>
            <w:r>
              <w:rPr>
                <w:rFonts w:ascii="Arial" w:cs="Arial" w:eastAsia="Arial" w:hAnsi="Arial"/>
                <w:sz w:val="14"/>
                <w:szCs w:val="14"/>
                <w:color w:val="auto"/>
                <w:w w:val="95"/>
              </w:rPr>
              <w:t>2.87</w:t>
            </w: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80" w:type="dxa"/>
            <w:vAlign w:val="bottom"/>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680" w:type="dxa"/>
            <w:vAlign w:val="bottom"/>
            <w:gridSpan w:val="3"/>
            <w:shd w:val="clear" w:color="auto" w:fill="CCECFF"/>
          </w:tcPr>
          <w:p>
            <w:pPr>
              <w:ind w:left="220"/>
              <w:spacing w:after="0"/>
              <w:rPr>
                <w:sz w:val="20"/>
                <w:szCs w:val="20"/>
                <w:color w:val="auto"/>
              </w:rPr>
            </w:pPr>
            <w:r>
              <w:rPr>
                <w:rFonts w:ascii="Arial" w:cs="Arial" w:eastAsia="Arial" w:hAnsi="Arial"/>
                <w:sz w:val="14"/>
                <w:szCs w:val="14"/>
                <w:color w:val="auto"/>
              </w:rPr>
              <w:t>March 1, 2028</w:t>
            </w:r>
          </w:p>
        </w:tc>
        <w:tc>
          <w:tcPr>
            <w:tcW w:w="2120" w:type="dxa"/>
            <w:vAlign w:val="bottom"/>
            <w:tcBorders>
              <w:bottom w:val="single" w:sz="8" w:color="auto"/>
            </w:tcBorders>
            <w:shd w:val="clear" w:color="auto" w:fill="CCECFF"/>
          </w:tcPr>
          <w:p>
            <w:pPr>
              <w:ind w:left="1840"/>
              <w:spacing w:after="0"/>
              <w:rPr>
                <w:sz w:val="20"/>
                <w:szCs w:val="20"/>
                <w:color w:val="auto"/>
              </w:rPr>
            </w:pPr>
            <w:r>
              <w:rPr>
                <w:rFonts w:ascii="Arial" w:cs="Arial" w:eastAsia="Arial" w:hAnsi="Arial"/>
                <w:sz w:val="14"/>
                <w:szCs w:val="14"/>
                <w:color w:val="auto"/>
                <w:w w:val="95"/>
              </w:rPr>
              <w:t>3.53</w:t>
            </w:r>
          </w:p>
        </w:tc>
        <w:tc>
          <w:tcPr>
            <w:tcW w:w="420" w:type="dxa"/>
            <w:vAlign w:val="bottom"/>
            <w:shd w:val="clear" w:color="auto" w:fill="CCECFF"/>
          </w:tcPr>
          <w:p>
            <w:pPr>
              <w:spacing w:after="0"/>
              <w:rPr>
                <w:sz w:val="14"/>
                <w:szCs w:val="14"/>
                <w:color w:val="auto"/>
              </w:rPr>
            </w:pPr>
          </w:p>
        </w:tc>
        <w:tc>
          <w:tcPr>
            <w:tcW w:w="460" w:type="dxa"/>
            <w:vAlign w:val="bottom"/>
            <w:tcBorders>
              <w:bottom w:val="single" w:sz="8" w:color="auto"/>
            </w:tcBorders>
            <w:shd w:val="clear" w:color="auto" w:fill="CCECFF"/>
          </w:tcPr>
          <w:p>
            <w:pPr>
              <w:spacing w:after="0"/>
              <w:rPr>
                <w:sz w:val="14"/>
                <w:szCs w:val="14"/>
                <w:color w:val="auto"/>
              </w:rPr>
            </w:pPr>
          </w:p>
        </w:tc>
        <w:tc>
          <w:tcPr>
            <w:tcW w:w="1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2"/>
          </w:tcPr>
          <w:p>
            <w:pPr>
              <w:ind w:left="1840"/>
              <w:spacing w:after="0" w:line="155" w:lineRule="exact"/>
              <w:rPr>
                <w:sz w:val="20"/>
                <w:szCs w:val="20"/>
                <w:color w:val="auto"/>
              </w:rPr>
            </w:pPr>
            <w:r>
              <w:rPr>
                <w:rFonts w:ascii="Arial" w:cs="Arial" w:eastAsia="Arial" w:hAnsi="Arial"/>
                <w:sz w:val="14"/>
                <w:szCs w:val="14"/>
                <w:color w:val="auto"/>
              </w:rPr>
              <w:t>3.15%</w:t>
            </w:r>
          </w:p>
        </w:tc>
        <w:tc>
          <w:tcPr>
            <w:tcW w:w="460" w:type="dxa"/>
            <w:vAlign w:val="bottom"/>
          </w:tcPr>
          <w:p>
            <w:pPr>
              <w:jc w:val="right"/>
              <w:ind w:right="342"/>
              <w:spacing w:after="0"/>
              <w:rPr>
                <w:sz w:val="20"/>
                <w:szCs w:val="20"/>
                <w:color w:val="auto"/>
              </w:rPr>
            </w:pPr>
            <w:r>
              <w:rPr>
                <w:rFonts w:ascii="Arial" w:cs="Arial" w:eastAsia="Arial" w:hAnsi="Arial"/>
                <w:sz w:val="10"/>
                <w:szCs w:val="10"/>
                <w:color w:val="auto"/>
                <w:w w:val="71"/>
              </w:rPr>
              <w:t>$</w:t>
            </w:r>
          </w:p>
        </w:tc>
        <w:tc>
          <w:tcPr>
            <w:tcW w:w="178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2018, our SBIC Funds were in compliance with their regulatory requirements.</w:t>
      </w:r>
    </w:p>
    <w:p>
      <w:pPr>
        <w:spacing w:after="0" w:line="116" w:lineRule="exact"/>
        <w:rPr>
          <w:sz w:val="20"/>
          <w:szCs w:val="20"/>
          <w:color w:val="auto"/>
        </w:rPr>
      </w:pPr>
    </w:p>
    <w:p>
      <w:pPr>
        <w:jc w:val="both"/>
        <w:ind w:right="320" w:firstLine="434"/>
        <w:spacing w:after="0" w:line="26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200% (up to November 13, 2019 and 150% thereafter (or earlier if our stockholders approve the proposal to accelerate the application of the reduced asset coverage requirements to us), subject to certain disclosure requirements) asset coverage ratio is met after such borrowing. As of December 31, 2018 and September 30, 2018, we excluded the principal amounts of our SBA debentures from our asset coverage ratio pursuant to SEC exemptive relief. In 2011, we received exemptive relief from the SEC allowing us to modify the asset coverage ratio requirement to exclude the SBA debentures from the calculation.</w:t>
      </w:r>
    </w:p>
    <w:p>
      <w:pPr>
        <w:spacing w:after="0" w:line="1"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auto"/>
        </w:rPr>
        <w:t>Accordingly, our ratio of total assets on a consolidated basis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As of December 31, 2018 and September 30, 2018, we had cash and cash equivalents of $24.7 million and $19.5 million, respectively, available for investing and general corporate purposes.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believe our liquidity and capital resources are sufficient to take advantage of market opportunities.</w:t>
      </w:r>
    </w:p>
    <w:p>
      <w:pPr>
        <w:spacing w:after="0" w:line="124" w:lineRule="exact"/>
        <w:rPr>
          <w:sz w:val="20"/>
          <w:szCs w:val="20"/>
          <w:color w:val="auto"/>
        </w:rPr>
      </w:pPr>
    </w:p>
    <w:p>
      <w:pPr>
        <w:ind w:right="560" w:firstLine="434"/>
        <w:spacing w:after="0" w:line="290" w:lineRule="auto"/>
        <w:rPr>
          <w:sz w:val="20"/>
          <w:szCs w:val="20"/>
          <w:color w:val="auto"/>
        </w:rPr>
      </w:pPr>
      <w:r>
        <w:rPr>
          <w:rFonts w:ascii="Arial" w:cs="Arial" w:eastAsia="Arial" w:hAnsi="Arial"/>
          <w:sz w:val="13"/>
          <w:szCs w:val="13"/>
          <w:color w:val="auto"/>
        </w:rPr>
        <w:t>Our operating activities used cash of $38.6 million for the three months ended December 31, 2018, and our financing activities provided cash of $43.7 million for the same period. Our operating activities used cash primarily for our investment activities and our financing activities provided cash primarily from net borrowings under the Credit Facility.</w:t>
      </w:r>
    </w:p>
    <w:p>
      <w:pPr>
        <w:spacing w:after="0" w:line="84" w:lineRule="exact"/>
        <w:rPr>
          <w:sz w:val="20"/>
          <w:szCs w:val="20"/>
          <w:color w:val="auto"/>
        </w:rPr>
      </w:pPr>
    </w:p>
    <w:p>
      <w:pPr>
        <w:ind w:right="300" w:firstLine="496"/>
        <w:spacing w:after="0" w:line="335" w:lineRule="auto"/>
        <w:rPr>
          <w:sz w:val="20"/>
          <w:szCs w:val="20"/>
          <w:color w:val="auto"/>
        </w:rPr>
      </w:pPr>
      <w:r>
        <w:rPr>
          <w:rFonts w:ascii="Arial" w:cs="Arial" w:eastAsia="Arial" w:hAnsi="Arial"/>
          <w:sz w:val="12"/>
          <w:szCs w:val="12"/>
          <w:color w:val="auto"/>
        </w:rPr>
        <w:t>Our operating activities provided cash of $62.4 million for the three months ended December 31, 2017, and our financing activities used cash of $27.8 million for the same period. Our operating activities provided cash from sales and repayments on our investments and our financing activities used cash primarily to pay distributions to stockholders and repay the SBA debentures.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24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2018,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174.1</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ind w:left="9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174.1</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150.0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ind w:left="900"/>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4"/>
                <w:szCs w:val="14"/>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ind w:left="9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574.1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ind w:left="9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174.1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3"/>
                <w:szCs w:val="13"/>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41.0</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ind w:left="900"/>
              <w:spacing w:after="0"/>
              <w:rPr>
                <w:sz w:val="20"/>
                <w:szCs w:val="20"/>
                <w:color w:val="auto"/>
              </w:rPr>
            </w:pPr>
            <w:r>
              <w:rPr>
                <w:rFonts w:ascii="Arial" w:cs="Arial" w:eastAsia="Arial" w:hAnsi="Arial"/>
                <w:sz w:val="14"/>
                <w:szCs w:val="14"/>
                <w:color w:val="auto"/>
                <w:w w:val="99"/>
              </w:rPr>
              <w:t>—</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27.0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615.1</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ind w:left="900"/>
              <w:spacing w:after="0" w:line="155" w:lineRule="exact"/>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201.1</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164.0</w:t>
            </w:r>
          </w:p>
        </w:tc>
        <w:tc>
          <w:tcPr>
            <w:tcW w:w="1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380" w:right="160" w:hanging="372"/>
        <w:spacing w:after="0" w:line="230" w:lineRule="auto"/>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2018, excluding debt issuance costs, was 4.10% exclusive of the fee on the undrawn commitment on the Credit Facility and 3.43% of upfront fees on SBA debentures.</w:t>
      </w: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120" w:firstLine="434"/>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2019,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5" w:lineRule="exact"/>
        <w:rPr>
          <w:sz w:val="20"/>
          <w:szCs w:val="20"/>
          <w:color w:val="auto"/>
        </w:rPr>
      </w:pPr>
    </w:p>
    <w:p>
      <w:pPr>
        <w:jc w:val="both"/>
        <w:ind w:right="300" w:firstLine="434"/>
        <w:spacing w:after="0" w:line="23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2019, the Administrator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right="160"/>
        <w:spacing w:after="0" w:line="238" w:lineRule="auto"/>
        <w:rPr>
          <w:sz w:val="20"/>
          <w:szCs w:val="20"/>
          <w:color w:val="auto"/>
        </w:rPr>
      </w:pPr>
      <w:r>
        <w:rPr>
          <w:rFonts w:ascii="Arial" w:cs="Arial" w:eastAsia="Arial" w:hAnsi="Arial"/>
          <w:sz w:val="14"/>
          <w:szCs w:val="14"/>
          <w:color w:val="auto"/>
        </w:rPr>
        <w:t>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5" w:lineRule="exact"/>
        <w:rPr>
          <w:sz w:val="20"/>
          <w:szCs w:val="20"/>
          <w:color w:val="auto"/>
        </w:rPr>
      </w:pPr>
    </w:p>
    <w:p>
      <w:pPr>
        <w:ind w:right="340" w:firstLine="434"/>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jc w:val="both"/>
        <w:ind w:right="60" w:firstLine="456"/>
        <w:spacing w:after="0" w:line="255" w:lineRule="auto"/>
        <w:rPr>
          <w:sz w:val="20"/>
          <w:szCs w:val="20"/>
          <w:color w:val="auto"/>
        </w:rPr>
      </w:pPr>
      <w:r>
        <w:rPr>
          <w:rFonts w:ascii="Arial" w:cs="Arial" w:eastAsia="Arial" w:hAnsi="Arial"/>
          <w:sz w:val="13"/>
          <w:szCs w:val="13"/>
          <w:color w:val="auto"/>
        </w:rPr>
        <w:t>On February 5, 2019, our stockholders approved the adoption of the modified asset coverage requirements set forth in Section 61(a)(2) of the 1940 Act, as amended by the Consolidated Appropriations Act of 2018 (which includes the SBCAA) as approved by our board of directors on November 13, 2018. As a result, the minimum asset coverage requirements applicable to us for senior securities has been reduced from 200% to 150%, subject to compliance with certain disclosure requirements. In connection with this reduction, our annual base management fee has also been reduced from 1.50% to 1.00% on gross assets that exceed 200% of the Company’s total net assets as of the immediately preceding quarter-end.</w:t>
      </w:r>
    </w:p>
    <w:p>
      <w:pPr>
        <w:spacing w:after="0" w:line="107" w:lineRule="exact"/>
        <w:rPr>
          <w:sz w:val="20"/>
          <w:szCs w:val="20"/>
          <w:color w:val="auto"/>
        </w:rPr>
      </w:pPr>
    </w:p>
    <w:p>
      <w:pPr>
        <w:ind w:right="80" w:firstLine="456"/>
        <w:spacing w:after="0" w:line="253" w:lineRule="auto"/>
        <w:rPr>
          <w:sz w:val="20"/>
          <w:szCs w:val="20"/>
          <w:color w:val="auto"/>
        </w:rPr>
      </w:pPr>
      <w:r>
        <w:rPr>
          <w:rFonts w:ascii="Arial" w:cs="Arial" w:eastAsia="Arial" w:hAnsi="Arial"/>
          <w:sz w:val="14"/>
          <w:szCs w:val="14"/>
          <w:color w:val="auto"/>
        </w:rPr>
        <w:t>On January 31, 2019, the Company announced the redemption of $250.0 million outstanding aggregate principal amount of its 2019 Notes due October 1, 2019. The 2019 Notes will be prepaid at 100% of the principal amount, plus accrued and unpaid interest through the payment date of March 4, 2019, as well as a make-whole premium.</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8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6" w:lineRule="exact"/>
        <w:rPr>
          <w:sz w:val="20"/>
          <w:szCs w:val="20"/>
          <w:color w:val="auto"/>
        </w:rPr>
      </w:pPr>
    </w:p>
    <w:p>
      <w:pPr>
        <w:ind w:right="200" w:firstLine="434"/>
        <w:spacing w:after="0" w:line="255" w:lineRule="auto"/>
        <w:rPr>
          <w:sz w:val="20"/>
          <w:szCs w:val="20"/>
          <w:color w:val="auto"/>
        </w:rPr>
      </w:pPr>
      <w:r>
        <w:rPr>
          <w:rFonts w:ascii="Arial" w:cs="Arial" w:eastAsia="Arial" w:hAnsi="Arial"/>
          <w:sz w:val="13"/>
          <w:szCs w:val="13"/>
          <w:color w:val="auto"/>
        </w:rPr>
        <w:t>During both the three months ended December 31, 2018 and 2017, we declared distributions of $0.18 per share, for total distributions of $12.2 million and $12.8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520" w:firstLine="43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right="60"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firstLine="456"/>
        <w:spacing w:after="0" w:line="233" w:lineRule="auto"/>
        <w:rPr>
          <w:sz w:val="20"/>
          <w:szCs w:val="20"/>
          <w:color w:val="auto"/>
        </w:rPr>
      </w:pPr>
      <w:r>
        <w:rPr>
          <w:rFonts w:ascii="Arial" w:cs="Arial" w:eastAsia="Arial" w:hAnsi="Arial"/>
          <w:sz w:val="14"/>
          <w:szCs w:val="14"/>
          <w:color w:val="auto"/>
        </w:rPr>
        <w:t>In August 2018, the FASB issued ASU 2018-13, Fair Value Measurement (Topic 820): Disclosure Framework - Changes to the Disclosure Requirements for Fair Value Measurement, which changes the fair value measurement disclosure requirements of ASC 820. The key provisions include new, eliminated and modified disclosure requirements. The new guidance is effective for fiscal years beginning after December 15, 2019, including interim periods therein. Early application is permitted. The Company is currently evaluating the impact the adoption of this new accounting standard will have on its consolidated financial statements, but the impact of the adoption is not expected to be material.</w:t>
      </w:r>
    </w:p>
    <w:p>
      <w:pPr>
        <w:spacing w:after="0" w:line="117"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4"/>
          <w:szCs w:val="14"/>
          <w:color w:val="auto"/>
        </w:rPr>
        <w:t xml:space="preserve">In August 2018, the SEC issued the Final Rule Release No. 33-10532, </w:t>
      </w:r>
      <w:r>
        <w:rPr>
          <w:rFonts w:ascii="Arial" w:cs="Arial" w:eastAsia="Arial" w:hAnsi="Arial"/>
          <w:sz w:val="14"/>
          <w:szCs w:val="14"/>
          <w:i w:val="1"/>
          <w:iCs w:val="1"/>
          <w:color w:val="auto"/>
        </w:rPr>
        <w:t>Disclosure Update and Simplification</w:t>
      </w:r>
      <w:r>
        <w:rPr>
          <w:rFonts w:ascii="Arial" w:cs="Arial" w:eastAsia="Arial" w:hAnsi="Arial"/>
          <w:sz w:val="14"/>
          <w:szCs w:val="14"/>
          <w:color w:val="auto"/>
        </w:rPr>
        <w:t>, amending certain disclosure requirements that were redundant, duplicative, overlapping, outdated or superseded. The amendments are intended to facilitate the disclosure of information to investors and simplify compliance. The final rule was effective on November 5, 2018. We do not anticipate the impact of this final rule to have a material impact on our consolidated financial statements.</w:t>
      </w:r>
    </w:p>
    <w:p>
      <w:pPr>
        <w:spacing w:after="0" w:line="11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80" w:firstLine="43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2018, our debt portfolio consisted of 90% variable-rate investments and 10%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3" w:name="page34"/>
    <w:bookmarkEnd w:id="33"/>
    <w:p>
      <w:pPr>
        <w:ind w:right="44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(7,515)</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7,515</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15,029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22,544</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30,066</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0" w:firstLine="43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300"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2018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right="160"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240"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2018,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Recently passed legislation will allow us to incur additional leverage.</w:t>
      </w:r>
    </w:p>
    <w:p>
      <w:pPr>
        <w:spacing w:after="0" w:line="136" w:lineRule="exact"/>
        <w:rPr>
          <w:sz w:val="20"/>
          <w:szCs w:val="20"/>
          <w:color w:val="auto"/>
        </w:rPr>
      </w:pPr>
    </w:p>
    <w:p>
      <w:pPr>
        <w:ind w:right="100" w:firstLine="483"/>
        <w:spacing w:after="0" w:line="245"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If we comply with the applicable disclosure requirements, we will be able to incur additional indebtedness, which may increase the risk of investing in us.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have been reduced from 1.50% to 1.00% on gross assets that exceed 200% of the Company’s total net assets as of the immediately preceding quarter-end.</w:t>
      </w:r>
    </w:p>
    <w:p>
      <w:pPr>
        <w:spacing w:after="0" w:line="116" w:lineRule="exact"/>
        <w:rPr>
          <w:sz w:val="20"/>
          <w:szCs w:val="20"/>
          <w:color w:val="auto"/>
        </w:rPr>
      </w:pPr>
    </w:p>
    <w:p>
      <w:pPr>
        <w:ind w:right="340" w:firstLine="483"/>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ind w:right="80" w:firstLine="483"/>
        <w:spacing w:after="0" w:line="238" w:lineRule="auto"/>
        <w:rPr>
          <w:sz w:val="20"/>
          <w:szCs w:val="20"/>
          <w:color w:val="auto"/>
        </w:rPr>
      </w:pPr>
      <w:r>
        <w:rPr>
          <w:rFonts w:ascii="Arial" w:cs="Arial" w:eastAsia="Arial" w:hAnsi="Arial"/>
          <w:sz w:val="14"/>
          <w:szCs w:val="14"/>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20" w:firstLine="483"/>
        <w:spacing w:after="0" w:line="231" w:lineRule="auto"/>
        <w:rPr>
          <w:sz w:val="20"/>
          <w:szCs w:val="20"/>
          <w:color w:val="auto"/>
        </w:rPr>
      </w:pPr>
      <w:r>
        <w:rPr>
          <w:rFonts w:ascii="Arial" w:cs="Arial" w:eastAsia="Arial" w:hAnsi="Arial"/>
          <w:sz w:val="14"/>
          <w:szCs w:val="14"/>
          <w:color w:val="auto"/>
        </w:rPr>
        <w:t>As a BDC, we are required to meet a 200% asset coverage ratio up to February 5, 2019 and 150% thereafter, subject to certain disclosure requirements,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6" w:lineRule="exact"/>
        <w:rPr>
          <w:sz w:val="20"/>
          <w:szCs w:val="20"/>
          <w:color w:val="auto"/>
        </w:rPr>
      </w:pPr>
    </w:p>
    <w:p>
      <w:pPr>
        <w:ind w:right="20" w:firstLine="483"/>
        <w:spacing w:after="0" w:line="233" w:lineRule="auto"/>
        <w:rPr>
          <w:sz w:val="20"/>
          <w:szCs w:val="20"/>
          <w:color w:val="auto"/>
        </w:rPr>
      </w:pPr>
      <w:r>
        <w:rPr>
          <w:rFonts w:ascii="Arial" w:cs="Arial" w:eastAsia="Arial" w:hAnsi="Arial"/>
          <w:sz w:val="14"/>
          <w:szCs w:val="14"/>
          <w:color w:val="auto"/>
        </w:rPr>
        <w:t>We are partially dependent on our SBIC Funds for cash distributions to enable us to meet the RIC distribution requirements. Our SBIC Funds may be limited by the SBA regulations governing SBICs from making certain distributions to us that may be necessary to fulfill our requirements to be treated as a RIC for federal income tax purposes. We may have to request a waiver of the SBA’s restrictions for our SBIC Funds to make certain distributions to enable us to be subject to tax as a RIC. We cannot assure you that the SBA will grant such waiver, and if our SBIC Funds are unable to obtain a waiver, compliance with the SBA regulations may cause us to incur a corporate-level income tax.</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firstLine="483"/>
        <w:spacing w:after="0" w:line="243" w:lineRule="auto"/>
        <w:rPr>
          <w:sz w:val="20"/>
          <w:szCs w:val="20"/>
          <w:color w:val="auto"/>
        </w:rPr>
      </w:pPr>
      <w:r>
        <w:rPr>
          <w:rFonts w:ascii="Arial" w:cs="Arial" w:eastAsia="Arial" w:hAnsi="Arial"/>
          <w:sz w:val="13"/>
          <w:szCs w:val="13"/>
          <w:color w:val="auto"/>
        </w:rPr>
        <w:t>We have indebtedness outstanding pursuant to our 2019 Notes, Credit Facility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7" w:lineRule="exact"/>
        <w:rPr>
          <w:sz w:val="20"/>
          <w:szCs w:val="20"/>
          <w:color w:val="auto"/>
        </w:rPr>
      </w:pPr>
    </w:p>
    <w:p>
      <w:pPr>
        <w:ind w:right="40" w:firstLine="483"/>
        <w:spacing w:after="0" w:line="226" w:lineRule="auto"/>
        <w:rPr>
          <w:sz w:val="20"/>
          <w:szCs w:val="20"/>
          <w:color w:val="auto"/>
        </w:rPr>
      </w:pPr>
      <w:r>
        <w:rPr>
          <w:rFonts w:ascii="Arial" w:cs="Arial" w:eastAsia="Arial" w:hAnsi="Arial"/>
          <w:sz w:val="14"/>
          <w:szCs w:val="14"/>
          <w:color w:val="auto"/>
        </w:rPr>
        <w:t>Up to February 5, 2019, we are not permitted to incur indebtedness unless immediately after such borrowing we have an asset coverage for total borrowings of at least 200% (i.e., the amount of debt may not exceed 50% of the value of our assets). In addition, through such date we may not be permitted to declare any cash distribution on our outstanding common shares, or purchase any such shares, unless, at the time of such declaration or purchase, we have asset coverage of at least 200% after deducting the amount of such distribution or purchase price. If this ratio declines below 200% before February 5, 2019, we may not be able to incur additional debt and may need to sell a portion of our investments to repay some debt when it is disadvantageous to do so, and we may not be able to make distributions. The SBCAA, which was signed into law in March 2018, modifies this section of the 1940 Act and decreases this percentage from 200% to 150% (subject to either stockholder approval or approval of both a majority of the board of directors and a majority of directors who are not interested persons). On November 13, 2018 and February 5, 2019, our board of directors and our stockholders, respectively, approved such reduction. As a result, the asset coverage requirements applicable to us for senior securities will be reduced from 200% to 150%, subject to compliance with certain disclosure requirements. As of such date, we will be able to incur additional indebtedness as a result of this new law and therefore, your risk of an investment in us may increase.</w:t>
      </w:r>
    </w:p>
    <w:p>
      <w:pPr>
        <w:spacing w:after="0" w:line="121" w:lineRule="exact"/>
        <w:rPr>
          <w:sz w:val="20"/>
          <w:szCs w:val="20"/>
          <w:color w:val="auto"/>
        </w:rPr>
      </w:pPr>
    </w:p>
    <w:p>
      <w:pPr>
        <w:ind w:right="120" w:firstLine="483"/>
        <w:spacing w:after="0" w:line="238" w:lineRule="auto"/>
        <w:rPr>
          <w:sz w:val="20"/>
          <w:szCs w:val="20"/>
          <w:color w:val="auto"/>
        </w:rPr>
      </w:pPr>
      <w:r>
        <w:rPr>
          <w:rFonts w:ascii="Arial" w:cs="Arial" w:eastAsia="Arial" w:hAnsi="Arial"/>
          <w:sz w:val="14"/>
          <w:szCs w:val="14"/>
          <w:color w:val="auto"/>
        </w:rPr>
        <w:t>As of December 31, 2018 and September 30, 2018, our asset coverage ratio, as computed in accordance with the 1940 Act, was 248% and 291%, respectively. Since our leverage, including SBA debentures outstanding, was 91% and 80% of our net assets as of December 31, 2018 and September 30, 2018, respectively, we would have to receive an annual return of at least 1.98% and 1.75%, respectively, to cover annual interest payments.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ind w:right="140" w:firstLine="483"/>
        <w:spacing w:after="0" w:line="229" w:lineRule="auto"/>
        <w:rPr>
          <w:sz w:val="20"/>
          <w:szCs w:val="20"/>
          <w:color w:val="auto"/>
        </w:rPr>
      </w:pPr>
      <w:r>
        <w:rPr>
          <w:rFonts w:ascii="Arial" w:cs="Arial" w:eastAsia="Arial" w:hAnsi="Arial"/>
          <w:sz w:val="14"/>
          <w:szCs w:val="14"/>
          <w:color w:val="auto"/>
        </w:rPr>
        <w:t>As of December 31, 2018, we had outstanding borrowings of $174.1 million under our Credit Facility, $250.0 million outstanding under our 2019 Notes and $150.0 million outstanding under the SBA debentures. Our consolidated debt outstanding was $574.1 million and had a weighted average annual interest rate at the time of 4.10%, exclusive of the fee on undrawn commitment on our Credit Facility and 3.43% of upfront fees on the SBA debentures. To cover the annual interest on our borrowings of $574.1 million outstanding as of December 31, 2018, at the weighted average annual rate of 4.10%, we would have to receive an annual yield of at least 1.98%.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18" w:lineRule="exact"/>
        <w:rPr>
          <w:sz w:val="20"/>
          <w:szCs w:val="20"/>
          <w:color w:val="auto"/>
        </w:rPr>
      </w:pPr>
    </w:p>
    <w:p>
      <w:pPr>
        <w:ind w:right="120" w:firstLine="483"/>
        <w:spacing w:after="0" w:line="231" w:lineRule="auto"/>
        <w:rPr>
          <w:sz w:val="20"/>
          <w:szCs w:val="20"/>
          <w:color w:val="auto"/>
        </w:rPr>
      </w:pPr>
      <w:r>
        <w:rPr>
          <w:rFonts w:ascii="Arial" w:cs="Arial" w:eastAsia="Arial" w:hAnsi="Arial"/>
          <w:sz w:val="14"/>
          <w:szCs w:val="14"/>
          <w:color w:val="auto"/>
        </w:rPr>
        <w:t>The following table is designed to illustrate the effect on the return to a holder of our common stock of the leverage created by our use of borrowing as of December 31, 2018 of 46% of total assets (including such borrowed funds), at the current interest rate at the time of 4.10%,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Assumed return on portfolio (net of expenses) </w:t>
            </w:r>
            <w:r>
              <w:rPr>
                <w:rFonts w:ascii="Arial" w:cs="Arial" w:eastAsia="Arial" w:hAnsi="Arial"/>
                <w:sz w:val="12"/>
                <w:szCs w:val="12"/>
                <w:color w:val="auto"/>
              </w:rPr>
              <w:t>(1)</w:t>
            </w:r>
          </w:p>
        </w:tc>
        <w:tc>
          <w:tcPr>
            <w:tcW w:w="139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39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90" w:type="dxa"/>
            <w:vAlign w:val="bottom"/>
            <w:shd w:val="clear" w:color="auto" w:fill="CCECFF"/>
          </w:tcPr>
          <w:p>
            <w:pPr>
              <w:jc w:val="right"/>
              <w:spacing w:after="0"/>
              <w:rPr>
                <w:sz w:val="20"/>
                <w:szCs w:val="20"/>
                <w:color w:val="auto"/>
              </w:rPr>
            </w:pPr>
            <w:r>
              <w:rPr>
                <w:rFonts w:ascii="Arial" w:cs="Arial" w:eastAsia="Arial" w:hAnsi="Arial"/>
                <w:sz w:val="14"/>
                <w:szCs w:val="14"/>
                <w:color w:val="auto"/>
                <w:w w:val="81"/>
                <w:shd w:val="clear" w:color="auto" w:fill="CCECFF"/>
              </w:rPr>
              <w:t>)%</w:t>
            </w:r>
          </w:p>
        </w:tc>
        <w:tc>
          <w:tcPr>
            <w:tcW w:w="141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7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9"/>
                <w:shd w:val="clear" w:color="auto" w:fill="CCECFF"/>
              </w:rPr>
              <w:t>%</w:t>
            </w:r>
          </w:p>
        </w:tc>
      </w:tr>
      <w:tr>
        <w:trPr>
          <w:trHeight w:val="182"/>
        </w:trPr>
        <w:tc>
          <w:tcPr>
            <w:tcW w:w="3400" w:type="dxa"/>
            <w:vAlign w:val="bottom"/>
          </w:tcPr>
          <w:p>
            <w:pPr>
              <w:spacing w:after="0"/>
              <w:rPr>
                <w:sz w:val="20"/>
                <w:szCs w:val="20"/>
                <w:color w:val="auto"/>
              </w:rPr>
            </w:pPr>
            <w:r>
              <w:rPr>
                <w:rFonts w:ascii="Arial" w:cs="Arial" w:eastAsia="Arial" w:hAnsi="Arial"/>
                <w:sz w:val="14"/>
                <w:szCs w:val="14"/>
                <w:color w:val="auto"/>
              </w:rPr>
              <w:t xml:space="preserve">Corresponding return to common stockholders </w:t>
            </w:r>
            <w:r>
              <w:rPr>
                <w:rFonts w:ascii="Arial" w:cs="Arial" w:eastAsia="Arial" w:hAnsi="Arial"/>
                <w:sz w:val="12"/>
                <w:szCs w:val="12"/>
                <w:color w:val="auto"/>
              </w:rPr>
              <w:t>(2)</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(23.7)%</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(13.7)%</w:t>
            </w: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16.0%</w:t>
            </w:r>
          </w:p>
        </w:tc>
      </w:tr>
    </w:tbl>
    <w:p>
      <w:pPr>
        <w:spacing w:after="0" w:line="123"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3"/>
          <w:szCs w:val="13"/>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360" w:right="240" w:hanging="352"/>
        <w:spacing w:after="0" w:line="255" w:lineRule="auto"/>
        <w:tabs>
          <w:tab w:leader="none" w:pos="360" w:val="left"/>
        </w:tabs>
        <w:numPr>
          <w:ilvl w:val="0"/>
          <w:numId w:val="26"/>
        </w:numPr>
        <w:rPr>
          <w:rFonts w:ascii="Arial" w:cs="Arial" w:eastAsia="Arial" w:hAnsi="Arial"/>
          <w:sz w:val="12"/>
          <w:szCs w:val="12"/>
          <w:color w:val="auto"/>
        </w:rPr>
      </w:pPr>
      <w:r>
        <w:rPr>
          <w:rFonts w:ascii="Arial" w:cs="Arial" w:eastAsia="Arial" w:hAnsi="Arial"/>
          <w:sz w:val="13"/>
          <w:szCs w:val="13"/>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14"/>
          <w:szCs w:val="14"/>
          <w:color w:val="auto"/>
        </w:rPr>
        <w:t>Repurchases of our common stock under our share repurchase program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380" w:type="dxa"/>
            <w:vAlign w:val="bottom"/>
            <w:gridSpan w:val="3"/>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5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Average Price per Share</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22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71"/>
        </w:trPr>
        <w:tc>
          <w:tcPr>
            <w:tcW w:w="3380" w:type="dxa"/>
            <w:vAlign w:val="bottom"/>
            <w:gridSpan w:val="3"/>
            <w:vMerge w:val="continue"/>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1980" w:type="dxa"/>
            <w:vAlign w:val="bottom"/>
            <w:gridSpan w:val="4"/>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56"/>
        </w:trPr>
        <w:tc>
          <w:tcPr>
            <w:tcW w:w="32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October 1, 2018 through October 31, 2018</w:t>
            </w:r>
          </w:p>
        </w:tc>
        <w:tc>
          <w:tcPr>
            <w:tcW w:w="180" w:type="dxa"/>
            <w:vAlign w:val="bottom"/>
            <w:tcBorders>
              <w:top w:val="single" w:sz="8" w:color="CCECFF"/>
            </w:tcBorders>
            <w:shd w:val="clear" w:color="auto" w:fill="CCECFF"/>
          </w:tcPr>
          <w:p>
            <w:pPr>
              <w:spacing w:after="0"/>
              <w:rPr>
                <w:sz w:val="13"/>
                <w:szCs w:val="13"/>
                <w:color w:val="auto"/>
              </w:rPr>
            </w:pP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ind w:left="80"/>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CFF"/>
          </w:tcPr>
          <w:p>
            <w:pPr>
              <w:ind w:left="640"/>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7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8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80" w:type="dxa"/>
            <w:vAlign w:val="bottom"/>
            <w:gridSpan w:val="3"/>
          </w:tcPr>
          <w:p>
            <w:pPr>
              <w:spacing w:after="0"/>
              <w:rPr>
                <w:sz w:val="20"/>
                <w:szCs w:val="20"/>
                <w:color w:val="auto"/>
              </w:rPr>
            </w:pPr>
            <w:r>
              <w:rPr>
                <w:rFonts w:ascii="Arial" w:cs="Arial" w:eastAsia="Arial" w:hAnsi="Arial"/>
                <w:sz w:val="14"/>
                <w:szCs w:val="14"/>
                <w:color w:val="auto"/>
              </w:rPr>
              <w:t>November 1, 2018 through November 30, 2018</w:t>
            </w:r>
          </w:p>
        </w:tc>
        <w:tc>
          <w:tcPr>
            <w:tcW w:w="1520" w:type="dxa"/>
            <w:vAlign w:val="bottom"/>
          </w:tcPr>
          <w:p>
            <w:pPr>
              <w:jc w:val="right"/>
              <w:spacing w:after="0"/>
              <w:rPr>
                <w:sz w:val="20"/>
                <w:szCs w:val="20"/>
                <w:color w:val="auto"/>
              </w:rPr>
            </w:pPr>
            <w:r>
              <w:rPr>
                <w:rFonts w:ascii="Arial" w:cs="Arial" w:eastAsia="Arial" w:hAnsi="Arial"/>
                <w:sz w:val="14"/>
                <w:szCs w:val="14"/>
                <w:color w:val="auto"/>
              </w:rPr>
              <w:t>464,543</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ind w:left="640"/>
              <w:spacing w:after="0"/>
              <w:rPr>
                <w:sz w:val="20"/>
                <w:szCs w:val="20"/>
                <w:color w:val="auto"/>
              </w:rPr>
            </w:pPr>
            <w:r>
              <w:rPr>
                <w:rFonts w:ascii="Arial" w:cs="Arial" w:eastAsia="Arial" w:hAnsi="Arial"/>
                <w:sz w:val="14"/>
                <w:szCs w:val="14"/>
                <w:color w:val="auto"/>
                <w:w w:val="87"/>
              </w:rPr>
              <w:t>7.33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464,543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December 1, 2018 through December 31, 2018</w:t>
            </w:r>
          </w:p>
        </w:tc>
        <w:tc>
          <w:tcPr>
            <w:tcW w:w="15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28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900" w:type="dxa"/>
            <w:vAlign w:val="bottom"/>
            <w:shd w:val="clear" w:color="auto" w:fill="CCECFF"/>
          </w:tcPr>
          <w:p>
            <w:pPr>
              <w:ind w:left="640"/>
              <w:spacing w:after="0"/>
              <w:rPr>
                <w:sz w:val="20"/>
                <w:szCs w:val="20"/>
                <w:color w:val="auto"/>
              </w:rPr>
            </w:pPr>
            <w:r>
              <w:rPr>
                <w:rFonts w:ascii="Arial" w:cs="Arial" w:eastAsia="Arial" w:hAnsi="Arial"/>
                <w:sz w:val="14"/>
                <w:szCs w:val="14"/>
                <w:color w:val="auto"/>
                <w:w w:val="87"/>
              </w:rPr>
              <w:t>7.28</w:t>
            </w:r>
          </w:p>
        </w:tc>
        <w:tc>
          <w:tcPr>
            <w:tcW w:w="10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561,878</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gridSpan w:val="3"/>
          </w:tcPr>
          <w:p>
            <w:pPr>
              <w:spacing w:after="0" w:line="155" w:lineRule="exact"/>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1,026,421</w:t>
            </w: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1,026,421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380" w:hanging="372"/>
        <w:spacing w:after="0" w:line="253"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On May 9, 2018, we announced a share repurchase program which allows us to repurchase up to $30.0 million of our outstanding common stock. Unless extended by our board of directors, the program will expire on the earlier of May 9, 2019 and the repurchase of $30.0 million of common stock.</w:t>
      </w:r>
    </w:p>
    <w:p>
      <w:pPr>
        <w:spacing w:after="0" w:line="10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84"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58">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60"/>
        <w:spacing w:after="0"/>
        <w:rPr>
          <w:rFonts w:ascii="Arial" w:cs="Arial" w:eastAsia="Arial" w:hAnsi="Arial"/>
          <w:sz w:val="14"/>
          <w:szCs w:val="14"/>
          <w:u w:val="single" w:color="auto"/>
          <w:color w:val="0000EE"/>
        </w:rPr>
      </w:pPr>
      <w:hyperlink r:id="rId58">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560" w:right="680" w:hanging="552"/>
        <w:spacing w:after="0" w:line="253"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59">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59">
        <w:r>
          <w:rPr>
            <w:rFonts w:ascii="Arial" w:cs="Arial" w:eastAsia="Arial" w:hAnsi="Arial"/>
            <w:sz w:val="14"/>
            <w:szCs w:val="14"/>
            <w:u w:val="single" w:color="auto"/>
            <w:color w:val="0000EE"/>
          </w:rPr>
          <w:t>December 2, 2015).</w:t>
        </w:r>
      </w:hyperlink>
    </w:p>
    <w:p>
      <w:pPr>
        <w:spacing w:after="0" w:line="10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60">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39">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3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40">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41">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42">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61">
        <w:r>
          <w:rPr>
            <w:rFonts w:ascii="Arial" w:cs="Arial" w:eastAsia="Arial" w:hAnsi="Arial"/>
            <w:sz w:val="13"/>
            <w:szCs w:val="13"/>
            <w:u w:val="single" w:color="auto"/>
            <w:color w:val="0000EE"/>
          </w:rPr>
          <w:t>Privacy Policy of the Registrant (Incorporated by reference to Exhibit 99.1 to the Registrant’s Annual Report on Form 10-K (File No. 814-00736), filed on November 16, 2011)</w:t>
        </w:r>
        <w:r>
          <w:rPr>
            <w:rFonts w:ascii="Arial" w:cs="Arial" w:eastAsia="Arial" w:hAnsi="Arial"/>
            <w:sz w:val="13"/>
            <w:szCs w:val="13"/>
            <w:color w:val="0000EE"/>
          </w:rPr>
          <w:t>.</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3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37" w:name="page38"/>
    <w:bookmarkEnd w:id="37"/>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640" w:type="dxa"/>
        <w:tblCellMar>
          <w:top w:w="0" w:type="dxa"/>
          <w:left w:w="0" w:type="dxa"/>
          <w:bottom w:w="0" w:type="dxa"/>
          <w:right w:w="0" w:type="dxa"/>
        </w:tblCellMar>
      </w:tblPr>
      <w:tr>
        <w:trPr>
          <w:trHeight w:val="182"/>
        </w:trPr>
        <w:tc>
          <w:tcPr>
            <w:tcW w:w="2980" w:type="dxa"/>
            <w:vAlign w:val="bottom"/>
          </w:tcPr>
          <w:p>
            <w:pPr>
              <w:spacing w:after="0"/>
              <w:rPr>
                <w:sz w:val="20"/>
                <w:szCs w:val="20"/>
                <w:color w:val="auto"/>
              </w:rPr>
            </w:pPr>
            <w:r>
              <w:rPr>
                <w:rFonts w:ascii="Arial" w:cs="Arial" w:eastAsia="Arial" w:hAnsi="Arial"/>
                <w:sz w:val="14"/>
                <w:szCs w:val="14"/>
                <w:color w:val="auto"/>
              </w:rPr>
              <w:t>Date: February 7, 2019</w:t>
            </w:r>
          </w:p>
        </w:tc>
        <w:tc>
          <w:tcPr>
            <w:tcW w:w="1860" w:type="dxa"/>
            <w:vAlign w:val="bottom"/>
            <w:vMerge w:val="restart"/>
          </w:tcPr>
          <w:p>
            <w:pPr>
              <w:ind w:left="164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2980" w:type="dxa"/>
            <w:vAlign w:val="bottom"/>
          </w:tcPr>
          <w:p>
            <w:pPr>
              <w:spacing w:after="0"/>
              <w:rPr>
                <w:sz w:val="20"/>
                <w:szCs w:val="20"/>
                <w:color w:val="auto"/>
              </w:rPr>
            </w:pPr>
            <w:r>
              <w:rPr>
                <w:rFonts w:ascii="Arial" w:cs="Arial" w:eastAsia="Arial" w:hAnsi="Arial"/>
                <w:sz w:val="14"/>
                <w:szCs w:val="14"/>
                <w:color w:val="auto"/>
              </w:rPr>
              <w:t>Date: February 7, 2019</w:t>
            </w:r>
          </w:p>
        </w:tc>
        <w:tc>
          <w:tcPr>
            <w:tcW w:w="1860" w:type="dxa"/>
            <w:vAlign w:val="bottom"/>
            <w:vMerge w:val="restart"/>
          </w:tcPr>
          <w:p>
            <w:pPr>
              <w:ind w:left="164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298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460" w:right="1480" w:hanging="1376"/>
        <w:spacing w:after="0" w:line="473" w:lineRule="auto"/>
        <w:rPr>
          <w:sz w:val="20"/>
          <w:szCs w:val="20"/>
          <w:color w:val="auto"/>
        </w:rPr>
      </w:pPr>
      <w:r>
        <w:rPr>
          <w:rFonts w:ascii="Arial" w:cs="Arial" w:eastAsia="Arial" w:hAnsi="Arial"/>
          <w:sz w:val="13"/>
          <w:szCs w:val="13"/>
          <w:color w:val="auto"/>
        </w:rPr>
        <w:t>PENNANTPARK INVESTMENT CORPORATION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-19050</wp:posOffset>
            </wp:positionV>
            <wp:extent cx="29057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3810</wp:posOffset>
            </wp:positionV>
            <wp:extent cx="2905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620" w:space="720"/>
            <w:col w:w="4600"/>
          </w:cols>
          <w:pgMar w:left="320" w:top="333" w:right="639" w:bottom="1440" w:gutter="0" w:footer="0" w:header="0"/>
          <w:type w:val="continuous"/>
        </w:sect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940"/>
          </w:cols>
          <w:pgMar w:left="320" w:top="333" w:right="6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28"/>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2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2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7, 2019</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39" w:name="page40"/>
    <w:bookmarkEnd w:id="39"/>
    <w:p>
      <w:pPr>
        <w:ind w:left="9960"/>
        <w:spacing w:after="0"/>
        <w:rPr>
          <w:sz w:val="20"/>
          <w:szCs w:val="20"/>
          <w:color w:val="auto"/>
        </w:rPr>
      </w:pPr>
      <w:r>
        <w:rPr>
          <w:rFonts w:ascii="Arial" w:cs="Arial" w:eastAsia="Arial" w:hAnsi="Arial"/>
          <w:sz w:val="14"/>
          <w:szCs w:val="14"/>
          <w:b w:val="1"/>
          <w:bCs w:val="1"/>
          <w:color w:val="auto"/>
        </w:rPr>
        <w:t>EXHIBIT 31.2</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31"/>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380" w:firstLine="441"/>
        <w:spacing w:after="0" w:line="313" w:lineRule="auto"/>
        <w:tabs>
          <w:tab w:leader="none" w:pos="577"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480" w:firstLine="448"/>
        <w:spacing w:after="0" w:line="253" w:lineRule="auto"/>
        <w:tabs>
          <w:tab w:leader="none" w:pos="584" w:val="left"/>
        </w:tabs>
        <w:numPr>
          <w:ilvl w:val="0"/>
          <w:numId w:val="3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340" w:firstLine="695"/>
        <w:spacing w:after="0" w:line="405" w:lineRule="auto"/>
        <w:tabs>
          <w:tab w:leader="none" w:pos="832" w:val="left"/>
        </w:tabs>
        <w:numPr>
          <w:ilvl w:val="2"/>
          <w:numId w:val="3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520" w:firstLine="692"/>
        <w:spacing w:after="0" w:line="405" w:lineRule="auto"/>
        <w:tabs>
          <w:tab w:leader="none" w:pos="838" w:val="left"/>
        </w:tabs>
        <w:numPr>
          <w:ilvl w:val="2"/>
          <w:numId w:val="3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240" w:firstLine="719"/>
        <w:spacing w:after="0" w:line="313" w:lineRule="auto"/>
        <w:tabs>
          <w:tab w:leader="none" w:pos="856" w:val="left"/>
        </w:tabs>
        <w:numPr>
          <w:ilvl w:val="3"/>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380" w:firstLine="705"/>
        <w:spacing w:after="0" w:line="355" w:lineRule="auto"/>
        <w:tabs>
          <w:tab w:leader="none" w:pos="850" w:val="left"/>
        </w:tabs>
        <w:numPr>
          <w:ilvl w:val="3"/>
          <w:numId w:val="3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7"/>
        <w:spacing w:after="0" w:line="313" w:lineRule="auto"/>
        <w:tabs>
          <w:tab w:leader="none" w:pos="583"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firstLine="719"/>
        <w:spacing w:after="0" w:line="313" w:lineRule="auto"/>
        <w:tabs>
          <w:tab w:leader="none" w:pos="856" w:val="left"/>
        </w:tabs>
        <w:numPr>
          <w:ilvl w:val="3"/>
          <w:numId w:val="3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7, 2019</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140"/>
          </w:cols>
          <w:pgMar w:left="320" w:top="118" w:right="4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b w:val="1"/>
          <w:bCs w:val="1"/>
          <w:color w:val="auto"/>
        </w:rPr>
        <w:t>EXHIBIT 32.1</w:t>
      </w:r>
    </w:p>
    <w:p>
      <w:pPr>
        <w:spacing w:after="0" w:line="258"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5"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1" w:lineRule="exact"/>
        <w:rPr>
          <w:sz w:val="20"/>
          <w:szCs w:val="20"/>
          <w:color w:val="auto"/>
        </w:rPr>
      </w:pPr>
    </w:p>
    <w:p>
      <w:pPr>
        <w:ind w:left="120" w:right="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2018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February 7, 2019</w:t>
      </w:r>
    </w:p>
    <w:p>
      <w:pPr>
        <w:sectPr>
          <w:pgSz w:w="11900" w:h="16838" w:orient="portrait"/>
          <w:cols w:equalWidth="0" w:num="1">
            <w:col w:w="10840"/>
          </w:cols>
          <w:pgMar w:left="320" w:top="130" w:right="739" w:bottom="1440" w:gutter="0" w:footer="0" w:header="0"/>
        </w:sectPr>
      </w:pPr>
    </w:p>
    <w:bookmarkStart w:id="41" w:name="page42"/>
    <w:bookmarkEnd w:id="41"/>
    <w:p>
      <w:pPr>
        <w:jc w:val="right"/>
        <w:spacing w:after="0"/>
        <w:rPr>
          <w:sz w:val="20"/>
          <w:szCs w:val="20"/>
          <w:color w:val="auto"/>
        </w:rPr>
      </w:pPr>
      <w:r>
        <w:rPr>
          <w:rFonts w:ascii="Arial" w:cs="Arial" w:eastAsia="Arial" w:hAnsi="Arial"/>
          <w:sz w:val="14"/>
          <w:szCs w:val="14"/>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months ended December 31, 2018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February 7, 2019</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lowerLetter"/>
      <w:start w:val="2"/>
    </w:lvl>
  </w:abstractNum>
  <w:abstractNum w:abstractNumId="7">
    <w:nsid w:val="333AB105"/>
    <w:multiLevelType w:val="hybridMultilevel"/>
    <w:lvl w:ilvl="0">
      <w:lvlJc w:val="left"/>
      <w:lvlText w:val="(%1)"/>
      <w:numFmt w:val="lowerLetter"/>
      <w:start w:val="3"/>
    </w:lvl>
  </w:abstractNum>
  <w:abstractNum w:abstractNumId="8">
    <w:nsid w:val="721DA317"/>
    <w:multiLevelType w:val="hybridMultilevel"/>
    <w:lvl w:ilvl="0">
      <w:lvlJc w:val="left"/>
      <w:lvlText w:val="(%1)"/>
      <w:numFmt w:val="lowerLetter"/>
      <w:start w:val="4"/>
    </w:lvl>
  </w:abstractNum>
  <w:abstractNum w:abstractNumId="9">
    <w:nsid w:val="2443A858"/>
    <w:multiLevelType w:val="hybridMultilevel"/>
    <w:lvl w:ilvl="0">
      <w:lvlJc w:val="left"/>
      <w:lvlText w:val="(%1)"/>
      <w:numFmt w:val="lowerLetter"/>
      <w:start w:val="5"/>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lowerLetter"/>
      <w:start w:val="6"/>
    </w:lvl>
  </w:abstractNum>
  <w:abstractNum w:abstractNumId="12">
    <w:nsid w:val="75A2A8D4"/>
    <w:multiLevelType w:val="hybridMultilevel"/>
    <w:lvl w:ilvl="0">
      <w:lvlJc w:val="left"/>
      <w:lvlText w:val="(%1)"/>
      <w:numFmt w:val="lowerLetter"/>
      <w:start w:val="7"/>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lvl w:ilvl="1">
      <w:lvlJc w:val="left"/>
      <w:lvlText w:val="(%2)"/>
      <w:numFmt w:val="decimal"/>
      <w:start w:val="1"/>
    </w:lvl>
  </w:abstractNum>
  <w:abstractNum w:abstractNumId="18">
    <w:nsid w:val="54E49EB4"/>
    <w:multiLevelType w:val="hybridMultilevel"/>
    <w:lvl w:ilvl="0">
      <w:lvlJc w:val="left"/>
      <w:lvlText w:val="%1."/>
      <w:numFmt w:val="decimal"/>
      <w:start w:val="13"/>
    </w:lvl>
    <w:lvl w:ilvl="1">
      <w:lvlJc w:val="left"/>
      <w:lvlText w:val="%2"/>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8">
    <w:nsid w:val="6CEAF087"/>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29">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
    <w:nsid w:val="4516D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1">
    <w:nsid w:val="3006C83E"/>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2">
    <w:nsid w:val="614FD4A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58" Type="http://schemas.openxmlformats.org/officeDocument/2006/relationships/hyperlink" Target="http://www.sec.gov/Archives/edgar/data/1383414/000119312507075646/dex99a.htm" TargetMode="External"/><Relationship Id="rId59" Type="http://schemas.openxmlformats.org/officeDocument/2006/relationships/hyperlink" Target="http://www.sec.gov/Archives/edgar/data/1383414/000119312515393210/d59522dex31.htm" TargetMode="External"/><Relationship Id="rId60" Type="http://schemas.openxmlformats.org/officeDocument/2006/relationships/hyperlink" Target="http://www.sec.gov/Archives/edgar/data/1383414/000119312508072557/dex99d1.htm" TargetMode="External"/><Relationship Id="rId61"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2020-05-05T15:15:28Z</dcterms:created>
  <dcterms:modified xsi:type="dcterms:W3CDTF">2020-05-05T15:15:28Z</dcterms:modified>
</cp:coreProperties>
</file>