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193675</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203835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(Amendment No. 1)</w:t>
      </w:r>
    </w:p>
    <w:p>
      <w:pPr>
        <w:spacing w:after="0" w:line="170"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Date of Report (Date of earliest event reported) February 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191135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PennantPark Investment Corporation</w:t>
      </w:r>
    </w:p>
    <w:p>
      <w:pPr>
        <w:spacing w:after="0" w:line="5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190500</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900" w:type="dxa"/>
        <w:tblCellMar>
          <w:top w:w="0" w:type="dxa"/>
          <w:left w:w="0" w:type="dxa"/>
          <w:bottom w:w="0" w:type="dxa"/>
          <w:right w:w="0" w:type="dxa"/>
        </w:tblCellMar>
      </w:tblPr>
      <w:tr>
        <w:trPr>
          <w:trHeight w:val="218"/>
        </w:trPr>
        <w:tc>
          <w:tcPr>
            <w:tcW w:w="3400" w:type="dxa"/>
            <w:vAlign w:val="bottom"/>
          </w:tcPr>
          <w:p>
            <w:pPr>
              <w:jc w:val="center"/>
              <w:ind w:right="1784"/>
              <w:spacing w:after="0"/>
              <w:rPr>
                <w:sz w:val="20"/>
                <w:szCs w:val="20"/>
                <w:color w:val="auto"/>
              </w:rPr>
            </w:pPr>
            <w:r>
              <w:rPr>
                <w:rFonts w:ascii="Arial" w:cs="Arial" w:eastAsia="Arial" w:hAnsi="Arial"/>
                <w:sz w:val="18"/>
                <w:szCs w:val="18"/>
                <w:b w:val="1"/>
                <w:bCs w:val="1"/>
                <w:color w:val="auto"/>
                <w:w w:val="93"/>
              </w:rPr>
              <w:t>Maryland</w:t>
            </w:r>
          </w:p>
        </w:tc>
        <w:tc>
          <w:tcPr>
            <w:tcW w:w="1840" w:type="dxa"/>
            <w:vAlign w:val="bottom"/>
          </w:tcPr>
          <w:p>
            <w:pPr>
              <w:ind w:left="60"/>
              <w:spacing w:after="0"/>
              <w:rPr>
                <w:sz w:val="20"/>
                <w:szCs w:val="20"/>
                <w:color w:val="auto"/>
              </w:rPr>
            </w:pPr>
            <w:r>
              <w:rPr>
                <w:rFonts w:ascii="Arial" w:cs="Arial" w:eastAsia="Arial" w:hAnsi="Arial"/>
                <w:sz w:val="18"/>
                <w:szCs w:val="18"/>
                <w:b w:val="1"/>
                <w:bCs w:val="1"/>
                <w:color w:val="auto"/>
              </w:rPr>
              <w:t>814-00736</w:t>
            </w:r>
          </w:p>
        </w:tc>
        <w:tc>
          <w:tcPr>
            <w:tcW w:w="2080" w:type="dxa"/>
            <w:vAlign w:val="bottom"/>
          </w:tcPr>
          <w:p>
            <w:pPr>
              <w:jc w:val="right"/>
              <w:ind w:right="44"/>
              <w:spacing w:after="0"/>
              <w:rPr>
                <w:sz w:val="20"/>
                <w:szCs w:val="20"/>
                <w:color w:val="auto"/>
              </w:rPr>
            </w:pPr>
            <w:r>
              <w:rPr>
                <w:rFonts w:ascii="Arial" w:cs="Arial" w:eastAsia="Arial" w:hAnsi="Arial"/>
                <w:sz w:val="18"/>
                <w:szCs w:val="18"/>
                <w:b w:val="1"/>
                <w:bCs w:val="1"/>
                <w:color w:val="auto"/>
              </w:rPr>
              <w:t>20-8250744</w:t>
            </w:r>
          </w:p>
        </w:tc>
      </w:tr>
      <w:tr>
        <w:trPr>
          <w:trHeight w:val="148"/>
        </w:trPr>
        <w:tc>
          <w:tcPr>
            <w:tcW w:w="3400" w:type="dxa"/>
            <w:vAlign w:val="bottom"/>
          </w:tcPr>
          <w:p>
            <w:pPr>
              <w:jc w:val="center"/>
              <w:ind w:right="1784"/>
              <w:spacing w:after="0"/>
              <w:rPr>
                <w:sz w:val="20"/>
                <w:szCs w:val="20"/>
                <w:color w:val="auto"/>
              </w:rPr>
            </w:pPr>
            <w:r>
              <w:rPr>
                <w:rFonts w:ascii="Arial" w:cs="Arial" w:eastAsia="Arial" w:hAnsi="Arial"/>
                <w:sz w:val="13"/>
                <w:szCs w:val="13"/>
                <w:b w:val="1"/>
                <w:bCs w:val="1"/>
                <w:color w:val="auto"/>
                <w:w w:val="94"/>
              </w:rPr>
              <w:t>(State or other jurisdiction</w:t>
            </w:r>
          </w:p>
        </w:tc>
        <w:tc>
          <w:tcPr>
            <w:tcW w:w="1840" w:type="dxa"/>
            <w:vAlign w:val="bottom"/>
          </w:tcPr>
          <w:p>
            <w:pPr>
              <w:ind w:left="60"/>
              <w:spacing w:after="0"/>
              <w:rPr>
                <w:sz w:val="20"/>
                <w:szCs w:val="20"/>
                <w:color w:val="auto"/>
              </w:rPr>
            </w:pPr>
            <w:r>
              <w:rPr>
                <w:rFonts w:ascii="Arial" w:cs="Arial" w:eastAsia="Arial" w:hAnsi="Arial"/>
                <w:sz w:val="13"/>
                <w:szCs w:val="13"/>
                <w:b w:val="1"/>
                <w:bCs w:val="1"/>
                <w:color w:val="auto"/>
              </w:rPr>
              <w:t>(Commission</w:t>
            </w:r>
          </w:p>
        </w:tc>
        <w:tc>
          <w:tcPr>
            <w:tcW w:w="2080" w:type="dxa"/>
            <w:vAlign w:val="bottom"/>
          </w:tcPr>
          <w:p>
            <w:pPr>
              <w:jc w:val="center"/>
              <w:ind w:left="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400" w:type="dxa"/>
            <w:vAlign w:val="bottom"/>
          </w:tcPr>
          <w:p>
            <w:pPr>
              <w:jc w:val="center"/>
              <w:ind w:right="1784"/>
              <w:spacing w:after="0"/>
              <w:rPr>
                <w:sz w:val="20"/>
                <w:szCs w:val="20"/>
                <w:color w:val="auto"/>
              </w:rPr>
            </w:pPr>
            <w:r>
              <w:rPr>
                <w:rFonts w:ascii="Arial" w:cs="Arial" w:eastAsia="Arial" w:hAnsi="Arial"/>
                <w:sz w:val="13"/>
                <w:szCs w:val="13"/>
                <w:b w:val="1"/>
                <w:bCs w:val="1"/>
                <w:color w:val="auto"/>
                <w:w w:val="94"/>
              </w:rPr>
              <w:t>of incorporation)</w:t>
            </w:r>
          </w:p>
        </w:tc>
        <w:tc>
          <w:tcPr>
            <w:tcW w:w="1840" w:type="dxa"/>
            <w:vAlign w:val="bottom"/>
          </w:tcPr>
          <w:p>
            <w:pPr>
              <w:ind w:left="40"/>
              <w:spacing w:after="0"/>
              <w:rPr>
                <w:sz w:val="20"/>
                <w:szCs w:val="20"/>
                <w:color w:val="auto"/>
              </w:rPr>
            </w:pPr>
            <w:r>
              <w:rPr>
                <w:rFonts w:ascii="Arial" w:cs="Arial" w:eastAsia="Arial" w:hAnsi="Arial"/>
                <w:sz w:val="13"/>
                <w:szCs w:val="13"/>
                <w:b w:val="1"/>
                <w:bCs w:val="1"/>
                <w:color w:val="auto"/>
              </w:rPr>
              <w:t>File Number)</w:t>
            </w:r>
          </w:p>
        </w:tc>
        <w:tc>
          <w:tcPr>
            <w:tcW w:w="2080" w:type="dxa"/>
            <w:vAlign w:val="bottom"/>
          </w:tcPr>
          <w:p>
            <w:pPr>
              <w:jc w:val="center"/>
              <w:ind w:left="944"/>
              <w:spacing w:after="0"/>
              <w:rPr>
                <w:sz w:val="20"/>
                <w:szCs w:val="20"/>
                <w:color w:val="auto"/>
              </w:rPr>
            </w:pPr>
            <w:r>
              <w:rPr>
                <w:rFonts w:ascii="Arial" w:cs="Arial" w:eastAsia="Arial" w:hAnsi="Arial"/>
                <w:sz w:val="13"/>
                <w:szCs w:val="13"/>
                <w:b w:val="1"/>
                <w:bCs w:val="1"/>
                <w:color w:val="auto"/>
                <w:w w:val="96"/>
              </w:rPr>
              <w:t>Identification No.)</w:t>
            </w:r>
          </w:p>
        </w:tc>
      </w:tr>
      <w:tr>
        <w:trPr>
          <w:trHeight w:val="420"/>
        </w:trPr>
        <w:tc>
          <w:tcPr>
            <w:tcW w:w="5240" w:type="dxa"/>
            <w:vAlign w:val="bottom"/>
            <w:gridSpan w:val="2"/>
          </w:tcPr>
          <w:p>
            <w:pPr>
              <w:jc w:val="center"/>
              <w:ind w:right="666"/>
              <w:spacing w:after="0"/>
              <w:rPr>
                <w:sz w:val="20"/>
                <w:szCs w:val="20"/>
                <w:color w:val="auto"/>
              </w:rPr>
            </w:pPr>
            <w:r>
              <w:rPr>
                <w:rFonts w:ascii="Arial" w:cs="Arial" w:eastAsia="Arial" w:hAnsi="Arial"/>
                <w:sz w:val="18"/>
                <w:szCs w:val="18"/>
                <w:b w:val="1"/>
                <w:bCs w:val="1"/>
                <w:color w:val="auto"/>
                <w:w w:val="89"/>
              </w:rPr>
              <w:t>590 Madison Avenue, 15th Floor, New York, NY</w:t>
            </w:r>
          </w:p>
        </w:tc>
        <w:tc>
          <w:tcPr>
            <w:tcW w:w="2080" w:type="dxa"/>
            <w:vAlign w:val="bottom"/>
          </w:tcPr>
          <w:p>
            <w:pPr>
              <w:jc w:val="right"/>
              <w:ind w:right="244"/>
              <w:spacing w:after="0"/>
              <w:rPr>
                <w:sz w:val="20"/>
                <w:szCs w:val="20"/>
                <w:color w:val="auto"/>
              </w:rPr>
            </w:pPr>
            <w:r>
              <w:rPr>
                <w:rFonts w:ascii="Arial" w:cs="Arial" w:eastAsia="Arial" w:hAnsi="Arial"/>
                <w:sz w:val="18"/>
                <w:szCs w:val="18"/>
                <w:b w:val="1"/>
                <w:bCs w:val="1"/>
                <w:color w:val="auto"/>
              </w:rPr>
              <w:t>10022</w:t>
            </w:r>
          </w:p>
        </w:tc>
      </w:tr>
      <w:tr>
        <w:trPr>
          <w:trHeight w:val="174"/>
        </w:trPr>
        <w:tc>
          <w:tcPr>
            <w:tcW w:w="3400" w:type="dxa"/>
            <w:vAlign w:val="bottom"/>
          </w:tcPr>
          <w:p>
            <w:pPr>
              <w:jc w:val="center"/>
              <w:ind w:left="1024"/>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1840" w:type="dxa"/>
            <w:vAlign w:val="bottom"/>
          </w:tcPr>
          <w:p>
            <w:pPr>
              <w:spacing w:after="0"/>
              <w:rPr>
                <w:sz w:val="15"/>
                <w:szCs w:val="15"/>
                <w:color w:val="auto"/>
              </w:rPr>
            </w:pPr>
          </w:p>
        </w:tc>
        <w:tc>
          <w:tcPr>
            <w:tcW w:w="2080" w:type="dxa"/>
            <w:vAlign w:val="bottom"/>
          </w:tcPr>
          <w:p>
            <w:pPr>
              <w:jc w:val="center"/>
              <w:ind w:left="924"/>
              <w:spacing w:after="0"/>
              <w:rPr>
                <w:sz w:val="20"/>
                <w:szCs w:val="20"/>
                <w:color w:val="auto"/>
              </w:rPr>
            </w:pPr>
            <w:r>
              <w:rPr>
                <w:rFonts w:ascii="Arial" w:cs="Arial" w:eastAsia="Arial" w:hAnsi="Arial"/>
                <w:sz w:val="13"/>
                <w:szCs w:val="13"/>
                <w:b w:val="1"/>
                <w:bCs w:val="1"/>
                <w:color w:val="auto"/>
                <w:w w:val="99"/>
              </w:rPr>
              <w:t>(Zip Code)</w:t>
            </w:r>
          </w:p>
        </w:tc>
      </w:tr>
    </w:tbl>
    <w:p>
      <w:pPr>
        <w:spacing w:after="0" w:line="13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212-905-1000</w:t>
      </w:r>
    </w:p>
    <w:p>
      <w:pPr>
        <w:spacing w:after="0" w:line="17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180975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9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5"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314" w:right="55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1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February 1, 2011, the Company held its annual meeting of stockholders (the “Annual Meeting”). On February 3, 2011 the Company reported that at the Annual Meeting, the Company’s stockholders approved three proposals. After a further review of how votes must be counted on proposal three, the Company has come to the conclusion that proposal three failed. Even though proposal three passed based on the number of votes cast, the broker non-votes must be added to the total number of votes present to determine whether the proposal passed. The Company initially omitted the broker non-votes from the calculation. When properly included in the number of votes present, the broker non-votes caused proposal three to fail. The proposals are described in detail in the Company’s definitive proxy statement for the Annual Meeting as filed with the Securities and Exchange Commission on December 7, 2010. As of December 14, 2010, the record date, 36,223,950 shares of common stock were eligible to vote.</w:t>
      </w:r>
    </w:p>
    <w:p>
      <w:pPr>
        <w:spacing w:after="0" w:line="11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The Company’s stockholders elected two directors of the Company, each of whom will serve until the 2014 Annual Meeting, or until his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is duly elected and qualifies or until his earlier resignation, removal from office, death or incapacity. The two directors were re-elected pursuant to the voting results set forth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ind w:left="220"/>
              <w:spacing w:after="0"/>
              <w:rPr>
                <w:sz w:val="20"/>
                <w:szCs w:val="20"/>
                <w:color w:val="auto"/>
              </w:rPr>
            </w:pPr>
            <w:r>
              <w:rPr>
                <w:rFonts w:ascii="Arial" w:cs="Arial" w:eastAsia="Arial" w:hAnsi="Arial"/>
                <w:sz w:val="13"/>
                <w:szCs w:val="13"/>
                <w:b w:val="1"/>
                <w:bCs w:val="1"/>
                <w:color w:val="auto"/>
              </w:rPr>
              <w:t>Broker</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5220" w:type="dxa"/>
            <w:vAlign w:val="bottom"/>
          </w:tcPr>
          <w:p>
            <w:pPr>
              <w:spacing w:after="0"/>
              <w:rPr>
                <w:sz w:val="14"/>
                <w:szCs w:val="14"/>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For</w:t>
            </w:r>
          </w:p>
        </w:tc>
        <w:tc>
          <w:tcPr>
            <w:tcW w:w="260" w:type="dxa"/>
            <w:vAlign w:val="bottom"/>
          </w:tcPr>
          <w:p>
            <w:pPr>
              <w:spacing w:after="0"/>
              <w:rPr>
                <w:sz w:val="14"/>
                <w:szCs w:val="1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Withheld</w:t>
            </w:r>
          </w:p>
        </w:tc>
        <w:tc>
          <w:tcPr>
            <w:tcW w:w="260" w:type="dxa"/>
            <w:vAlign w:val="bottom"/>
          </w:tcPr>
          <w:p>
            <w:pPr>
              <w:spacing w:after="0"/>
              <w:rPr>
                <w:sz w:val="14"/>
                <w:szCs w:val="14"/>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Non-Vote</w:t>
            </w:r>
          </w:p>
        </w:tc>
        <w:tc>
          <w:tcPr>
            <w:tcW w:w="100" w:type="dxa"/>
            <w:vAlign w:val="bottom"/>
          </w:tcPr>
          <w:p>
            <w:pPr>
              <w:spacing w:after="0"/>
              <w:rPr>
                <w:sz w:val="14"/>
                <w:szCs w:val="14"/>
                <w:color w:val="auto"/>
              </w:rPr>
            </w:pPr>
          </w:p>
        </w:tc>
      </w:tr>
      <w:tr>
        <w:trPr>
          <w:trHeight w:val="209"/>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18,152,090</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6"/>
              </w:rPr>
              <w:t>888,035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12,816,497</w:t>
            </w:r>
          </w:p>
        </w:tc>
        <w:tc>
          <w:tcPr>
            <w:tcW w:w="100" w:type="dxa"/>
            <w:vAlign w:val="bottom"/>
            <w:shd w:val="clear" w:color="auto" w:fill="CCEEFF"/>
          </w:tcPr>
          <w:p>
            <w:pPr>
              <w:spacing w:after="0"/>
              <w:rPr>
                <w:sz w:val="18"/>
                <w:szCs w:val="18"/>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18,705,888</w:t>
            </w:r>
          </w:p>
        </w:tc>
        <w:tc>
          <w:tcPr>
            <w:tcW w:w="900" w:type="dxa"/>
            <w:vAlign w:val="bottom"/>
            <w:gridSpan w:val="2"/>
          </w:tcPr>
          <w:p>
            <w:pPr>
              <w:ind w:left="320"/>
              <w:spacing w:after="0"/>
              <w:rPr>
                <w:sz w:val="20"/>
                <w:szCs w:val="20"/>
                <w:color w:val="auto"/>
              </w:rPr>
            </w:pPr>
            <w:r>
              <w:rPr>
                <w:rFonts w:ascii="Arial" w:cs="Arial" w:eastAsia="Arial" w:hAnsi="Arial"/>
                <w:sz w:val="18"/>
                <w:szCs w:val="18"/>
                <w:color w:val="auto"/>
                <w:w w:val="86"/>
              </w:rPr>
              <w:t>334,237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12,816,497</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The Company’s stockholders ratified the selection of KPMG LLP to serve as the Company’s independent registered public accounting firm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ending December 31, 2011, as set forth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For</w:t>
            </w:r>
          </w:p>
        </w:tc>
        <w:tc>
          <w:tcPr>
            <w:tcW w:w="2420" w:type="dxa"/>
            <w:vAlign w:val="bottom"/>
          </w:tcPr>
          <w:p>
            <w:pPr>
              <w:spacing w:after="0"/>
              <w:rPr>
                <w:sz w:val="14"/>
                <w:szCs w:val="14"/>
                <w:color w:val="auto"/>
              </w:rPr>
            </w:pPr>
          </w:p>
        </w:tc>
        <w:tc>
          <w:tcPr>
            <w:tcW w:w="15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Against</w:t>
            </w:r>
          </w:p>
        </w:tc>
        <w:tc>
          <w:tcPr>
            <w:tcW w:w="1380" w:type="dxa"/>
            <w:vAlign w:val="bottom"/>
          </w:tcPr>
          <w:p>
            <w:pPr>
              <w:spacing w:after="0"/>
              <w:rPr>
                <w:sz w:val="14"/>
                <w:szCs w:val="14"/>
                <w:color w:val="auto"/>
              </w:rPr>
            </w:pPr>
          </w:p>
        </w:tc>
        <w:tc>
          <w:tcPr>
            <w:tcW w:w="160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Abstain</w:t>
            </w:r>
          </w:p>
        </w:tc>
      </w:tr>
      <w:tr>
        <w:trPr>
          <w:trHeight w:val="210"/>
        </w:trPr>
        <w:tc>
          <w:tcPr>
            <w:tcW w:w="3980" w:type="dxa"/>
            <w:vAlign w:val="bottom"/>
            <w:gridSpan w:val="3"/>
            <w:shd w:val="clear" w:color="auto" w:fill="CCEEFF"/>
          </w:tcPr>
          <w:p>
            <w:pPr>
              <w:jc w:val="right"/>
              <w:ind w:right="2280"/>
              <w:spacing w:after="0"/>
              <w:rPr>
                <w:sz w:val="20"/>
                <w:szCs w:val="20"/>
                <w:color w:val="auto"/>
              </w:rPr>
            </w:pPr>
            <w:r>
              <w:rPr>
                <w:rFonts w:ascii="Arial" w:cs="Arial" w:eastAsia="Arial" w:hAnsi="Arial"/>
                <w:sz w:val="18"/>
                <w:szCs w:val="18"/>
                <w:color w:val="auto"/>
              </w:rPr>
              <w:t>31,725,951</w:t>
            </w:r>
          </w:p>
        </w:tc>
        <w:tc>
          <w:tcPr>
            <w:tcW w:w="1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89,119</w:t>
            </w:r>
          </w:p>
        </w:tc>
        <w:tc>
          <w:tcPr>
            <w:tcW w:w="29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41,552</w:t>
            </w:r>
          </w:p>
        </w:tc>
      </w:tr>
    </w:tbl>
    <w:p>
      <w:pPr>
        <w:spacing w:after="0" w:line="148"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b w:val="1"/>
          <w:bCs w:val="1"/>
          <w:color w:val="auto"/>
        </w:rPr>
        <w:t xml:space="preserve">Proposal 3. </w:t>
      </w:r>
      <w:r>
        <w:rPr>
          <w:rFonts w:ascii="Arial" w:cs="Arial" w:eastAsia="Arial" w:hAnsi="Arial"/>
          <w:sz w:val="16"/>
          <w:szCs w:val="16"/>
          <w:color w:val="auto"/>
        </w:rPr>
        <w:t>The Company’s stockholders did not approve a proposal to authorize flexibility for the Company, with the approval of its Board of Directors, to</w:t>
      </w:r>
      <w:r>
        <w:rPr>
          <w:rFonts w:ascii="Arial" w:cs="Arial" w:eastAsia="Arial" w:hAnsi="Arial"/>
          <w:sz w:val="16"/>
          <w:szCs w:val="16"/>
          <w:b w:val="1"/>
          <w:bCs w:val="1"/>
          <w:color w:val="auto"/>
        </w:rPr>
        <w:t xml:space="preserve"> </w:t>
      </w:r>
      <w:r>
        <w:rPr>
          <w:rFonts w:ascii="Arial" w:cs="Arial" w:eastAsia="Arial" w:hAnsi="Arial"/>
          <w:sz w:val="16"/>
          <w:szCs w:val="16"/>
          <w:color w:val="auto"/>
        </w:rPr>
        <w:t>sell shares of its common stock (during the 12 months subsequent to the date of the Annual Meeting) at a price below its then current net asset value per share subject to certain limitations as described the proxy statement. The proposal failed pursuant to the voting results set forth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Broker</w:t>
            </w:r>
          </w:p>
        </w:tc>
      </w:tr>
      <w:tr>
        <w:trPr>
          <w:trHeight w:val="161"/>
        </w:trPr>
        <w:tc>
          <w:tcPr>
            <w:tcW w:w="4080" w:type="dxa"/>
            <w:vAlign w:val="bottom"/>
          </w:tcPr>
          <w:p>
            <w:pPr>
              <w:spacing w:after="0"/>
              <w:rPr>
                <w:sz w:val="14"/>
                <w:szCs w:val="14"/>
                <w:color w:val="auto"/>
              </w:rPr>
            </w:pPr>
          </w:p>
        </w:tc>
        <w:tc>
          <w:tcPr>
            <w:tcW w:w="84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For</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Against</w:t>
            </w:r>
          </w:p>
        </w:tc>
        <w:tc>
          <w:tcPr>
            <w:tcW w:w="400" w:type="dxa"/>
            <w:vAlign w:val="bottom"/>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Abstain</w:t>
            </w:r>
          </w:p>
        </w:tc>
        <w:tc>
          <w:tcPr>
            <w:tcW w:w="380" w:type="dxa"/>
            <w:vAlign w:val="bottom"/>
          </w:tcPr>
          <w:p>
            <w:pPr>
              <w:spacing w:after="0"/>
              <w:rPr>
                <w:sz w:val="14"/>
                <w:szCs w:val="1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rPr>
              <w:t>Non-Vote</w:t>
            </w:r>
          </w:p>
        </w:tc>
        <w:tc>
          <w:tcPr>
            <w:tcW w:w="200" w:type="dxa"/>
            <w:vAlign w:val="bottom"/>
          </w:tcPr>
          <w:p>
            <w:pPr>
              <w:spacing w:after="0"/>
              <w:rPr>
                <w:sz w:val="14"/>
                <w:szCs w:val="14"/>
                <w:color w:val="auto"/>
              </w:rPr>
            </w:pPr>
          </w:p>
        </w:tc>
      </w:tr>
      <w:tr>
        <w:trPr>
          <w:trHeight w:val="20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With Affiliates</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15,244,768</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3,645,047</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150,310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12,816,497</w:t>
            </w:r>
          </w:p>
        </w:tc>
        <w:tc>
          <w:tcPr>
            <w:tcW w:w="2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 Outstanding</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42.08%</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10.06%</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0.41%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35.38%</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Without Affiliates</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14,460,027</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3,645,047</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12,816,497</w:t>
            </w:r>
          </w:p>
        </w:tc>
        <w:tc>
          <w:tcPr>
            <w:tcW w:w="200" w:type="dxa"/>
            <w:vAlign w:val="bottom"/>
            <w:shd w:val="clear" w:color="auto" w:fill="CCEEFF"/>
          </w:tcPr>
          <w:p>
            <w:pPr>
              <w:spacing w:after="0"/>
              <w:rPr>
                <w:sz w:val="18"/>
                <w:szCs w:val="18"/>
                <w:color w:val="auto"/>
              </w:rPr>
            </w:pP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 Outstanding</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40.89%</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10.31%</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0.26%</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36.23%</w:t>
            </w:r>
          </w:p>
        </w:tc>
      </w:tr>
    </w:tbl>
    <w:p>
      <w:pPr>
        <w:sectPr>
          <w:pgSz w:w="11900" w:h="16838" w:orient="portrait"/>
          <w:cols w:equalWidth="0" w:num="1">
            <w:col w:w="11180"/>
          </w:cols>
          <w:pgMar w:left="320" w:top="274"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177" w:lineRule="exact"/>
        <w:rPr>
          <w:sz w:val="20"/>
          <w:szCs w:val="20"/>
          <w:color w:val="auto"/>
        </w:rPr>
      </w:pPr>
    </w:p>
    <w:p>
      <w:pPr>
        <w:ind w:right="40" w:firstLine="449"/>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40" w:type="dxa"/>
            <w:vAlign w:val="bottom"/>
          </w:tcPr>
          <w:p>
            <w:pPr>
              <w:spacing w:after="0"/>
              <w:rPr>
                <w:sz w:val="19"/>
                <w:szCs w:val="19"/>
                <w:color w:val="auto"/>
              </w:rPr>
            </w:pPr>
          </w:p>
        </w:tc>
        <w:tc>
          <w:tcPr>
            <w:tcW w:w="560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89"/>
              </w:rPr>
              <w:t>PennantPark Investment Corporation</w:t>
            </w:r>
          </w:p>
        </w:tc>
      </w:tr>
      <w:tr>
        <w:trPr>
          <w:trHeight w:val="217"/>
        </w:trPr>
        <w:tc>
          <w:tcPr>
            <w:tcW w:w="5640" w:type="dxa"/>
            <w:vAlign w:val="bottom"/>
          </w:tcPr>
          <w:p>
            <w:pPr>
              <w:spacing w:after="0"/>
              <w:rPr>
                <w:sz w:val="18"/>
                <w:szCs w:val="18"/>
                <w:color w:val="auto"/>
              </w:rPr>
            </w:pPr>
          </w:p>
        </w:tc>
        <w:tc>
          <w:tcPr>
            <w:tcW w:w="5600" w:type="dxa"/>
            <w:vAlign w:val="bottom"/>
          </w:tcPr>
          <w:p>
            <w:pPr>
              <w:jc w:val="center"/>
              <w:ind w:left="32"/>
              <w:spacing w:after="0"/>
              <w:rPr>
                <w:sz w:val="20"/>
                <w:szCs w:val="20"/>
                <w:color w:val="auto"/>
              </w:rPr>
            </w:pPr>
            <w:r>
              <w:rPr>
                <w:rFonts w:ascii="Arial" w:cs="Arial" w:eastAsia="Arial" w:hAnsi="Arial"/>
                <w:sz w:val="18"/>
                <w:szCs w:val="18"/>
                <w:color w:val="auto"/>
                <w:w w:val="89"/>
              </w:rPr>
              <w:t>(Registrant)</w:t>
            </w:r>
          </w:p>
        </w:tc>
      </w:tr>
      <w:tr>
        <w:trPr>
          <w:trHeight w:val="572"/>
        </w:trPr>
        <w:tc>
          <w:tcPr>
            <w:tcW w:w="5640" w:type="dxa"/>
            <w:vAlign w:val="bottom"/>
          </w:tcPr>
          <w:p>
            <w:pPr>
              <w:spacing w:after="0"/>
              <w:rPr>
                <w:sz w:val="20"/>
                <w:szCs w:val="20"/>
                <w:color w:val="auto"/>
              </w:rPr>
            </w:pPr>
            <w:r>
              <w:rPr>
                <w:rFonts w:ascii="Arial" w:cs="Arial" w:eastAsia="Arial" w:hAnsi="Arial"/>
                <w:sz w:val="18"/>
                <w:szCs w:val="18"/>
                <w:color w:val="auto"/>
              </w:rPr>
              <w:t>February 7, 2011</w:t>
            </w:r>
          </w:p>
        </w:tc>
        <w:tc>
          <w:tcPr>
            <w:tcW w:w="560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4"/>
              </w:rPr>
              <w:t>/s/ AVIV EFRAT</w:t>
            </w:r>
          </w:p>
        </w:tc>
      </w:tr>
      <w:tr>
        <w:trPr>
          <w:trHeight w:val="203"/>
        </w:trPr>
        <w:tc>
          <w:tcPr>
            <w:tcW w:w="5640" w:type="dxa"/>
            <w:vAlign w:val="bottom"/>
          </w:tcPr>
          <w:p>
            <w:pPr>
              <w:spacing w:after="0" w:line="203" w:lineRule="exact"/>
              <w:rPr>
                <w:sz w:val="20"/>
                <w:szCs w:val="20"/>
                <w:color w:val="auto"/>
              </w:rPr>
            </w:pPr>
            <w:r>
              <w:rPr>
                <w:rFonts w:ascii="Arial" w:cs="Arial" w:eastAsia="Arial" w:hAnsi="Arial"/>
                <w:sz w:val="18"/>
                <w:szCs w:val="18"/>
                <w:color w:val="auto"/>
              </w:rPr>
              <w:t>(Date)</w:t>
            </w:r>
          </w:p>
        </w:tc>
        <w:tc>
          <w:tcPr>
            <w:tcW w:w="5600" w:type="dxa"/>
            <w:vAlign w:val="bottom"/>
          </w:tcPr>
          <w:p>
            <w:pPr>
              <w:jc w:val="center"/>
              <w:ind w:left="12"/>
              <w:spacing w:after="0" w:line="203" w:lineRule="exact"/>
              <w:rPr>
                <w:sz w:val="20"/>
                <w:szCs w:val="20"/>
                <w:color w:val="auto"/>
              </w:rPr>
            </w:pPr>
            <w:r>
              <w:rPr>
                <w:rFonts w:ascii="Arial" w:cs="Arial" w:eastAsia="Arial" w:hAnsi="Arial"/>
                <w:sz w:val="18"/>
                <w:szCs w:val="18"/>
                <w:color w:val="auto"/>
                <w:w w:val="96"/>
              </w:rPr>
              <w:t>Aviv Efrat</w:t>
            </w:r>
          </w:p>
        </w:tc>
      </w:tr>
      <w:tr>
        <w:trPr>
          <w:trHeight w:val="222"/>
        </w:trPr>
        <w:tc>
          <w:tcPr>
            <w:tcW w:w="5640" w:type="dxa"/>
            <w:vAlign w:val="bottom"/>
          </w:tcPr>
          <w:p>
            <w:pPr>
              <w:spacing w:after="0"/>
              <w:rPr>
                <w:sz w:val="19"/>
                <w:szCs w:val="19"/>
                <w:color w:val="auto"/>
              </w:rPr>
            </w:pPr>
          </w:p>
        </w:tc>
        <w:tc>
          <w:tcPr>
            <w:tcW w:w="5600" w:type="dxa"/>
            <w:vAlign w:val="bottom"/>
          </w:tcPr>
          <w:p>
            <w:pPr>
              <w:jc w:val="center"/>
              <w:ind w:left="12"/>
              <w:spacing w:after="0"/>
              <w:rPr>
                <w:sz w:val="20"/>
                <w:szCs w:val="20"/>
                <w:color w:val="auto"/>
              </w:rPr>
            </w:pPr>
            <w:r>
              <w:rPr>
                <w:rFonts w:ascii="Arial" w:cs="Arial" w:eastAsia="Arial" w:hAnsi="Arial"/>
                <w:sz w:val="18"/>
                <w:szCs w:val="18"/>
                <w:i w:val="1"/>
                <w:iCs w:val="1"/>
                <w:color w:val="auto"/>
                <w:w w:val="91"/>
              </w:rPr>
              <w:t>Chief Financial Officer &amp; Treasurer</w:t>
            </w:r>
          </w:p>
        </w:tc>
      </w:tr>
    </w:tbl>
    <w:p>
      <w:pPr>
        <w:spacing w:after="0" w:line="1" w:lineRule="exact"/>
        <w:rPr>
          <w:sz w:val="20"/>
          <w:szCs w:val="20"/>
          <w:color w:val="auto"/>
        </w:rPr>
      </w:pP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2020-05-05T15:12:17Z</dcterms:created>
  <dcterms:modified xsi:type="dcterms:W3CDTF">2020-05-05T15:12:17Z</dcterms:modified>
</cp:coreProperties>
</file>