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266700</wp:posOffset>
            </wp:positionV>
            <wp:extent cx="713613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100"/>
                    </a:xfrm>
                    <a:prstGeom prst="rect">
                      <a:avLst/>
                    </a:prstGeom>
                    <a:noFill/>
                  </pic:spPr>
                </pic:pic>
              </a:graphicData>
            </a:graphic>
          </wp:anchor>
        </w:drawing>
        <w:t>UNITED STATES</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66040</wp:posOffset>
            </wp:positionV>
            <wp:extent cx="1440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6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FORM 8-K</w:t>
      </w:r>
    </w:p>
    <w:p>
      <w:pPr>
        <w:spacing w:after="0" w:line="229"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right"/>
        <w:ind w:right="3740"/>
        <w:spacing w:after="0"/>
        <w:rPr>
          <w:sz w:val="20"/>
          <w:szCs w:val="20"/>
          <w:color w:val="auto"/>
        </w:rPr>
      </w:pPr>
      <w:r>
        <w:rPr>
          <w:rFonts w:ascii="Arial" w:cs="Arial" w:eastAsia="Arial" w:hAnsi="Arial"/>
          <w:sz w:val="18"/>
          <w:szCs w:val="18"/>
          <w:b w:val="1"/>
          <w:bCs w:val="1"/>
          <w:color w:val="auto"/>
        </w:rPr>
        <w:t>Date of Report: August 04, 2010</w:t>
      </w:r>
    </w:p>
    <w:p>
      <w:pPr>
        <w:spacing w:after="0" w:line="27" w:lineRule="exact"/>
        <w:rPr>
          <w:sz w:val="24"/>
          <w:szCs w:val="24"/>
          <w:color w:val="auto"/>
        </w:rPr>
      </w:pPr>
    </w:p>
    <w:p>
      <w:pPr>
        <w:jc w:val="right"/>
        <w:ind w:right="3800"/>
        <w:spacing w:after="0"/>
        <w:rPr>
          <w:sz w:val="20"/>
          <w:szCs w:val="20"/>
          <w:color w:val="auto"/>
        </w:rPr>
      </w:pPr>
      <w:r>
        <w:rPr>
          <w:rFonts w:ascii="Arial" w:cs="Arial" w:eastAsia="Arial" w:hAnsi="Arial"/>
          <w:sz w:val="18"/>
          <w:szCs w:val="18"/>
          <w:color w:val="auto"/>
        </w:rPr>
        <w:t>(Date of earliest event reported)</w:t>
      </w:r>
    </w:p>
    <w:p>
      <w:pPr>
        <w:spacing w:after="0" w:line="200" w:lineRule="exact"/>
        <w:rPr>
          <w:sz w:val="24"/>
          <w:szCs w:val="24"/>
          <w:color w:val="auto"/>
        </w:rPr>
      </w:pPr>
    </w:p>
    <w:p>
      <w:pPr>
        <w:spacing w:after="0" w:line="22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50" w:lineRule="exact"/>
        <w:rPr>
          <w:sz w:val="24"/>
          <w:szCs w:val="24"/>
          <w:color w:val="auto"/>
        </w:rPr>
      </w:pPr>
    </w:p>
    <w:tbl>
      <w:tblPr>
        <w:tblLayout w:type="fixed"/>
        <w:tblInd w:w="520" w:type="dxa"/>
        <w:tblCellMar>
          <w:top w:w="0" w:type="dxa"/>
          <w:left w:w="0" w:type="dxa"/>
          <w:bottom w:w="0" w:type="dxa"/>
          <w:right w:w="0" w:type="dxa"/>
        </w:tblCellMar>
      </w:tblPr>
      <w:tr>
        <w:trPr>
          <w:trHeight w:val="220"/>
        </w:trPr>
        <w:tc>
          <w:tcPr>
            <w:tcW w:w="362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Maryland</w:t>
            </w:r>
          </w:p>
        </w:tc>
        <w:tc>
          <w:tcPr>
            <w:tcW w:w="3660" w:type="dxa"/>
            <w:vAlign w:val="bottom"/>
          </w:tcPr>
          <w:p>
            <w:pPr>
              <w:jc w:val="right"/>
              <w:ind w:right="1890"/>
              <w:spacing w:after="0"/>
              <w:rPr>
                <w:sz w:val="20"/>
                <w:szCs w:val="20"/>
                <w:color w:val="auto"/>
              </w:rPr>
            </w:pPr>
            <w:r>
              <w:rPr>
                <w:rFonts w:ascii="Arial" w:cs="Arial" w:eastAsia="Arial" w:hAnsi="Arial"/>
                <w:sz w:val="18"/>
                <w:szCs w:val="18"/>
                <w:b w:val="1"/>
                <w:bCs w:val="1"/>
                <w:color w:val="auto"/>
              </w:rPr>
              <w:t>814-00736</w:t>
            </w:r>
          </w:p>
        </w:tc>
        <w:tc>
          <w:tcPr>
            <w:tcW w:w="1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20-8250744</w:t>
            </w:r>
          </w:p>
        </w:tc>
      </w:tr>
      <w:tr>
        <w:trPr>
          <w:trHeight w:val="216"/>
        </w:trPr>
        <w:tc>
          <w:tcPr>
            <w:tcW w:w="362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3660" w:type="dxa"/>
            <w:vAlign w:val="bottom"/>
          </w:tcPr>
          <w:p>
            <w:pPr>
              <w:jc w:val="center"/>
              <w:ind w:right="930"/>
              <w:spacing w:after="0"/>
              <w:rPr>
                <w:sz w:val="20"/>
                <w:szCs w:val="20"/>
                <w:color w:val="auto"/>
              </w:rPr>
            </w:pPr>
            <w:r>
              <w:rPr>
                <w:rFonts w:ascii="Arial" w:cs="Arial" w:eastAsia="Arial" w:hAnsi="Arial"/>
                <w:sz w:val="18"/>
                <w:szCs w:val="18"/>
                <w:color w:val="auto"/>
                <w:w w:val="93"/>
              </w:rPr>
              <w:t>(Commission File Number)</w:t>
            </w:r>
          </w:p>
        </w:tc>
        <w:tc>
          <w:tcPr>
            <w:tcW w:w="1940" w:type="dxa"/>
            <w:vAlign w:val="bottom"/>
          </w:tcPr>
          <w:p>
            <w:pPr>
              <w:jc w:val="center"/>
              <w:ind w:left="170"/>
              <w:spacing w:after="0"/>
              <w:rPr>
                <w:sz w:val="20"/>
                <w:szCs w:val="20"/>
                <w:color w:val="auto"/>
              </w:rPr>
            </w:pPr>
            <w:r>
              <w:rPr>
                <w:rFonts w:ascii="Arial" w:cs="Arial" w:eastAsia="Arial" w:hAnsi="Arial"/>
                <w:sz w:val="18"/>
                <w:szCs w:val="18"/>
                <w:color w:val="auto"/>
                <w:w w:val="92"/>
              </w:rPr>
              <w:t>(IRS Employer</w:t>
            </w:r>
          </w:p>
        </w:tc>
      </w:tr>
      <w:tr>
        <w:trPr>
          <w:trHeight w:val="230"/>
        </w:trPr>
        <w:tc>
          <w:tcPr>
            <w:tcW w:w="3620" w:type="dxa"/>
            <w:vAlign w:val="bottom"/>
          </w:tcPr>
          <w:p>
            <w:pPr>
              <w:jc w:val="center"/>
              <w:ind w:right="150"/>
              <w:spacing w:after="0"/>
              <w:rPr>
                <w:sz w:val="20"/>
                <w:szCs w:val="20"/>
                <w:color w:val="auto"/>
              </w:rPr>
            </w:pPr>
            <w:r>
              <w:rPr>
                <w:rFonts w:ascii="Arial" w:cs="Arial" w:eastAsia="Arial" w:hAnsi="Arial"/>
                <w:sz w:val="18"/>
                <w:szCs w:val="18"/>
                <w:color w:val="auto"/>
                <w:w w:val="93"/>
              </w:rPr>
              <w:t>of incorporation)</w:t>
            </w:r>
          </w:p>
        </w:tc>
        <w:tc>
          <w:tcPr>
            <w:tcW w:w="3660" w:type="dxa"/>
            <w:vAlign w:val="bottom"/>
          </w:tcPr>
          <w:p>
            <w:pPr>
              <w:spacing w:after="0"/>
              <w:rPr>
                <w:sz w:val="20"/>
                <w:szCs w:val="20"/>
                <w:color w:val="auto"/>
              </w:rPr>
            </w:pPr>
          </w:p>
        </w:tc>
        <w:tc>
          <w:tcPr>
            <w:tcW w:w="1940" w:type="dxa"/>
            <w:vAlign w:val="bottom"/>
          </w:tcPr>
          <w:p>
            <w:pPr>
              <w:jc w:val="center"/>
              <w:ind w:left="170"/>
              <w:spacing w:after="0"/>
              <w:rPr>
                <w:sz w:val="20"/>
                <w:szCs w:val="20"/>
                <w:color w:val="auto"/>
              </w:rPr>
            </w:pPr>
            <w:r>
              <w:rPr>
                <w:rFonts w:ascii="Arial" w:cs="Arial" w:eastAsia="Arial" w:hAnsi="Arial"/>
                <w:sz w:val="18"/>
                <w:szCs w:val="18"/>
                <w:color w:val="auto"/>
                <w:w w:val="95"/>
              </w:rPr>
              <w:t>Identification Number)</w:t>
            </w:r>
          </w:p>
        </w:tc>
      </w:tr>
      <w:tr>
        <w:trPr>
          <w:trHeight w:val="661"/>
        </w:trPr>
        <w:tc>
          <w:tcPr>
            <w:tcW w:w="36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590 Madison Avenue, New York, New York</w:t>
            </w:r>
          </w:p>
        </w:tc>
        <w:tc>
          <w:tcPr>
            <w:tcW w:w="3660" w:type="dxa"/>
            <w:vAlign w:val="bottom"/>
          </w:tcPr>
          <w:p>
            <w:pPr>
              <w:spacing w:after="0"/>
              <w:rPr>
                <w:sz w:val="24"/>
                <w:szCs w:val="24"/>
                <w:color w:val="auto"/>
              </w:rPr>
            </w:pPr>
          </w:p>
        </w:tc>
        <w:tc>
          <w:tcPr>
            <w:tcW w:w="1940" w:type="dxa"/>
            <w:vAlign w:val="bottom"/>
          </w:tcPr>
          <w:p>
            <w:pPr>
              <w:jc w:val="right"/>
              <w:ind w:right="550"/>
              <w:spacing w:after="0"/>
              <w:rPr>
                <w:sz w:val="20"/>
                <w:szCs w:val="20"/>
                <w:color w:val="auto"/>
              </w:rPr>
            </w:pPr>
            <w:r>
              <w:rPr>
                <w:rFonts w:ascii="Arial" w:cs="Arial" w:eastAsia="Arial" w:hAnsi="Arial"/>
                <w:sz w:val="18"/>
                <w:szCs w:val="18"/>
                <w:b w:val="1"/>
                <w:bCs w:val="1"/>
                <w:color w:val="auto"/>
              </w:rPr>
              <w:t>10022</w:t>
            </w:r>
          </w:p>
        </w:tc>
      </w:tr>
      <w:tr>
        <w:trPr>
          <w:trHeight w:val="230"/>
        </w:trPr>
        <w:tc>
          <w:tcPr>
            <w:tcW w:w="362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spacing w:after="0"/>
              <w:rPr>
                <w:sz w:val="20"/>
                <w:szCs w:val="20"/>
                <w:color w:val="auto"/>
              </w:rPr>
            </w:pPr>
          </w:p>
        </w:tc>
        <w:tc>
          <w:tcPr>
            <w:tcW w:w="1940" w:type="dxa"/>
            <w:vAlign w:val="bottom"/>
          </w:tcPr>
          <w:p>
            <w:pPr>
              <w:jc w:val="center"/>
              <w:ind w:left="170"/>
              <w:spacing w:after="0"/>
              <w:rPr>
                <w:sz w:val="20"/>
                <w:szCs w:val="20"/>
                <w:color w:val="auto"/>
              </w:rPr>
            </w:pPr>
            <w:r>
              <w:rPr>
                <w:rFonts w:ascii="Arial" w:cs="Arial" w:eastAsia="Arial" w:hAnsi="Arial"/>
                <w:sz w:val="18"/>
                <w:szCs w:val="18"/>
                <w:color w:val="auto"/>
                <w:w w:val="94"/>
              </w:rPr>
              <w:t>(Zip Code)</w:t>
            </w:r>
          </w:p>
        </w:tc>
      </w:tr>
      <w:tr>
        <w:trPr>
          <w:trHeight w:val="445"/>
        </w:trPr>
        <w:tc>
          <w:tcPr>
            <w:tcW w:w="3620" w:type="dxa"/>
            <w:vAlign w:val="bottom"/>
          </w:tcPr>
          <w:p>
            <w:pPr>
              <w:spacing w:after="0"/>
              <w:rPr>
                <w:sz w:val="24"/>
                <w:szCs w:val="24"/>
                <w:color w:val="auto"/>
              </w:rPr>
            </w:pPr>
          </w:p>
        </w:tc>
        <w:tc>
          <w:tcPr>
            <w:tcW w:w="3660" w:type="dxa"/>
            <w:vAlign w:val="bottom"/>
          </w:tcPr>
          <w:p>
            <w:pPr>
              <w:jc w:val="right"/>
              <w:ind w:right="1570"/>
              <w:spacing w:after="0"/>
              <w:rPr>
                <w:sz w:val="20"/>
                <w:szCs w:val="20"/>
                <w:color w:val="auto"/>
              </w:rPr>
            </w:pPr>
            <w:r>
              <w:rPr>
                <w:rFonts w:ascii="Arial" w:cs="Arial" w:eastAsia="Arial" w:hAnsi="Arial"/>
                <w:sz w:val="18"/>
                <w:szCs w:val="18"/>
                <w:b w:val="1"/>
                <w:bCs w:val="1"/>
                <w:color w:val="auto"/>
              </w:rPr>
              <w:t>212-905-1000</w:t>
            </w:r>
          </w:p>
        </w:tc>
        <w:tc>
          <w:tcPr>
            <w:tcW w:w="1940" w:type="dxa"/>
            <w:vAlign w:val="bottom"/>
          </w:tcPr>
          <w:p>
            <w:pPr>
              <w:spacing w:after="0"/>
              <w:rPr>
                <w:sz w:val="24"/>
                <w:szCs w:val="24"/>
                <w:color w:val="auto"/>
              </w:rPr>
            </w:pPr>
          </w:p>
        </w:tc>
      </w:tr>
      <w:tr>
        <w:trPr>
          <w:trHeight w:val="230"/>
        </w:trPr>
        <w:tc>
          <w:tcPr>
            <w:tcW w:w="7280" w:type="dxa"/>
            <w:vAlign w:val="bottom"/>
            <w:gridSpan w:val="2"/>
          </w:tcPr>
          <w:p>
            <w:pPr>
              <w:jc w:val="center"/>
              <w:ind w:left="2890"/>
              <w:spacing w:after="0"/>
              <w:rPr>
                <w:sz w:val="20"/>
                <w:szCs w:val="20"/>
                <w:color w:val="auto"/>
              </w:rPr>
            </w:pPr>
            <w:r>
              <w:rPr>
                <w:rFonts w:ascii="Arial" w:cs="Arial" w:eastAsia="Arial" w:hAnsi="Arial"/>
                <w:sz w:val="18"/>
                <w:szCs w:val="18"/>
                <w:color w:val="auto"/>
                <w:w w:val="89"/>
              </w:rPr>
              <w:t>(Registrant's telephone number, including area code)</w:t>
            </w:r>
          </w:p>
        </w:tc>
        <w:tc>
          <w:tcPr>
            <w:tcW w:w="1940" w:type="dxa"/>
            <w:vAlign w:val="bottom"/>
          </w:tcPr>
          <w:p>
            <w:pPr>
              <w:spacing w:after="0"/>
              <w:rPr>
                <w:sz w:val="20"/>
                <w:szCs w:val="20"/>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firstLine="45"/>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600"/>
          </w:cols>
          <w:pgMar w:left="320" w:top="1255" w:right="9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41" w:lineRule="exact"/>
        <w:rPr>
          <w:sz w:val="20"/>
          <w:szCs w:val="20"/>
          <w:color w:val="auto"/>
        </w:rPr>
      </w:pPr>
    </w:p>
    <w:p>
      <w:pPr>
        <w:ind w:left="600" w:right="8239"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7299" w:hanging="547"/>
        <w:spacing w:after="0" w:line="250" w:lineRule="auto"/>
        <w:tabs>
          <w:tab w:leader="none" w:pos="32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7679" w:hanging="547"/>
        <w:spacing w:after="0" w:line="250" w:lineRule="auto"/>
        <w:tabs>
          <w:tab w:leader="none" w:pos="30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Investment Corporation dated August 04,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1135380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850" w:right="1440"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04, 2010</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-10160</wp:posOffset>
            </wp:positionV>
            <wp:extent cx="1127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560"/>
          </w:cols>
          <w:pgMar w:left="320" w:top="850"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80" w:type="dxa"/>
            <w:vAlign w:val="bottom"/>
            <w:gridSpan w:val="3"/>
          </w:tcPr>
          <w:p>
            <w:pPr>
              <w:ind w:left="1840"/>
              <w:spacing w:after="0"/>
              <w:rPr>
                <w:sz w:val="20"/>
                <w:szCs w:val="20"/>
                <w:color w:val="auto"/>
              </w:rPr>
            </w:pPr>
            <w:r>
              <w:rPr>
                <w:rFonts w:ascii="Arial" w:cs="Arial" w:eastAsia="Arial" w:hAnsi="Arial"/>
                <w:sz w:val="18"/>
                <w:szCs w:val="18"/>
                <w:b w:val="1"/>
                <w:bCs w:val="1"/>
                <w:color w:val="auto"/>
              </w:rPr>
              <w:t>Exhibit Index</w:t>
            </w:r>
          </w:p>
        </w:tc>
      </w:tr>
      <w:tr>
        <w:trPr>
          <w:trHeight w:val="194"/>
        </w:trPr>
        <w:tc>
          <w:tcPr>
            <w:tcW w:w="238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3"/>
              </w:rPr>
              <w:t>Exhibit No.</w:t>
            </w:r>
          </w:p>
        </w:tc>
        <w:tc>
          <w:tcPr>
            <w:tcW w:w="47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0"/>
              </w:rPr>
              <w:t>Description</w:t>
            </w:r>
          </w:p>
        </w:tc>
        <w:tc>
          <w:tcPr>
            <w:tcW w:w="2360" w:type="dxa"/>
            <w:vAlign w:val="bottom"/>
          </w:tcPr>
          <w:p>
            <w:pPr>
              <w:spacing w:after="0"/>
              <w:rPr>
                <w:sz w:val="16"/>
                <w:szCs w:val="16"/>
                <w:color w:val="auto"/>
              </w:rPr>
            </w:pPr>
          </w:p>
        </w:tc>
      </w:tr>
      <w:tr>
        <w:trPr>
          <w:trHeight w:val="237"/>
        </w:trPr>
        <w:tc>
          <w:tcPr>
            <w:tcW w:w="3260" w:type="dxa"/>
            <w:vAlign w:val="bottom"/>
            <w:gridSpan w:val="2"/>
          </w:tcPr>
          <w:p>
            <w:pPr>
              <w:jc w:val="center"/>
              <w:ind w:right="17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7980" w:type="dxa"/>
            <w:vAlign w:val="bottom"/>
            <w:gridSpan w:val="3"/>
          </w:tcPr>
          <w:p>
            <w:pPr>
              <w:jc w:val="center"/>
              <w:ind w:left="2270"/>
              <w:spacing w:after="0"/>
              <w:rPr>
                <w:sz w:val="20"/>
                <w:szCs w:val="20"/>
                <w:color w:val="auto"/>
              </w:rPr>
            </w:pPr>
            <w:r>
              <w:rPr>
                <w:rFonts w:ascii="Arial" w:cs="Arial" w:eastAsia="Arial" w:hAnsi="Arial"/>
                <w:sz w:val="18"/>
                <w:szCs w:val="18"/>
                <w:color w:val="auto"/>
                <w:w w:val="89"/>
              </w:rPr>
              <w:t>Press Release of PennantPark Investment Corporation dated August 04, 2010</w:t>
            </w:r>
          </w:p>
        </w:tc>
      </w:tr>
      <w:tr>
        <w:trPr>
          <w:trHeight w:val="2305"/>
        </w:trPr>
        <w:tc>
          <w:tcPr>
            <w:tcW w:w="2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71"/>
        </w:trPr>
        <w:tc>
          <w:tcPr>
            <w:tcW w:w="2380" w:type="dxa"/>
            <w:vAlign w:val="bottom"/>
            <w:shd w:val="clear" w:color="auto" w:fill="808080"/>
          </w:tcPr>
          <w:p>
            <w:pPr>
              <w:spacing w:after="0"/>
              <w:rPr>
                <w:sz w:val="6"/>
                <w:szCs w:val="6"/>
                <w:color w:val="auto"/>
              </w:rPr>
            </w:pPr>
          </w:p>
        </w:tc>
        <w:tc>
          <w:tcPr>
            <w:tcW w:w="880" w:type="dxa"/>
            <w:vAlign w:val="bottom"/>
            <w:shd w:val="clear" w:color="auto" w:fill="808080"/>
          </w:tcPr>
          <w:p>
            <w:pPr>
              <w:spacing w:after="0"/>
              <w:rPr>
                <w:sz w:val="6"/>
                <w:szCs w:val="6"/>
                <w:color w:val="auto"/>
              </w:rPr>
            </w:pPr>
          </w:p>
        </w:tc>
        <w:tc>
          <w:tcPr>
            <w:tcW w:w="4720" w:type="dxa"/>
            <w:vAlign w:val="bottom"/>
            <w:shd w:val="clear" w:color="auto" w:fill="808080"/>
          </w:tcPr>
          <w:p>
            <w:pPr>
              <w:spacing w:after="0"/>
              <w:rPr>
                <w:sz w:val="6"/>
                <w:szCs w:val="6"/>
                <w:color w:val="auto"/>
              </w:rPr>
            </w:pPr>
          </w:p>
        </w:tc>
        <w:tc>
          <w:tcPr>
            <w:tcW w:w="900" w:type="dxa"/>
            <w:vAlign w:val="bottom"/>
            <w:shd w:val="clear" w:color="auto" w:fill="808080"/>
          </w:tcPr>
          <w:p>
            <w:pPr>
              <w:spacing w:after="0"/>
              <w:rPr>
                <w:sz w:val="6"/>
                <w:szCs w:val="6"/>
                <w:color w:val="auto"/>
              </w:rPr>
            </w:pPr>
          </w:p>
        </w:tc>
        <w:tc>
          <w:tcPr>
            <w:tcW w:w="2360" w:type="dxa"/>
            <w:vAlign w:val="bottom"/>
            <w:shd w:val="clear" w:color="auto" w:fill="808080"/>
          </w:tcPr>
          <w:p>
            <w:pPr>
              <w:spacing w:after="0"/>
              <w:rPr>
                <w:sz w:val="6"/>
                <w:szCs w:val="6"/>
                <w:color w:val="auto"/>
              </w:rPr>
            </w:pPr>
          </w:p>
        </w:tc>
      </w:tr>
    </w:tbl>
    <w:p>
      <w:pPr>
        <w:sectPr>
          <w:pgSz w:w="11900" w:h="16838" w:orient="portrait"/>
          <w:cols w:equalWidth="0" w:num="1">
            <w:col w:w="11240"/>
          </w:cols>
          <w:pgMar w:left="320" w:top="36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180975</wp:posOffset>
            </wp:positionV>
            <wp:extent cx="71361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84277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427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June 30, 2010</w:t>
      </w:r>
    </w:p>
    <w:p>
      <w:pPr>
        <w:spacing w:after="0" w:line="2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NEW YORK, NY -- (Marketwire - August 04, 2010) - PennantPark Investment Corporation (NASDAQ: PNNT) today announces financial results for its third fiscal quarter ended June 30, 2010.</w:t>
      </w:r>
    </w:p>
    <w:p>
      <w:pPr>
        <w:sectPr>
          <w:pgSz w:w="11900" w:h="16838" w:orient="portrait"/>
          <w:cols w:equalWidth="0" w:num="1">
            <w:col w:w="11240"/>
          </w:cols>
          <w:pgMar w:left="320" w:top="409" w:right="339" w:bottom="0" w:gutter="0" w:footer="0" w:header="0"/>
        </w:sectPr>
      </w:pP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HIGHLIGHTS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Quarter Ended June 30, 2010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 millions, except per share amounts)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Investment portfolio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assets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asset value per share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Credit Facility (Cost $ 256.8)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Investment portfolio composition and yield:</w:t>
      </w:r>
    </w:p>
    <w:p>
      <w:pPr>
        <w:spacing w:after="0" w:line="237" w:lineRule="exact"/>
        <w:rPr>
          <w:sz w:val="20"/>
          <w:szCs w:val="20"/>
          <w:color w:val="auto"/>
        </w:rPr>
      </w:pPr>
    </w:p>
    <w:p>
      <w:pPr>
        <w:ind w:right="40" w:firstLine="135"/>
        <w:spacing w:after="0" w:line="258" w:lineRule="auto"/>
        <w:rPr>
          <w:sz w:val="20"/>
          <w:szCs w:val="20"/>
          <w:color w:val="auto"/>
        </w:rPr>
      </w:pPr>
      <w:r>
        <w:rPr>
          <w:rFonts w:ascii="Arial" w:cs="Arial" w:eastAsia="Arial" w:hAnsi="Arial"/>
          <w:sz w:val="18"/>
          <w:szCs w:val="18"/>
          <w:color w:val="auto"/>
        </w:rPr>
        <w:t>Subordinated debt, second lien secured debt, senior secured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debt, and equity (core)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Senior secured debt (non-core)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Weighted average yield on debt 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Weighted average yield on core 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Weighted average yield on non-core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Results: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investment income per share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declared per share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Portfolio Activity:</w:t>
      </w:r>
    </w:p>
    <w:p>
      <w:pPr>
        <w:spacing w:after="0" w:line="23" w:lineRule="exact"/>
        <w:rPr>
          <w:sz w:val="20"/>
          <w:szCs w:val="20"/>
          <w:color w:val="auto"/>
        </w:rPr>
      </w:pPr>
    </w:p>
    <w:p>
      <w:pPr>
        <w:ind w:left="140" w:right="760"/>
        <w:spacing w:after="0" w:line="281" w:lineRule="auto"/>
        <w:rPr>
          <w:sz w:val="20"/>
          <w:szCs w:val="20"/>
          <w:color w:val="auto"/>
        </w:rPr>
      </w:pPr>
      <w:r>
        <w:rPr>
          <w:rFonts w:ascii="Arial" w:cs="Arial" w:eastAsia="Arial" w:hAnsi="Arial"/>
          <w:sz w:val="16"/>
          <w:szCs w:val="16"/>
          <w:color w:val="auto"/>
        </w:rPr>
        <w:t>Purchase of long term investments Sales and repayments of long 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11" w:lineRule="exact"/>
        <w:rPr>
          <w:sz w:val="20"/>
          <w:szCs w:val="20"/>
          <w:color w:val="auto"/>
        </w:rPr>
      </w:pPr>
    </w:p>
    <w:p>
      <w:pPr>
        <w:ind w:left="140"/>
        <w:spacing w:after="0" w:line="291" w:lineRule="auto"/>
        <w:rPr>
          <w:sz w:val="20"/>
          <w:szCs w:val="20"/>
          <w:color w:val="auto"/>
        </w:rPr>
      </w:pPr>
      <w:r>
        <w:rPr>
          <w:rFonts w:ascii="Arial" w:cs="Arial" w:eastAsia="Arial" w:hAnsi="Arial"/>
          <w:sz w:val="16"/>
          <w:szCs w:val="16"/>
          <w:color w:val="auto"/>
        </w:rPr>
        <w:t>Number of new portfolio companies invested Number of existing portfolio companies</w:t>
      </w:r>
    </w:p>
    <w:p>
      <w:pPr>
        <w:spacing w:after="0"/>
        <w:rPr>
          <w:sz w:val="20"/>
          <w:szCs w:val="20"/>
          <w:color w:val="auto"/>
        </w:rPr>
      </w:pPr>
      <w:r>
        <w:rPr>
          <w:rFonts w:ascii="Arial" w:cs="Arial" w:eastAsia="Arial" w:hAnsi="Arial"/>
          <w:sz w:val="18"/>
          <w:szCs w:val="18"/>
          <w:color w:val="auto"/>
        </w:rPr>
        <w:t>invested</w:t>
      </w:r>
    </w:p>
    <w:p>
      <w:pPr>
        <w:spacing w:after="0" w:line="9" w:lineRule="exact"/>
        <w:rPr>
          <w:sz w:val="20"/>
          <w:szCs w:val="20"/>
          <w:color w:val="auto"/>
        </w:rPr>
      </w:pPr>
    </w:p>
    <w:p>
      <w:pPr>
        <w:ind w:right="300" w:firstLine="135"/>
        <w:spacing w:after="0" w:line="260" w:lineRule="auto"/>
        <w:rPr>
          <w:sz w:val="20"/>
          <w:szCs w:val="20"/>
          <w:color w:val="auto"/>
        </w:rPr>
      </w:pPr>
      <w:r>
        <w:rPr>
          <w:rFonts w:ascii="Arial" w:cs="Arial" w:eastAsia="Arial" w:hAnsi="Arial"/>
          <w:sz w:val="18"/>
          <w:szCs w:val="18"/>
          <w:color w:val="auto"/>
        </w:rPr>
        <w:t>Number of portfolio companies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9" w:hanging="129"/>
        <w:spacing w:after="0"/>
        <w:tabs>
          <w:tab w:leader="none" w:pos="129" w:val="left"/>
        </w:tabs>
        <w:numPr>
          <w:ilvl w:val="0"/>
          <w:numId w:val="2"/>
        </w:numPr>
        <w:rPr>
          <w:rFonts w:ascii="Arial" w:cs="Arial" w:eastAsia="Arial" w:hAnsi="Arial"/>
          <w:sz w:val="18"/>
          <w:szCs w:val="18"/>
          <w:color w:val="auto"/>
        </w:rPr>
      </w:pPr>
      <w:r>
        <w:rPr>
          <w:rFonts w:ascii="Arial" w:cs="Arial" w:eastAsia="Arial" w:hAnsi="Arial"/>
          <w:sz w:val="18"/>
          <w:szCs w:val="18"/>
          <w:color w:val="auto"/>
        </w:rPr>
        <w:t>623.2</w:t>
      </w:r>
    </w:p>
    <w:p>
      <w:pPr>
        <w:spacing w:after="0" w:line="23" w:lineRule="exact"/>
        <w:rPr>
          <w:rFonts w:ascii="Arial" w:cs="Arial" w:eastAsia="Arial" w:hAnsi="Arial"/>
          <w:sz w:val="18"/>
          <w:szCs w:val="18"/>
          <w:color w:val="auto"/>
        </w:rPr>
      </w:pPr>
    </w:p>
    <w:p>
      <w:pPr>
        <w:ind w:left="129" w:hanging="129"/>
        <w:spacing w:after="0"/>
        <w:tabs>
          <w:tab w:leader="none" w:pos="129" w:val="left"/>
        </w:tabs>
        <w:numPr>
          <w:ilvl w:val="0"/>
          <w:numId w:val="2"/>
        </w:numPr>
        <w:rPr>
          <w:rFonts w:ascii="Arial" w:cs="Arial" w:eastAsia="Arial" w:hAnsi="Arial"/>
          <w:sz w:val="18"/>
          <w:szCs w:val="18"/>
          <w:color w:val="auto"/>
        </w:rPr>
      </w:pPr>
      <w:r>
        <w:rPr>
          <w:rFonts w:ascii="Arial" w:cs="Arial" w:eastAsia="Arial" w:hAnsi="Arial"/>
          <w:sz w:val="18"/>
          <w:szCs w:val="18"/>
          <w:color w:val="auto"/>
        </w:rPr>
        <w:t>345.3</w:t>
      </w:r>
    </w:p>
    <w:p>
      <w:pPr>
        <w:spacing w:after="0" w:line="9" w:lineRule="exact"/>
        <w:rPr>
          <w:rFonts w:ascii="Arial" w:cs="Arial" w:eastAsia="Arial" w:hAnsi="Arial"/>
          <w:sz w:val="18"/>
          <w:szCs w:val="18"/>
          <w:color w:val="auto"/>
        </w:rPr>
      </w:pPr>
    </w:p>
    <w:p>
      <w:pPr>
        <w:ind w:left="129" w:hanging="129"/>
        <w:spacing w:after="0"/>
        <w:tabs>
          <w:tab w:leader="none" w:pos="129" w:val="left"/>
        </w:tabs>
        <w:numPr>
          <w:ilvl w:val="0"/>
          <w:numId w:val="2"/>
        </w:numPr>
        <w:rPr>
          <w:rFonts w:ascii="Arial" w:cs="Arial" w:eastAsia="Arial" w:hAnsi="Arial"/>
          <w:sz w:val="18"/>
          <w:szCs w:val="18"/>
          <w:color w:val="auto"/>
        </w:rPr>
      </w:pPr>
      <w:r>
        <w:rPr>
          <w:rFonts w:ascii="Arial" w:cs="Arial" w:eastAsia="Arial" w:hAnsi="Arial"/>
          <w:sz w:val="18"/>
          <w:szCs w:val="18"/>
          <w:color w:val="auto"/>
        </w:rPr>
        <w:t>10.94</w:t>
      </w:r>
    </w:p>
    <w:p>
      <w:pPr>
        <w:spacing w:after="0" w:line="211" w:lineRule="exact"/>
        <w:rPr>
          <w:sz w:val="20"/>
          <w:szCs w:val="20"/>
          <w:color w:val="auto"/>
        </w:rPr>
      </w:pPr>
    </w:p>
    <w:p>
      <w:pPr>
        <w:ind w:left="9"/>
        <w:spacing w:after="0"/>
        <w:rPr>
          <w:sz w:val="20"/>
          <w:szCs w:val="20"/>
          <w:color w:val="auto"/>
        </w:rPr>
      </w:pPr>
      <w:r>
        <w:rPr>
          <w:rFonts w:ascii="Arial" w:cs="Arial" w:eastAsia="Arial" w:hAnsi="Arial"/>
          <w:sz w:val="18"/>
          <w:szCs w:val="18"/>
          <w:color w:val="auto"/>
        </w:rPr>
        <w:t>$ 236.1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9" w:hanging="129"/>
        <w:spacing w:after="0"/>
        <w:tabs>
          <w:tab w:leader="none" w:pos="129" w:val="left"/>
        </w:tabs>
        <w:numPr>
          <w:ilvl w:val="0"/>
          <w:numId w:val="3"/>
        </w:numPr>
        <w:rPr>
          <w:rFonts w:ascii="Arial" w:cs="Arial" w:eastAsia="Arial" w:hAnsi="Arial"/>
          <w:sz w:val="18"/>
          <w:szCs w:val="18"/>
          <w:color w:val="auto"/>
        </w:rPr>
      </w:pPr>
      <w:r>
        <w:rPr>
          <w:rFonts w:ascii="Arial" w:cs="Arial" w:eastAsia="Arial" w:hAnsi="Arial"/>
          <w:sz w:val="18"/>
          <w:szCs w:val="18"/>
          <w:color w:val="auto"/>
        </w:rPr>
        <w:t>602.5</w:t>
      </w:r>
    </w:p>
    <w:p>
      <w:pPr>
        <w:spacing w:after="0" w:line="23" w:lineRule="exact"/>
        <w:rPr>
          <w:rFonts w:ascii="Arial" w:cs="Arial" w:eastAsia="Arial" w:hAnsi="Arial"/>
          <w:sz w:val="18"/>
          <w:szCs w:val="18"/>
          <w:color w:val="auto"/>
        </w:rPr>
      </w:pPr>
    </w:p>
    <w:p>
      <w:pPr>
        <w:ind w:left="189" w:hanging="189"/>
        <w:spacing w:after="0"/>
        <w:tabs>
          <w:tab w:leader="none" w:pos="189" w:val="left"/>
        </w:tabs>
        <w:numPr>
          <w:ilvl w:val="0"/>
          <w:numId w:val="3"/>
        </w:numPr>
        <w:rPr>
          <w:rFonts w:ascii="Arial" w:cs="Arial" w:eastAsia="Arial" w:hAnsi="Arial"/>
          <w:sz w:val="18"/>
          <w:szCs w:val="18"/>
          <w:color w:val="auto"/>
        </w:rPr>
      </w:pPr>
      <w:r>
        <w:rPr>
          <w:rFonts w:ascii="Arial" w:cs="Arial" w:eastAsia="Arial" w:hAnsi="Arial"/>
          <w:sz w:val="18"/>
          <w:szCs w:val="18"/>
          <w:color w:val="auto"/>
        </w:rPr>
        <w:t>20.7</w:t>
      </w:r>
    </w:p>
    <w:p>
      <w:pPr>
        <w:spacing w:after="0" w:line="9" w:lineRule="exact"/>
        <w:rPr>
          <w:rFonts w:ascii="Arial" w:cs="Arial" w:eastAsia="Arial" w:hAnsi="Arial"/>
          <w:sz w:val="18"/>
          <w:szCs w:val="18"/>
          <w:color w:val="auto"/>
        </w:rPr>
      </w:pPr>
    </w:p>
    <w:p>
      <w:pPr>
        <w:ind w:left="189"/>
        <w:spacing w:after="0"/>
        <w:rPr>
          <w:rFonts w:ascii="Arial" w:cs="Arial" w:eastAsia="Arial" w:hAnsi="Arial"/>
          <w:sz w:val="18"/>
          <w:szCs w:val="18"/>
          <w:color w:val="auto"/>
        </w:rPr>
      </w:pPr>
      <w:r>
        <w:rPr>
          <w:rFonts w:ascii="Arial" w:cs="Arial" w:eastAsia="Arial" w:hAnsi="Arial"/>
          <w:sz w:val="16"/>
          <w:szCs w:val="16"/>
          <w:color w:val="auto"/>
        </w:rPr>
        <w:t>11.9%</w:t>
      </w:r>
    </w:p>
    <w:p>
      <w:pPr>
        <w:spacing w:after="0" w:line="32" w:lineRule="exact"/>
        <w:rPr>
          <w:rFonts w:ascii="Arial" w:cs="Arial" w:eastAsia="Arial" w:hAnsi="Arial"/>
          <w:sz w:val="18"/>
          <w:szCs w:val="18"/>
          <w:color w:val="auto"/>
        </w:rPr>
      </w:pPr>
    </w:p>
    <w:p>
      <w:pPr>
        <w:ind w:left="189"/>
        <w:spacing w:after="0"/>
        <w:rPr>
          <w:rFonts w:ascii="Arial" w:cs="Arial" w:eastAsia="Arial" w:hAnsi="Arial"/>
          <w:sz w:val="18"/>
          <w:szCs w:val="18"/>
          <w:color w:val="auto"/>
        </w:rPr>
      </w:pPr>
      <w:r>
        <w:rPr>
          <w:rFonts w:ascii="Arial" w:cs="Arial" w:eastAsia="Arial" w:hAnsi="Arial"/>
          <w:sz w:val="16"/>
          <w:szCs w:val="16"/>
          <w:color w:val="auto"/>
        </w:rPr>
        <w:t>12.3%</w:t>
      </w:r>
    </w:p>
    <w:p>
      <w:pPr>
        <w:spacing w:after="0" w:line="126" w:lineRule="exact"/>
        <w:rPr>
          <w:sz w:val="20"/>
          <w:szCs w:val="20"/>
          <w:color w:val="auto"/>
        </w:rPr>
      </w:pPr>
    </w:p>
    <w:p>
      <w:pPr>
        <w:ind w:left="269"/>
        <w:spacing w:after="0"/>
        <w:rPr>
          <w:sz w:val="20"/>
          <w:szCs w:val="20"/>
          <w:color w:val="auto"/>
        </w:rPr>
      </w:pPr>
      <w:r>
        <w:rPr>
          <w:rFonts w:ascii="Arial" w:cs="Arial" w:eastAsia="Arial" w:hAnsi="Arial"/>
          <w:sz w:val="16"/>
          <w:szCs w:val="16"/>
          <w:color w:val="auto"/>
        </w:rPr>
        <w:t>2.7%</w:t>
      </w:r>
    </w:p>
    <w:p>
      <w:pPr>
        <w:spacing w:after="0" w:line="200" w:lineRule="exact"/>
        <w:rPr>
          <w:sz w:val="20"/>
          <w:szCs w:val="20"/>
          <w:color w:val="auto"/>
        </w:rPr>
      </w:pPr>
    </w:p>
    <w:p>
      <w:pPr>
        <w:spacing w:after="0" w:line="372" w:lineRule="exact"/>
        <w:rPr>
          <w:sz w:val="20"/>
          <w:szCs w:val="20"/>
          <w:color w:val="auto"/>
        </w:rPr>
      </w:pPr>
    </w:p>
    <w:p>
      <w:pPr>
        <w:ind w:left="309" w:hanging="309"/>
        <w:spacing w:after="0"/>
        <w:tabs>
          <w:tab w:leader="none" w:pos="309" w:val="left"/>
        </w:tabs>
        <w:numPr>
          <w:ilvl w:val="0"/>
          <w:numId w:val="4"/>
        </w:numPr>
        <w:rPr>
          <w:rFonts w:ascii="Arial" w:cs="Arial" w:eastAsia="Arial" w:hAnsi="Arial"/>
          <w:sz w:val="18"/>
          <w:szCs w:val="18"/>
          <w:color w:val="auto"/>
        </w:rPr>
      </w:pPr>
      <w:r>
        <w:rPr>
          <w:rFonts w:ascii="Arial" w:cs="Arial" w:eastAsia="Arial" w:hAnsi="Arial"/>
          <w:sz w:val="18"/>
          <w:szCs w:val="18"/>
          <w:color w:val="auto"/>
        </w:rPr>
        <w:t>8.8</w:t>
      </w:r>
    </w:p>
    <w:p>
      <w:pPr>
        <w:spacing w:after="0" w:line="23" w:lineRule="exact"/>
        <w:rPr>
          <w:rFonts w:ascii="Arial" w:cs="Arial" w:eastAsia="Arial" w:hAnsi="Arial"/>
          <w:sz w:val="18"/>
          <w:szCs w:val="18"/>
          <w:color w:val="auto"/>
        </w:rPr>
      </w:pPr>
    </w:p>
    <w:p>
      <w:pPr>
        <w:ind w:left="229" w:hanging="229"/>
        <w:spacing w:after="0"/>
        <w:tabs>
          <w:tab w:leader="none" w:pos="229" w:val="left"/>
        </w:tabs>
        <w:numPr>
          <w:ilvl w:val="0"/>
          <w:numId w:val="4"/>
        </w:numPr>
        <w:rPr>
          <w:rFonts w:ascii="Arial" w:cs="Arial" w:eastAsia="Arial" w:hAnsi="Arial"/>
          <w:sz w:val="18"/>
          <w:szCs w:val="18"/>
          <w:color w:val="auto"/>
        </w:rPr>
      </w:pPr>
      <w:r>
        <w:rPr>
          <w:rFonts w:ascii="Arial" w:cs="Arial" w:eastAsia="Arial" w:hAnsi="Arial"/>
          <w:sz w:val="18"/>
          <w:szCs w:val="18"/>
          <w:color w:val="auto"/>
        </w:rPr>
        <w:t>0.28</w:t>
      </w:r>
    </w:p>
    <w:p>
      <w:pPr>
        <w:spacing w:after="0" w:line="9" w:lineRule="exact"/>
        <w:rPr>
          <w:rFonts w:ascii="Arial" w:cs="Arial" w:eastAsia="Arial" w:hAnsi="Arial"/>
          <w:sz w:val="18"/>
          <w:szCs w:val="18"/>
          <w:color w:val="auto"/>
        </w:rPr>
      </w:pPr>
    </w:p>
    <w:p>
      <w:pPr>
        <w:ind w:left="229" w:hanging="229"/>
        <w:spacing w:after="0"/>
        <w:tabs>
          <w:tab w:leader="none" w:pos="229" w:val="left"/>
        </w:tabs>
        <w:numPr>
          <w:ilvl w:val="0"/>
          <w:numId w:val="4"/>
        </w:numPr>
        <w:rPr>
          <w:rFonts w:ascii="Arial" w:cs="Arial" w:eastAsia="Arial" w:hAnsi="Arial"/>
          <w:sz w:val="18"/>
          <w:szCs w:val="18"/>
          <w:color w:val="auto"/>
        </w:rPr>
      </w:pPr>
      <w:r>
        <w:rPr>
          <w:rFonts w:ascii="Arial" w:cs="Arial" w:eastAsia="Arial" w:hAnsi="Arial"/>
          <w:sz w:val="18"/>
          <w:szCs w:val="18"/>
          <w:color w:val="auto"/>
        </w:rPr>
        <w:t>0.26</w:t>
      </w:r>
    </w:p>
    <w:p>
      <w:pPr>
        <w:spacing w:after="0" w:line="200" w:lineRule="exact"/>
        <w:rPr>
          <w:sz w:val="20"/>
          <w:szCs w:val="20"/>
          <w:color w:val="auto"/>
        </w:rPr>
      </w:pPr>
    </w:p>
    <w:p>
      <w:pPr>
        <w:spacing w:after="0" w:line="227" w:lineRule="exact"/>
        <w:rPr>
          <w:sz w:val="20"/>
          <w:szCs w:val="20"/>
          <w:color w:val="auto"/>
        </w:rPr>
      </w:pPr>
    </w:p>
    <w:p>
      <w:pPr>
        <w:ind w:left="269" w:hanging="269"/>
        <w:spacing w:after="0"/>
        <w:tabs>
          <w:tab w:leader="none" w:pos="269" w:val="left"/>
        </w:tabs>
        <w:numPr>
          <w:ilvl w:val="0"/>
          <w:numId w:val="5"/>
        </w:numPr>
        <w:rPr>
          <w:rFonts w:ascii="Arial" w:cs="Arial" w:eastAsia="Arial" w:hAnsi="Arial"/>
          <w:sz w:val="18"/>
          <w:szCs w:val="18"/>
          <w:color w:val="auto"/>
        </w:rPr>
      </w:pPr>
      <w:r>
        <w:rPr>
          <w:rFonts w:ascii="Arial" w:cs="Arial" w:eastAsia="Arial" w:hAnsi="Arial"/>
          <w:sz w:val="18"/>
          <w:szCs w:val="18"/>
          <w:color w:val="auto"/>
        </w:rPr>
        <w:t>93.8</w:t>
      </w:r>
    </w:p>
    <w:p>
      <w:pPr>
        <w:spacing w:after="0" w:line="117" w:lineRule="exact"/>
        <w:rPr>
          <w:rFonts w:ascii="Arial" w:cs="Arial" w:eastAsia="Arial" w:hAnsi="Arial"/>
          <w:sz w:val="18"/>
          <w:szCs w:val="18"/>
          <w:color w:val="auto"/>
        </w:rPr>
      </w:pPr>
    </w:p>
    <w:p>
      <w:pPr>
        <w:ind w:left="269" w:hanging="269"/>
        <w:spacing w:after="0"/>
        <w:tabs>
          <w:tab w:leader="none" w:pos="269" w:val="left"/>
        </w:tabs>
        <w:numPr>
          <w:ilvl w:val="0"/>
          <w:numId w:val="5"/>
        </w:numPr>
        <w:rPr>
          <w:rFonts w:ascii="Arial" w:cs="Arial" w:eastAsia="Arial" w:hAnsi="Arial"/>
          <w:sz w:val="18"/>
          <w:szCs w:val="18"/>
          <w:color w:val="auto"/>
        </w:rPr>
      </w:pPr>
      <w:r>
        <w:rPr>
          <w:rFonts w:ascii="Arial" w:cs="Arial" w:eastAsia="Arial" w:hAnsi="Arial"/>
          <w:sz w:val="18"/>
          <w:szCs w:val="18"/>
          <w:color w:val="auto"/>
        </w:rPr>
        <w:t>59.2</w:t>
      </w:r>
    </w:p>
    <w:p>
      <w:pPr>
        <w:spacing w:after="0" w:line="333" w:lineRule="exact"/>
        <w:rPr>
          <w:sz w:val="20"/>
          <w:szCs w:val="20"/>
          <w:color w:val="auto"/>
        </w:rPr>
      </w:pPr>
    </w:p>
    <w:p>
      <w:pPr>
        <w:ind w:left="489"/>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ind w:left="489"/>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ind w:left="409"/>
        <w:spacing w:after="0"/>
        <w:rPr>
          <w:sz w:val="20"/>
          <w:szCs w:val="20"/>
          <w:color w:val="auto"/>
        </w:rPr>
      </w:pPr>
      <w:r>
        <w:rPr>
          <w:rFonts w:ascii="Arial" w:cs="Arial" w:eastAsia="Arial" w:hAnsi="Arial"/>
          <w:sz w:val="18"/>
          <w:szCs w:val="18"/>
          <w:color w:val="auto"/>
        </w:rPr>
        <w:t>42</w:t>
      </w:r>
    </w:p>
    <w:p>
      <w:pPr>
        <w:spacing w:after="0" w:line="347" w:lineRule="exact"/>
        <w:rPr>
          <w:sz w:val="20"/>
          <w:szCs w:val="20"/>
          <w:color w:val="auto"/>
        </w:rPr>
      </w:pPr>
    </w:p>
    <w:p>
      <w:pPr>
        <w:sectPr>
          <w:pgSz w:w="11900" w:h="16838" w:orient="portrait"/>
          <w:cols w:equalWidth="0" w:num="2">
            <w:col w:w="3400" w:space="91"/>
            <w:col w:w="7749"/>
          </w:cols>
          <w:pgMar w:left="320" w:top="409" w:right="339" w:bottom="0" w:gutter="0" w:footer="0" w:header="0"/>
          <w:type w:val="continuous"/>
        </w:sectPr>
      </w:pPr>
    </w:p>
    <w:p>
      <w:pPr>
        <w:spacing w:after="0" w:line="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Except where the context suggests otherwise, the terms “we,” “us,” “our,” "Company" or “PennantPark Investment” refer to PennantPark Investment Corporation and its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AT 10:00 A.M. ET ON AUGUST 5, 2010</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will also host a conference call at 10:00 a.m. (Eastern Time) on Thursday, August 5, 2010 to discuss the quarterly results. All interested parties are welcome to participate. You can access the conference call by dialing (800) 967-7134 approximately 5-10 minutes prior to the call. International callers should dial (719) 325-2312. All callers should reference PennantPark Investment Corporation. An archived replay of the call will be available through August 19, 2010 by calling (888) 203-1112. International callers please dial (719) 457-0820. For all replays, please reference conference ID #4765149.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PORTFOLIO AND INVESTMENT ACTIVITY</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June 30, 2010, our portfolio totaled $623.2 million and consisted of $213.5 million of subordinated debt, $150.5 million of second lien secured debt, $219.4 million of senior secured loans and $39.8 million of preferred and common equity investments. This compares to our portfolio as of September 30, 2009, which totaled $469.8 million and consisted of $157.1 million of subordinated debt, $134.4 million of second lien secured debt, $150.6 million of senior secured loans and $27.7 million of preferred and common equity investments.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core assets totaled $602.5 million and consisted of investments in thirty-eight different companies with an average investment size of $15.9 million per company and a weighted average yield of 12.3% on debt investments as of June 30, 2010. This compares to our core assets as of September 30, 2009, which totaled $427.1 million and consisted of investments in thirty different companies with an average investment size of $14.2 million per company and a weighted average yield of 12.5% on debt investments.</w:t>
      </w:r>
    </w:p>
    <w:p>
      <w:pPr>
        <w:spacing w:after="0" w:line="21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June 30, 2010, our non-core senior secured loan portfolio totaled $20.7 million and consisted of four different companies with an average investment size of $5.2 million, and a weighted average yield of 2.7% on debt investments. This compares to our non-core assets as of September 30, 2009, which</w:t>
      </w:r>
    </w:p>
    <w:p>
      <w:pPr>
        <w:sectPr>
          <w:pgSz w:w="11900" w:h="16838" w:orient="portrait"/>
          <w:cols w:equalWidth="0" w:num="1">
            <w:col w:w="11240"/>
          </w:cols>
          <w:pgMar w:left="320" w:top="409" w:right="339" w:bottom="0" w:gutter="0" w:footer="0" w:header="0"/>
          <w:type w:val="continuous"/>
        </w:sectPr>
      </w:pPr>
    </w:p>
    <w:bookmarkStart w:id="5" w:name="page6"/>
    <w:bookmarkEnd w:id="5"/>
    <w:p>
      <w:pPr>
        <w:ind w:right="220"/>
        <w:spacing w:after="0" w:line="277" w:lineRule="auto"/>
        <w:rPr>
          <w:sz w:val="20"/>
          <w:szCs w:val="20"/>
          <w:color w:val="auto"/>
        </w:rPr>
      </w:pPr>
      <w:r>
        <w:rPr>
          <w:rFonts w:ascii="Arial" w:cs="Arial" w:eastAsia="Arial" w:hAnsi="Arial"/>
          <w:sz w:val="18"/>
          <w:szCs w:val="18"/>
          <w:color w:val="auto"/>
        </w:rPr>
        <w:t>totaled $42.7 million and consisted of thirteen different companies (including one company also in our core portfolio) with an average investment size of $3.3 million and a weighted average yield of 3.1%.</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overall portfolio consisted of forty-two companies with an average investment size of $14.8 million and a weighted average yield on debt investments of 11.9%, and was invested 34% in subordinated debt, 24% in second lien secured debt, 35% in senior secured loans and 7% in preferred and common equity investments as of June 30, 2010. This compares to our overall portfolio as of September 30, 2009, which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right="140"/>
        <w:spacing w:after="0" w:line="279" w:lineRule="auto"/>
        <w:rPr>
          <w:sz w:val="20"/>
          <w:szCs w:val="20"/>
          <w:color w:val="auto"/>
        </w:rPr>
      </w:pPr>
      <w:r>
        <w:rPr>
          <w:rFonts w:ascii="Arial" w:cs="Arial" w:eastAsia="Arial" w:hAnsi="Arial"/>
          <w:sz w:val="17"/>
          <w:szCs w:val="17"/>
          <w:color w:val="auto"/>
        </w:rPr>
        <w:t>For the three months ended June 30, 2010, we invested $93.8 million in three new and four existing portfolio companies with a weighted average yield on debt investments of 14.5%. Sales and repayments of long-term investments totaled $59.2 million for the same period. This compares to the three months ended June 30, 2009, in which we invested $32.6 million in five new and two existing portfolio companies, with an average yield of 14.0% on debt investments. Sales and repayments of long-term investments totaled $7.3 million for the same period.</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pleased with the new investment activity and risk/reward we are seeing in our business. It was also helpful to realize strong returns on several exits during the quarter," said Arthur Penn, Chairman and Chief Executive Officer. “We are particularly pleased to have received an SBIC license, which can help us grow through long term attractively priced financing.”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results of our consolidated operations for the three and nine months ended June 30,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Investment income for the three and nine months ended June 30, 2010, was $16.3 million and $43.4 million, respectively, and was primarily attributable to $6.6 million and $17.9 million from subordinated debt investments, $3.3 million and $9.8 million from second lien secured debt investments and $4.7 million and $11.4 million from senior secured loan investments, respectively. The remaining investment income was primarily attributed to net accretion of discount and amortization of premium and other income. The increase in investment income compared with the same periods in the prior year is due to the growth of our portfolio and the transition of the portfolio from non-core to long-term core investments.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Investment income for the three and nine months ended June 30, 2009, was $10.8 million and $33.3 million, respectively, of which $2.4 million and $7.4 million was attributable to subordinated debt investments, $3.3 million and $10.6 million was attributable to second lien secured debt investments, and $4.3 million and $13.6 million was attributable to senior secured loan investments, respectively. The remaining investment income was primarily attributed to interest income from short-term investments and to net accretion of discount and amortization of premium. The change in investment income compared with the same periods in the prior year is due to the growth of our portfolio, the transition of the portfolio from temporary to long-term core investments offset by lower interest rates on our variable rate portfolio of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Expenses for the three and nine months ended June 30, 2010, totaled $7.5 million and $20.2 million, respectively. For the same respective periods, base management fees totaled $3.0 million and $8.3 million, performance-based incentive fees totaled $2.2 million and $5.8 million, credit facility related expenses totaled $1.0 million and $2.6 million, general and administrative expenses totaled $1.3 million and $3.5 million. For the nine months ended June 30, 2010, an excise tax of $0.1 million was incurred. The increase in expenses is primarily the result of increased management and incentive fees that are driven by the growth of our portfolio and net investment income.</w:t>
      </w:r>
    </w:p>
    <w:p>
      <w:pPr>
        <w:spacing w:after="0" w:line="21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Expenses for the three and nine months ended June 30, 2009, totaled $5.1 million and $16.6 million, respectively. For the same respective periods, base management fees totaled $1.9 million and $5.5 million, performance-based incentive fees totaled $1.4 million and $4.2 million, credit facility related expenses totaled $0.8 million and $3.8 million, general and administrative expenses totaled $1.0 million and $3.1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w:t>
      </w:r>
    </w:p>
    <w:p>
      <w:pPr>
        <w:spacing w:after="0" w:line="25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Net investment income totaled $8.8 million and $23.1 million, or $0.28 and $0.82 per share, for the three and nine months ended June 30, 2010, respectively. For the same respective periods in the prior year, net investment income totaled $5.7 million and $16.7 million, or $0.27 and $0.79 per share.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Realized Gain (Loss)</w:t>
      </w:r>
    </w:p>
    <w:p>
      <w:pPr>
        <w:spacing w:after="0" w:line="25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Sales and repayments of long-term investments for the three and nine months ended June 30, 2010 totaled $59.2 million and $82.7 million, respectively, and realized gains (losses) totaled approximately $0.1 million and $(16.6) million, respectively, due to sales, primarily, of non-core senior secured loans and restructurings on investments offset by repayments on other investments.</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Sales and repayments of long-term investments for the three and nine months ended June 30, 2009 totaled $7.3 million and $12.9 million, respectively, and realized losses totaled approximately $24.7 million and $30.8 million, respectively, due to sales of non-core and core loans as well as restructurings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Net Unrealized Appreciation (Depreciation) on Investments and (Appreciation) Depreciation on Credit Facility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nine months ended June 30, 2010, our investments had a net change in unrealized appreciation (depreciation) of $(1.5) million and $32.3 million, respectively. On June 30, 2010 and September 30, 2009, net unrealized appreciation (depreciation) on investments totaled $4.8 million and $(27.5) million, respectively. The decrease for the quarter in unrealized appreciation on investments is due to recent softness in the leveraged finance markets, which offset to some extent appreciation for the nine months ended June 30, 2010. The year-to-date increase in unrealized appreciation on investments was due to the improvements in the overall leveraged finance credit markets.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three and nine months ended June 30, 2010, our long-term credit facility had a net change in unrealized appreciation of $3.2 million and $28.9 million, respectively. On June 30, 2010 and September 30, 2009, net unrealized depreciation on our long-term credit facility totaled $20.7 million and $49.6 million, respectively, which included the cumulative effect of adoption of ASC 825-10 on our credit facility of $41.8 million. The increase in unrealized appreciation on our credit facility is due to the improvements in the overall leveraged finance credit markets as well as its proximity to maturity.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June 30, 2009, our investments had a net unrealized appreciation of $27.4 million and $12.3 million, respectively. On June 30, 2009 and September 30, 2008, net unrealized depreciation on investments and cash equivalents totaled $59.7 million and $72.0 million, respectively, primarily due to the downturn in the leveraged finance credit markets.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June 30, 2009, our credit facility experienced a net unrealized appreciation of $9.2 million and a net unrealized depreciation $11.4 million, respectively. On June 30, 2009, net unrealized appreciation on our long-term credit facility totaled $53.2 million, which included the cumulative effect of adoption of ASC 825-10 on our credit facility of $41.8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Increase (Decrease) in Net Assets from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increase in net assets resulting from operations totaled $4.3 million and $9.9 million, respectively, or $0.13 and $0.35 per share, respectively, for the three and nine months ended June 30, 2010. The increase in net assets from operations for the three months ended June 30, 2010 is due to net investment income offset by the appreciation on the credit facility and net depreciation on investments. The increase in net assets from operations for the nine months ended June 30, 2010 is due to increases in the fair values of our investments and net investment income offset by the increase in fair value of our credit facility and realized losses on investments.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(decrease) increase in net assets resulting from operations totaled $(0.8) million and $9.6 million, respectively, or $(0.04) and $0.45 per share, respectively, for the three and nine months ended June 30, 2009, primarily due to an increase in investment values and a decline in market value of our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PennantPark Investment's liquidity and capital resources are generated through its senior secured, multi-currency, $300.0 million, five-year revolving credit facility maturing in June 2012 as well as from cash flows from operations, investment sales and prepayments, and income earned from investments, and cash equivalents. On June 30, 2010, we had $256.8 million in borrowings outstanding, with a fair market value of $236.1 million, with a weighted average interest rate at that time of 1.39% exclusive of the fee on the undrawn commitment of 0.20% and $43.2 million remaining unused under our senior secured revolving credit facility.</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Additionally, at June 30, 2010, we had approximately $170 million of select assets, which had a coupon of 9% or lower. We will look to rotate those assets with lower coupons into new higher yielding investments over time.</w:t>
      </w:r>
    </w:p>
    <w:p>
      <w:pPr>
        <w:spacing w:after="0" w:line="19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February 2, 2010, our stockholders approved a proposal that authorizes us to sell shares of our common stock below the then current net asset value per share of our common stock in one or more offerings for a period of 12 months. Any decision to sell shares below the then current net asset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June 30, 2010, we generated operating cash flows primarily from interest earned on debt investments, and our primary use of funds from operations during the same period consisted of investments in portfolio companies, payments of fees and other operating expenses we incurred. For the nine months ended June 30, 2010, our operating activities used cash of $101.6 million and our financing activities provided cash of $69.6 million, primarily from proceeds of common stock offerings.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June 30, 2009,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used cash of $9.8 million for the nine months ended June 30, 2009, and our financing activities used cash of $29.9 million for the same period, primarily from net borrowings on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DISTRIBUTIONS</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three and nine months ended June 30, 2010, we declared distributions of $0.26 and $0.77 per share, respectively, for total distributions of $8.2 million and $22.9 million, respectively. For the same periods in the prior year, we declared distributions of $0.24 and $0.72 per share, respectively, for total distributions of $5.1 million and $15.2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Tax characteristics of all dividends will be reported to stockholders on form 1099-DIV after the end of the calendar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RECENT DEVELOPMENTS</w:t>
      </w:r>
    </w:p>
    <w:p>
      <w:pPr>
        <w:spacing w:after="0" w:line="252"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Effective July 30, 2010, PennantPark Investment’s wholly-owned subsidiary, PennantPark SBIC LP (“SBIC LP”), received a license from the Small Business Administration (“SBA”) to operate as a Small Business Investment Company (“SBIC”) under Section 301(c) of 1958 Act. As an SBIC, PennantPark SBIC LP will be subject to a variety of regulations and oversight by the SBA concerning, among other things, the size and nature of the companies in which it may invest as well as the structure of those investments.</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an SBIC license, SBIC LP may apply for SBA-guaranteed debentures. 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 This means that SBIC LP may access the maximum borrowing if it has $75 million in regulatory capital, which generally equates to the amount of its equity capital. However, we may capitalize SBIC LP with a lesser amount.</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filing of its SBA license application, PennantPark Investment applied for exemptive relief from the SEC to permit us to exclude the debt of SBIC LP from our consolidated asset coverage ratio. There can be no assurance that (i) we will be able to capitalize SBIC LP with the sufficient regulatory capital to access the maximum borrowing amount available or (ii) that we will receive an exemptive relief from the SEC with respect to the SBA-guaranteed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713613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AVAILABLE INFORMATION</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PennantPark Investment Corporation makes available on its website its report on Form 10-Q. The Company has filed its report on Form 10-Q with the Securities Exchange Commission, and stockholders may find the report on www.pennantpark.com.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June 30, 2010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(unaudited)</w:t>
            </w:r>
          </w:p>
        </w:tc>
        <w:tc>
          <w:tcPr>
            <w:tcW w:w="168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September 30, 2009</w:t>
            </w:r>
          </w:p>
        </w:tc>
      </w:tr>
      <w:tr>
        <w:trPr>
          <w:trHeight w:val="202"/>
        </w:trPr>
        <w:tc>
          <w:tcPr>
            <w:tcW w:w="812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Non-controlled, non-affiliated investments, at fair value (cost—$600,409,815 and $479,909,805,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606,401,552</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453,644,335</w:t>
            </w:r>
          </w:p>
        </w:tc>
      </w:tr>
      <w:tr>
        <w:trPr>
          <w:trHeight w:val="223"/>
        </w:trPr>
        <w:tc>
          <w:tcPr>
            <w:tcW w:w="8120" w:type="dxa"/>
            <w:vAlign w:val="bottom"/>
          </w:tcPr>
          <w:p>
            <w:pPr>
              <w:ind w:left="180"/>
              <w:spacing w:after="0"/>
              <w:rPr>
                <w:sz w:val="20"/>
                <w:szCs w:val="20"/>
                <w:color w:val="auto"/>
              </w:rPr>
            </w:pPr>
            <w:r>
              <w:rPr>
                <w:rFonts w:ascii="Arial" w:cs="Arial" w:eastAsia="Arial" w:hAnsi="Arial"/>
                <w:sz w:val="18"/>
                <w:szCs w:val="18"/>
                <w:color w:val="auto"/>
                <w:w w:val="97"/>
              </w:rPr>
              <w:t>Non-controlled, affiliated investments, at fair value (cost—$17,963,471 and $17,378,081, respectively)</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16,776,046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16,115,738</w:t>
            </w:r>
          </w:p>
        </w:tc>
        <w:tc>
          <w:tcPr>
            <w:tcW w:w="100" w:type="dxa"/>
            <w:vAlign w:val="bottom"/>
          </w:tcPr>
          <w:p>
            <w:pPr>
              <w:spacing w:after="0"/>
              <w:rPr>
                <w:sz w:val="19"/>
                <w:szCs w:val="19"/>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of Investments, at fair value (cost—$618,373,286 and $497,287,886, respectively)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623,177,598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1,303,502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7,633,183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5,539,056</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Receivables for investments sold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3,272,912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2,726,007</w:t>
            </w:r>
          </w:p>
        </w:tc>
      </w:tr>
      <w:tr>
        <w:trPr>
          <w:trHeight w:val="223"/>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1,651,324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120" w:type="dxa"/>
            <w:vAlign w:val="bottom"/>
          </w:tcPr>
          <w:p>
            <w:pPr>
              <w:ind w:left="11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637,038,519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512,381,369</w:t>
            </w:r>
          </w:p>
        </w:tc>
      </w:tr>
      <w:tr>
        <w:trPr>
          <w:trHeight w:val="21"/>
        </w:trPr>
        <w:tc>
          <w:tcPr>
            <w:tcW w:w="8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8,205,281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5,056,505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18,675,000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19,489,525</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22,320,388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6,331,385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Credit facility payable, at fair value (cost—$256,800,000 and $225,100,000, 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236,076,000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175,475,380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72,788</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Management fee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3,035,172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2,220,110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2,205,311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1,508,164</w:t>
            </w: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1,105,890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tcPr>
          <w:p>
            <w:pPr>
              <w:spacing w:after="0"/>
              <w:rPr>
                <w:sz w:val="19"/>
                <w:szCs w:val="19"/>
                <w:color w:val="auto"/>
              </w:rPr>
            </w:pPr>
          </w:p>
        </w:tc>
      </w:tr>
      <w:tr>
        <w:trPr>
          <w:trHeight w:val="256"/>
        </w:trPr>
        <w:tc>
          <w:tcPr>
            <w:tcW w:w="812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291,772,469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211,801,101</w:t>
            </w:r>
          </w:p>
        </w:tc>
      </w:tr>
      <w:tr>
        <w:trPr>
          <w:trHeight w:val="210"/>
        </w:trPr>
        <w:tc>
          <w:tcPr>
            <w:tcW w:w="8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12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$0.001 per share, 100,000,000 shares authorized, 31,558,772 and 25,368,772 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31,559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25,369</w:t>
            </w: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issued and outstanding, respectively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384,602,224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327,062,304</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2,242,960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(67,139,005)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(50,494,447)</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4,804,312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(27,527,813)</w:t>
            </w:r>
          </w:p>
        </w:tc>
      </w:tr>
      <w:tr>
        <w:trPr>
          <w:trHeight w:val="223"/>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20,724,000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49,624,620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120" w:type="dxa"/>
            <w:vAlign w:val="bottom"/>
          </w:tcPr>
          <w:p>
            <w:pPr>
              <w:ind w:left="1140"/>
              <w:spacing w:after="0"/>
              <w:rPr>
                <w:sz w:val="20"/>
                <w:szCs w:val="20"/>
                <w:color w:val="auto"/>
              </w:rPr>
            </w:pPr>
            <w:r>
              <w:rPr>
                <w:rFonts w:ascii="Arial" w:cs="Arial" w:eastAsia="Arial" w:hAnsi="Arial"/>
                <w:sz w:val="18"/>
                <w:szCs w:val="18"/>
                <w:b w:val="1"/>
                <w:bCs w:val="1"/>
                <w:color w:val="auto"/>
              </w:rPr>
              <w:t>Total net assets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345,266,050</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300,580,268</w:t>
            </w:r>
          </w:p>
        </w:tc>
      </w:tr>
      <w:tr>
        <w:trPr>
          <w:trHeight w:val="216"/>
        </w:trPr>
        <w:tc>
          <w:tcPr>
            <w:tcW w:w="8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140"/>
              <w:spacing w:after="0"/>
              <w:rPr>
                <w:sz w:val="20"/>
                <w:szCs w:val="20"/>
                <w:color w:val="auto"/>
              </w:rPr>
            </w:pPr>
            <w:r>
              <w:rPr>
                <w:rFonts w:ascii="Arial" w:cs="Arial" w:eastAsia="Arial" w:hAnsi="Arial"/>
                <w:sz w:val="18"/>
                <w:szCs w:val="18"/>
                <w:b w:val="1"/>
                <w:bCs w:val="1"/>
                <w:color w:val="auto"/>
              </w:rPr>
              <w:t>Total liabilities and net assets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637,038,519</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512,381,369</w:t>
            </w:r>
          </w:p>
        </w:tc>
      </w:tr>
      <w:tr>
        <w:trPr>
          <w:trHeight w:val="20"/>
        </w:trPr>
        <w:tc>
          <w:tcPr>
            <w:tcW w:w="8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b w:val="1"/>
                <w:bCs w:val="1"/>
                <w:color w:val="auto"/>
              </w:rPr>
              <w:t>Net asset value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10.94</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r>
      <w:tr>
        <w:trPr>
          <w:trHeight w:val="20"/>
        </w:trPr>
        <w:tc>
          <w:tcPr>
            <w:tcW w:w="8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847"/>
        </w:trPr>
        <w:tc>
          <w:tcPr>
            <w:tcW w:w="8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-858520</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center"/>
        <w:ind w:left="340" w:right="272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0"/>
              </w:rPr>
              <w:t>Three months ended June 30,</w:t>
            </w:r>
          </w:p>
        </w:tc>
        <w:tc>
          <w:tcPr>
            <w:tcW w:w="160" w:type="dxa"/>
            <w:vAlign w:val="bottom"/>
          </w:tcPr>
          <w:p>
            <w:pPr>
              <w:spacing w:after="0"/>
              <w:rPr>
                <w:sz w:val="20"/>
                <w:szCs w:val="20"/>
                <w:color w:val="auto"/>
              </w:rPr>
            </w:pPr>
          </w:p>
        </w:tc>
        <w:tc>
          <w:tcPr>
            <w:tcW w:w="26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2"/>
              </w:rPr>
              <w:t>Nine months ended June 30,</w:t>
            </w:r>
          </w:p>
        </w:tc>
      </w:tr>
      <w:tr>
        <w:trPr>
          <w:trHeight w:val="223"/>
        </w:trPr>
        <w:tc>
          <w:tcPr>
            <w:tcW w:w="5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b w:val="1"/>
                <w:bCs w:val="1"/>
                <w:color w:val="auto"/>
              </w:rPr>
              <w:t>Investment income:</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5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15,404,934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10,333,025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41,140,098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32,129,612</w:t>
            </w:r>
          </w:p>
        </w:tc>
      </w:tr>
      <w:tr>
        <w:trPr>
          <w:trHeight w:val="216"/>
        </w:trPr>
        <w:tc>
          <w:tcPr>
            <w:tcW w:w="5600" w:type="dxa"/>
            <w:vAlign w:val="bottom"/>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594,978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138,335</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1,327,063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152,652</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00" w:type="dxa"/>
            <w:vAlign w:val="bottom"/>
          </w:tcPr>
          <w:p>
            <w:pPr>
              <w:ind w:left="50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298,349</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991,388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988,668</w:t>
            </w:r>
          </w:p>
        </w:tc>
      </w:tr>
      <w:tr>
        <w:trPr>
          <w:trHeight w:val="27"/>
        </w:trPr>
        <w:tc>
          <w:tcPr>
            <w:tcW w:w="5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56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Total investment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16,335,071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10,769,709</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43,458,549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33,270,932</w:t>
            </w:r>
          </w:p>
        </w:tc>
      </w:tr>
      <w:tr>
        <w:trPr>
          <w:trHeight w:val="216"/>
        </w:trPr>
        <w:tc>
          <w:tcPr>
            <w:tcW w:w="5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00" w:type="dxa"/>
            <w:vAlign w:val="bottom"/>
          </w:tcPr>
          <w:p>
            <w:pPr>
              <w:ind w:left="500"/>
              <w:spacing w:after="0"/>
              <w:rPr>
                <w:sz w:val="20"/>
                <w:szCs w:val="20"/>
                <w:color w:val="auto"/>
              </w:rPr>
            </w:pPr>
            <w:r>
              <w:rPr>
                <w:rFonts w:ascii="Arial" w:cs="Arial" w:eastAsia="Arial" w:hAnsi="Arial"/>
                <w:sz w:val="18"/>
                <w:szCs w:val="18"/>
                <w:color w:val="auto"/>
              </w:rPr>
              <w:t>Base management fee</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3,035,172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1,928,082</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8,331,957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5,495,505</w:t>
            </w:r>
          </w:p>
        </w:tc>
      </w:tr>
      <w:tr>
        <w:trPr>
          <w:trHeight w:val="216"/>
        </w:trPr>
        <w:tc>
          <w:tcPr>
            <w:tcW w:w="5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Performance-based incentive fee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2,205,310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1,412,925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5,779,297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4,175,224</w:t>
            </w:r>
          </w:p>
        </w:tc>
      </w:tr>
      <w:tr>
        <w:trPr>
          <w:trHeight w:val="216"/>
        </w:trPr>
        <w:tc>
          <w:tcPr>
            <w:tcW w:w="5600" w:type="dxa"/>
            <w:vAlign w:val="bottom"/>
          </w:tcPr>
          <w:p>
            <w:pPr>
              <w:ind w:left="500"/>
              <w:spacing w:after="0"/>
              <w:rPr>
                <w:sz w:val="20"/>
                <w:szCs w:val="20"/>
                <w:color w:val="auto"/>
              </w:rPr>
            </w:pPr>
            <w:r>
              <w:rPr>
                <w:rFonts w:ascii="Arial" w:cs="Arial" w:eastAsia="Arial" w:hAnsi="Arial"/>
                <w:sz w:val="18"/>
                <w:szCs w:val="18"/>
                <w:color w:val="auto"/>
              </w:rPr>
              <w:t>Interest and other credit facility expenses</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962,597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791,587</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2,619,555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3,817,133</w:t>
            </w:r>
          </w:p>
        </w:tc>
      </w:tr>
      <w:tr>
        <w:trPr>
          <w:trHeight w:val="216"/>
        </w:trPr>
        <w:tc>
          <w:tcPr>
            <w:tcW w:w="5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Administrative services expenses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709,737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582,177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1,806,860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1,558,672</w:t>
            </w:r>
          </w:p>
        </w:tc>
      </w:tr>
      <w:tr>
        <w:trPr>
          <w:trHeight w:val="216"/>
        </w:trPr>
        <w:tc>
          <w:tcPr>
            <w:tcW w:w="5600" w:type="dxa"/>
            <w:vAlign w:val="bottom"/>
          </w:tcPr>
          <w:p>
            <w:pPr>
              <w:ind w:left="500"/>
              <w:spacing w:after="0"/>
              <w:rPr>
                <w:sz w:val="20"/>
                <w:szCs w:val="20"/>
                <w:color w:val="auto"/>
              </w:rPr>
            </w:pPr>
            <w:r>
              <w:rPr>
                <w:rFonts w:ascii="Arial" w:cs="Arial" w:eastAsia="Arial" w:hAnsi="Arial"/>
                <w:sz w:val="18"/>
                <w:szCs w:val="18"/>
                <w:color w:val="auto"/>
              </w:rPr>
              <w:t>Other general and administrative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388,507</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1,705,400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1,523,505</w:t>
            </w:r>
          </w:p>
        </w:tc>
      </w:tr>
      <w:tr>
        <w:trPr>
          <w:trHeight w:val="27"/>
        </w:trPr>
        <w:tc>
          <w:tcPr>
            <w:tcW w:w="5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56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Expenses before taxes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7,513,827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5,103,278</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20,243,069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16,570,039</w:t>
            </w:r>
          </w:p>
        </w:tc>
      </w:tr>
      <w:tr>
        <w:trPr>
          <w:trHeight w:val="216"/>
        </w:trPr>
        <w:tc>
          <w:tcPr>
            <w:tcW w:w="5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5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Excise tax</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560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7,513,827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5,103,278</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20,340,959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16,570,039</w:t>
            </w:r>
          </w:p>
        </w:tc>
      </w:tr>
      <w:tr>
        <w:trPr>
          <w:trHeight w:val="216"/>
        </w:trPr>
        <w:tc>
          <w:tcPr>
            <w:tcW w:w="5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5600" w:type="dxa"/>
            <w:vAlign w:val="bottom"/>
          </w:tcPr>
          <w:p>
            <w:pPr>
              <w:ind w:left="820"/>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8,821,244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5,666,431</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23,117,590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16,700,893</w:t>
            </w:r>
          </w:p>
        </w:tc>
      </w:tr>
      <w:tr>
        <w:trPr>
          <w:trHeight w:val="216"/>
        </w:trPr>
        <w:tc>
          <w:tcPr>
            <w:tcW w:w="5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8"/>
        </w:trPr>
        <w:tc>
          <w:tcPr>
            <w:tcW w:w="5600" w:type="dxa"/>
            <w:vAlign w:val="bottom"/>
          </w:tcPr>
          <w:p>
            <w:pPr>
              <w:spacing w:after="0" w:line="198" w:lineRule="exact"/>
              <w:rPr>
                <w:sz w:val="20"/>
                <w:szCs w:val="20"/>
                <w:color w:val="auto"/>
              </w:rPr>
            </w:pPr>
            <w:r>
              <w:rPr>
                <w:rFonts w:ascii="Arial" w:cs="Arial" w:eastAsia="Arial" w:hAnsi="Arial"/>
                <w:sz w:val="18"/>
                <w:szCs w:val="18"/>
                <w:b w:val="1"/>
                <w:bCs w:val="1"/>
                <w:color w:val="auto"/>
              </w:rPr>
              <w:t>Realized and unrealized gain (loss) on investments and credit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facility:</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(24,701,776)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(16,644,556)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(30,847,040)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Non-controlled, non-affiliated investments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(1,732,131)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27,736,328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32,257,205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14,960,676</w:t>
            </w:r>
          </w:p>
        </w:tc>
      </w:tr>
      <w:tr>
        <w:trPr>
          <w:trHeight w:val="216"/>
        </w:trPr>
        <w:tc>
          <w:tcPr>
            <w:tcW w:w="5600" w:type="dxa"/>
            <w:vAlign w:val="bottom"/>
          </w:tcPr>
          <w:p>
            <w:pPr>
              <w:ind w:left="500"/>
              <w:spacing w:after="0"/>
              <w:rPr>
                <w:sz w:val="20"/>
                <w:szCs w:val="20"/>
                <w:color w:val="auto"/>
              </w:rPr>
            </w:pPr>
            <w:r>
              <w:rPr>
                <w:rFonts w:ascii="Arial" w:cs="Arial" w:eastAsia="Arial" w:hAnsi="Arial"/>
                <w:sz w:val="18"/>
                <w:szCs w:val="18"/>
                <w:color w:val="auto"/>
              </w:rPr>
              <w:t>Non-controlled, affiliated investments</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279,017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(318,107)</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74,918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(2,638,476)</w:t>
            </w:r>
          </w:p>
        </w:tc>
      </w:tr>
      <w:tr>
        <w:trPr>
          <w:trHeight w:val="216"/>
        </w:trPr>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Credit facility unrealized (appreciation) depreciation</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(3,208,992)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(9,202,647)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(28,900,620)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11,446,442</w:t>
            </w:r>
          </w:p>
        </w:tc>
      </w:tr>
      <w:tr>
        <w:trPr>
          <w:trHeight w:val="27"/>
        </w:trPr>
        <w:tc>
          <w:tcPr>
            <w:tcW w:w="5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5600" w:type="dxa"/>
            <w:vAlign w:val="bottom"/>
          </w:tcPr>
          <w:p>
            <w:pPr>
              <w:ind w:left="500"/>
              <w:spacing w:after="0"/>
              <w:rPr>
                <w:sz w:val="20"/>
                <w:szCs w:val="20"/>
                <w:color w:val="auto"/>
              </w:rPr>
            </w:pPr>
            <w:r>
              <w:rPr>
                <w:rFonts w:ascii="Arial" w:cs="Arial" w:eastAsia="Arial" w:hAnsi="Arial"/>
                <w:sz w:val="18"/>
                <w:szCs w:val="18"/>
                <w:color w:val="auto"/>
              </w:rPr>
              <w:t>Net change in unrealized (depreciation) appreciation</w:t>
            </w: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(4,662,106)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18,215,574</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3,431,503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23,768,642</w:t>
            </w:r>
          </w:p>
        </w:tc>
      </w:tr>
      <w:tr>
        <w:trPr>
          <w:trHeight w:val="216"/>
        </w:trPr>
        <w:tc>
          <w:tcPr>
            <w:tcW w:w="5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Net realized and unrealized loss from investments and credit facility</w:t>
            </w: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(4,561,811)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(6,486,202)</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(13,213,053)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(7,078,398)</w:t>
            </w:r>
          </w:p>
        </w:tc>
      </w:tr>
      <w:tr>
        <w:trPr>
          <w:trHeight w:val="216"/>
        </w:trPr>
        <w:tc>
          <w:tcPr>
            <w:tcW w:w="5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4,259,433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(819,771)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9,904,537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9,622,495</w:t>
            </w: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8"/>
        </w:trPr>
        <w:tc>
          <w:tcPr>
            <w:tcW w:w="560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Net increase (decrease) in net assets resulting from operations per</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0.35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per common share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INVESTMENT CORPORATION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Reception: (212) 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Visit us on the web at: www.pennantpark.com</w:t>
      </w:r>
    </w:p>
    <w:p>
      <w:pPr>
        <w:sectPr>
          <w:pgSz w:w="11900" w:h="16838" w:orient="portrait"/>
          <w:cols w:equalWidth="0" w:num="1">
            <w:col w:w="11240"/>
          </w:cols>
          <w:pgMar w:left="320" w:top="850" w:right="339" w:bottom="0"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472440</wp:posOffset>
            </wp:positionV>
            <wp:extent cx="7136130" cy="45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lvl w:ilvl="1">
      <w:lvlJc w:val="left"/>
      <w:lvlText w:val="(%2)"/>
      <w:numFmt w:val="lowerLetter"/>
      <w:start w:val="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2020-05-05T15:06:53Z</dcterms:created>
  <dcterms:modified xsi:type="dcterms:W3CDTF">2020-05-05T15:06:53Z</dcterms:modified>
</cp:coreProperties>
</file>