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June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16"/>
        <w:spacing w:after="0"/>
        <w:rPr>
          <w:sz w:val="20"/>
          <w:szCs w:val="20"/>
          <w:color w:val="auto"/>
        </w:rPr>
      </w:pPr>
      <w:r>
        <w:rPr>
          <w:rFonts w:ascii="Arial" w:cs="Arial" w:eastAsia="Arial" w:hAnsi="Arial"/>
          <w:sz w:val="39"/>
          <w:szCs w:val="39"/>
          <w:b w:val="1"/>
          <w:bCs w:val="1"/>
          <w:color w:val="auto"/>
        </w:rPr>
        <w:t>PennantPark Investment Corporation</w:t>
      </w:r>
    </w:p>
    <w:p>
      <w:pPr>
        <w:spacing w:after="0" w:line="96"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484"/>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814-00736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20-8250744</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1"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4"/>
          <w:szCs w:val="14"/>
          <w:b w:val="1"/>
          <w:bCs w:val="1"/>
          <w:color w:val="auto"/>
        </w:rPr>
        <w:t>(IRS Employer</w:t>
      </w:r>
    </w:p>
    <w:p>
      <w:pPr>
        <w:jc w:val="center"/>
        <w:ind w:right="1060"/>
        <w:spacing w:after="0"/>
        <w:rPr>
          <w:sz w:val="20"/>
          <w:szCs w:val="20"/>
          <w:color w:val="auto"/>
        </w:rPr>
      </w:pPr>
      <w:r>
        <w:rPr>
          <w:rFonts w:ascii="Arial" w:cs="Arial" w:eastAsia="Arial" w:hAnsi="Arial"/>
          <w:sz w:val="13"/>
          <w:szCs w:val="13"/>
          <w:b w:val="1"/>
          <w:bCs w:val="1"/>
          <w:color w:val="auto"/>
        </w:rPr>
        <w:t>Identification Number)</w:t>
      </w:r>
    </w:p>
    <w:p>
      <w:pPr>
        <w:spacing w:after="0" w:line="211" w:lineRule="exact"/>
        <w:rPr>
          <w:sz w:val="24"/>
          <w:szCs w:val="24"/>
          <w:color w:val="auto"/>
        </w:rPr>
      </w:pPr>
    </w:p>
    <w:p>
      <w:pPr>
        <w:sectPr>
          <w:pgSz w:w="11900" w:h="16838" w:orient="portrait"/>
          <w:cols w:equalWidth="0" w:num="3">
            <w:col w:w="4484" w:space="720"/>
            <w:col w:w="2620" w:space="720"/>
            <w:col w:w="2480"/>
          </w:cols>
          <w:pgMar w:left="436" w:top="368" w:right="439" w:bottom="1440" w:gutter="0" w:footer="0" w:header="0"/>
          <w:type w:val="continuous"/>
        </w:sectPr>
      </w:pPr>
    </w:p>
    <w:p>
      <w:pPr>
        <w:spacing w:after="0" w:line="5" w:lineRule="exact"/>
        <w:rPr>
          <w:sz w:val="24"/>
          <w:szCs w:val="24"/>
          <w:color w:val="auto"/>
        </w:rPr>
      </w:pPr>
    </w:p>
    <w:p>
      <w:pPr>
        <w:ind w:left="1904"/>
        <w:spacing w:after="0"/>
        <w:rPr>
          <w:sz w:val="20"/>
          <w:szCs w:val="20"/>
          <w:color w:val="auto"/>
        </w:rPr>
      </w:pPr>
      <w:r>
        <w:rPr>
          <w:rFonts w:ascii="Arial" w:cs="Arial" w:eastAsia="Arial" w:hAnsi="Arial"/>
          <w:sz w:val="16"/>
          <w:szCs w:val="16"/>
          <w:b w:val="1"/>
          <w:bCs w:val="1"/>
          <w:color w:val="auto"/>
        </w:rPr>
        <w:t>1691 Michigan Avenue</w:t>
      </w:r>
    </w:p>
    <w:p>
      <w:pPr>
        <w:spacing w:after="0" w:line="50" w:lineRule="exact"/>
        <w:rPr>
          <w:sz w:val="24"/>
          <w:szCs w:val="24"/>
          <w:color w:val="auto"/>
        </w:rPr>
      </w:pPr>
    </w:p>
    <w:p>
      <w:pPr>
        <w:ind w:left="1944"/>
        <w:spacing w:after="0"/>
        <w:rPr>
          <w:sz w:val="20"/>
          <w:szCs w:val="20"/>
          <w:color w:val="auto"/>
        </w:rPr>
      </w:pPr>
      <w:r>
        <w:rPr>
          <w:rFonts w:ascii="Arial" w:cs="Arial" w:eastAsia="Arial" w:hAnsi="Arial"/>
          <w:sz w:val="17"/>
          <w:szCs w:val="17"/>
          <w:b w:val="1"/>
          <w:bCs w:val="1"/>
          <w:color w:val="auto"/>
        </w:rPr>
        <w:t>Miami Beach, Florida</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33319</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1"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1" w:lineRule="exact"/>
        <w:rPr>
          <w:sz w:val="24"/>
          <w:szCs w:val="24"/>
          <w:color w:val="auto"/>
        </w:rPr>
      </w:pPr>
    </w:p>
    <w:tbl>
      <w:tblPr>
        <w:tblLayout w:type="fixed"/>
        <w:tblInd w:w="4"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Trading 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PNNT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r>
    </w:tbl>
    <w:p>
      <w:pPr>
        <w:spacing w:after="0" w:line="156" w:lineRule="exact"/>
        <w:rPr>
          <w:sz w:val="24"/>
          <w:szCs w:val="24"/>
          <w:color w:val="auto"/>
        </w:rPr>
      </w:pPr>
    </w:p>
    <w:p>
      <w:pPr>
        <w:ind w:left="4"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right="20"/>
        <w:spacing w:after="0" w:line="28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On June 2, 2022, PennantPark Investment Corporation (“PNNT”) and PennantPark Floating Rate Capital Ltd. (“PFLT”) announced that Richard T. Allorto, Jr. has been appointed as the Chief Financial Officer and Treasurer of each of PNNT and PFLT, effective as of June 13, 2022. In addition to his role with each of PNNT and PFLT, Mr. Allorto has also been named a senior executive on the Finance and Operations team of PennantPark Investment Administration, LLC, the investment administrator for each of PNNT and PFLT.</w:t>
      </w:r>
    </w:p>
    <w:p>
      <w:pPr>
        <w:spacing w:after="0" w:line="18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Mr. Allorto, 50, most recently served as Chief Financial Officer of Medley Management, Inc. and Chief Financial Officer and Secretary of Sierra Income Corporation. From January 2011 to December 2020, Mr. Allorto served as Chief Financial Officer and Secretary of Medley Capital Corporation. Prior to joining Medley, Mr. Allorto held various positions at GSC Group, Inc., a registered investment adviser, including, Chief Financial Officer of GSC Investment Corp, a business development company that was externally managed by GSC Group. Mr. Allorto began his career at Arthur Andersen in public accounting in 1994. Mr. Allorto is a licensed CPA and received a B.S. in Accounting from Seton Hall University.</w:t>
      </w:r>
    </w:p>
    <w:p>
      <w:pPr>
        <w:spacing w:after="0" w:line="16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There are no reportable family relationships or related party transactions (as defined in Item 404(a) of Regulation S-K) involving PNNT or PFLT, on the one hand, and Mr. Allorto, on the other hand.</w:t>
      </w:r>
    </w:p>
    <w:p>
      <w:pPr>
        <w:spacing w:after="0" w:line="170"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Effective with Mr. Allorto’s appointment as Chief Financial Officer and Treasurer of PNNT and PFLT, Mr. Allorto will report to Richard Cheung, who will continue to serve as Chief Financial Officer of the PennantPark Investment Advisers, LLC (the “Advisor”) and the other private funds advised by the Advisor. These changes were not the result of any disagreement with PNNT or PFLT.</w:t>
      </w:r>
    </w:p>
    <w:p>
      <w:pPr>
        <w:spacing w:after="0" w:line="20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June 2, 2022</w:t>
      </w:r>
      <w:r>
        <w:rPr>
          <w:sz w:val="20"/>
          <w:szCs w:val="20"/>
          <w:color w:val="auto"/>
        </w:rPr>
        <w:tab/>
      </w: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14605</wp:posOffset>
            </wp:positionV>
            <wp:extent cx="32143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Arthur Penn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Executive Officer</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2022-06-02T15:21:59Z</dcterms:created>
  <dcterms:modified xsi:type="dcterms:W3CDTF">2022-06-02T15:21:59Z</dcterms:modified>
</cp:coreProperties>
</file>