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Pursuant to Rule 497(a)</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333-230014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Rule 482ad</w:t>
      </w:r>
    </w:p>
    <w:p>
      <w:pPr>
        <w:spacing w:after="0" w:line="211" w:lineRule="exact"/>
        <w:rPr>
          <w:sz w:val="24"/>
          <w:szCs w:val="24"/>
          <w:color w:val="auto"/>
        </w:rPr>
      </w:pPr>
    </w:p>
    <w:p>
      <w:pPr>
        <w:ind w:left="3264"/>
        <w:spacing w:after="0"/>
        <w:rPr>
          <w:sz w:val="20"/>
          <w:szCs w:val="20"/>
          <w:color w:val="auto"/>
        </w:rPr>
      </w:pPr>
      <w:r>
        <w:rPr>
          <w:rFonts w:ascii="Arial" w:cs="Arial" w:eastAsia="Arial" w:hAnsi="Arial"/>
          <w:sz w:val="18"/>
          <w:szCs w:val="18"/>
          <w:color w:val="auto"/>
        </w:rPr>
        <w:t>[TEXT OF COMMUNICATION SENT VIA BLOOMBERG]</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launched: $150mm @ 4.5% coupon to yield 4.625%</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At: 04/14/21 12:37:21</w:t>
      </w:r>
    </w:p>
    <w:p>
      <w:pPr>
        <w:spacing w:after="0" w:line="23" w:lineRule="exact"/>
        <w:rPr>
          <w:sz w:val="24"/>
          <w:szCs w:val="24"/>
          <w:color w:val="auto"/>
        </w:rPr>
      </w:pPr>
    </w:p>
    <w:p>
      <w:pPr>
        <w:ind w:left="4"/>
        <w:spacing w:after="0"/>
        <w:rPr>
          <w:sz w:val="20"/>
          <w:szCs w:val="20"/>
          <w:color w:val="auto"/>
        </w:rPr>
      </w:pPr>
      <w:r>
        <w:rPr>
          <w:rFonts w:ascii="Arial" w:cs="Arial" w:eastAsia="Arial" w:hAnsi="Arial"/>
          <w:sz w:val="18"/>
          <w:szCs w:val="18"/>
          <w:color w:val="auto"/>
        </w:rPr>
        <w:t>Subject: **PennantPart Investment Corp.**Sr Nts New Issue**RJ Lead</w:t>
      </w:r>
    </w:p>
    <w:p>
      <w:pPr>
        <w:spacing w:after="0" w:line="211" w:lineRule="exact"/>
        <w:rPr>
          <w:sz w:val="24"/>
          <w:szCs w:val="24"/>
          <w:color w:val="auto"/>
        </w:rPr>
      </w:pPr>
    </w:p>
    <w:p>
      <w:pPr>
        <w:ind w:left="4"/>
        <w:spacing w:after="0"/>
        <w:rPr>
          <w:sz w:val="20"/>
          <w:szCs w:val="20"/>
          <w:color w:val="auto"/>
        </w:rPr>
      </w:pPr>
      <w:r>
        <w:rPr>
          <w:rFonts w:ascii="Arial" w:cs="Arial" w:eastAsia="Arial" w:hAnsi="Arial"/>
          <w:sz w:val="18"/>
          <w:szCs w:val="18"/>
          <w:color w:val="auto"/>
        </w:rPr>
        <w:t>book closing 1:15pm ET</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At: 04/14/21 10:34:26</w:t>
      </w:r>
    </w:p>
    <w:p>
      <w:pPr>
        <w:spacing w:after="0" w:line="23" w:lineRule="exact"/>
        <w:rPr>
          <w:sz w:val="24"/>
          <w:szCs w:val="24"/>
          <w:color w:val="auto"/>
        </w:rPr>
      </w:pPr>
    </w:p>
    <w:p>
      <w:pPr>
        <w:ind w:left="4"/>
        <w:spacing w:after="0"/>
        <w:rPr>
          <w:sz w:val="20"/>
          <w:szCs w:val="20"/>
          <w:color w:val="auto"/>
        </w:rPr>
      </w:pPr>
      <w:r>
        <w:rPr>
          <w:rFonts w:ascii="Arial" w:cs="Arial" w:eastAsia="Arial" w:hAnsi="Arial"/>
          <w:sz w:val="18"/>
          <w:szCs w:val="18"/>
          <w:color w:val="auto"/>
        </w:rPr>
        <w:t>Subject: **PennantPart Investment Corp.**Sr Nts New Issue**RJ Lead</w:t>
      </w:r>
    </w:p>
    <w:p>
      <w:pPr>
        <w:sectPr>
          <w:pgSz w:w="11900" w:h="16838" w:orient="portrait"/>
          <w:cols w:equalWidth="0" w:num="1">
            <w:col w:w="11024"/>
          </w:cols>
          <w:pgMar w:left="436" w:top="233" w:right="439" w:bottom="1440" w:gutter="0" w:footer="0" w:header="0"/>
        </w:sectPr>
      </w:pPr>
    </w:p>
    <w:p>
      <w:pPr>
        <w:spacing w:after="0" w:line="238" w:lineRule="exact"/>
        <w:rPr>
          <w:sz w:val="24"/>
          <w:szCs w:val="24"/>
          <w:color w:val="auto"/>
        </w:rPr>
      </w:pPr>
    </w:p>
    <w:p>
      <w:pPr>
        <w:ind w:left="4"/>
        <w:spacing w:after="0"/>
        <w:rPr>
          <w:sz w:val="20"/>
          <w:szCs w:val="20"/>
          <w:color w:val="auto"/>
        </w:rPr>
      </w:pPr>
      <w:r>
        <w:rPr>
          <w:rFonts w:ascii="Arial" w:cs="Arial" w:eastAsia="Arial" w:hAnsi="Arial"/>
          <w:sz w:val="15"/>
          <w:szCs w:val="15"/>
          <w:color w:val="auto"/>
        </w:rPr>
        <w:t>Issuer:</w:t>
      </w:r>
    </w:p>
    <w:p>
      <w:pPr>
        <w:spacing w:after="0" w:line="20" w:lineRule="exact"/>
        <w:rPr>
          <w:sz w:val="24"/>
          <w:szCs w:val="24"/>
          <w:color w:val="auto"/>
        </w:rPr>
      </w:pPr>
      <w:r>
        <w:rPr>
          <w:sz w:val="24"/>
          <w:szCs w:val="24"/>
          <w:color w:val="auto"/>
        </w:rPr>
        <w:br w:type="column"/>
      </w:r>
    </w:p>
    <w:p>
      <w:pPr>
        <w:spacing w:after="0" w:line="218" w:lineRule="exact"/>
        <w:rPr>
          <w:sz w:val="24"/>
          <w:szCs w:val="24"/>
          <w:color w:val="auto"/>
        </w:rPr>
      </w:pPr>
    </w:p>
    <w:p>
      <w:pPr>
        <w:spacing w:after="0"/>
        <w:rPr>
          <w:sz w:val="20"/>
          <w:szCs w:val="20"/>
          <w:color w:val="auto"/>
        </w:rPr>
      </w:pPr>
      <w:r>
        <w:rPr>
          <w:rFonts w:ascii="Arial" w:cs="Arial" w:eastAsia="Arial" w:hAnsi="Arial"/>
          <w:sz w:val="16"/>
          <w:szCs w:val="16"/>
          <w:color w:val="auto"/>
        </w:rPr>
        <w:t>PennantPark Investment Corporation (“PNNT”)</w:t>
      </w:r>
    </w:p>
    <w:p>
      <w:pPr>
        <w:spacing w:after="0" w:line="140" w:lineRule="exact"/>
        <w:rPr>
          <w:sz w:val="24"/>
          <w:szCs w:val="24"/>
          <w:color w:val="auto"/>
        </w:rPr>
      </w:pPr>
    </w:p>
    <w:p>
      <w:pPr>
        <w:sectPr>
          <w:pgSz w:w="11900" w:h="16838" w:orient="portrait"/>
          <w:cols w:equalWidth="0" w:num="2">
            <w:col w:w="824" w:space="720"/>
            <w:col w:w="9480"/>
          </w:cols>
          <w:pgMar w:left="436" w:top="233" w:right="439" w:bottom="1440" w:gutter="0" w:footer="0" w:header="0"/>
          <w:type w:val="continuous"/>
        </w:sectPr>
      </w:pPr>
    </w:p>
    <w:p>
      <w:pPr>
        <w:ind w:left="4"/>
        <w:spacing w:after="0"/>
        <w:rPr>
          <w:sz w:val="20"/>
          <w:szCs w:val="20"/>
          <w:color w:val="auto"/>
        </w:rPr>
      </w:pPr>
      <w:r>
        <w:rPr>
          <w:rFonts w:ascii="Arial" w:cs="Arial" w:eastAsia="Arial" w:hAnsi="Arial"/>
          <w:sz w:val="16"/>
          <w:szCs w:val="16"/>
          <w:color w:val="auto"/>
        </w:rPr>
        <w:t>Security Type: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Senior Unsecured Notes</w:t>
      </w:r>
    </w:p>
    <w:p>
      <w:pPr>
        <w:spacing w:after="0" w:line="140" w:lineRule="exact"/>
        <w:rPr>
          <w:sz w:val="24"/>
          <w:szCs w:val="24"/>
          <w:color w:val="auto"/>
        </w:rPr>
      </w:pPr>
    </w:p>
    <w:p>
      <w:pPr>
        <w:sectPr>
          <w:pgSz w:w="11900" w:h="16838" w:orient="portrait"/>
          <w:cols w:equalWidth="0" w:num="2">
            <w:col w:w="1044" w:space="500"/>
            <w:col w:w="9480"/>
          </w:cols>
          <w:pgMar w:left="436" w:top="233" w:right="439" w:bottom="1440" w:gutter="0" w:footer="0" w:header="0"/>
          <w:type w:val="continuous"/>
        </w:sectPr>
      </w:pPr>
    </w:p>
    <w:p>
      <w:pPr>
        <w:ind w:left="4"/>
        <w:spacing w:after="0"/>
        <w:rPr>
          <w:sz w:val="20"/>
          <w:szCs w:val="20"/>
          <w:color w:val="auto"/>
        </w:rPr>
      </w:pPr>
      <w:r>
        <w:rPr>
          <w:rFonts w:ascii="Arial" w:cs="Arial" w:eastAsia="Arial" w:hAnsi="Arial"/>
          <w:sz w:val="16"/>
          <w:szCs w:val="16"/>
          <w:color w:val="auto"/>
        </w:rPr>
        <w:t>Size: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$100mm+</w:t>
      </w:r>
    </w:p>
    <w:p>
      <w:pPr>
        <w:spacing w:after="0" w:line="140" w:lineRule="exact"/>
        <w:rPr>
          <w:sz w:val="24"/>
          <w:szCs w:val="24"/>
          <w:color w:val="auto"/>
        </w:rPr>
      </w:pPr>
    </w:p>
    <w:p>
      <w:pPr>
        <w:sectPr>
          <w:pgSz w:w="11900" w:h="16838" w:orient="portrait"/>
          <w:cols w:equalWidth="0" w:num="2">
            <w:col w:w="824" w:space="720"/>
            <w:col w:w="9480"/>
          </w:cols>
          <w:pgMar w:left="436" w:top="233" w:right="439" w:bottom="1440" w:gutter="0" w:footer="0" w:header="0"/>
          <w:type w:val="continuous"/>
        </w:sectPr>
      </w:pPr>
    </w:p>
    <w:p>
      <w:pPr>
        <w:ind w:left="4"/>
        <w:spacing w:after="0"/>
        <w:rPr>
          <w:sz w:val="20"/>
          <w:szCs w:val="20"/>
          <w:color w:val="auto"/>
        </w:rPr>
      </w:pPr>
      <w:r>
        <w:rPr>
          <w:rFonts w:ascii="Arial" w:cs="Arial" w:eastAsia="Arial" w:hAnsi="Arial"/>
          <w:sz w:val="16"/>
          <w:szCs w:val="16"/>
          <w:color w:val="auto"/>
        </w:rPr>
        <w:t>Format: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SEC Registered</w:t>
      </w:r>
    </w:p>
    <w:p>
      <w:pPr>
        <w:spacing w:after="0" w:line="140" w:lineRule="exact"/>
        <w:rPr>
          <w:sz w:val="24"/>
          <w:szCs w:val="24"/>
          <w:color w:val="auto"/>
        </w:rPr>
      </w:pPr>
    </w:p>
    <w:p>
      <w:pPr>
        <w:sectPr>
          <w:pgSz w:w="11900" w:h="16838" w:orient="portrait"/>
          <w:cols w:equalWidth="0" w:num="2">
            <w:col w:w="824" w:space="720"/>
            <w:col w:w="9480"/>
          </w:cols>
          <w:pgMar w:left="436" w:top="233" w:right="439" w:bottom="1440" w:gutter="0" w:footer="0" w:header="0"/>
          <w:type w:val="continuous"/>
        </w:sectPr>
      </w:pPr>
    </w:p>
    <w:p>
      <w:pPr>
        <w:ind w:left="4"/>
        <w:spacing w:after="0"/>
        <w:rPr>
          <w:sz w:val="20"/>
          <w:szCs w:val="20"/>
          <w:color w:val="auto"/>
        </w:rPr>
      </w:pPr>
      <w:r>
        <w:rPr>
          <w:rFonts w:ascii="Arial" w:cs="Arial" w:eastAsia="Arial" w:hAnsi="Arial"/>
          <w:sz w:val="17"/>
          <w:szCs w:val="17"/>
          <w:color w:val="auto"/>
        </w:rPr>
        <w:t>Maturity: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May 1, 2026</w:t>
      </w:r>
    </w:p>
    <w:p>
      <w:pPr>
        <w:spacing w:after="0" w:line="140" w:lineRule="exact"/>
        <w:rPr>
          <w:sz w:val="24"/>
          <w:szCs w:val="24"/>
          <w:color w:val="auto"/>
        </w:rPr>
      </w:pPr>
    </w:p>
    <w:p>
      <w:pPr>
        <w:sectPr>
          <w:pgSz w:w="11900" w:h="16838" w:orient="portrait"/>
          <w:cols w:equalWidth="0" w:num="2">
            <w:col w:w="824" w:space="720"/>
            <w:col w:w="9480"/>
          </w:cols>
          <w:pgMar w:left="436" w:top="233" w:right="439" w:bottom="1440" w:gutter="0" w:footer="0" w:header="0"/>
          <w:type w:val="continuous"/>
        </w:sectPr>
      </w:pPr>
    </w:p>
    <w:p>
      <w:pPr>
        <w:ind w:left="4"/>
        <w:spacing w:after="0"/>
        <w:rPr>
          <w:sz w:val="20"/>
          <w:szCs w:val="20"/>
          <w:color w:val="auto"/>
        </w:rPr>
      </w:pPr>
      <w:r>
        <w:rPr>
          <w:rFonts w:ascii="Arial" w:cs="Arial" w:eastAsia="Arial" w:hAnsi="Arial"/>
          <w:sz w:val="16"/>
          <w:szCs w:val="16"/>
          <w:color w:val="auto"/>
        </w:rPr>
        <w:t>Expected Rating:</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BBB (Egan-Jones)*</w:t>
      </w:r>
    </w:p>
    <w:p>
      <w:pPr>
        <w:spacing w:after="0" w:line="140" w:lineRule="exact"/>
        <w:rPr>
          <w:sz w:val="24"/>
          <w:szCs w:val="24"/>
          <w:color w:val="auto"/>
        </w:rPr>
      </w:pPr>
    </w:p>
    <w:p>
      <w:pPr>
        <w:sectPr>
          <w:pgSz w:w="11900" w:h="16838" w:orient="portrait"/>
          <w:cols w:equalWidth="0" w:num="2">
            <w:col w:w="1244" w:space="300"/>
            <w:col w:w="9480"/>
          </w:cols>
          <w:pgMar w:left="436" w:top="233" w:right="439" w:bottom="1440" w:gutter="0" w:footer="0" w:header="0"/>
          <w:type w:val="continuous"/>
        </w:sectPr>
      </w:pPr>
    </w:p>
    <w:p>
      <w:pPr>
        <w:ind w:left="4"/>
        <w:spacing w:after="0"/>
        <w:rPr>
          <w:sz w:val="20"/>
          <w:szCs w:val="20"/>
          <w:color w:val="auto"/>
        </w:rPr>
      </w:pPr>
      <w:r>
        <w:rPr>
          <w:rFonts w:ascii="Arial" w:cs="Arial" w:eastAsia="Arial" w:hAnsi="Arial"/>
          <w:sz w:val="15"/>
          <w:szCs w:val="15"/>
          <w:color w:val="auto"/>
        </w:rPr>
        <w:t>Use of Proceeds: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Reduce outstanding obligations under the Credit Facility, new investments or other general corporate purposes</w:t>
      </w:r>
    </w:p>
    <w:p>
      <w:pPr>
        <w:spacing w:after="0" w:line="140" w:lineRule="exact"/>
        <w:rPr>
          <w:sz w:val="24"/>
          <w:szCs w:val="24"/>
          <w:color w:val="auto"/>
        </w:rPr>
      </w:pPr>
    </w:p>
    <w:p>
      <w:pPr>
        <w:sectPr>
          <w:pgSz w:w="11900" w:h="16838" w:orient="portrait"/>
          <w:cols w:equalWidth="0" w:num="2">
            <w:col w:w="1224" w:space="320"/>
            <w:col w:w="9480"/>
          </w:cols>
          <w:pgMar w:left="436" w:top="233" w:right="439" w:bottom="1440" w:gutter="0" w:footer="0" w:header="0"/>
          <w:type w:val="continuous"/>
        </w:sectPr>
      </w:pPr>
    </w:p>
    <w:p>
      <w:pPr>
        <w:ind w:left="4"/>
        <w:spacing w:after="0"/>
        <w:rPr>
          <w:sz w:val="20"/>
          <w:szCs w:val="20"/>
          <w:color w:val="auto"/>
        </w:rPr>
      </w:pPr>
      <w:r>
        <w:rPr>
          <w:rFonts w:ascii="Arial" w:cs="Arial" w:eastAsia="Arial" w:hAnsi="Arial"/>
          <w:sz w:val="16"/>
          <w:szCs w:val="16"/>
          <w:color w:val="auto"/>
        </w:rPr>
        <w:t>Opt Redemption: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Make Whole Call; 3 month par call prior to maturity</w:t>
      </w:r>
    </w:p>
    <w:p>
      <w:pPr>
        <w:spacing w:after="0" w:line="140" w:lineRule="exact"/>
        <w:rPr>
          <w:sz w:val="24"/>
          <w:szCs w:val="24"/>
          <w:color w:val="auto"/>
        </w:rPr>
      </w:pPr>
    </w:p>
    <w:p>
      <w:pPr>
        <w:sectPr>
          <w:pgSz w:w="11900" w:h="16838" w:orient="portrait"/>
          <w:cols w:equalWidth="0" w:num="2">
            <w:col w:w="1244" w:space="300"/>
            <w:col w:w="9480"/>
          </w:cols>
          <w:pgMar w:left="436" w:top="233" w:right="439" w:bottom="1440" w:gutter="0" w:footer="0" w:header="0"/>
          <w:type w:val="continuous"/>
        </w:sectPr>
      </w:pPr>
    </w:p>
    <w:p>
      <w:pPr>
        <w:ind w:left="4"/>
        <w:spacing w:after="0"/>
        <w:rPr>
          <w:sz w:val="20"/>
          <w:szCs w:val="20"/>
          <w:color w:val="auto"/>
        </w:rPr>
      </w:pPr>
      <w:r>
        <w:rPr>
          <w:rFonts w:ascii="Arial" w:cs="Arial" w:eastAsia="Arial" w:hAnsi="Arial"/>
          <w:sz w:val="16"/>
          <w:szCs w:val="16"/>
          <w:color w:val="auto"/>
        </w:rPr>
        <w:t>Joint Bookrunners: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Raymond James (B&amp;D) / KBW / Truist / JPM</w:t>
      </w:r>
    </w:p>
    <w:p>
      <w:pPr>
        <w:spacing w:after="0" w:line="140" w:lineRule="exact"/>
        <w:rPr>
          <w:sz w:val="24"/>
          <w:szCs w:val="24"/>
          <w:color w:val="auto"/>
        </w:rPr>
      </w:pPr>
    </w:p>
    <w:p>
      <w:pPr>
        <w:sectPr>
          <w:pgSz w:w="11900" w:h="16838" w:orient="portrait"/>
          <w:cols w:equalWidth="0" w:num="2">
            <w:col w:w="1384" w:space="160"/>
            <w:col w:w="9480"/>
          </w:cols>
          <w:pgMar w:left="436" w:top="233" w:right="439" w:bottom="1440" w:gutter="0" w:footer="0" w:header="0"/>
          <w:type w:val="continuous"/>
        </w:sectPr>
      </w:pPr>
    </w:p>
    <w:p>
      <w:pPr>
        <w:ind w:left="4"/>
        <w:spacing w:after="0"/>
        <w:rPr>
          <w:sz w:val="20"/>
          <w:szCs w:val="20"/>
          <w:color w:val="auto"/>
        </w:rPr>
      </w:pPr>
      <w:r>
        <w:rPr>
          <w:rFonts w:ascii="Arial" w:cs="Arial" w:eastAsia="Arial" w:hAnsi="Arial"/>
          <w:sz w:val="16"/>
          <w:szCs w:val="16"/>
          <w:color w:val="auto"/>
        </w:rPr>
        <w:t>Co-Managers: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Compass Point / JMP / Ladenburg / Capital One</w:t>
      </w:r>
    </w:p>
    <w:p>
      <w:pPr>
        <w:spacing w:after="0" w:line="140" w:lineRule="exact"/>
        <w:rPr>
          <w:sz w:val="24"/>
          <w:szCs w:val="24"/>
          <w:color w:val="auto"/>
        </w:rPr>
      </w:pPr>
    </w:p>
    <w:p>
      <w:pPr>
        <w:sectPr>
          <w:pgSz w:w="11900" w:h="16838" w:orient="portrait"/>
          <w:cols w:equalWidth="0" w:num="2">
            <w:col w:w="1024" w:space="520"/>
            <w:col w:w="9480"/>
          </w:cols>
          <w:pgMar w:left="436" w:top="233" w:right="439" w:bottom="1440" w:gutter="0" w:footer="0" w:header="0"/>
          <w:type w:val="continuous"/>
        </w:sectPr>
      </w:pPr>
    </w:p>
    <w:p>
      <w:pPr>
        <w:ind w:left="4"/>
        <w:spacing w:after="0"/>
        <w:rPr>
          <w:sz w:val="20"/>
          <w:szCs w:val="20"/>
          <w:color w:val="auto"/>
        </w:rPr>
      </w:pPr>
      <w:r>
        <w:rPr>
          <w:rFonts w:ascii="Arial" w:cs="Arial" w:eastAsia="Arial" w:hAnsi="Arial"/>
          <w:sz w:val="16"/>
          <w:szCs w:val="16"/>
          <w:color w:val="auto"/>
        </w:rPr>
        <w:t>IPT: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4.75% area</w:t>
      </w:r>
    </w:p>
    <w:p>
      <w:pPr>
        <w:spacing w:after="0" w:line="140" w:lineRule="exact"/>
        <w:rPr>
          <w:sz w:val="24"/>
          <w:szCs w:val="24"/>
          <w:color w:val="auto"/>
        </w:rPr>
      </w:pPr>
    </w:p>
    <w:p>
      <w:pPr>
        <w:sectPr>
          <w:pgSz w:w="11900" w:h="16838" w:orient="portrait"/>
          <w:cols w:equalWidth="0" w:num="2">
            <w:col w:w="824" w:space="720"/>
            <w:col w:w="9480"/>
          </w:cols>
          <w:pgMar w:left="436" w:top="233" w:right="439" w:bottom="1440" w:gutter="0" w:footer="0" w:header="0"/>
          <w:type w:val="continuous"/>
        </w:sectPr>
      </w:pPr>
    </w:p>
    <w:p>
      <w:pPr>
        <w:ind w:left="4"/>
        <w:spacing w:after="0"/>
        <w:rPr>
          <w:sz w:val="20"/>
          <w:szCs w:val="20"/>
          <w:color w:val="auto"/>
        </w:rPr>
      </w:pPr>
      <w:r>
        <w:rPr>
          <w:rFonts w:ascii="Arial" w:cs="Arial" w:eastAsia="Arial" w:hAnsi="Arial"/>
          <w:sz w:val="15"/>
          <w:szCs w:val="15"/>
          <w:color w:val="auto"/>
        </w:rPr>
        <w:t>Denoms: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$2,000 x $1,000</w:t>
      </w:r>
    </w:p>
    <w:p>
      <w:pPr>
        <w:spacing w:after="0" w:line="140" w:lineRule="exact"/>
        <w:rPr>
          <w:sz w:val="24"/>
          <w:szCs w:val="24"/>
          <w:color w:val="auto"/>
        </w:rPr>
      </w:pPr>
    </w:p>
    <w:p>
      <w:pPr>
        <w:sectPr>
          <w:pgSz w:w="11900" w:h="16838" w:orient="portrait"/>
          <w:cols w:equalWidth="0" w:num="2">
            <w:col w:w="824" w:space="720"/>
            <w:col w:w="9480"/>
          </w:cols>
          <w:pgMar w:left="436" w:top="233" w:right="439" w:bottom="1440" w:gutter="0" w:footer="0" w:header="0"/>
          <w:type w:val="continuous"/>
        </w:sectPr>
      </w:pPr>
    </w:p>
    <w:p>
      <w:pPr>
        <w:ind w:left="4"/>
        <w:spacing w:after="0"/>
        <w:rPr>
          <w:sz w:val="20"/>
          <w:szCs w:val="20"/>
          <w:color w:val="auto"/>
        </w:rPr>
      </w:pPr>
      <w:r>
        <w:rPr>
          <w:rFonts w:ascii="Arial" w:cs="Arial" w:eastAsia="Arial" w:hAnsi="Arial"/>
          <w:sz w:val="16"/>
          <w:szCs w:val="16"/>
          <w:color w:val="auto"/>
        </w:rPr>
        <w:t>Settlement: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T+5 (April 21, 2021)</w:t>
      </w:r>
    </w:p>
    <w:p>
      <w:pPr>
        <w:spacing w:after="0" w:line="129" w:lineRule="exact"/>
        <w:rPr>
          <w:sz w:val="24"/>
          <w:szCs w:val="24"/>
          <w:color w:val="auto"/>
        </w:rPr>
      </w:pPr>
    </w:p>
    <w:p>
      <w:pPr>
        <w:sectPr>
          <w:pgSz w:w="11900" w:h="16838" w:orient="portrait"/>
          <w:cols w:equalWidth="0" w:num="2">
            <w:col w:w="824" w:space="720"/>
            <w:col w:w="9480"/>
          </w:cols>
          <w:pgMar w:left="436" w:top="233" w:right="439" w:bottom="1440" w:gutter="0" w:footer="0" w:header="0"/>
          <w:type w:val="continuous"/>
        </w:sectPr>
      </w:pPr>
    </w:p>
    <w:p>
      <w:pPr>
        <w:ind w:left="4"/>
        <w:spacing w:after="0"/>
        <w:rPr>
          <w:sz w:val="20"/>
          <w:szCs w:val="20"/>
          <w:color w:val="auto"/>
        </w:rPr>
      </w:pPr>
      <w:r>
        <w:rPr>
          <w:rFonts w:ascii="Arial" w:cs="Arial" w:eastAsia="Arial" w:hAnsi="Arial"/>
          <w:sz w:val="17"/>
          <w:szCs w:val="17"/>
          <w:color w:val="auto"/>
        </w:rPr>
        <w:t>Timing:</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Today’s business</w:t>
      </w:r>
    </w:p>
    <w:p>
      <w:pPr>
        <w:spacing w:after="0" w:line="140" w:lineRule="exact"/>
        <w:rPr>
          <w:sz w:val="24"/>
          <w:szCs w:val="24"/>
          <w:color w:val="auto"/>
        </w:rPr>
      </w:pPr>
    </w:p>
    <w:p>
      <w:pPr>
        <w:sectPr>
          <w:pgSz w:w="11900" w:h="16838" w:orient="portrait"/>
          <w:cols w:equalWidth="0" w:num="2">
            <w:col w:w="824" w:space="720"/>
            <w:col w:w="9480"/>
          </w:cols>
          <w:pgMar w:left="436" w:top="233" w:right="439" w:bottom="1440" w:gutter="0" w:footer="0" w:header="0"/>
          <w:type w:val="continuous"/>
        </w:sectPr>
      </w:pPr>
    </w:p>
    <w:p>
      <w:pPr>
        <w:ind w:left="4"/>
        <w:spacing w:after="0" w:line="286" w:lineRule="auto"/>
        <w:rPr>
          <w:sz w:val="20"/>
          <w:szCs w:val="20"/>
          <w:color w:val="auto"/>
        </w:rPr>
      </w:pPr>
      <w:r>
        <w:rPr>
          <w:rFonts w:ascii="Arial" w:cs="Arial" w:eastAsia="Arial" w:hAnsi="Arial"/>
          <w:sz w:val="17"/>
          <w:szCs w:val="17"/>
          <w:color w:val="auto"/>
        </w:rPr>
        <w:t>Link to Preliminary Prospectus Supplement: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https://www.sec.gov/Archives/edgar/data/0001383414/000119312521115659/d172717d424b2.htm</w:t>
      </w:r>
    </w:p>
    <w:p>
      <w:pPr>
        <w:spacing w:after="0" w:line="679" w:lineRule="exact"/>
        <w:rPr>
          <w:sz w:val="24"/>
          <w:szCs w:val="24"/>
          <w:color w:val="auto"/>
        </w:rPr>
      </w:pPr>
    </w:p>
    <w:p>
      <w:pPr>
        <w:sectPr>
          <w:pgSz w:w="11900" w:h="16838" w:orient="portrait"/>
          <w:cols w:equalWidth="0" w:num="2">
            <w:col w:w="1424" w:space="120"/>
            <w:col w:w="9480"/>
          </w:cols>
          <w:pgMar w:left="436" w:top="233" w:right="439" w:bottom="1440" w:gutter="0" w:footer="0" w:header="0"/>
          <w:type w:val="continuous"/>
        </w:sectPr>
      </w:pPr>
    </w:p>
    <w:p>
      <w:pPr>
        <w:ind w:left="364" w:right="240" w:hanging="364"/>
        <w:spacing w:after="0" w:line="342" w:lineRule="auto"/>
        <w:tabs>
          <w:tab w:leader="none" w:pos="346" w:val="left"/>
        </w:tabs>
        <w:numPr>
          <w:ilvl w:val="0"/>
          <w:numId w:val="1"/>
        </w:numPr>
        <w:rPr>
          <w:rFonts w:ascii="Arial" w:cs="Arial" w:eastAsia="Arial" w:hAnsi="Arial"/>
          <w:sz w:val="16"/>
          <w:szCs w:val="16"/>
          <w:color w:val="auto"/>
        </w:rPr>
      </w:pPr>
      <w:r>
        <w:rPr>
          <w:rFonts w:ascii="Arial" w:cs="Arial" w:eastAsia="Arial" w:hAnsi="Arial"/>
          <w:sz w:val="16"/>
          <w:szCs w:val="16"/>
          <w:color w:val="auto"/>
        </w:rPr>
        <w:t>Note: A securities rating is not a recommendation to buy, sell or hold securities and may be subject to revision or withdrawal at any time. Each rating agency has its own methodology for assigning ratings and, accordingly, each rating should be evaluated independently of any other rating.</w:t>
      </w:r>
    </w:p>
    <w:p>
      <w:pPr>
        <w:sectPr>
          <w:pgSz w:w="11900" w:h="16838" w:orient="portrait"/>
          <w:cols w:equalWidth="0" w:num="1">
            <w:col w:w="11024"/>
          </w:cols>
          <w:pgMar w:left="436" w:top="233" w:right="439" w:bottom="1440" w:gutter="0" w:footer="0" w:header="0"/>
          <w:type w:val="continuous"/>
        </w:sectPr>
      </w:pPr>
    </w:p>
    <w:bookmarkStart w:id="1" w:name="page2"/>
    <w:bookmarkEnd w:id="1"/>
    <w:p>
      <w:pPr>
        <w:ind w:right="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Investors are advised to carefully consider the investment objective, risks, charges and expenses of PNNT before investing. The preliminary prospectus supplement dated April 14, 2021, together with an accompanying prospectus, which have been filed with the U.S. Securities and Exchange Commission (“SEC”), contain this and other information about PNNT and should be read carefully before investing. The information in the preliminary prospectus supplement and the accompanying prospectus, and in this announcement is not complete and may be changed.</w:t>
      </w:r>
    </w:p>
    <w:p>
      <w:pPr>
        <w:spacing w:after="0" w:line="17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preliminary prospectus supplement, the accompanying prospectus and this announcement do not constitute offers to sell or the solicitation of offers to buy nor will there be any sale of the securities referred to in this announcement in any state or jurisdiction in which such offer, solicitation or sale would be unlawful prior to the registration or qualification under the securities laws of such state or jurisdiction.</w:t>
      </w:r>
    </w:p>
    <w:p>
      <w:pPr>
        <w:spacing w:after="0" w:line="16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 SHELF REGISTRATION STATEMENT RELATING TO THESE SECURITIES IS ON FILE WITH AND HAS BEEN DECLARED EFFECTIVE BY THE SEC. THE OFFERING MAY BE MADE ONLY BY MEANS OF A PROSPECTUS SUPPLEMENT AND AN ACCOMPANYING PROSPECTUS. YOU MAY GET THESE DOCUMENTS, AS WELL AS THE FINAL PROSPECTUS, PROSPECTUS SUPPLEMENT OR PRICING SUPPLEMENT (WHEN COMPLETED), AS APPLICABLE (SUCH PRELIMINARY AND FINAL DOCUMENTATION TOGETHER THE “OFFERING DOCUMENTATION”) FOR FREE BY SEARCHING THE SEC ONLINE DATABASE AT: WWW.SEC.GOV. ALTERNATIVELY, YOU MAY OBTAIN A COPY OF THE OFFERING DOCUMENTATION FROM RAYMOND JAMES &amp; ASSOCIATES, INC., 880 CARILLON PARKWAY, ST. PETERSBURG, FLORIDA 33716.</w:t>
      </w:r>
    </w:p>
    <w:p>
      <w:pPr>
        <w:spacing w:after="0" w:line="195" w:lineRule="exact"/>
        <w:rPr>
          <w:sz w:val="20"/>
          <w:szCs w:val="20"/>
          <w:color w:val="auto"/>
        </w:rPr>
      </w:pPr>
    </w:p>
    <w:p>
      <w:pPr>
        <w:ind w:right="980"/>
        <w:spacing w:after="0" w:line="286" w:lineRule="auto"/>
        <w:rPr>
          <w:sz w:val="20"/>
          <w:szCs w:val="20"/>
          <w:color w:val="auto"/>
        </w:rPr>
      </w:pPr>
      <w:r>
        <w:rPr>
          <w:rFonts w:ascii="Arial" w:cs="Arial" w:eastAsia="Arial" w:hAnsi="Arial"/>
          <w:sz w:val="17"/>
          <w:szCs w:val="17"/>
          <w:color w:val="auto"/>
        </w:rPr>
        <w:t>ANY DISCLAIMERS OR OTHER NOTICES THAT MAY APPEAR AFTER THIS MESSAGE ARE NOT APPLICABLE TO THIS COMMUNICATION AND SHOULD BE DISREGARDED. SUCH DISCLAIMERS OR OTHER NOTICES WERE AUTOMATICALLY GENERATED AS A RESULT OF THIS COMMUNICATION BEING SENT VIA BLOOMBERG OR OTHER EMAIL SYSTEM.</w:t>
      </w:r>
    </w:p>
    <w:sectPr>
      <w:pgSz w:w="11900" w:h="16838" w:orient="portrait"/>
      <w:cols w:equalWidth="0" w:num="1">
        <w:col w:w="11000"/>
      </w:cols>
      <w:pgMar w:left="440"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2021-04-14T16:28:11Z</dcterms:created>
  <dcterms:modified xsi:type="dcterms:W3CDTF">2021-04-14T16:28:11Z</dcterms:modified>
</cp:coreProperties>
</file>