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4" w:lineRule="auto"/>
        <w:rPr>
          <w:sz w:val="20"/>
          <w:szCs w:val="20"/>
          <w:color w:val="auto"/>
        </w:rPr>
      </w:pPr>
      <w:r>
        <w:rPr>
          <w:rFonts w:ascii="Arial" w:cs="Arial" w:eastAsia="Arial" w:hAnsi="Arial"/>
          <w:sz w:val="22"/>
          <w:szCs w:val="22"/>
          <w:b w:val="1"/>
          <w:bCs w:val="1"/>
          <w:color w:val="auto"/>
        </w:rPr>
        <w:t>WASHINGTON, D.C. 20549</w:t>
      </w:r>
    </w:p>
    <w:p>
      <w:pPr>
        <w:ind w:left="4980"/>
        <w:spacing w:after="0" w:line="229" w:lineRule="auto"/>
        <w:rPr>
          <w:sz w:val="20"/>
          <w:szCs w:val="20"/>
          <w:color w:val="auto"/>
        </w:rPr>
      </w:pPr>
      <w:r>
        <w:rPr>
          <w:rFonts w:ascii="Arial" w:cs="Arial" w:eastAsia="Arial" w:hAnsi="Arial"/>
          <w:sz w:val="13"/>
          <w:szCs w:val="13"/>
          <w:color w:val="auto"/>
        </w:rPr>
        <w:t>___________________</w:t>
      </w:r>
    </w:p>
    <w:p>
      <w:pPr>
        <w:jc w:val="center"/>
        <w:ind w:right="-19"/>
        <w:spacing w:after="0" w:line="238" w:lineRule="auto"/>
        <w:rPr>
          <w:sz w:val="20"/>
          <w:szCs w:val="20"/>
          <w:color w:val="auto"/>
        </w:rPr>
      </w:pPr>
      <w:r>
        <w:rPr>
          <w:rFonts w:ascii="Arial" w:cs="Arial" w:eastAsia="Arial" w:hAnsi="Arial"/>
          <w:sz w:val="32"/>
          <w:szCs w:val="32"/>
          <w:b w:val="1"/>
          <w:bCs w:val="1"/>
          <w:color w:val="auto"/>
        </w:rPr>
        <w:t>FORM 10-K/A</w:t>
      </w:r>
    </w:p>
    <w:p>
      <w:pPr>
        <w:jc w:val="center"/>
        <w:ind w:right="-19"/>
        <w:spacing w:after="0"/>
        <w:rPr>
          <w:sz w:val="20"/>
          <w:szCs w:val="20"/>
          <w:color w:val="auto"/>
        </w:rPr>
      </w:pPr>
      <w:r>
        <w:rPr>
          <w:rFonts w:ascii="Arial" w:cs="Arial" w:eastAsia="Arial" w:hAnsi="Arial"/>
          <w:sz w:val="32"/>
          <w:szCs w:val="32"/>
          <w:b w:val="1"/>
          <w:bCs w:val="1"/>
          <w:color w:val="auto"/>
        </w:rPr>
        <w:t>(Amendment No. 1)</w:t>
      </w:r>
    </w:p>
    <w:p>
      <w:pPr>
        <w:spacing w:after="0" w:line="3" w:lineRule="exact"/>
        <w:rPr>
          <w:sz w:val="24"/>
          <w:szCs w:val="24"/>
          <w:color w:val="auto"/>
        </w:rPr>
      </w:pPr>
    </w:p>
    <w:p>
      <w:pPr>
        <w:ind w:left="4980"/>
        <w:spacing w:after="0"/>
        <w:rPr>
          <w:sz w:val="20"/>
          <w:szCs w:val="20"/>
          <w:color w:val="auto"/>
        </w:rPr>
      </w:pPr>
      <w:r>
        <w:rPr>
          <w:rFonts w:ascii="Arial" w:cs="Arial" w:eastAsia="Arial" w:hAnsi="Arial"/>
          <w:sz w:val="13"/>
          <w:szCs w:val="13"/>
          <w:color w:val="auto"/>
        </w:rPr>
        <w:t>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rPr>
          <w:sz w:val="20"/>
          <w:szCs w:val="20"/>
          <w:color w:val="auto"/>
        </w:rPr>
      </w:pPr>
      <w:r>
        <w:rPr>
          <w:rFonts w:ascii="Arial" w:cs="Arial" w:eastAsia="Arial" w:hAnsi="Arial"/>
          <w:sz w:val="21"/>
          <w:szCs w:val="21"/>
          <w:b w:val="1"/>
          <w:bCs w:val="1"/>
          <w:color w:val="auto"/>
        </w:rPr>
        <w:t>[X] ANNUAL REPORT PURSUANT TO SECTION 13 OR 15(d) OF THE SECURITIES EXCHANGE ACT OF 1934</w:t>
      </w:r>
    </w:p>
    <w:p>
      <w:pPr>
        <w:spacing w:after="0" w:line="207"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FOR THE FISCAL YEAR ENDED SEPTEMBER 30, 2007.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right="340" w:firstLine="8"/>
        <w:spacing w:after="0" w:line="236" w:lineRule="auto"/>
        <w:tabs>
          <w:tab w:leader="none" w:pos="234"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94"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814-00736</w:t>
      </w:r>
    </w:p>
    <w:p>
      <w:pPr>
        <w:spacing w:after="0" w:line="21" w:lineRule="exact"/>
        <w:rPr>
          <w:sz w:val="24"/>
          <w:szCs w:val="24"/>
          <w:color w:val="auto"/>
        </w:rPr>
      </w:pPr>
    </w:p>
    <w:p>
      <w:pPr>
        <w:ind w:left="4980"/>
        <w:spacing w:after="0"/>
        <w:rPr>
          <w:sz w:val="20"/>
          <w:szCs w:val="20"/>
          <w:color w:val="auto"/>
        </w:rPr>
      </w:pPr>
      <w:r>
        <w:rPr>
          <w:rFonts w:ascii="Arial" w:cs="Arial" w:eastAsia="Arial" w:hAnsi="Arial"/>
          <w:sz w:val="13"/>
          <w:szCs w:val="13"/>
          <w:b w:val="1"/>
          <w:bCs w:val="1"/>
          <w:color w:val="auto"/>
        </w:rPr>
        <w:t>___________________</w:t>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PENNANTPARK INVESTMENT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ind w:left="4980"/>
        <w:spacing w:after="0"/>
        <w:rPr>
          <w:sz w:val="20"/>
          <w:szCs w:val="20"/>
          <w:color w:val="auto"/>
        </w:rPr>
      </w:pPr>
      <w:r>
        <w:rPr>
          <w:rFonts w:ascii="Arial" w:cs="Arial" w:eastAsia="Arial" w:hAnsi="Arial"/>
          <w:sz w:val="13"/>
          <w:szCs w:val="13"/>
          <w:b w:val="1"/>
          <w:bCs w:val="1"/>
          <w:color w:val="auto"/>
        </w:rPr>
        <w:t>___________________</w:t>
      </w:r>
    </w:p>
    <w:p>
      <w:pPr>
        <w:spacing w:after="0" w:line="200" w:lineRule="exact"/>
        <w:rPr>
          <w:sz w:val="24"/>
          <w:szCs w:val="24"/>
          <w:color w:val="auto"/>
        </w:rPr>
      </w:pPr>
    </w:p>
    <w:p>
      <w:pPr>
        <w:spacing w:after="0" w:line="350" w:lineRule="exact"/>
        <w:rPr>
          <w:sz w:val="24"/>
          <w:szCs w:val="24"/>
          <w:color w:val="auto"/>
        </w:rPr>
      </w:pPr>
    </w:p>
    <w:tbl>
      <w:tblPr>
        <w:tblLayout w:type="fixed"/>
        <w:tblInd w:w="2320" w:type="dxa"/>
        <w:tblCellMar>
          <w:top w:w="0" w:type="dxa"/>
          <w:left w:w="0" w:type="dxa"/>
          <w:bottom w:w="0" w:type="dxa"/>
          <w:right w:w="0" w:type="dxa"/>
        </w:tblCellMar>
      </w:tblPr>
      <w:tr>
        <w:trPr>
          <w:trHeight w:val="218"/>
        </w:trPr>
        <w:tc>
          <w:tcPr>
            <w:tcW w:w="3640" w:type="dxa"/>
            <w:vAlign w:val="bottom"/>
          </w:tcPr>
          <w:p>
            <w:pPr>
              <w:jc w:val="center"/>
              <w:ind w:right="1162"/>
              <w:spacing w:after="0"/>
              <w:rPr>
                <w:sz w:val="20"/>
                <w:szCs w:val="20"/>
                <w:color w:val="auto"/>
              </w:rPr>
            </w:pPr>
            <w:r>
              <w:rPr>
                <w:rFonts w:ascii="Arial" w:cs="Arial" w:eastAsia="Arial" w:hAnsi="Arial"/>
                <w:sz w:val="18"/>
                <w:szCs w:val="18"/>
                <w:b w:val="1"/>
                <w:bCs w:val="1"/>
                <w:color w:val="auto"/>
              </w:rPr>
              <w:t>MARYLAND</w:t>
            </w:r>
          </w:p>
        </w:tc>
        <w:tc>
          <w:tcPr>
            <w:tcW w:w="230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3640" w:type="dxa"/>
            <w:vAlign w:val="bottom"/>
          </w:tcPr>
          <w:p>
            <w:pPr>
              <w:jc w:val="center"/>
              <w:ind w:right="1182"/>
              <w:spacing w:after="0"/>
              <w:rPr>
                <w:sz w:val="20"/>
                <w:szCs w:val="20"/>
                <w:color w:val="auto"/>
              </w:rPr>
            </w:pPr>
            <w:r>
              <w:rPr>
                <w:rFonts w:ascii="Arial" w:cs="Arial" w:eastAsia="Arial" w:hAnsi="Arial"/>
                <w:sz w:val="13"/>
                <w:szCs w:val="13"/>
                <w:b w:val="1"/>
                <w:bCs w:val="1"/>
                <w:color w:val="auto"/>
                <w:w w:val="94"/>
              </w:rPr>
              <w:t>(State or other jurisdiction</w:t>
            </w:r>
          </w:p>
        </w:tc>
        <w:tc>
          <w:tcPr>
            <w:tcW w:w="2300" w:type="dxa"/>
            <w:vAlign w:val="bottom"/>
          </w:tcPr>
          <w:p>
            <w:pPr>
              <w:jc w:val="center"/>
              <w:ind w:left="11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640" w:type="dxa"/>
            <w:vAlign w:val="bottom"/>
          </w:tcPr>
          <w:p>
            <w:pPr>
              <w:jc w:val="center"/>
              <w:ind w:right="1162"/>
              <w:spacing w:after="0"/>
              <w:rPr>
                <w:sz w:val="20"/>
                <w:szCs w:val="20"/>
                <w:color w:val="auto"/>
              </w:rPr>
            </w:pPr>
            <w:r>
              <w:rPr>
                <w:rFonts w:ascii="Arial" w:cs="Arial" w:eastAsia="Arial" w:hAnsi="Arial"/>
                <w:sz w:val="13"/>
                <w:szCs w:val="13"/>
                <w:b w:val="1"/>
                <w:bCs w:val="1"/>
                <w:color w:val="auto"/>
                <w:w w:val="95"/>
              </w:rPr>
              <w:t>of incorporation or organization)</w:t>
            </w:r>
          </w:p>
        </w:tc>
        <w:tc>
          <w:tcPr>
            <w:tcW w:w="2300" w:type="dxa"/>
            <w:vAlign w:val="bottom"/>
          </w:tcPr>
          <w:p>
            <w:pPr>
              <w:jc w:val="center"/>
              <w:ind w:left="1164"/>
              <w:spacing w:after="0"/>
              <w:rPr>
                <w:sz w:val="20"/>
                <w:szCs w:val="20"/>
                <w:color w:val="auto"/>
              </w:rPr>
            </w:pPr>
            <w:r>
              <w:rPr>
                <w:rFonts w:ascii="Arial" w:cs="Arial" w:eastAsia="Arial" w:hAnsi="Arial"/>
                <w:sz w:val="13"/>
                <w:szCs w:val="13"/>
                <w:b w:val="1"/>
                <w:bCs w:val="1"/>
                <w:color w:val="auto"/>
                <w:w w:val="96"/>
              </w:rPr>
              <w:t>Identification No.)</w:t>
            </w:r>
          </w:p>
        </w:tc>
      </w:tr>
      <w:tr>
        <w:trPr>
          <w:trHeight w:val="472"/>
        </w:trPr>
        <w:tc>
          <w:tcPr>
            <w:tcW w:w="3640" w:type="dxa"/>
            <w:vAlign w:val="bottom"/>
          </w:tcPr>
          <w:p>
            <w:pPr>
              <w:jc w:val="center"/>
              <w:ind w:right="1162"/>
              <w:spacing w:after="0"/>
              <w:rPr>
                <w:sz w:val="20"/>
                <w:szCs w:val="20"/>
                <w:color w:val="auto"/>
              </w:rPr>
            </w:pPr>
            <w:r>
              <w:rPr>
                <w:rFonts w:ascii="Arial" w:cs="Arial" w:eastAsia="Arial" w:hAnsi="Arial"/>
                <w:sz w:val="18"/>
                <w:szCs w:val="18"/>
                <w:b w:val="1"/>
                <w:bCs w:val="1"/>
                <w:color w:val="auto"/>
                <w:w w:val="86"/>
              </w:rPr>
              <w:t>590 Madison Avenue, 15</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2300" w:type="dxa"/>
            <w:vAlign w:val="bottom"/>
          </w:tcPr>
          <w:p>
            <w:pPr>
              <w:spacing w:after="0"/>
              <w:rPr>
                <w:sz w:val="24"/>
                <w:szCs w:val="24"/>
                <w:color w:val="auto"/>
              </w:rPr>
            </w:pPr>
          </w:p>
        </w:tc>
      </w:tr>
      <w:tr>
        <w:trPr>
          <w:trHeight w:val="218"/>
        </w:trPr>
        <w:tc>
          <w:tcPr>
            <w:tcW w:w="3640" w:type="dxa"/>
            <w:vAlign w:val="bottom"/>
          </w:tcPr>
          <w:p>
            <w:pPr>
              <w:jc w:val="center"/>
              <w:ind w:right="1162"/>
              <w:spacing w:after="0"/>
              <w:rPr>
                <w:sz w:val="20"/>
                <w:szCs w:val="20"/>
                <w:color w:val="auto"/>
              </w:rPr>
            </w:pPr>
            <w:r>
              <w:rPr>
                <w:rFonts w:ascii="Arial" w:cs="Arial" w:eastAsia="Arial" w:hAnsi="Arial"/>
                <w:sz w:val="18"/>
                <w:szCs w:val="18"/>
                <w:b w:val="1"/>
                <w:bCs w:val="1"/>
                <w:color w:val="auto"/>
                <w:w w:val="91"/>
              </w:rPr>
              <w:t>New York, N.Y.</w:t>
            </w:r>
          </w:p>
        </w:tc>
        <w:tc>
          <w:tcPr>
            <w:tcW w:w="230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3640" w:type="dxa"/>
            <w:vAlign w:val="bottom"/>
          </w:tcPr>
          <w:p>
            <w:pPr>
              <w:jc w:val="center"/>
              <w:ind w:right="1162"/>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300" w:type="dxa"/>
            <w:vAlign w:val="bottom"/>
          </w:tcPr>
          <w:p>
            <w:pPr>
              <w:jc w:val="center"/>
              <w:ind w:left="1164"/>
              <w:spacing w:after="0"/>
              <w:rPr>
                <w:sz w:val="20"/>
                <w:szCs w:val="20"/>
                <w:color w:val="auto"/>
              </w:rPr>
            </w:pPr>
            <w:r>
              <w:rPr>
                <w:rFonts w:ascii="Arial" w:cs="Arial" w:eastAsia="Arial" w:hAnsi="Arial"/>
                <w:sz w:val="13"/>
                <w:szCs w:val="13"/>
                <w:b w:val="1"/>
                <w:bCs w:val="1"/>
                <w:color w:val="auto"/>
                <w:w w:val="96"/>
              </w:rPr>
              <w:t>(Zip Code)</w:t>
            </w: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(212)-905-1000</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ind w:left="2900"/>
        <w:spacing w:after="0"/>
        <w:tabs>
          <w:tab w:leader="none" w:pos="630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25" w:lineRule="exact"/>
        <w:rPr>
          <w:sz w:val="24"/>
          <w:szCs w:val="24"/>
          <w:color w:val="auto"/>
        </w:rPr>
      </w:pPr>
    </w:p>
    <w:p>
      <w:pPr>
        <w:ind w:left="2460"/>
        <w:spacing w:after="0"/>
        <w:tabs>
          <w:tab w:leader="none" w:pos="6260" w:val="left"/>
        </w:tabs>
        <w:rPr>
          <w:sz w:val="20"/>
          <w:szCs w:val="20"/>
          <w:color w:val="auto"/>
        </w:rPr>
      </w:pPr>
      <w:r>
        <w:rPr>
          <w:rFonts w:ascii="Arial" w:cs="Arial" w:eastAsia="Arial" w:hAnsi="Arial"/>
          <w:sz w:val="18"/>
          <w:szCs w:val="18"/>
          <w:b w:val="1"/>
          <w:bCs w:val="1"/>
          <w:color w:val="auto"/>
        </w:rPr>
        <w:t>Common Stock, par value</w:t>
      </w:r>
      <w:r>
        <w:rPr>
          <w:sz w:val="20"/>
          <w:szCs w:val="20"/>
          <w:color w:val="auto"/>
        </w:rPr>
        <w:tab/>
      </w:r>
      <w:r>
        <w:rPr>
          <w:rFonts w:ascii="Arial" w:cs="Arial" w:eastAsia="Arial" w:hAnsi="Arial"/>
          <w:sz w:val="16"/>
          <w:szCs w:val="16"/>
          <w:b w:val="1"/>
          <w:bCs w:val="1"/>
          <w:color w:val="auto"/>
        </w:rPr>
        <w:t>The NASDAQ Global Select Market</w:t>
      </w:r>
    </w:p>
    <w:p>
      <w:pPr>
        <w:spacing w:after="0" w:line="36"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$0.001 per share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86" w:lineRule="exact"/>
        <w:rPr>
          <w:sz w:val="24"/>
          <w:szCs w:val="24"/>
          <w:color w:val="auto"/>
        </w:rPr>
      </w:pPr>
    </w:p>
    <w:p>
      <w:pPr>
        <w:ind w:left="4980"/>
        <w:spacing w:after="0"/>
        <w:rPr>
          <w:sz w:val="20"/>
          <w:szCs w:val="20"/>
          <w:color w:val="auto"/>
        </w:rPr>
      </w:pPr>
      <w:r>
        <w:rPr>
          <w:rFonts w:ascii="Arial" w:cs="Arial" w:eastAsia="Arial" w:hAnsi="Arial"/>
          <w:sz w:val="13"/>
          <w:szCs w:val="13"/>
          <w:b w:val="1"/>
          <w:bCs w:val="1"/>
          <w:color w:val="auto"/>
        </w:rPr>
        <w:t>___________________</w:t>
      </w:r>
    </w:p>
    <w:p>
      <w:pPr>
        <w:spacing w:after="0" w:line="173" w:lineRule="exact"/>
        <w:rPr>
          <w:sz w:val="24"/>
          <w:szCs w:val="24"/>
          <w:color w:val="auto"/>
        </w:rPr>
      </w:pPr>
    </w:p>
    <w:p>
      <w:pPr>
        <w:spacing w:after="0"/>
        <w:tabs>
          <w:tab w:leader="none" w:pos="8840" w:val="left"/>
          <w:tab w:leader="none" w:pos="9560" w:val="left"/>
        </w:tabs>
        <w:rPr>
          <w:sz w:val="20"/>
          <w:szCs w:val="20"/>
          <w:color w:val="auto"/>
        </w:rPr>
      </w:pPr>
      <w:r>
        <w:rPr>
          <w:rFonts w:ascii="Arial" w:cs="Arial" w:eastAsia="Arial" w:hAnsi="Arial"/>
          <w:sz w:val="16"/>
          <w:szCs w:val="16"/>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b w:val="1"/>
          <w:bCs w:val="1"/>
          <w:color w:val="auto"/>
        </w:rPr>
        <w:t>Yes [ ]</w:t>
        <w:tab/>
        <w:t>No [ X].</w:t>
      </w:r>
    </w:p>
    <w:p>
      <w:pPr>
        <w:spacing w:after="0" w:line="185" w:lineRule="exact"/>
        <w:rPr>
          <w:sz w:val="24"/>
          <w:szCs w:val="24"/>
          <w:color w:val="auto"/>
        </w:rPr>
      </w:pPr>
    </w:p>
    <w:p>
      <w:pPr>
        <w:spacing w:after="0"/>
        <w:tabs>
          <w:tab w:leader="none" w:pos="9100" w:val="left"/>
          <w:tab w:leader="none" w:pos="9820" w:val="left"/>
        </w:tabs>
        <w:rPr>
          <w:sz w:val="20"/>
          <w:szCs w:val="20"/>
          <w:color w:val="auto"/>
        </w:rPr>
      </w:pPr>
      <w:r>
        <w:rPr>
          <w:rFonts w:ascii="Arial" w:cs="Arial" w:eastAsia="Arial" w:hAnsi="Arial"/>
          <w:sz w:val="16"/>
          <w:szCs w:val="16"/>
          <w:b w:val="1"/>
          <w:bCs w:val="1"/>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b w:val="1"/>
          <w:bCs w:val="1"/>
          <w:color w:val="auto"/>
        </w:rPr>
        <w:t>Yes [ ]</w:t>
      </w:r>
      <w:r>
        <w:rPr>
          <w:sz w:val="20"/>
          <w:szCs w:val="20"/>
          <w:color w:val="auto"/>
        </w:rPr>
        <w:tab/>
      </w:r>
      <w:r>
        <w:rPr>
          <w:rFonts w:ascii="Arial" w:cs="Arial" w:eastAsia="Arial" w:hAnsi="Arial"/>
          <w:sz w:val="16"/>
          <w:szCs w:val="16"/>
          <w:b w:val="1"/>
          <w:bCs w:val="1"/>
          <w:color w:val="auto"/>
        </w:rPr>
        <w:t>No [ X].</w:t>
      </w:r>
    </w:p>
    <w:p>
      <w:pPr>
        <w:spacing w:after="0" w:line="185" w:lineRule="exact"/>
        <w:rPr>
          <w:sz w:val="24"/>
          <w:szCs w:val="24"/>
          <w:color w:val="auto"/>
        </w:rPr>
      </w:pPr>
    </w:p>
    <w:p>
      <w:pPr>
        <w:spacing w:after="0" w:line="262"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w:t>
      </w:r>
    </w:p>
    <w:p>
      <w:pPr>
        <w:spacing w:after="0" w:line="146" w:lineRule="exact"/>
        <w:rPr>
          <w:sz w:val="24"/>
          <w:szCs w:val="24"/>
          <w:color w:val="auto"/>
        </w:rPr>
      </w:pPr>
    </w:p>
    <w:p>
      <w:pPr>
        <w:ind w:right="80"/>
        <w:spacing w:after="0" w:line="262" w:lineRule="auto"/>
        <w:rPr>
          <w:sz w:val="20"/>
          <w:szCs w:val="20"/>
          <w:color w:val="auto"/>
        </w:rPr>
      </w:pPr>
      <w:r>
        <w:rPr>
          <w:rFonts w:ascii="Arial" w:cs="Arial" w:eastAsia="Arial" w:hAnsi="Arial"/>
          <w:sz w:val="18"/>
          <w:szCs w:val="18"/>
          <w:b w:val="1"/>
          <w:bCs w:val="1"/>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46" w:lineRule="exact"/>
        <w:rPr>
          <w:sz w:val="24"/>
          <w:szCs w:val="24"/>
          <w:color w:val="auto"/>
        </w:rPr>
      </w:pPr>
    </w:p>
    <w:p>
      <w:pPr>
        <w:jc w:val="both"/>
        <w:ind w:right="40"/>
        <w:spacing w:after="0" w:line="275"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3" w:lineRule="exact"/>
        <w:rPr>
          <w:sz w:val="24"/>
          <w:szCs w:val="24"/>
          <w:color w:val="auto"/>
        </w:rPr>
      </w:pPr>
    </w:p>
    <w:p>
      <w:pPr>
        <w:jc w:val="center"/>
        <w:ind w:right="-39"/>
        <w:spacing w:after="0"/>
        <w:tabs>
          <w:tab w:leader="none" w:pos="140" w:val="left"/>
          <w:tab w:leader="none" w:pos="160" w:val="left"/>
        </w:tabs>
        <w:rPr>
          <w:sz w:val="20"/>
          <w:szCs w:val="20"/>
          <w:color w:val="auto"/>
        </w:rPr>
      </w:pPr>
      <w:r>
        <w:rPr>
          <w:rFonts w:ascii="Arial" w:cs="Arial" w:eastAsia="Arial" w:hAnsi="Arial"/>
          <w:sz w:val="18"/>
          <w:szCs w:val="18"/>
          <w:b w:val="1"/>
          <w:bCs w:val="1"/>
          <w:color w:val="auto"/>
        </w:rPr>
        <w:t>Large accelerated filer [ ].</w:t>
        <w:tab/>
        <w:t>Accelerated filer [ ].</w:t>
      </w:r>
      <w:r>
        <w:rPr>
          <w:sz w:val="20"/>
          <w:szCs w:val="20"/>
          <w:color w:val="auto"/>
        </w:rPr>
        <w:tab/>
      </w:r>
      <w:r>
        <w:rPr>
          <w:rFonts w:ascii="Arial" w:cs="Arial" w:eastAsia="Arial" w:hAnsi="Arial"/>
          <w:sz w:val="16"/>
          <w:szCs w:val="16"/>
          <w:b w:val="1"/>
          <w:bCs w:val="1"/>
          <w:color w:val="auto"/>
        </w:rPr>
        <w:t>Non-accelerated filer  [ X].</w:t>
      </w:r>
    </w:p>
    <w:p>
      <w:pPr>
        <w:spacing w:after="0" w:line="185" w:lineRule="exact"/>
        <w:rPr>
          <w:sz w:val="24"/>
          <w:szCs w:val="24"/>
          <w:color w:val="auto"/>
        </w:rPr>
      </w:pPr>
    </w:p>
    <w:p>
      <w:pPr>
        <w:spacing w:after="0"/>
        <w:tabs>
          <w:tab w:leader="none" w:pos="8600" w:val="left"/>
          <w:tab w:leader="none" w:pos="9320" w:val="left"/>
        </w:tabs>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Yes [ ]</w:t>
        <w:tab/>
        <w:t>No [ X].</w:t>
      </w:r>
    </w:p>
    <w:p>
      <w:pPr>
        <w:spacing w:after="0" w:line="185" w:lineRule="exact"/>
        <w:rPr>
          <w:sz w:val="24"/>
          <w:szCs w:val="24"/>
          <w:color w:val="auto"/>
        </w:rPr>
      </w:pPr>
    </w:p>
    <w:p>
      <w:pPr>
        <w:ind w:right="20"/>
        <w:spacing w:after="0" w:line="339" w:lineRule="auto"/>
        <w:rPr>
          <w:sz w:val="20"/>
          <w:szCs w:val="20"/>
          <w:color w:val="auto"/>
        </w:rPr>
      </w:pPr>
      <w:r>
        <w:rPr>
          <w:rFonts w:ascii="Arial" w:cs="Arial" w:eastAsia="Arial" w:hAnsi="Arial"/>
          <w:sz w:val="15"/>
          <w:szCs w:val="15"/>
          <w:b w:val="1"/>
          <w:bCs w:val="1"/>
          <w:color w:val="auto"/>
        </w:rPr>
        <w:t>The aggregate market value of common stock held by non-affiliates of the Registrant on September 30, 2007 based on the closing price on that date of $13.40 on the NASDAQ Global Select Market was $276,893,337. For the purposes of calculating this amount only, all directors and executive officers of the Registrant have been treated as affiliates. There were 21,068,772 shares of the Registrant's common stock outstanding as of November 30, 2007.</w:t>
      </w:r>
    </w:p>
    <w:p>
      <w:pPr>
        <w:spacing w:after="0" w:line="93" w:lineRule="exact"/>
        <w:rPr>
          <w:sz w:val="24"/>
          <w:szCs w:val="24"/>
          <w:color w:val="auto"/>
        </w:rPr>
      </w:pPr>
    </w:p>
    <w:p>
      <w:pPr>
        <w:ind w:right="440"/>
        <w:spacing w:after="0" w:line="262" w:lineRule="auto"/>
        <w:rPr>
          <w:sz w:val="20"/>
          <w:szCs w:val="20"/>
          <w:color w:val="auto"/>
        </w:rPr>
      </w:pPr>
      <w:r>
        <w:rPr>
          <w:rFonts w:ascii="Arial" w:cs="Arial" w:eastAsia="Arial" w:hAnsi="Arial"/>
          <w:sz w:val="18"/>
          <w:szCs w:val="18"/>
          <w:b w:val="1"/>
          <w:bCs w:val="1"/>
          <w:color w:val="auto"/>
        </w:rPr>
        <w:t>Documents Incorporated by Reference: Portions of the Registrant's Proxy Statement relating to the Registrant's 2008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06" w:right="359" w:bottom="0" w:gutter="0" w:footer="0" w:header="0"/>
        </w:sect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EXPLANATORY NOTE</w:t>
      </w:r>
    </w:p>
    <w:p>
      <w:pPr>
        <w:sectPr>
          <w:pgSz w:w="11900" w:h="16838" w:orient="portrait"/>
          <w:cols w:equalWidth="0" w:num="1">
            <w:col w:w="11220"/>
          </w:cols>
          <w:pgMar w:left="320" w:top="206" w:right="359" w:bottom="0" w:gutter="0" w:footer="0" w:header="0"/>
          <w:type w:val="continuous"/>
        </w:sectPr>
      </w:pPr>
    </w:p>
    <w:bookmarkStart w:id="1" w:name="page2"/>
    <w:bookmarkEnd w:id="1"/>
    <w:p>
      <w:pPr>
        <w:ind w:right="80"/>
        <w:spacing w:after="0" w:line="310" w:lineRule="auto"/>
        <w:rPr>
          <w:sz w:val="20"/>
          <w:szCs w:val="20"/>
          <w:color w:val="auto"/>
        </w:rPr>
      </w:pPr>
      <w:r>
        <w:rPr>
          <w:rFonts w:ascii="Arial" w:cs="Arial" w:eastAsia="Arial" w:hAnsi="Arial"/>
          <w:sz w:val="16"/>
          <w:szCs w:val="16"/>
          <w:b w:val="1"/>
          <w:bCs w:val="1"/>
          <w:color w:val="auto"/>
        </w:rPr>
        <w:t>The sole purpose of this Amendment No. 1 on Form 10-K/A to our Annual Report on Form 10-K for the fiscal year ended September 30, 2007 (the "Original Filing"), which was filed with the Securities and Exchange Commission on December 13, 2007, is to file signatures of certain directors that were unintentionally omitted from the Original Filing. No other items of the Original Filing are being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by the following persons on behalf of the Registrant and in the capacities and on the dates indicated.</w:t>
      </w:r>
    </w:p>
    <w:p>
      <w:pPr>
        <w:spacing w:after="0" w:line="351"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b w:val="1"/>
                <w:bCs w:val="1"/>
                <w:color w:val="auto"/>
              </w:rPr>
              <w:t>SIGNATURE</w:t>
            </w:r>
          </w:p>
        </w:tc>
        <w:tc>
          <w:tcPr>
            <w:tcW w:w="2700" w:type="dxa"/>
            <w:vAlign w:val="bottom"/>
          </w:tcPr>
          <w:p>
            <w:pPr>
              <w:jc w:val="center"/>
              <w:ind w:left="36"/>
              <w:spacing w:after="0"/>
              <w:rPr>
                <w:sz w:val="20"/>
                <w:szCs w:val="20"/>
                <w:color w:val="auto"/>
              </w:rPr>
            </w:pPr>
            <w:r>
              <w:rPr>
                <w:rFonts w:ascii="Arial" w:cs="Arial" w:eastAsia="Arial" w:hAnsi="Arial"/>
                <w:sz w:val="13"/>
                <w:szCs w:val="13"/>
                <w:b w:val="1"/>
                <w:bCs w:val="1"/>
                <w:color w:val="auto"/>
              </w:rPr>
              <w:t>TITLE</w:t>
            </w:r>
          </w:p>
        </w:tc>
        <w:tc>
          <w:tcPr>
            <w:tcW w:w="2380" w:type="dxa"/>
            <w:vAlign w:val="bottom"/>
          </w:tcPr>
          <w:p>
            <w:pPr>
              <w:jc w:val="center"/>
              <w:ind w:left="916"/>
              <w:spacing w:after="0"/>
              <w:rPr>
                <w:sz w:val="20"/>
                <w:szCs w:val="20"/>
                <w:color w:val="auto"/>
              </w:rPr>
            </w:pPr>
            <w:r>
              <w:rPr>
                <w:rFonts w:ascii="Arial" w:cs="Arial" w:eastAsia="Arial" w:hAnsi="Arial"/>
                <w:sz w:val="13"/>
                <w:szCs w:val="13"/>
                <w:b w:val="1"/>
                <w:bCs w:val="1"/>
                <w:color w:val="auto"/>
              </w:rPr>
              <w:t>DATE</w:t>
            </w:r>
          </w:p>
        </w:tc>
      </w:tr>
      <w:tr>
        <w:trPr>
          <w:trHeight w:val="378"/>
        </w:trPr>
        <w:tc>
          <w:tcPr>
            <w:tcW w:w="2680" w:type="dxa"/>
            <w:vAlign w:val="bottom"/>
            <w:gridSpan w:val="8"/>
          </w:tcPr>
          <w:p>
            <w:pPr>
              <w:jc w:val="center"/>
              <w:ind w:right="1120"/>
              <w:spacing w:after="0"/>
              <w:rPr>
                <w:sz w:val="20"/>
                <w:szCs w:val="20"/>
                <w:color w:val="auto"/>
              </w:rPr>
            </w:pPr>
            <w:r>
              <w:rPr>
                <w:rFonts w:ascii="Arial" w:cs="Arial" w:eastAsia="Arial" w:hAnsi="Arial"/>
                <w:sz w:val="18"/>
                <w:szCs w:val="18"/>
                <w:color w:val="auto"/>
                <w:w w:val="89"/>
              </w:rPr>
              <w:t>/s/ Adam K. Bernstein</w:t>
            </w:r>
          </w:p>
        </w:tc>
        <w:tc>
          <w:tcPr>
            <w:tcW w:w="2700" w:type="dxa"/>
            <w:vAlign w:val="bottom"/>
          </w:tcPr>
          <w:p>
            <w:pPr>
              <w:jc w:val="center"/>
              <w:ind w:left="36"/>
              <w:spacing w:after="0"/>
              <w:rPr>
                <w:sz w:val="20"/>
                <w:szCs w:val="20"/>
                <w:color w:val="auto"/>
              </w:rPr>
            </w:pPr>
            <w:r>
              <w:rPr>
                <w:rFonts w:ascii="Arial" w:cs="Arial" w:eastAsia="Arial" w:hAnsi="Arial"/>
                <w:sz w:val="18"/>
                <w:szCs w:val="18"/>
                <w:color w:val="auto"/>
                <w:w w:val="91"/>
              </w:rPr>
              <w:t>Director</w:t>
            </w:r>
          </w:p>
        </w:tc>
        <w:tc>
          <w:tcPr>
            <w:tcW w:w="2380" w:type="dxa"/>
            <w:vAlign w:val="bottom"/>
          </w:tcPr>
          <w:p>
            <w:pPr>
              <w:jc w:val="center"/>
              <w:ind w:left="916"/>
              <w:spacing w:after="0"/>
              <w:rPr>
                <w:sz w:val="20"/>
                <w:szCs w:val="20"/>
                <w:color w:val="auto"/>
              </w:rPr>
            </w:pPr>
            <w:r>
              <w:rPr>
                <w:rFonts w:ascii="Arial" w:cs="Arial" w:eastAsia="Arial" w:hAnsi="Arial"/>
                <w:sz w:val="18"/>
                <w:szCs w:val="18"/>
                <w:color w:val="auto"/>
                <w:w w:val="87"/>
              </w:rPr>
              <w:t>December 12, 2007</w:t>
            </w:r>
          </w:p>
        </w:tc>
      </w:tr>
      <w:tr>
        <w:trPr>
          <w:trHeight w:val="234"/>
        </w:trPr>
        <w:tc>
          <w:tcPr>
            <w:tcW w:w="156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1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0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1380"/>
              <w:spacing w:after="0"/>
              <w:rPr>
                <w:sz w:val="20"/>
                <w:szCs w:val="20"/>
                <w:color w:val="auto"/>
              </w:rPr>
            </w:pPr>
            <w:r>
              <w:rPr>
                <w:rFonts w:ascii="Arial" w:cs="Arial" w:eastAsia="Arial" w:hAnsi="Arial"/>
                <w:sz w:val="18"/>
                <w:szCs w:val="18"/>
                <w:color w:val="auto"/>
                <w:w w:val="89"/>
              </w:rPr>
              <w:t>/s/ Jeffrey Flug</w:t>
            </w:r>
          </w:p>
        </w:tc>
        <w:tc>
          <w:tcPr>
            <w:tcW w:w="2700" w:type="dxa"/>
            <w:vAlign w:val="bottom"/>
          </w:tcPr>
          <w:p>
            <w:pPr>
              <w:jc w:val="center"/>
              <w:ind w:left="36"/>
              <w:spacing w:after="0"/>
              <w:rPr>
                <w:sz w:val="20"/>
                <w:szCs w:val="20"/>
                <w:color w:val="auto"/>
              </w:rPr>
            </w:pPr>
            <w:r>
              <w:rPr>
                <w:rFonts w:ascii="Arial" w:cs="Arial" w:eastAsia="Arial" w:hAnsi="Arial"/>
                <w:sz w:val="18"/>
                <w:szCs w:val="18"/>
                <w:color w:val="auto"/>
                <w:w w:val="91"/>
              </w:rPr>
              <w:t>Director</w:t>
            </w:r>
          </w:p>
        </w:tc>
        <w:tc>
          <w:tcPr>
            <w:tcW w:w="2380" w:type="dxa"/>
            <w:vAlign w:val="bottom"/>
          </w:tcPr>
          <w:p>
            <w:pPr>
              <w:jc w:val="center"/>
              <w:ind w:left="916"/>
              <w:spacing w:after="0"/>
              <w:rPr>
                <w:sz w:val="20"/>
                <w:szCs w:val="20"/>
                <w:color w:val="auto"/>
              </w:rPr>
            </w:pPr>
            <w:r>
              <w:rPr>
                <w:rFonts w:ascii="Arial" w:cs="Arial" w:eastAsia="Arial" w:hAnsi="Arial"/>
                <w:sz w:val="18"/>
                <w:szCs w:val="18"/>
                <w:color w:val="auto"/>
                <w:w w:val="87"/>
              </w:rPr>
              <w:t>December 12, 2007</w:t>
            </w:r>
          </w:p>
        </w:tc>
      </w:tr>
      <w:tr>
        <w:trPr>
          <w:trHeight w:val="234"/>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1380" w:type="dxa"/>
            <w:vAlign w:val="bottom"/>
            <w:gridSpan w:val="4"/>
          </w:tcPr>
          <w:p>
            <w:pPr>
              <w:spacing w:after="0"/>
              <w:rPr>
                <w:sz w:val="20"/>
                <w:szCs w:val="20"/>
                <w:color w:val="auto"/>
              </w:rPr>
            </w:pPr>
          </w:p>
        </w:tc>
        <w:tc>
          <w:tcPr>
            <w:tcW w:w="27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02"/>
        </w:trPr>
        <w:tc>
          <w:tcPr>
            <w:tcW w:w="60" w:type="dxa"/>
            <w:vAlign w:val="bottom"/>
          </w:tcPr>
          <w:p>
            <w:pPr>
              <w:spacing w:after="0"/>
              <w:rPr>
                <w:sz w:val="24"/>
                <w:szCs w:val="24"/>
                <w:color w:val="auto"/>
              </w:rPr>
            </w:pPr>
          </w:p>
        </w:tc>
        <w:tc>
          <w:tcPr>
            <w:tcW w:w="2620" w:type="dxa"/>
            <w:vAlign w:val="bottom"/>
            <w:gridSpan w:val="7"/>
          </w:tcPr>
          <w:p>
            <w:pPr>
              <w:jc w:val="center"/>
              <w:ind w:right="1200"/>
              <w:spacing w:after="0"/>
              <w:rPr>
                <w:sz w:val="20"/>
                <w:szCs w:val="20"/>
                <w:color w:val="auto"/>
              </w:rPr>
            </w:pPr>
            <w:r>
              <w:rPr>
                <w:rFonts w:ascii="Arial" w:cs="Arial" w:eastAsia="Arial" w:hAnsi="Arial"/>
                <w:sz w:val="18"/>
                <w:szCs w:val="18"/>
                <w:color w:val="auto"/>
                <w:w w:val="89"/>
              </w:rPr>
              <w:t>/s/ Marshall Brozost</w:t>
            </w:r>
          </w:p>
        </w:tc>
        <w:tc>
          <w:tcPr>
            <w:tcW w:w="2700" w:type="dxa"/>
            <w:vAlign w:val="bottom"/>
          </w:tcPr>
          <w:p>
            <w:pPr>
              <w:jc w:val="center"/>
              <w:ind w:left="36"/>
              <w:spacing w:after="0"/>
              <w:rPr>
                <w:sz w:val="20"/>
                <w:szCs w:val="20"/>
                <w:color w:val="auto"/>
              </w:rPr>
            </w:pPr>
            <w:r>
              <w:rPr>
                <w:rFonts w:ascii="Arial" w:cs="Arial" w:eastAsia="Arial" w:hAnsi="Arial"/>
                <w:sz w:val="18"/>
                <w:szCs w:val="18"/>
                <w:color w:val="auto"/>
                <w:w w:val="91"/>
              </w:rPr>
              <w:t>Director</w:t>
            </w:r>
          </w:p>
        </w:tc>
        <w:tc>
          <w:tcPr>
            <w:tcW w:w="2380" w:type="dxa"/>
            <w:vAlign w:val="bottom"/>
          </w:tcPr>
          <w:p>
            <w:pPr>
              <w:jc w:val="center"/>
              <w:ind w:left="916"/>
              <w:spacing w:after="0"/>
              <w:rPr>
                <w:sz w:val="20"/>
                <w:szCs w:val="20"/>
                <w:color w:val="auto"/>
              </w:rPr>
            </w:pPr>
            <w:r>
              <w:rPr>
                <w:rFonts w:ascii="Arial" w:cs="Arial" w:eastAsia="Arial" w:hAnsi="Arial"/>
                <w:sz w:val="18"/>
                <w:szCs w:val="18"/>
                <w:color w:val="auto"/>
                <w:w w:val="87"/>
              </w:rPr>
              <w:t>December 12, 2007</w:t>
            </w:r>
          </w:p>
        </w:tc>
      </w:tr>
      <w:tr>
        <w:trPr>
          <w:trHeight w:val="234"/>
        </w:trPr>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Marshall Brozost</w:t>
            </w:r>
          </w:p>
        </w:tc>
        <w:tc>
          <w:tcPr>
            <w:tcW w:w="1200" w:type="dxa"/>
            <w:vAlign w:val="bottom"/>
            <w:gridSpan w:val="2"/>
          </w:tcPr>
          <w:p>
            <w:pPr>
              <w:spacing w:after="0"/>
              <w:rPr>
                <w:sz w:val="20"/>
                <w:szCs w:val="20"/>
                <w:color w:val="auto"/>
              </w:rPr>
            </w:pPr>
          </w:p>
        </w:tc>
        <w:tc>
          <w:tcPr>
            <w:tcW w:w="27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0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Samuel L. Katz</w:t>
            </w:r>
          </w:p>
        </w:tc>
        <w:tc>
          <w:tcPr>
            <w:tcW w:w="1240" w:type="dxa"/>
            <w:vAlign w:val="bottom"/>
            <w:gridSpan w:val="3"/>
          </w:tcPr>
          <w:p>
            <w:pPr>
              <w:spacing w:after="0"/>
              <w:rPr>
                <w:sz w:val="24"/>
                <w:szCs w:val="24"/>
                <w:color w:val="auto"/>
              </w:rPr>
            </w:pPr>
          </w:p>
        </w:tc>
        <w:tc>
          <w:tcPr>
            <w:tcW w:w="2700" w:type="dxa"/>
            <w:vAlign w:val="bottom"/>
          </w:tcPr>
          <w:p>
            <w:pPr>
              <w:jc w:val="center"/>
              <w:ind w:left="36"/>
              <w:spacing w:after="0"/>
              <w:rPr>
                <w:sz w:val="20"/>
                <w:szCs w:val="20"/>
                <w:color w:val="auto"/>
              </w:rPr>
            </w:pPr>
            <w:r>
              <w:rPr>
                <w:rFonts w:ascii="Arial" w:cs="Arial" w:eastAsia="Arial" w:hAnsi="Arial"/>
                <w:sz w:val="18"/>
                <w:szCs w:val="18"/>
                <w:color w:val="auto"/>
                <w:w w:val="91"/>
              </w:rPr>
              <w:t>Director</w:t>
            </w:r>
          </w:p>
        </w:tc>
        <w:tc>
          <w:tcPr>
            <w:tcW w:w="2380" w:type="dxa"/>
            <w:vAlign w:val="bottom"/>
          </w:tcPr>
          <w:p>
            <w:pPr>
              <w:jc w:val="center"/>
              <w:ind w:left="916"/>
              <w:spacing w:after="0"/>
              <w:rPr>
                <w:sz w:val="20"/>
                <w:szCs w:val="20"/>
                <w:color w:val="auto"/>
              </w:rPr>
            </w:pPr>
            <w:r>
              <w:rPr>
                <w:rFonts w:ascii="Arial" w:cs="Arial" w:eastAsia="Arial" w:hAnsi="Arial"/>
                <w:sz w:val="18"/>
                <w:szCs w:val="18"/>
                <w:color w:val="auto"/>
                <w:w w:val="87"/>
              </w:rPr>
              <w:t>December 12, 2007</w:t>
            </w:r>
          </w:p>
        </w:tc>
      </w:tr>
      <w:tr>
        <w:trPr>
          <w:trHeight w:val="234"/>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gridSpan w:val="6"/>
          </w:tcPr>
          <w:p>
            <w:pPr>
              <w:jc w:val="center"/>
              <w:ind w:right="1240"/>
              <w:spacing w:after="0"/>
              <w:rPr>
                <w:sz w:val="20"/>
                <w:szCs w:val="20"/>
                <w:color w:val="auto"/>
              </w:rPr>
            </w:pPr>
            <w:r>
              <w:rPr>
                <w:rFonts w:ascii="Arial" w:cs="Arial" w:eastAsia="Arial" w:hAnsi="Arial"/>
                <w:sz w:val="18"/>
                <w:szCs w:val="18"/>
                <w:b w:val="1"/>
                <w:bCs w:val="1"/>
                <w:color w:val="auto"/>
                <w:w w:val="90"/>
              </w:rPr>
              <w:t>Samuel L. Katz</w:t>
            </w:r>
          </w:p>
        </w:tc>
        <w:tc>
          <w:tcPr>
            <w:tcW w:w="270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on Form 10-K/A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4860" w:type="dxa"/>
            <w:vAlign w:val="bottom"/>
            <w:gridSpan w:val="3"/>
          </w:tcPr>
          <w:p>
            <w:pPr>
              <w:ind w:left="146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36"/>
        </w:trPr>
        <w:tc>
          <w:tcPr>
            <w:tcW w:w="3020" w:type="dxa"/>
            <w:vAlign w:val="bottom"/>
          </w:tcPr>
          <w:p>
            <w:pPr>
              <w:spacing w:after="0"/>
              <w:rPr>
                <w:sz w:val="20"/>
                <w:szCs w:val="20"/>
                <w:color w:val="auto"/>
              </w:rPr>
            </w:pPr>
            <w:r>
              <w:rPr>
                <w:rFonts w:ascii="Arial" w:cs="Arial" w:eastAsia="Arial" w:hAnsi="Arial"/>
                <w:sz w:val="18"/>
                <w:szCs w:val="18"/>
                <w:color w:val="auto"/>
              </w:rPr>
              <w:t>Date: January 8, 2008</w:t>
            </w:r>
          </w:p>
        </w:tc>
        <w:tc>
          <w:tcPr>
            <w:tcW w:w="2920" w:type="dxa"/>
            <w:vAlign w:val="bottom"/>
          </w:tcPr>
          <w:p>
            <w:pPr>
              <w:spacing w:after="0"/>
              <w:rPr>
                <w:sz w:val="24"/>
                <w:szCs w:val="24"/>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3"/>
              </w:rPr>
              <w:t>/s/ Aviv Efrat</w:t>
            </w:r>
          </w:p>
        </w:tc>
      </w:tr>
      <w:tr>
        <w:trPr>
          <w:trHeight w:val="222"/>
        </w:trPr>
        <w:tc>
          <w:tcPr>
            <w:tcW w:w="30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920" w:type="dxa"/>
            <w:vAlign w:val="bottom"/>
          </w:tcPr>
          <w:p>
            <w:pPr>
              <w:spacing w:after="0"/>
              <w:rPr>
                <w:sz w:val="19"/>
                <w:szCs w:val="19"/>
                <w:color w:val="auto"/>
              </w:rPr>
            </w:pPr>
          </w:p>
        </w:tc>
      </w:tr>
      <w:tr>
        <w:trPr>
          <w:trHeight w:val="228"/>
        </w:trPr>
        <w:tc>
          <w:tcPr>
            <w:tcW w:w="3020" w:type="dxa"/>
            <w:vAlign w:val="bottom"/>
          </w:tcPr>
          <w:p>
            <w:pPr>
              <w:spacing w:after="0"/>
              <w:rPr>
                <w:sz w:val="19"/>
                <w:szCs w:val="19"/>
                <w:color w:val="auto"/>
              </w:rPr>
            </w:pPr>
          </w:p>
        </w:tc>
        <w:tc>
          <w:tcPr>
            <w:tcW w:w="4860" w:type="dxa"/>
            <w:vAlign w:val="bottom"/>
            <w:gridSpan w:val="3"/>
          </w:tcPr>
          <w:p>
            <w:pPr>
              <w:jc w:val="center"/>
              <w:ind w:left="1932"/>
              <w:spacing w:after="0"/>
              <w:rPr>
                <w:sz w:val="20"/>
                <w:szCs w:val="20"/>
                <w:color w:val="auto"/>
              </w:rPr>
            </w:pPr>
            <w:r>
              <w:rPr>
                <w:rFonts w:ascii="Arial" w:cs="Arial" w:eastAsia="Arial" w:hAnsi="Arial"/>
                <w:sz w:val="18"/>
                <w:szCs w:val="18"/>
                <w:b w:val="1"/>
                <w:bCs w:val="1"/>
                <w:color w:val="auto"/>
                <w:w w:val="89"/>
              </w:rPr>
              <w:t>Chief Financial Officer and Treasurer</w:t>
            </w:r>
          </w:p>
        </w:tc>
      </w:tr>
    </w:tbl>
    <w:p>
      <w:pPr>
        <w:spacing w:after="0" w:line="1" w:lineRule="exact"/>
        <w:rPr>
          <w:sz w:val="20"/>
          <w:szCs w:val="20"/>
          <w:color w:val="auto"/>
        </w:rPr>
      </w:pPr>
    </w:p>
    <w:sectPr>
      <w:pgSz w:w="11900" w:h="16838" w:orient="portrait"/>
      <w:cols w:equalWidth="0" w:num="1">
        <w:col w:w="11200"/>
      </w:cols>
      <w:pgMar w:left="32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2020-05-05T15:06:43Z</dcterms:created>
  <dcterms:modified xsi:type="dcterms:W3CDTF">2020-05-05T15:06:43Z</dcterms:modified>
</cp:coreProperties>
</file>