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February 21, 2012</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39" w:lineRule="exact"/>
        <w:rPr>
          <w:sz w:val="24"/>
          <w:szCs w:val="24"/>
          <w:color w:val="auto"/>
        </w:rPr>
      </w:pPr>
    </w:p>
    <w:p>
      <w:pPr>
        <w:ind w:left="40" w:right="40"/>
        <w:spacing w:after="0" w:line="248" w:lineRule="auto"/>
        <w:rPr>
          <w:sz w:val="20"/>
          <w:szCs w:val="20"/>
          <w:color w:val="auto"/>
        </w:rPr>
      </w:pPr>
      <w:r>
        <w:rPr>
          <w:rFonts w:ascii="Arial" w:cs="Arial" w:eastAsia="Arial" w:hAnsi="Arial"/>
          <w:sz w:val="21"/>
          <w:szCs w:val="21"/>
          <w:color w:val="auto"/>
        </w:rPr>
        <w:t>On February 21, 2012, PennantPark Investment Corporation (the "Company") entered into an amended and restated, multi-currency, senior secured revolving credit facility (the "Credit Facility") with certain lenders, which increased the size of the Credit Facility from $315 million to $380 million. Suntrust Robinson Humphrey, Inc. and J.P. Morgan Securities LLC acted as joint lead arrangers and joint book runners, Suntrust Bank acted as administrative agent and JPMorgan Chase Bank, N.A. acted as syndication agent of the Credit Facility. The Credit Facility contains an accordion feature whereby it can be expanded to $600 million if certain conditions are satisfied.</w:t>
      </w:r>
    </w:p>
    <w:p>
      <w:pPr>
        <w:spacing w:after="0" w:line="204" w:lineRule="exact"/>
        <w:rPr>
          <w:sz w:val="24"/>
          <w:szCs w:val="24"/>
          <w:color w:val="auto"/>
        </w:rPr>
      </w:pPr>
    </w:p>
    <w:p>
      <w:pPr>
        <w:jc w:val="both"/>
        <w:ind w:left="40" w:right="560"/>
        <w:spacing w:after="0" w:line="252" w:lineRule="auto"/>
        <w:rPr>
          <w:sz w:val="20"/>
          <w:szCs w:val="20"/>
          <w:color w:val="auto"/>
        </w:rPr>
      </w:pPr>
      <w:r>
        <w:rPr>
          <w:rFonts w:ascii="Arial" w:cs="Arial" w:eastAsia="Arial" w:hAnsi="Arial"/>
          <w:sz w:val="21"/>
          <w:szCs w:val="21"/>
          <w:color w:val="auto"/>
        </w:rPr>
        <w:t>Pricing is set at LIBOR plus 275 basis points or an alternative base rate plus 175 basis points with a 50 basis point unused commitment fee. The Credit Facility has a four-year maturity, with a one-year term out period following its third year. The Credit Facility is secured by substantially all of the assets of the Company excluding assets held by PennantPark SBIC LP, which is our small business investment company subsidiary.</w:t>
      </w:r>
    </w:p>
    <w:p>
      <w:pPr>
        <w:spacing w:after="0" w:line="201" w:lineRule="exact"/>
        <w:rPr>
          <w:sz w:val="24"/>
          <w:szCs w:val="24"/>
          <w:color w:val="auto"/>
        </w:rPr>
      </w:pPr>
    </w:p>
    <w:p>
      <w:pPr>
        <w:ind w:left="40" w:right="140"/>
        <w:spacing w:after="0" w:line="273" w:lineRule="auto"/>
        <w:rPr>
          <w:sz w:val="20"/>
          <w:szCs w:val="20"/>
          <w:color w:val="auto"/>
        </w:rPr>
      </w:pPr>
      <w:r>
        <w:rPr>
          <w:rFonts w:ascii="Arial" w:cs="Arial" w:eastAsia="Arial" w:hAnsi="Arial"/>
          <w:sz w:val="19"/>
          <w:szCs w:val="19"/>
          <w:color w:val="auto"/>
        </w:rPr>
        <w:t>The documents governing the Credit Facility contain affirmative and restrictive covenants, including: (a) periodic financial reporting requirements, (b) maintenance of a minimum shareholders' equity of the sum of (1) $220,000,000 plus (2) 25% of the net proceeds from the sale of equity interests in the Company and its subsidiaries after the effective date (other than proceeds from the sale of equity interests by and among the Company and its subsidiaries), (c) maintenance of a ratio of total assets (less total liabilities other than indebtedness) to total indebtedness, in each case of the Company, of not less than 2.0:1.0, (d) maintenance of minimum liquidity standards, (e) limitations on the incurrence of additional indebtedness, (f) limitations on liens, (g) limitations on fundamental corporate changes, (h) limitations on investments (other than the Company's portfolio investments and certain other ordinary course investments), (i) limitations on payments and distributions (other than distributions to the Company 's shareholders as contemplated to maintain regulated investment company status), (j) limitations on transactions with affiliates, (k) limitations on engaging in business not contemplated by the Company 's investment</w:t>
      </w:r>
    </w:p>
    <w:p>
      <w:pPr>
        <w:sectPr>
          <w:pgSz w:w="11900" w:h="16884" w:orient="portrait"/>
          <w:cols w:equalWidth="0" w:num="1">
            <w:col w:w="11200"/>
          </w:cols>
          <w:pgMar w:left="320" w:top="828" w:right="379" w:bottom="0" w:gutter="0" w:footer="0" w:header="0"/>
        </w:sectPr>
      </w:pPr>
    </w:p>
    <w:bookmarkStart w:id="1" w:name="page2"/>
    <w:bookmarkEnd w:id="1"/>
    <w:p>
      <w:pPr>
        <w:spacing w:after="0" w:line="252" w:lineRule="auto"/>
        <w:rPr>
          <w:sz w:val="20"/>
          <w:szCs w:val="20"/>
          <w:color w:val="auto"/>
        </w:rPr>
      </w:pPr>
      <w:r>
        <w:rPr>
          <w:rFonts w:ascii="Arial" w:cs="Arial" w:eastAsia="Arial" w:hAnsi="Arial"/>
          <w:sz w:val="21"/>
          <w:szCs w:val="21"/>
          <w:color w:val="auto"/>
        </w:rPr>
        <w:t>objectives, and (l) limitations on the creation or existence of agreements that prohibit liens on properties of the Company and its subsidiaries. In addition to the asset coverage ratio described in clause (c) of the preceding sentence, borrowings under the Credit Facility (and the incurrence of certain other permitted debt) will be subject to compliance with a borrowing base that will apply different advance rates to different types of assets in the Company 's portfolio.</w:t>
      </w:r>
    </w:p>
    <w:p>
      <w:pPr>
        <w:spacing w:after="0" w:line="201" w:lineRule="exact"/>
        <w:rPr>
          <w:sz w:val="20"/>
          <w:szCs w:val="20"/>
          <w:color w:val="auto"/>
        </w:rPr>
      </w:pPr>
    </w:p>
    <w:p>
      <w:pPr>
        <w:ind w:right="540"/>
        <w:spacing w:after="0" w:line="250" w:lineRule="auto"/>
        <w:rPr>
          <w:sz w:val="20"/>
          <w:szCs w:val="20"/>
          <w:color w:val="auto"/>
        </w:rPr>
      </w:pPr>
      <w:r>
        <w:rPr>
          <w:rFonts w:ascii="Arial" w:cs="Arial" w:eastAsia="Arial" w:hAnsi="Arial"/>
          <w:sz w:val="22"/>
          <w:szCs w:val="22"/>
          <w:color w:val="auto"/>
        </w:rPr>
        <w:t>The description above is only a summary of the material provisions of the Credit Facility and is qualified in its entirety by reference to the Credit Facility agreement.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 press release announcing the entry into the Credit Facility is furnished as Exhibit 99.1 to this Form 8-K.</w:t>
      </w:r>
    </w:p>
    <w:p>
      <w:pPr>
        <w:spacing w:after="0" w:line="200" w:lineRule="exact"/>
        <w:rPr>
          <w:sz w:val="20"/>
          <w:szCs w:val="20"/>
          <w:color w:val="auto"/>
        </w:rPr>
      </w:pPr>
    </w:p>
    <w:p>
      <w:pPr>
        <w:ind w:right="380"/>
        <w:spacing w:after="0" w:line="256" w:lineRule="auto"/>
        <w:rPr>
          <w:sz w:val="20"/>
          <w:szCs w:val="20"/>
          <w:color w:val="auto"/>
        </w:rPr>
      </w:pPr>
      <w:r>
        <w:rPr>
          <w:rFonts w:ascii="Arial" w:cs="Arial" w:eastAsia="Arial" w:hAnsi="Arial"/>
          <w:sz w:val="22"/>
          <w:szCs w:val="22"/>
          <w:b w:val="1"/>
          <w:bCs w:val="1"/>
          <w:color w:val="auto"/>
        </w:rPr>
        <w:t>Item 2.03. Creation of a Direct Financial Obligation or an Obligation Under an Off-Balance Sheet Arrangement of a Registrant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The information set forth in Item 1.01 is incorporated by reference into this Item 2.03.</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February 22,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20" w:type="dxa"/>
            <w:vAlign w:val="bottom"/>
          </w:tcPr>
          <w:p>
            <w:pPr>
              <w:spacing w:after="0"/>
              <w:rPr>
                <w:sz w:val="20"/>
                <w:szCs w:val="20"/>
                <w:color w:val="auto"/>
              </w:rPr>
            </w:pPr>
            <w:r>
              <w:rPr>
                <w:rFonts w:ascii="Arial" w:cs="Arial" w:eastAsia="Arial" w:hAnsi="Arial"/>
                <w:sz w:val="22"/>
                <w:szCs w:val="22"/>
                <w:color w:val="auto"/>
              </w:rPr>
              <w:t>Dated: February 22, 2012</w:t>
            </w:r>
          </w:p>
        </w:tc>
        <w:tc>
          <w:tcPr>
            <w:tcW w:w="6520" w:type="dxa"/>
            <w:vAlign w:val="bottom"/>
            <w:gridSpan w:val="3"/>
          </w:tcPr>
          <w:p>
            <w:pPr>
              <w:ind w:left="17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920" w:type="dxa"/>
            <w:vAlign w:val="bottom"/>
          </w:tcPr>
          <w:p>
            <w:pPr>
              <w:spacing w:after="0"/>
              <w:rPr>
                <w:sz w:val="24"/>
                <w:szCs w:val="24"/>
                <w:color w:val="auto"/>
              </w:rPr>
            </w:pPr>
          </w:p>
        </w:tc>
        <w:tc>
          <w:tcPr>
            <w:tcW w:w="6520" w:type="dxa"/>
            <w:vAlign w:val="bottom"/>
            <w:gridSpan w:val="3"/>
          </w:tcPr>
          <w:p>
            <w:pPr>
              <w:ind w:left="1700"/>
              <w:spacing w:after="0"/>
              <w:rPr>
                <w:sz w:val="20"/>
                <w:szCs w:val="20"/>
                <w:color w:val="auto"/>
              </w:rPr>
            </w:pPr>
            <w:r>
              <w:rPr>
                <w:rFonts w:ascii="Arial" w:cs="Arial" w:eastAsia="Arial" w:hAnsi="Arial"/>
                <w:sz w:val="22"/>
                <w:szCs w:val="22"/>
                <w:color w:val="auto"/>
              </w:rPr>
              <w:t>By: /s/ Aviv Efrat</w:t>
            </w:r>
          </w:p>
        </w:tc>
      </w:tr>
      <w:tr>
        <w:trPr>
          <w:trHeight w:val="20"/>
        </w:trPr>
        <w:tc>
          <w:tcPr>
            <w:tcW w:w="3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920" w:type="dxa"/>
            <w:vAlign w:val="bottom"/>
          </w:tcPr>
          <w:p>
            <w:pPr>
              <w:spacing w:after="0"/>
              <w:rPr>
                <w:sz w:val="21"/>
                <w:szCs w:val="21"/>
                <w:color w:val="auto"/>
              </w:rPr>
            </w:pPr>
          </w:p>
        </w:tc>
        <w:tc>
          <w:tcPr>
            <w:tcW w:w="6520" w:type="dxa"/>
            <w:vAlign w:val="bottom"/>
            <w:gridSpan w:val="3"/>
          </w:tcPr>
          <w:p>
            <w:pPr>
              <w:ind w:left="19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20" w:type="dxa"/>
            <w:vAlign w:val="bottom"/>
          </w:tcPr>
          <w:p>
            <w:pPr>
              <w:spacing w:after="0"/>
              <w:rPr>
                <w:sz w:val="23"/>
                <w:szCs w:val="23"/>
                <w:color w:val="auto"/>
              </w:rPr>
            </w:pPr>
          </w:p>
        </w:tc>
        <w:tc>
          <w:tcPr>
            <w:tcW w:w="6520" w:type="dxa"/>
            <w:vAlign w:val="bottom"/>
            <w:gridSpan w:val="3"/>
          </w:tcPr>
          <w:p>
            <w:pPr>
              <w:ind w:left="19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87"/>
              </w:rPr>
              <w:t>February 22, 2012</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8"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Increases Credit Facility to $380 Million</w:t>
      </w:r>
    </w:p>
    <w:p>
      <w:pPr>
        <w:spacing w:after="0" w:line="213"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NEW YORK, NY -- (Marketwire - February 22, 2012) - PennantPark Investment Corporation (the "Company") (NASDAQ: PNNT) announced today that it has entered into an amended and restated, multi-currency, senior secured revolving credit facility (the "Credit Facility") with certain lenders, which increased the size of the Credit Facility from $315 million to $380 million. SunTrust Robinson Humphrey, Inc. and J.P. Morgan Securities LLC acted as joint lead arrangers and joint book runners, SunTrust Bank acted as administrative agent and JPMorgan Chase Bank, N.A. acted as syndication agent of the Credit Facility. The Credit Facility contains an accordion feature whereby it can be expanded to $600 million if certain conditions are satisfied.</w:t>
      </w:r>
    </w:p>
    <w:p>
      <w:pPr>
        <w:spacing w:after="0" w:line="150" w:lineRule="exact"/>
        <w:rPr>
          <w:sz w:val="20"/>
          <w:szCs w:val="20"/>
          <w:color w:val="auto"/>
        </w:rPr>
      </w:pPr>
    </w:p>
    <w:p>
      <w:pPr>
        <w:ind w:right="260"/>
        <w:spacing w:after="0" w:line="238" w:lineRule="auto"/>
        <w:rPr>
          <w:sz w:val="20"/>
          <w:szCs w:val="20"/>
          <w:color w:val="auto"/>
        </w:rPr>
      </w:pPr>
      <w:r>
        <w:rPr>
          <w:rFonts w:ascii="Arial" w:cs="Arial" w:eastAsia="Arial" w:hAnsi="Arial"/>
          <w:sz w:val="22"/>
          <w:szCs w:val="22"/>
          <w:color w:val="auto"/>
        </w:rPr>
        <w:t>The definitive agreements relating to the Credit Facility were executed on February 21, 2012. Pricing is set at LIBOR plus 275 basis points. The Credit Facility has a four-year maturity, with a one-year term out period following its third year. The Credit Facility has the same security as our previous credit facility and includes customary covenants, including minimum asset coverage and minimum equity.</w:t>
      </w:r>
    </w:p>
    <w:p>
      <w:pPr>
        <w:spacing w:after="0" w:line="185"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"We are pleased to have amended and restated our Credit Facility to this new size and duration. This long-term Credit Facility nicely complements our permanent equity base and our long-term, 10-year SBA financing. We are delighted to have received strong support from existing lenders and welcome new relationships who have joined our growing list of lending partners," said Chairman and Chief Executive Officer Arthur H. Penn.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8"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8"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in this press release. All forward-looking statements speak only as of the date of this press release.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2020-05-05T15:07:20Z</dcterms:created>
  <dcterms:modified xsi:type="dcterms:W3CDTF">2020-05-05T15:07:20Z</dcterms:modified>
</cp:coreProperties>
</file>