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1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February 6, 2018</w:t>
      </w:r>
    </w:p>
    <w:p>
      <w:pPr>
        <w:spacing w:after="0" w:line="17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4"/>
          <w:szCs w:val="24"/>
          <w:color w:val="auto"/>
        </w:rPr>
      </w:pPr>
    </w:p>
    <w:tbl>
      <w:tblPr>
        <w:tblLayout w:type="fixed"/>
        <w:tblInd w:w="760" w:type="dxa"/>
        <w:tblCellMar>
          <w:top w:w="0" w:type="dxa"/>
          <w:left w:w="0" w:type="dxa"/>
          <w:bottom w:w="0" w:type="dxa"/>
          <w:right w:w="0" w:type="dxa"/>
        </w:tblCellMar>
      </w:tblPr>
      <w:tr>
        <w:trPr>
          <w:trHeight w:val="163"/>
        </w:trPr>
        <w:tc>
          <w:tcPr>
            <w:tcW w:w="3840" w:type="dxa"/>
            <w:vAlign w:val="bottom"/>
          </w:tcPr>
          <w:p>
            <w:pPr>
              <w:jc w:val="center"/>
              <w:ind w:right="1535"/>
              <w:spacing w:after="0"/>
              <w:rPr>
                <w:sz w:val="20"/>
                <w:szCs w:val="20"/>
                <w:color w:val="auto"/>
              </w:rPr>
            </w:pPr>
            <w:r>
              <w:rPr>
                <w:rFonts w:ascii="Arial" w:cs="Arial" w:eastAsia="Arial" w:hAnsi="Arial"/>
                <w:sz w:val="14"/>
                <w:szCs w:val="14"/>
                <w:b w:val="1"/>
                <w:bCs w:val="1"/>
                <w:color w:val="auto"/>
                <w:w w:val="97"/>
              </w:rPr>
              <w:t>Maryland</w:t>
            </w:r>
          </w:p>
        </w:tc>
        <w:tc>
          <w:tcPr>
            <w:tcW w:w="2580" w:type="dxa"/>
            <w:vAlign w:val="bottom"/>
          </w:tcPr>
          <w:p>
            <w:pPr>
              <w:jc w:val="right"/>
              <w:ind w:right="1195"/>
              <w:spacing w:after="0"/>
              <w:rPr>
                <w:sz w:val="20"/>
                <w:szCs w:val="20"/>
                <w:color w:val="auto"/>
              </w:rPr>
            </w:pPr>
            <w:r>
              <w:rPr>
                <w:rFonts w:ascii="Arial" w:cs="Arial" w:eastAsia="Arial" w:hAnsi="Arial"/>
                <w:sz w:val="14"/>
                <w:szCs w:val="14"/>
                <w:b w:val="1"/>
                <w:bCs w:val="1"/>
                <w:color w:val="auto"/>
              </w:rPr>
              <w:t>814-00736</w:t>
            </w:r>
          </w:p>
        </w:tc>
        <w:tc>
          <w:tcPr>
            <w:tcW w:w="3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20-8250744</w:t>
            </w:r>
          </w:p>
        </w:tc>
      </w:tr>
      <w:tr>
        <w:trPr>
          <w:trHeight w:val="150"/>
        </w:trPr>
        <w:tc>
          <w:tcPr>
            <w:tcW w:w="3840" w:type="dxa"/>
            <w:vAlign w:val="bottom"/>
          </w:tcPr>
          <w:p>
            <w:pPr>
              <w:jc w:val="center"/>
              <w:ind w:right="1555"/>
              <w:spacing w:after="0"/>
              <w:rPr>
                <w:sz w:val="20"/>
                <w:szCs w:val="20"/>
                <w:color w:val="auto"/>
              </w:rPr>
            </w:pPr>
            <w:r>
              <w:rPr>
                <w:rFonts w:ascii="Arial" w:cs="Arial" w:eastAsia="Arial" w:hAnsi="Arial"/>
                <w:sz w:val="12"/>
                <w:szCs w:val="12"/>
                <w:b w:val="1"/>
                <w:bCs w:val="1"/>
                <w:color w:val="auto"/>
                <w:w w:val="89"/>
              </w:rPr>
              <w:t>(State or other jurisdiction of incorporation)</w:t>
            </w:r>
          </w:p>
        </w:tc>
        <w:tc>
          <w:tcPr>
            <w:tcW w:w="2580" w:type="dxa"/>
            <w:vAlign w:val="bottom"/>
          </w:tcPr>
          <w:p>
            <w:pPr>
              <w:jc w:val="center"/>
              <w:ind w:right="495"/>
              <w:spacing w:after="0"/>
              <w:rPr>
                <w:sz w:val="20"/>
                <w:szCs w:val="20"/>
                <w:color w:val="auto"/>
              </w:rPr>
            </w:pPr>
            <w:r>
              <w:rPr>
                <w:rFonts w:ascii="Arial" w:cs="Arial" w:eastAsia="Arial" w:hAnsi="Arial"/>
                <w:sz w:val="12"/>
                <w:szCs w:val="12"/>
                <w:b w:val="1"/>
                <w:bCs w:val="1"/>
                <w:color w:val="auto"/>
                <w:w w:val="87"/>
              </w:rPr>
              <w:t>(Commission File Number)</w:t>
            </w:r>
          </w:p>
        </w:tc>
        <w:tc>
          <w:tcPr>
            <w:tcW w:w="3020" w:type="dxa"/>
            <w:vAlign w:val="bottom"/>
          </w:tcPr>
          <w:p>
            <w:pPr>
              <w:jc w:val="center"/>
              <w:ind w:left="1251"/>
              <w:spacing w:after="0"/>
              <w:rPr>
                <w:sz w:val="20"/>
                <w:szCs w:val="20"/>
                <w:color w:val="auto"/>
              </w:rPr>
            </w:pPr>
            <w:r>
              <w:rPr>
                <w:rFonts w:ascii="Arial" w:cs="Arial" w:eastAsia="Arial" w:hAnsi="Arial"/>
                <w:sz w:val="12"/>
                <w:szCs w:val="12"/>
                <w:b w:val="1"/>
                <w:bCs w:val="1"/>
                <w:color w:val="auto"/>
                <w:w w:val="91"/>
              </w:rPr>
              <w:t>(IRS Employer Identification No.)</w:t>
            </w:r>
          </w:p>
        </w:tc>
      </w:tr>
      <w:tr>
        <w:trPr>
          <w:trHeight w:val="348"/>
        </w:trPr>
        <w:tc>
          <w:tcPr>
            <w:tcW w:w="3840" w:type="dxa"/>
            <w:vAlign w:val="bottom"/>
          </w:tcPr>
          <w:p>
            <w:pPr>
              <w:jc w:val="center"/>
              <w:ind w:left="195"/>
              <w:spacing w:after="0"/>
              <w:rPr>
                <w:sz w:val="20"/>
                <w:szCs w:val="20"/>
                <w:color w:val="auto"/>
              </w:rPr>
            </w:pPr>
            <w:r>
              <w:rPr>
                <w:rFonts w:ascii="Arial" w:cs="Arial" w:eastAsia="Arial" w:hAnsi="Arial"/>
                <w:sz w:val="14"/>
                <w:szCs w:val="14"/>
                <w:b w:val="1"/>
                <w:bCs w:val="1"/>
                <w:color w:val="auto"/>
                <w:w w:val="93"/>
              </w:rPr>
              <w:t>590 Madison Avenue, 15th Floor, New York, NY</w:t>
            </w:r>
          </w:p>
        </w:tc>
        <w:tc>
          <w:tcPr>
            <w:tcW w:w="2580" w:type="dxa"/>
            <w:vAlign w:val="bottom"/>
          </w:tcPr>
          <w:p>
            <w:pPr>
              <w:spacing w:after="0"/>
              <w:rPr>
                <w:sz w:val="24"/>
                <w:szCs w:val="24"/>
                <w:color w:val="auto"/>
              </w:rPr>
            </w:pPr>
          </w:p>
        </w:tc>
        <w:tc>
          <w:tcPr>
            <w:tcW w:w="3020" w:type="dxa"/>
            <w:vAlign w:val="bottom"/>
          </w:tcPr>
          <w:p>
            <w:pPr>
              <w:jc w:val="right"/>
              <w:ind w:right="1531"/>
              <w:spacing w:after="0"/>
              <w:rPr>
                <w:sz w:val="20"/>
                <w:szCs w:val="20"/>
                <w:color w:val="auto"/>
              </w:rPr>
            </w:pPr>
            <w:r>
              <w:rPr>
                <w:rFonts w:ascii="Arial" w:cs="Arial" w:eastAsia="Arial" w:hAnsi="Arial"/>
                <w:sz w:val="14"/>
                <w:szCs w:val="14"/>
                <w:b w:val="1"/>
                <w:bCs w:val="1"/>
                <w:color w:val="auto"/>
              </w:rPr>
              <w:t>10022</w:t>
            </w:r>
          </w:p>
        </w:tc>
      </w:tr>
      <w:tr>
        <w:trPr>
          <w:trHeight w:val="186"/>
        </w:trPr>
        <w:tc>
          <w:tcPr>
            <w:tcW w:w="3840" w:type="dxa"/>
            <w:vAlign w:val="bottom"/>
          </w:tcPr>
          <w:p>
            <w:pPr>
              <w:jc w:val="center"/>
              <w:ind w:left="195"/>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2580" w:type="dxa"/>
            <w:vAlign w:val="bottom"/>
          </w:tcPr>
          <w:p>
            <w:pPr>
              <w:spacing w:after="0"/>
              <w:rPr>
                <w:sz w:val="16"/>
                <w:szCs w:val="16"/>
                <w:color w:val="auto"/>
              </w:rPr>
            </w:pPr>
          </w:p>
        </w:tc>
        <w:tc>
          <w:tcPr>
            <w:tcW w:w="3020" w:type="dxa"/>
            <w:vAlign w:val="bottom"/>
          </w:tcPr>
          <w:p>
            <w:pPr>
              <w:jc w:val="center"/>
              <w:ind w:right="471"/>
              <w:spacing w:after="0"/>
              <w:rPr>
                <w:sz w:val="20"/>
                <w:szCs w:val="20"/>
                <w:color w:val="auto"/>
              </w:rPr>
            </w:pPr>
            <w:r>
              <w:rPr>
                <w:rFonts w:ascii="Arial" w:cs="Arial" w:eastAsia="Arial" w:hAnsi="Arial"/>
                <w:sz w:val="14"/>
                <w:szCs w:val="14"/>
                <w:b w:val="1"/>
                <w:bCs w:val="1"/>
                <w:color w:val="auto"/>
                <w:w w:val="98"/>
              </w:rPr>
              <w:t>(Zip Code)</w:t>
            </w:r>
          </w:p>
        </w:tc>
      </w:tr>
    </w:tbl>
    <w:p>
      <w:pPr>
        <w:spacing w:after="0" w:line="286"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212-905-1000</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Not Applicable</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9" w:lineRule="exact"/>
        <w:rPr>
          <w:rFonts w:ascii="MS PGothic" w:cs="MS PGothic" w:eastAsia="MS PGothic" w:hAnsi="MS PGothic"/>
          <w:sz w:val="14"/>
          <w:szCs w:val="14"/>
          <w:color w:val="auto"/>
        </w:rPr>
      </w:pPr>
    </w:p>
    <w:p>
      <w:pPr>
        <w:ind w:left="380" w:hanging="37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0" w:lineRule="exact"/>
        <w:rPr>
          <w:sz w:val="24"/>
          <w:szCs w:val="24"/>
          <w:color w:val="auto"/>
        </w:rPr>
      </w:pPr>
    </w:p>
    <w:p>
      <w:pPr>
        <w:ind w:firstLine="36"/>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1033780</wp:posOffset>
            </wp:positionH>
            <wp:positionV relativeFrom="paragraph">
              <wp:posOffset>-65405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57" w:lineRule="exact"/>
        <w:rPr>
          <w:sz w:val="24"/>
          <w:szCs w:val="24"/>
          <w:color w:val="auto"/>
        </w:rPr>
      </w:pPr>
    </w:p>
    <w:p>
      <w:pPr>
        <w:ind w:right="2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 Submission of Matters to a Vote of Security Holders</w:t>
      </w:r>
    </w:p>
    <w:p>
      <w:pPr>
        <w:spacing w:after="0" w:line="59"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14"/>
          <w:szCs w:val="14"/>
          <w:color w:val="auto"/>
        </w:rPr>
        <w:t>On February 6, 2018,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8, 2017. As of November 17, 2017, the record date, 71,060,836 shares of common stock were eligible to vote. A summary of the matters voted upon by the stockholders is set forth below.</w:t>
      </w:r>
    </w:p>
    <w:p>
      <w:pPr>
        <w:spacing w:after="0" w:line="71" w:lineRule="exact"/>
        <w:rPr>
          <w:sz w:val="20"/>
          <w:szCs w:val="20"/>
          <w:color w:val="auto"/>
        </w:rPr>
      </w:pPr>
    </w:p>
    <w:p>
      <w:pPr>
        <w:jc w:val="both"/>
        <w:ind w:right="4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The named proxies for the Company’s stockholders approved an adjournment of the meeting to allow the polls to remain open until 9:30 a.m. on February 27, 2018 to solicit</w:t>
      </w:r>
      <w:r>
        <w:rPr>
          <w:rFonts w:ascii="Arial" w:cs="Arial" w:eastAsia="Arial" w:hAnsi="Arial"/>
          <w:sz w:val="14"/>
          <w:szCs w:val="14"/>
          <w:b w:val="1"/>
          <w:bCs w:val="1"/>
          <w:color w:val="auto"/>
        </w:rPr>
        <w:t xml:space="preserve"> </w:t>
      </w:r>
      <w:r>
        <w:rPr>
          <w:rFonts w:ascii="Arial" w:cs="Arial" w:eastAsia="Arial" w:hAnsi="Arial"/>
          <w:sz w:val="14"/>
          <w:szCs w:val="14"/>
          <w:color w:val="auto"/>
        </w:rPr>
        <w:t>additional votes for the proposal to elect two Class II directors of the Company, who will each serve until the 2021 Annual Meeting and until his successor is duly elected and qualifies. The meeting will be reconvened at the offices of Dechert LLP, located at 1095 Avenue of the Americas, New York, New York, on February 27, 2018, at 9:30 a.m.</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2. </w:t>
      </w:r>
      <w:r>
        <w:rPr>
          <w:rFonts w:ascii="Arial" w:cs="Arial" w:eastAsia="Arial" w:hAnsi="Arial"/>
          <w:sz w:val="13"/>
          <w:szCs w:val="13"/>
          <w:color w:val="auto"/>
        </w:rPr>
        <w:t>The Company’s stockholders ratified the selection of RSM US LLP to serve as the Company’s independent registered public accounting firm for the year ending September 30, 2018.</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6, 2018, as certified by the inspector of election, are set forth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Arial" w:cs="Arial" w:eastAsia="Arial" w:hAnsi="Arial"/>
                <w:sz w:val="14"/>
                <w:szCs w:val="14"/>
                <w:color w:val="auto"/>
              </w:rPr>
              <w:t>For</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tcPr>
          <w:p>
            <w:pPr>
              <w:ind w:left="880"/>
              <w:spacing w:after="0"/>
              <w:rPr>
                <w:sz w:val="20"/>
                <w:szCs w:val="20"/>
                <w:color w:val="auto"/>
              </w:rPr>
            </w:pPr>
            <w:r>
              <w:rPr>
                <w:rFonts w:ascii="Arial" w:cs="Arial" w:eastAsia="Arial" w:hAnsi="Arial"/>
                <w:sz w:val="14"/>
                <w:szCs w:val="14"/>
                <w:color w:val="auto"/>
              </w:rPr>
              <w:t>Against</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gridSpan w:val="2"/>
          </w:tcPr>
          <w:p>
            <w:pPr>
              <w:jc w:val="right"/>
              <w:ind w:right="1020"/>
              <w:spacing w:after="0"/>
              <w:rPr>
                <w:sz w:val="20"/>
                <w:szCs w:val="20"/>
                <w:color w:val="auto"/>
              </w:rPr>
            </w:pPr>
            <w:r>
              <w:rPr>
                <w:rFonts w:ascii="Arial" w:cs="Arial" w:eastAsia="Arial" w:hAnsi="Arial"/>
                <w:sz w:val="14"/>
                <w:szCs w:val="14"/>
                <w:color w:val="auto"/>
              </w:rPr>
              <w:t>Abstain</w:t>
            </w:r>
          </w:p>
        </w:tc>
        <w:tc>
          <w:tcPr>
            <w:tcW w:w="20" w:type="dxa"/>
            <w:vAlign w:val="bottom"/>
          </w:tcPr>
          <w:p>
            <w:pPr>
              <w:spacing w:after="0"/>
              <w:rPr>
                <w:sz w:val="14"/>
                <w:szCs w:val="14"/>
                <w:color w:val="auto"/>
              </w:rPr>
            </w:pPr>
          </w:p>
        </w:tc>
      </w:tr>
      <w:tr>
        <w:trPr>
          <w:trHeight w:val="156"/>
        </w:trPr>
        <w:tc>
          <w:tcPr>
            <w:tcW w:w="3200" w:type="dxa"/>
            <w:vAlign w:val="bottom"/>
            <w:tcBorders>
              <w:top w:val="single" w:sz="8" w:color="BDD7EE"/>
            </w:tcBorders>
            <w:shd w:val="clear" w:color="auto" w:fill="BDD7EE"/>
          </w:tcPr>
          <w:p>
            <w:pPr>
              <w:spacing w:after="0" w:line="155" w:lineRule="exact"/>
              <w:rPr>
                <w:sz w:val="20"/>
                <w:szCs w:val="20"/>
                <w:color w:val="auto"/>
              </w:rPr>
            </w:pPr>
            <w:r>
              <w:rPr>
                <w:rFonts w:ascii="Arial" w:cs="Arial" w:eastAsia="Arial" w:hAnsi="Arial"/>
                <w:sz w:val="14"/>
                <w:szCs w:val="14"/>
                <w:color w:val="auto"/>
              </w:rPr>
              <w:t>Shares Voted</w:t>
            </w:r>
          </w:p>
        </w:tc>
        <w:tc>
          <w:tcPr>
            <w:tcW w:w="1380" w:type="dxa"/>
            <w:vAlign w:val="bottom"/>
            <w:tcBorders>
              <w:top w:val="single" w:sz="8" w:color="auto"/>
            </w:tcBorders>
            <w:shd w:val="clear" w:color="auto" w:fill="BDD7EE"/>
          </w:tcPr>
          <w:p>
            <w:pPr>
              <w:spacing w:after="0"/>
              <w:rPr>
                <w:sz w:val="13"/>
                <w:szCs w:val="13"/>
                <w:color w:val="auto"/>
              </w:rPr>
            </w:pPr>
          </w:p>
        </w:tc>
        <w:tc>
          <w:tcPr>
            <w:tcW w:w="82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62,443,728</w:t>
            </w:r>
          </w:p>
        </w:tc>
        <w:tc>
          <w:tcPr>
            <w:tcW w:w="640" w:type="dxa"/>
            <w:vAlign w:val="bottom"/>
            <w:tcBorders>
              <w:top w:val="single" w:sz="8" w:color="BDD7EE"/>
            </w:tcBorders>
            <w:shd w:val="clear" w:color="auto" w:fill="BDD7EE"/>
          </w:tcPr>
          <w:p>
            <w:pPr>
              <w:spacing w:after="0"/>
              <w:rPr>
                <w:sz w:val="13"/>
                <w:szCs w:val="13"/>
                <w:color w:val="auto"/>
              </w:rPr>
            </w:pPr>
          </w:p>
        </w:tc>
        <w:tc>
          <w:tcPr>
            <w:tcW w:w="1540" w:type="dxa"/>
            <w:vAlign w:val="bottom"/>
            <w:tcBorders>
              <w:top w:val="single" w:sz="8" w:color="auto"/>
            </w:tcBorders>
            <w:shd w:val="clear" w:color="auto" w:fill="BDD7EE"/>
          </w:tcPr>
          <w:p>
            <w:pPr>
              <w:spacing w:after="0"/>
              <w:rPr>
                <w:sz w:val="13"/>
                <w:szCs w:val="13"/>
                <w:color w:val="auto"/>
              </w:rPr>
            </w:pPr>
          </w:p>
        </w:tc>
        <w:tc>
          <w:tcPr>
            <w:tcW w:w="68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319,038</w:t>
            </w:r>
          </w:p>
        </w:tc>
        <w:tc>
          <w:tcPr>
            <w:tcW w:w="640" w:type="dxa"/>
            <w:vAlign w:val="bottom"/>
            <w:tcBorders>
              <w:top w:val="single" w:sz="8" w:color="BDD7EE"/>
            </w:tcBorders>
            <w:shd w:val="clear" w:color="auto" w:fill="BDD7EE"/>
          </w:tcPr>
          <w:p>
            <w:pPr>
              <w:spacing w:after="0"/>
              <w:rPr>
                <w:sz w:val="13"/>
                <w:szCs w:val="13"/>
                <w:color w:val="auto"/>
              </w:rPr>
            </w:pPr>
          </w:p>
        </w:tc>
        <w:tc>
          <w:tcPr>
            <w:tcW w:w="2200" w:type="dxa"/>
            <w:vAlign w:val="bottom"/>
            <w:tcBorders>
              <w:top w:val="single" w:sz="8" w:color="auto"/>
            </w:tcBorders>
            <w:shd w:val="clear" w:color="auto" w:fill="BDD7EE"/>
          </w:tcPr>
          <w:p>
            <w:pPr>
              <w:jc w:val="right"/>
              <w:spacing w:after="0" w:line="155" w:lineRule="exact"/>
              <w:rPr>
                <w:sz w:val="20"/>
                <w:szCs w:val="20"/>
                <w:color w:val="auto"/>
              </w:rPr>
            </w:pPr>
            <w:r>
              <w:rPr>
                <w:rFonts w:ascii="Arial" w:cs="Arial" w:eastAsia="Arial" w:hAnsi="Arial"/>
                <w:sz w:val="14"/>
                <w:szCs w:val="14"/>
                <w:color w:val="auto"/>
              </w:rPr>
              <w:t>519,461</w:t>
            </w:r>
          </w:p>
        </w:tc>
        <w:tc>
          <w:tcPr>
            <w:tcW w:w="140" w:type="dxa"/>
            <w:vAlign w:val="bottom"/>
            <w:tcBorders>
              <w:top w:val="single" w:sz="8" w:color="BDD7EE"/>
            </w:tcBorders>
            <w:shd w:val="clear" w:color="auto" w:fill="BDD7EE"/>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4580" w:type="dxa"/>
            <w:vAlign w:val="bottom"/>
            <w:gridSpan w:val="2"/>
          </w:tcPr>
          <w:p>
            <w:pPr>
              <w:ind w:left="380"/>
              <w:spacing w:after="0"/>
              <w:rPr>
                <w:sz w:val="20"/>
                <w:szCs w:val="20"/>
                <w:color w:val="auto"/>
              </w:rPr>
            </w:pPr>
            <w:r>
              <w:rPr>
                <w:rFonts w:ascii="Arial" w:cs="Arial" w:eastAsia="Arial" w:hAnsi="Arial"/>
                <w:sz w:val="14"/>
                <w:szCs w:val="14"/>
                <w:color w:val="auto"/>
              </w:rPr>
              <w:t>% of Shares Voted</w:t>
            </w:r>
          </w:p>
        </w:tc>
        <w:tc>
          <w:tcPr>
            <w:tcW w:w="1460" w:type="dxa"/>
            <w:vAlign w:val="bottom"/>
            <w:gridSpan w:val="2"/>
          </w:tcPr>
          <w:p>
            <w:pPr>
              <w:jc w:val="right"/>
              <w:ind w:right="520"/>
              <w:spacing w:after="0"/>
              <w:rPr>
                <w:sz w:val="20"/>
                <w:szCs w:val="20"/>
                <w:color w:val="auto"/>
              </w:rPr>
            </w:pPr>
            <w:r>
              <w:rPr>
                <w:rFonts w:ascii="Arial" w:cs="Arial" w:eastAsia="Arial" w:hAnsi="Arial"/>
                <w:sz w:val="14"/>
                <w:szCs w:val="14"/>
                <w:color w:val="auto"/>
              </w:rPr>
              <w:t>98.68%</w:t>
            </w:r>
          </w:p>
        </w:tc>
        <w:tc>
          <w:tcPr>
            <w:tcW w:w="154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rPr>
              <w:t>0.50%</w:t>
            </w:r>
          </w:p>
        </w:tc>
        <w:tc>
          <w:tcPr>
            <w:tcW w:w="2340" w:type="dxa"/>
            <w:vAlign w:val="bottom"/>
            <w:gridSpan w:val="2"/>
          </w:tcPr>
          <w:p>
            <w:pPr>
              <w:jc w:val="right"/>
              <w:ind w:right="20"/>
              <w:spacing w:after="0"/>
              <w:rPr>
                <w:sz w:val="20"/>
                <w:szCs w:val="20"/>
                <w:color w:val="auto"/>
              </w:rPr>
            </w:pPr>
            <w:r>
              <w:rPr>
                <w:rFonts w:ascii="Arial" w:cs="Arial" w:eastAsia="Arial" w:hAnsi="Arial"/>
                <w:sz w:val="14"/>
                <w:szCs w:val="14"/>
                <w:color w:val="auto"/>
              </w:rPr>
              <w:t>0.82%</w:t>
            </w:r>
          </w:p>
        </w:tc>
        <w:tc>
          <w:tcPr>
            <w:tcW w:w="20" w:type="dxa"/>
            <w:vAlign w:val="bottom"/>
          </w:tcPr>
          <w:p>
            <w:pPr>
              <w:spacing w:after="0"/>
              <w:rPr>
                <w:sz w:val="15"/>
                <w:szCs w:val="15"/>
                <w:color w:val="auto"/>
              </w:rPr>
            </w:pPr>
          </w:p>
        </w:tc>
      </w:tr>
      <w:tr>
        <w:trPr>
          <w:trHeight w:val="324"/>
        </w:trPr>
        <w:tc>
          <w:tcPr>
            <w:tcW w:w="3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114300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54" w:lineRule="exact"/>
        <w:rPr>
          <w:sz w:val="20"/>
          <w:szCs w:val="20"/>
          <w:color w:val="auto"/>
        </w:rPr>
      </w:pPr>
    </w:p>
    <w:p>
      <w:pPr>
        <w:ind w:firstLine="481"/>
        <w:spacing w:after="0" w:line="25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94"/>
              </w:rPr>
              <w:t>PennantPark Investment Corporation</w:t>
            </w:r>
          </w:p>
        </w:tc>
        <w:tc>
          <w:tcPr>
            <w:tcW w:w="0" w:type="dxa"/>
            <w:vAlign w:val="bottom"/>
          </w:tcPr>
          <w:p>
            <w:pPr>
              <w:spacing w:after="0"/>
              <w:rPr>
                <w:sz w:val="1"/>
                <w:szCs w:val="1"/>
                <w:color w:val="auto"/>
              </w:rPr>
            </w:pPr>
          </w:p>
        </w:tc>
      </w:tr>
      <w:tr>
        <w:trPr>
          <w:trHeight w:val="297"/>
        </w:trPr>
        <w:tc>
          <w:tcPr>
            <w:tcW w:w="5280" w:type="dxa"/>
            <w:vAlign w:val="bottom"/>
          </w:tcPr>
          <w:p>
            <w:pPr>
              <w:spacing w:after="0"/>
              <w:rPr>
                <w:sz w:val="20"/>
                <w:szCs w:val="20"/>
                <w:color w:val="auto"/>
              </w:rPr>
            </w:pPr>
            <w:r>
              <w:rPr>
                <w:rFonts w:ascii="Arial" w:cs="Arial" w:eastAsia="Arial" w:hAnsi="Arial"/>
                <w:sz w:val="14"/>
                <w:szCs w:val="14"/>
                <w:color w:val="auto"/>
              </w:rPr>
              <w:t>Date: February 9, 2018</w:t>
            </w:r>
          </w:p>
        </w:tc>
        <w:tc>
          <w:tcPr>
            <w:tcW w:w="4460" w:type="dxa"/>
            <w:vAlign w:val="bottom"/>
            <w:vMerge w:val="restart"/>
          </w:tcPr>
          <w:p>
            <w:pPr>
              <w:jc w:val="center"/>
              <w:spacing w:after="0"/>
              <w:rPr>
                <w:sz w:val="20"/>
                <w:szCs w:val="20"/>
                <w:color w:val="auto"/>
              </w:rPr>
            </w:pPr>
            <w:r>
              <w:rPr>
                <w:rFonts w:ascii="Arial" w:cs="Arial" w:eastAsia="Arial" w:hAnsi="Arial"/>
                <w:sz w:val="14"/>
                <w:szCs w:val="14"/>
                <w:color w:val="auto"/>
                <w:w w:val="97"/>
              </w:rPr>
              <w:t>/s/ AVIV EFRAT</w:t>
            </w:r>
          </w:p>
        </w:tc>
        <w:tc>
          <w:tcPr>
            <w:tcW w:w="0" w:type="dxa"/>
            <w:vAlign w:val="bottom"/>
          </w:tcPr>
          <w:p>
            <w:pPr>
              <w:spacing w:after="0"/>
              <w:rPr>
                <w:sz w:val="1"/>
                <w:szCs w:val="1"/>
                <w:color w:val="auto"/>
              </w:rPr>
            </w:pPr>
          </w:p>
        </w:tc>
      </w:tr>
      <w:tr>
        <w:trPr>
          <w:trHeight w:val="58"/>
        </w:trPr>
        <w:tc>
          <w:tcPr>
            <w:tcW w:w="5280" w:type="dxa"/>
            <w:vAlign w:val="bottom"/>
          </w:tcPr>
          <w:p>
            <w:pPr>
              <w:spacing w:after="0"/>
              <w:rPr>
                <w:sz w:val="4"/>
                <w:szCs w:val="4"/>
                <w:color w:val="auto"/>
              </w:rPr>
            </w:pPr>
          </w:p>
        </w:tc>
        <w:tc>
          <w:tcPr>
            <w:tcW w:w="44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5"/>
              </w:rPr>
              <w:t>Chief Financial Officer &amp; Treasurer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60"/>
      </w:cols>
      <w:pgMar w:left="320" w:top="2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2020-05-05T15:17:59Z</dcterms:created>
  <dcterms:modified xsi:type="dcterms:W3CDTF">2020-05-05T15:17:59Z</dcterms:modified>
</cp:coreProperties>
</file>