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11, 2008</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95"/>
              </w:rPr>
              <w:t>Maryland</w:t>
            </w:r>
          </w:p>
        </w:tc>
        <w:tc>
          <w:tcPr>
            <w:tcW w:w="2640" w:type="dxa"/>
            <w:vAlign w:val="bottom"/>
          </w:tcPr>
          <w:p>
            <w:pPr>
              <w:jc w:val="center"/>
              <w:ind w:right="3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c>
          <w:tcPr>
            <w:tcW w:w="0" w:type="dxa"/>
            <w:vAlign w:val="bottom"/>
          </w:tcPr>
          <w:p>
            <w:pPr>
              <w:spacing w:after="0"/>
              <w:rPr>
                <w:sz w:val="1"/>
                <w:szCs w:val="1"/>
                <w:color w:val="auto"/>
              </w:rPr>
            </w:pPr>
          </w:p>
        </w:tc>
      </w:tr>
      <w:tr>
        <w:trPr>
          <w:trHeight w:val="243"/>
        </w:trPr>
        <w:tc>
          <w:tcPr>
            <w:tcW w:w="4320" w:type="dxa"/>
            <w:vAlign w:val="bottom"/>
          </w:tcPr>
          <w:p>
            <w:pPr>
              <w:jc w:val="center"/>
              <w:ind w:right="232"/>
              <w:spacing w:after="0" w:line="243" w:lineRule="exact"/>
              <w:rPr>
                <w:sz w:val="20"/>
                <w:szCs w:val="20"/>
                <w:color w:val="auto"/>
              </w:rPr>
            </w:pPr>
            <w:r>
              <w:rPr>
                <w:rFonts w:ascii="Arial" w:cs="Arial" w:eastAsia="Arial" w:hAnsi="Arial"/>
                <w:sz w:val="22"/>
                <w:szCs w:val="22"/>
                <w:color w:val="auto"/>
                <w:w w:val="90"/>
              </w:rPr>
              <w:t>(State or other jurisdiction</w:t>
            </w:r>
          </w:p>
        </w:tc>
        <w:tc>
          <w:tcPr>
            <w:tcW w:w="2640" w:type="dxa"/>
            <w:vAlign w:val="bottom"/>
          </w:tcPr>
          <w:p>
            <w:pPr>
              <w:jc w:val="center"/>
              <w:ind w:right="3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c>
          <w:tcPr>
            <w:tcW w:w="0" w:type="dxa"/>
            <w:vAlign w:val="bottom"/>
          </w:tcPr>
          <w:p>
            <w:pPr>
              <w:spacing w:after="0"/>
              <w:rPr>
                <w:sz w:val="1"/>
                <w:szCs w:val="1"/>
                <w:color w:val="auto"/>
              </w:rPr>
            </w:pPr>
          </w:p>
        </w:tc>
      </w:tr>
      <w:tr>
        <w:trPr>
          <w:trHeight w:val="274"/>
        </w:trPr>
        <w:tc>
          <w:tcPr>
            <w:tcW w:w="4320" w:type="dxa"/>
            <w:vAlign w:val="bottom"/>
          </w:tcPr>
          <w:p>
            <w:pPr>
              <w:jc w:val="center"/>
              <w:ind w:right="172"/>
              <w:spacing w:after="0"/>
              <w:rPr>
                <w:sz w:val="20"/>
                <w:szCs w:val="20"/>
                <w:color w:val="auto"/>
              </w:rPr>
            </w:pPr>
            <w:r>
              <w:rPr>
                <w:rFonts w:ascii="Arial" w:cs="Arial" w:eastAsia="Arial" w:hAnsi="Arial"/>
                <w:sz w:val="22"/>
                <w:szCs w:val="22"/>
                <w:color w:val="auto"/>
                <w:w w:val="93"/>
              </w:rPr>
              <w:t>of incorporation)</w:t>
            </w:r>
          </w:p>
        </w:tc>
        <w:tc>
          <w:tcPr>
            <w:tcW w:w="2640" w:type="dxa"/>
            <w:vAlign w:val="bottom"/>
          </w:tcPr>
          <w:p>
            <w:pPr>
              <w:jc w:val="center"/>
              <w:ind w:right="3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c>
          <w:tcPr>
            <w:tcW w:w="0" w:type="dxa"/>
            <w:vAlign w:val="bottom"/>
          </w:tcPr>
          <w:p>
            <w:pPr>
              <w:spacing w:after="0"/>
              <w:rPr>
                <w:sz w:val="1"/>
                <w:szCs w:val="1"/>
                <w:color w:val="auto"/>
              </w:rPr>
            </w:pPr>
          </w:p>
        </w:tc>
      </w:tr>
      <w:tr>
        <w:trPr>
          <w:trHeight w:val="449"/>
        </w:trPr>
        <w:tc>
          <w:tcPr>
            <w:tcW w:w="4320" w:type="dxa"/>
            <w:vAlign w:val="bottom"/>
          </w:tcPr>
          <w:p>
            <w:pPr>
              <w:jc w:val="center"/>
              <w:ind w:right="172"/>
              <w:spacing w:after="0"/>
              <w:rPr>
                <w:sz w:val="20"/>
                <w:szCs w:val="20"/>
                <w:color w:val="auto"/>
              </w:rPr>
            </w:pPr>
            <w:r>
              <w:rPr>
                <w:rFonts w:ascii="Arial" w:cs="Arial" w:eastAsia="Arial" w:hAnsi="Arial"/>
                <w:sz w:val="22"/>
                <w:szCs w:val="22"/>
                <w:b w:val="1"/>
                <w:bCs w:val="1"/>
                <w:color w:val="auto"/>
                <w:w w:val="88"/>
              </w:rPr>
              <w:t>590 Madison Avenue, 15th Floor, New York,</w:t>
            </w:r>
          </w:p>
        </w:tc>
        <w:tc>
          <w:tcPr>
            <w:tcW w:w="2640" w:type="dxa"/>
            <w:vAlign w:val="bottom"/>
          </w:tcPr>
          <w:p>
            <w:pPr>
              <w:spacing w:after="0"/>
              <w:rPr>
                <w:sz w:val="24"/>
                <w:szCs w:val="24"/>
                <w:color w:val="auto"/>
              </w:rPr>
            </w:pPr>
          </w:p>
        </w:tc>
        <w:tc>
          <w:tcPr>
            <w:tcW w:w="2800" w:type="dxa"/>
            <w:vAlign w:val="bottom"/>
            <w:vMerge w:val="restart"/>
          </w:tcPr>
          <w:p>
            <w:pPr>
              <w:jc w:val="right"/>
              <w:ind w:right="632"/>
              <w:spacing w:after="0"/>
              <w:rPr>
                <w:sz w:val="20"/>
                <w:szCs w:val="20"/>
                <w:color w:val="auto"/>
              </w:rPr>
            </w:pPr>
            <w:r>
              <w:rPr>
                <w:rFonts w:ascii="Arial" w:cs="Arial" w:eastAsia="Arial" w:hAnsi="Arial"/>
                <w:sz w:val="22"/>
                <w:szCs w:val="22"/>
                <w:b w:val="1"/>
                <w:bCs w:val="1"/>
                <w:color w:val="auto"/>
              </w:rPr>
              <w:t>10022</w:t>
            </w:r>
          </w:p>
        </w:tc>
        <w:tc>
          <w:tcPr>
            <w:tcW w:w="0" w:type="dxa"/>
            <w:vAlign w:val="bottom"/>
          </w:tcPr>
          <w:p>
            <w:pPr>
              <w:spacing w:after="0"/>
              <w:rPr>
                <w:sz w:val="1"/>
                <w:szCs w:val="1"/>
                <w:color w:val="auto"/>
              </w:rPr>
            </w:pPr>
          </w:p>
        </w:tc>
      </w:tr>
      <w:tr>
        <w:trPr>
          <w:trHeight w:val="127"/>
        </w:trPr>
        <w:tc>
          <w:tcPr>
            <w:tcW w:w="4320" w:type="dxa"/>
            <w:vAlign w:val="bottom"/>
            <w:vMerge w:val="restart"/>
          </w:tcPr>
          <w:p>
            <w:pPr>
              <w:jc w:val="center"/>
              <w:ind w:right="172"/>
              <w:spacing w:after="0" w:line="249" w:lineRule="exact"/>
              <w:rPr>
                <w:sz w:val="20"/>
                <w:szCs w:val="20"/>
                <w:color w:val="auto"/>
              </w:rPr>
            </w:pPr>
            <w:r>
              <w:rPr>
                <w:rFonts w:ascii="Arial" w:cs="Arial" w:eastAsia="Arial" w:hAnsi="Arial"/>
                <w:sz w:val="22"/>
                <w:szCs w:val="22"/>
                <w:b w:val="1"/>
                <w:bCs w:val="1"/>
                <w:color w:val="auto"/>
                <w:w w:val="91"/>
              </w:rPr>
              <w:t>New York</w:t>
            </w:r>
          </w:p>
        </w:tc>
        <w:tc>
          <w:tcPr>
            <w:tcW w:w="2640" w:type="dxa"/>
            <w:vAlign w:val="bottom"/>
          </w:tcPr>
          <w:p>
            <w:pPr>
              <w:spacing w:after="0"/>
              <w:rPr>
                <w:sz w:val="11"/>
                <w:szCs w:val="11"/>
                <w:color w:val="auto"/>
              </w:rPr>
            </w:pP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vMerge w:val="restart"/>
          </w:tcPr>
          <w:p>
            <w:pPr>
              <w:jc w:val="center"/>
              <w:ind w:left="692"/>
              <w:spacing w:after="0"/>
              <w:rPr>
                <w:sz w:val="20"/>
                <w:szCs w:val="20"/>
                <w:color w:val="auto"/>
              </w:rPr>
            </w:pPr>
            <w:r>
              <w:rPr>
                <w:rFonts w:ascii="Arial" w:cs="Arial" w:eastAsia="Arial" w:hAnsi="Arial"/>
                <w:sz w:val="22"/>
                <w:szCs w:val="22"/>
                <w:color w:val="auto"/>
                <w:w w:val="92"/>
              </w:rPr>
              <w:t>(Zip Code)</w:t>
            </w:r>
          </w:p>
        </w:tc>
        <w:tc>
          <w:tcPr>
            <w:tcW w:w="0" w:type="dxa"/>
            <w:vAlign w:val="bottom"/>
          </w:tcPr>
          <w:p>
            <w:pPr>
              <w:spacing w:after="0"/>
              <w:rPr>
                <w:sz w:val="1"/>
                <w:szCs w:val="1"/>
                <w:color w:val="auto"/>
              </w:rPr>
            </w:pPr>
          </w:p>
        </w:tc>
      </w:tr>
      <w:tr>
        <w:trPr>
          <w:trHeight w:val="153"/>
        </w:trPr>
        <w:tc>
          <w:tcPr>
            <w:tcW w:w="4320" w:type="dxa"/>
            <w:vAlign w:val="bottom"/>
            <w:vMerge w:val="restart"/>
          </w:tcPr>
          <w:p>
            <w:pPr>
              <w:jc w:val="center"/>
              <w:ind w:right="192"/>
              <w:spacing w:after="0"/>
              <w:rPr>
                <w:sz w:val="20"/>
                <w:szCs w:val="20"/>
                <w:color w:val="auto"/>
              </w:rPr>
            </w:pPr>
            <w:r>
              <w:rPr>
                <w:rFonts w:ascii="Arial" w:cs="Arial" w:eastAsia="Arial" w:hAnsi="Arial"/>
                <w:sz w:val="22"/>
                <w:szCs w:val="22"/>
                <w:color w:val="auto"/>
                <w:w w:val="90"/>
              </w:rPr>
              <w:t>(Address of principal executive offices)</w:t>
            </w:r>
          </w:p>
        </w:tc>
        <w:tc>
          <w:tcPr>
            <w:tcW w:w="2640" w:type="dxa"/>
            <w:vAlign w:val="bottom"/>
          </w:tcPr>
          <w:p>
            <w:pPr>
              <w:spacing w:after="0"/>
              <w:rPr>
                <w:sz w:val="13"/>
                <w:szCs w:val="13"/>
                <w:color w:val="auto"/>
              </w:rPr>
            </w:pPr>
          </w:p>
        </w:tc>
        <w:tc>
          <w:tcPr>
            <w:tcW w:w="2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320" w:type="dxa"/>
            <w:vAlign w:val="bottom"/>
            <w:vMerge w:val="continue"/>
          </w:tcPr>
          <w:p>
            <w:pPr>
              <w:spacing w:after="0"/>
              <w:rPr>
                <w:sz w:val="10"/>
                <w:szCs w:val="10"/>
                <w:color w:val="auto"/>
              </w:rPr>
            </w:pPr>
          </w:p>
        </w:tc>
        <w:tc>
          <w:tcPr>
            <w:tcW w:w="26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60"/>
        <w:spacing w:after="0"/>
        <w:rPr>
          <w:sz w:val="20"/>
          <w:szCs w:val="20"/>
          <w:color w:val="auto"/>
        </w:rPr>
      </w:pPr>
      <w:r>
        <w:rPr>
          <w:rFonts w:ascii="Arial" w:cs="Arial" w:eastAsia="Arial" w:hAnsi="Arial"/>
          <w:sz w:val="22"/>
          <w:szCs w:val="22"/>
          <w:color w:val="auto"/>
        </w:rPr>
        <w:t>On July 11, 2008, PennantPark Investment Corporation issued a press release announcing its scheduled earnings release for the quarter ended June 30, 2008, the third quarter of its fiscal 2008 year. A copy of the press release is furnished as Exhibit 99.1 to this report, pursuant to Item 7.01 and Regulation FD.</w:t>
      </w:r>
    </w:p>
    <w:p>
      <w:pPr>
        <w:spacing w:after="0" w:line="180"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3" w:lineRule="exact"/>
        <w:rPr>
          <w:sz w:val="24"/>
          <w:szCs w:val="24"/>
          <w:color w:val="auto"/>
        </w:rPr>
      </w:pPr>
    </w:p>
    <w:p>
      <w:pPr>
        <w:ind w:left="700" w:right="8880" w:hanging="652"/>
        <w:spacing w:after="0" w:line="280" w:lineRule="auto"/>
        <w:tabs>
          <w:tab w:leader="none" w:pos="35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700" w:right="7800" w:hanging="652"/>
        <w:spacing w:after="0" w:line="230" w:lineRule="auto"/>
        <w:tabs>
          <w:tab w:leader="none" w:pos="37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700" w:right="8260" w:hanging="652"/>
        <w:spacing w:after="0" w:line="230" w:lineRule="auto"/>
        <w:tabs>
          <w:tab w:leader="none" w:pos="34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60" w:hanging="312"/>
        <w:spacing w:after="0" w:line="230" w:lineRule="auto"/>
        <w:tabs>
          <w:tab w:leader="none" w:pos="36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4"/>
          <w:szCs w:val="24"/>
          <w:color w:val="auto"/>
        </w:rPr>
      </w:pPr>
    </w:p>
    <w:p>
      <w:pPr>
        <w:ind w:left="700"/>
        <w:spacing w:after="0"/>
        <w:tabs>
          <w:tab w:leader="none" w:pos="144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July 11, 2008</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4"/>
          <w:szCs w:val="24"/>
          <w:color w:val="auto"/>
        </w:rPr>
      </w:pPr>
    </w:p>
    <w:p>
      <w:pPr>
        <w:ind w:left="40" w:right="20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00"/>
          </w:cols>
          <w:pgMar w:left="320" w:top="828" w:right="379" w:bottom="4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340" w:type="dxa"/>
            <w:vAlign w:val="bottom"/>
          </w:tcPr>
          <w:p>
            <w:pPr>
              <w:spacing w:after="0"/>
              <w:rPr>
                <w:sz w:val="20"/>
                <w:szCs w:val="20"/>
                <w:color w:val="auto"/>
              </w:rPr>
            </w:pPr>
            <w:r>
              <w:rPr>
                <w:rFonts w:ascii="Arial" w:cs="Arial" w:eastAsia="Arial" w:hAnsi="Arial"/>
                <w:sz w:val="22"/>
                <w:szCs w:val="22"/>
                <w:color w:val="auto"/>
              </w:rPr>
              <w:t>Dated: July 11, 2008</w:t>
            </w:r>
          </w:p>
        </w:tc>
        <w:tc>
          <w:tcPr>
            <w:tcW w:w="6380" w:type="dxa"/>
            <w:vAlign w:val="bottom"/>
            <w:gridSpan w:val="3"/>
          </w:tcPr>
          <w:p>
            <w:pPr>
              <w:ind w:left="15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340" w:type="dxa"/>
            <w:vAlign w:val="bottom"/>
          </w:tcPr>
          <w:p>
            <w:pPr>
              <w:spacing w:after="0"/>
              <w:rPr>
                <w:sz w:val="24"/>
                <w:szCs w:val="24"/>
                <w:color w:val="auto"/>
              </w:rPr>
            </w:pPr>
          </w:p>
        </w:tc>
        <w:tc>
          <w:tcPr>
            <w:tcW w:w="6380" w:type="dxa"/>
            <w:vAlign w:val="bottom"/>
            <w:gridSpan w:val="3"/>
          </w:tcPr>
          <w:p>
            <w:pPr>
              <w:ind w:left="1560"/>
              <w:spacing w:after="0"/>
              <w:rPr>
                <w:sz w:val="20"/>
                <w:szCs w:val="20"/>
                <w:color w:val="auto"/>
              </w:rPr>
            </w:pPr>
            <w:r>
              <w:rPr>
                <w:rFonts w:ascii="Arial" w:cs="Arial" w:eastAsia="Arial" w:hAnsi="Arial"/>
                <w:sz w:val="22"/>
                <w:szCs w:val="22"/>
                <w:color w:val="auto"/>
              </w:rPr>
              <w:t>By: /s/ Aviv Efrat</w:t>
            </w:r>
          </w:p>
        </w:tc>
      </w:tr>
      <w:tr>
        <w:trPr>
          <w:trHeight w:val="20"/>
        </w:trPr>
        <w:tc>
          <w:tcPr>
            <w:tcW w:w="3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340" w:type="dxa"/>
            <w:vAlign w:val="bottom"/>
          </w:tcPr>
          <w:p>
            <w:pPr>
              <w:spacing w:after="0"/>
              <w:rPr>
                <w:sz w:val="21"/>
                <w:szCs w:val="21"/>
                <w:color w:val="auto"/>
              </w:rPr>
            </w:pPr>
          </w:p>
        </w:tc>
        <w:tc>
          <w:tcPr>
            <w:tcW w:w="6380" w:type="dxa"/>
            <w:vAlign w:val="bottom"/>
            <w:gridSpan w:val="3"/>
          </w:tcPr>
          <w:p>
            <w:pPr>
              <w:ind w:left="182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340" w:type="dxa"/>
            <w:vAlign w:val="bottom"/>
          </w:tcPr>
          <w:p>
            <w:pPr>
              <w:spacing w:after="0"/>
              <w:rPr>
                <w:sz w:val="23"/>
                <w:szCs w:val="23"/>
                <w:color w:val="auto"/>
              </w:rPr>
            </w:pPr>
          </w:p>
        </w:tc>
        <w:tc>
          <w:tcPr>
            <w:tcW w:w="6380" w:type="dxa"/>
            <w:vAlign w:val="bottom"/>
            <w:gridSpan w:val="3"/>
          </w:tcPr>
          <w:p>
            <w:pPr>
              <w:ind w:left="18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8"/>
              </w:rPr>
              <w:t>July 11, 2008</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Third Quarter 2008 Results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YORK, NY -- 07/11/2008 -- PennantPark Investment Corporation (the "Company") (NASDAQ: PNNT) announced today that it will report its third fiscal quarter results for the period ended June 30, 2008 on Tuesday, August 5, 2008 after the close of the financial markets.</w:t>
      </w:r>
    </w:p>
    <w:p>
      <w:pPr>
        <w:spacing w:after="0" w:line="186" w:lineRule="exact"/>
        <w:rPr>
          <w:sz w:val="20"/>
          <w:szCs w:val="20"/>
          <w:color w:val="auto"/>
        </w:rPr>
      </w:pPr>
    </w:p>
    <w:p>
      <w:pPr>
        <w:jc w:val="center"/>
        <w:ind w:right="2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Wednesday, August 6, 2008 to discuss the quarterly results. All interested parties are welcome to participate. You can access the conference call by dialing (800) 766-6630 approximately 5-10 minutes prior to the call. International callers should dial (416) 695-9757. All callers should reference PennantPark Investment Corporation. An archived replay of the call will be available through August 20, 2008 by calling (800) 408-3053. International callers please dial (416) 695-5800. For all replays, please reference conference ID #3266489.</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mezzanine debt, senior secured loans and equity investments. From time to time, we may also invest in public companies whose securities are thinly traded. PennantPark Investment Corporation is managed by PennantPark Investment Advisers, LLC.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cente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statements made herein. All forward-looking statements speak only as of the date of this press release.</w:t>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Contact:</w:t>
      </w:r>
    </w:p>
    <w:p>
      <w:pPr>
        <w:jc w:val="center"/>
        <w:spacing w:after="0" w:line="238" w:lineRule="auto"/>
        <w:rPr>
          <w:sz w:val="20"/>
          <w:szCs w:val="20"/>
          <w:color w:val="auto"/>
        </w:rPr>
      </w:pPr>
      <w:r>
        <w:rPr>
          <w:rFonts w:ascii="Courier New" w:cs="Courier New" w:eastAsia="Courier New" w:hAnsi="Courier New"/>
          <w:sz w:val="18"/>
          <w:szCs w:val="18"/>
          <w:color w:val="auto"/>
        </w:rPr>
        <w:t>Aviv Efrat</w:t>
      </w:r>
    </w:p>
    <w:p>
      <w:pPr>
        <w:jc w:val="cente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jc w:val="center"/>
        <w:spacing w:after="0"/>
        <w:rPr>
          <w:sz w:val="20"/>
          <w:szCs w:val="20"/>
          <w:color w:val="auto"/>
        </w:rPr>
      </w:pPr>
      <w:r>
        <w:rPr>
          <w:rFonts w:ascii="Courier New" w:cs="Courier New" w:eastAsia="Courier New" w:hAnsi="Courier New"/>
          <w:sz w:val="18"/>
          <w:szCs w:val="18"/>
          <w:color w:val="auto"/>
        </w:rPr>
        <w:t>(212) 905-1000</w:t>
      </w:r>
    </w:p>
    <w:p>
      <w:pPr>
        <w:jc w:val="center"/>
        <w:ind w:right="20"/>
        <w:spacing w:after="0"/>
        <w:tabs>
          <w:tab w:leader="none" w:pos="200" w:val="left"/>
        </w:tabs>
        <w:rPr>
          <w:sz w:val="20"/>
          <w:szCs w:val="20"/>
          <w:color w:val="auto"/>
        </w:rPr>
      </w:pPr>
      <w:r>
        <w:rPr>
          <w:rFonts w:ascii="Courier New" w:cs="Courier New" w:eastAsia="Courier New" w:hAnsi="Courier New"/>
          <w:sz w:val="18"/>
          <w:szCs w:val="18"/>
          <w:color w:val="auto"/>
        </w:rPr>
        <w:t>Or visit us at:</w:t>
      </w:r>
      <w:r>
        <w:rPr>
          <w:sz w:val="20"/>
          <w:szCs w:val="20"/>
          <w:color w:val="auto"/>
        </w:rPr>
        <w:tab/>
      </w:r>
      <w:r>
        <w:rPr>
          <w:rFonts w:ascii="Courier New" w:cs="Courier New" w:eastAsia="Courier New" w:hAnsi="Courier New"/>
          <w:sz w:val="16"/>
          <w:szCs w:val="16"/>
          <w:color w:val="auto"/>
        </w:rPr>
        <w:t>www.pennantpark.com</w:t>
      </w:r>
    </w:p>
    <w:sectPr>
      <w:pgSz w:w="11900" w:h="16838" w:orient="portrait"/>
      <w:cols w:equalWidth="0" w:num="1">
        <w:col w:w="11220"/>
      </w:cols>
      <w:pgMar w:left="3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2020-05-05T15:06:50Z</dcterms:created>
  <dcterms:modified xsi:type="dcterms:W3CDTF">2020-05-05T15:06:50Z</dcterms:modified>
</cp:coreProperties>
</file>