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460" w:right="2620"/>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February 15, 2013. Securities Act Registration No. 333-172524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67310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199"/>
        <w:spacing w:after="0" w:line="207" w:lineRule="exact"/>
        <w:tabs>
          <w:tab w:leader="none" w:pos="160" w:val="left"/>
        </w:tabs>
        <w:rPr>
          <w:sz w:val="20"/>
          <w:szCs w:val="20"/>
          <w:color w:val="auto"/>
        </w:rPr>
      </w:pPr>
      <w:r>
        <w:rPr>
          <w:rFonts w:ascii="Arial" w:cs="Arial" w:eastAsia="Arial" w:hAnsi="Arial"/>
          <w:sz w:val="18"/>
          <w:szCs w:val="18"/>
          <w:b w:val="1"/>
          <w:bCs w:val="1"/>
          <w:color w:val="auto"/>
        </w:rPr>
        <w:t>Post-Effective Amendment No. 5</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199"/>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63"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If appropriate, check the following box:</w:t>
      </w:r>
    </w:p>
    <w:p>
      <w:pPr>
        <w:spacing w:after="0" w:line="30" w:lineRule="exact"/>
        <w:rPr>
          <w:rFonts w:ascii="MS PGothic" w:cs="MS PGothic" w:eastAsia="MS PGothic" w:hAnsi="MS PGothic"/>
          <w:sz w:val="18"/>
          <w:szCs w:val="18"/>
          <w:color w:val="auto"/>
        </w:rPr>
      </w:pPr>
    </w:p>
    <w:p>
      <w:pPr>
        <w:ind w:left="58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This amendment designates a new effective date for a previously filed registration statement.</w:t>
      </w:r>
    </w:p>
    <w:p>
      <w:pPr>
        <w:spacing w:after="0" w:line="96" w:lineRule="exact"/>
        <w:rPr>
          <w:sz w:val="24"/>
          <w:szCs w:val="24"/>
          <w:color w:val="auto"/>
        </w:rPr>
      </w:pPr>
    </w:p>
    <w:p>
      <w:pPr>
        <w:ind w:right="60" w:firstLine="579"/>
        <w:spacing w:after="0" w:line="268" w:lineRule="auto"/>
        <w:tabs>
          <w:tab w:leader="none" w:pos="77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500" w:type="dxa"/>
            <w:vAlign w:val="bottom"/>
            <w:tcBorders>
              <w:top w:val="single" w:sz="8" w:color="auto"/>
              <w:left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jc w:val="center"/>
              <w:ind w:right="37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r>
      <w:tr>
        <w:trPr>
          <w:trHeight w:val="148"/>
        </w:trPr>
        <w:tc>
          <w:tcPr>
            <w:tcW w:w="450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jc w:val="right"/>
              <w:ind w:right="12"/>
              <w:spacing w:after="0" w:line="148" w:lineRule="exact"/>
              <w:rPr>
                <w:sz w:val="20"/>
                <w:szCs w:val="20"/>
                <w:color w:val="auto"/>
              </w:rPr>
            </w:pPr>
            <w:r>
              <w:rPr>
                <w:rFonts w:ascii="Arial" w:cs="Arial" w:eastAsia="Arial" w:hAnsi="Arial"/>
                <w:sz w:val="14"/>
                <w:szCs w:val="14"/>
                <w:b w:val="1"/>
                <w:bCs w:val="1"/>
                <w:color w:val="auto"/>
              </w:rPr>
              <w:t>Amount Being</w:t>
            </w:r>
          </w:p>
        </w:tc>
        <w:tc>
          <w:tcPr>
            <w:tcW w:w="14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140" w:type="dxa"/>
            <w:vAlign w:val="bottom"/>
          </w:tcPr>
          <w:p>
            <w:pPr>
              <w:spacing w:after="0"/>
              <w:rPr>
                <w:sz w:val="12"/>
                <w:szCs w:val="12"/>
                <w:color w:val="auto"/>
              </w:rPr>
            </w:pPr>
          </w:p>
        </w:tc>
        <w:tc>
          <w:tcPr>
            <w:tcW w:w="1620" w:type="dxa"/>
            <w:vAlign w:val="bottom"/>
            <w:tcBorders>
              <w:right w:val="single" w:sz="8" w:color="auto"/>
            </w:tcBorders>
          </w:tcPr>
          <w:p>
            <w:pPr>
              <w:jc w:val="center"/>
              <w:ind w:right="377"/>
              <w:spacing w:after="0" w:line="148"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1580" w:type="dxa"/>
            <w:vAlign w:val="bottom"/>
            <w:tcBorders>
              <w:right w:val="single" w:sz="8" w:color="auto"/>
            </w:tcBorders>
          </w:tcPr>
          <w:p>
            <w:pPr>
              <w:jc w:val="center"/>
              <w:ind w:right="41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450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Title of Securities Being Registered</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9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ind w:right="43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06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right w:val="single" w:sz="8" w:color="auto"/>
            </w:tcBorders>
          </w:tcPr>
          <w:p>
            <w:pPr>
              <w:jc w:val="right"/>
              <w:ind w:right="127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Preferred Stock, $0.001 par value</w:t>
            </w:r>
            <w:r>
              <w:rPr>
                <w:rFonts w:ascii="Arial" w:cs="Arial" w:eastAsia="Arial" w:hAnsi="Arial"/>
                <w:sz w:val="22"/>
                <w:szCs w:val="22"/>
                <w:color w:val="auto"/>
                <w:vertAlign w:val="superscript"/>
              </w:rPr>
              <w:t>(2)</w:t>
            </w:r>
          </w:p>
        </w:tc>
        <w:tc>
          <w:tcPr>
            <w:tcW w:w="1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(2)</w:t>
            </w:r>
          </w:p>
        </w:tc>
        <w:tc>
          <w:tcPr>
            <w:tcW w:w="1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(3)</w:t>
            </w:r>
          </w:p>
        </w:tc>
        <w:tc>
          <w:tcPr>
            <w:tcW w:w="1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(4)</w:t>
            </w:r>
          </w:p>
        </w:tc>
        <w:tc>
          <w:tcPr>
            <w:tcW w:w="1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4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(5)</w:t>
            </w:r>
          </w:p>
        </w:tc>
        <w:tc>
          <w:tcPr>
            <w:tcW w:w="1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142"/>
        </w:trPr>
        <w:tc>
          <w:tcPr>
            <w:tcW w:w="45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right w:val="single" w:sz="8" w:color="auto"/>
            </w:tcBorders>
          </w:tcPr>
          <w:p>
            <w:pPr>
              <w:jc w:val="right"/>
              <w:ind w:right="852"/>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right w:val="single" w:sz="8" w:color="auto"/>
            </w:tcBorders>
          </w:tcPr>
          <w:p>
            <w:pPr>
              <w:jc w:val="right"/>
              <w:ind w:right="127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ind w:right="17"/>
              <w:spacing w:after="0" w:line="142" w:lineRule="exact"/>
              <w:rPr>
                <w:sz w:val="20"/>
                <w:szCs w:val="20"/>
                <w:color w:val="auto"/>
              </w:rPr>
            </w:pPr>
            <w:r>
              <w:rPr>
                <w:rFonts w:ascii="Arial" w:cs="Arial" w:eastAsia="Arial" w:hAnsi="Arial"/>
                <w:sz w:val="11"/>
                <w:szCs w:val="11"/>
                <w:color w:val="auto"/>
              </w:rPr>
              <w:t xml:space="preserve">1,000,000,000   </w:t>
            </w:r>
            <w:r>
              <w:rPr>
                <w:rFonts w:ascii="Arial" w:cs="Arial" w:eastAsia="Arial" w:hAnsi="Arial"/>
                <w:sz w:val="16"/>
                <w:szCs w:val="16"/>
                <w:color w:val="auto"/>
                <w:vertAlign w:val="superscript"/>
              </w:rPr>
              <w:t>(6)</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59"/>
              <w:spacing w:after="0" w:line="142" w:lineRule="exact"/>
              <w:rPr>
                <w:sz w:val="20"/>
                <w:szCs w:val="20"/>
                <w:color w:val="auto"/>
              </w:rPr>
            </w:pPr>
            <w:r>
              <w:rPr>
                <w:rFonts w:ascii="Arial" w:cs="Arial" w:eastAsia="Arial" w:hAnsi="Arial"/>
                <w:sz w:val="11"/>
                <w:szCs w:val="11"/>
                <w:color w:val="auto"/>
              </w:rPr>
              <w:t xml:space="preserve">116,100   </w:t>
            </w:r>
            <w:r>
              <w:rPr>
                <w:rFonts w:ascii="Arial" w:cs="Arial" w:eastAsia="Arial" w:hAnsi="Arial"/>
                <w:sz w:val="16"/>
                <w:szCs w:val="16"/>
                <w:color w:val="auto"/>
                <w:vertAlign w:val="superscript"/>
              </w:rPr>
              <w:t>(7)</w:t>
            </w: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2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$1,000,000,000.</w:t>
      </w:r>
    </w:p>
    <w:p>
      <w:pPr>
        <w:spacing w:after="0" w:line="12"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$1,000,000,000.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6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right="40" w:firstLine="571"/>
        <w:spacing w:after="0" w:line="266"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or the 1940 Act.</w:t>
      </w:r>
    </w:p>
    <w:p>
      <w:pPr>
        <w:ind w:right="32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5" w:lineRule="exact"/>
        <w:rPr>
          <w:sz w:val="20"/>
          <w:szCs w:val="20"/>
          <w:color w:val="auto"/>
        </w:rPr>
      </w:pPr>
    </w:p>
    <w:p>
      <w:pPr>
        <w:ind w:right="720" w:firstLine="571"/>
        <w:spacing w:after="0" w:line="266"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ind w:right="20" w:firstLine="571"/>
        <w:spacing w:after="0" w:line="285"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47 of this prospectus for more information.</w:t>
      </w:r>
    </w:p>
    <w:p>
      <w:pPr>
        <w:spacing w:after="0" w:line="3"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February 14, 2013 was $11.39 per share, and our net asset value on December 31, 2012 was $10.38 per share. Our 6.25% senior notes due 2025, or the 2025 Notes, have been approved for quotation on the New York Stock Exchange, or NYSE, under the symbol “PNTA.” The last reported closing price of the 2025 Notes on February 14, 2013 was $24.97 per $25 of par.</w:t>
      </w:r>
    </w:p>
    <w:p>
      <w:pPr>
        <w:spacing w:after="0" w:line="8"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740"/>
        <w:spacing w:after="0"/>
        <w:tabs>
          <w:tab w:leader="none" w:pos="622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2013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860" w:type="dxa"/>
            <w:vAlign w:val="bottom"/>
            <w:tcBorders>
              <w:top w:val="single" w:sz="8" w:color="0000EE"/>
            </w:tcBorders>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92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SELECTED FINANCIAL DATA</w:t>
              </w:r>
            </w:hyperlink>
          </w:p>
        </w:tc>
        <w:tc>
          <w:tcPr>
            <w:tcW w:w="840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8700" w:type="dxa"/>
            <w:vAlign w:val="bottom"/>
            <w:tcBorders>
              <w:top w:val="single" w:sz="8" w:color="0000EE"/>
            </w:tcBorders>
            <w:gridSpan w:val="3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29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36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454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13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DISTRIBUTIONS</w:t>
              </w:r>
            </w:hyperlink>
          </w:p>
        </w:tc>
        <w:tc>
          <w:tcPr>
            <w:tcW w:w="944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BUSINESS</w:t>
              </w:r>
            </w:hyperlink>
          </w:p>
        </w:tc>
        <w:tc>
          <w:tcPr>
            <w:tcW w:w="9940" w:type="dxa"/>
            <w:vAlign w:val="bottom"/>
            <w:gridSpan w:val="3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4"/>
        </w:trPr>
        <w:tc>
          <w:tcPr>
            <w:tcW w:w="3440" w:type="dxa"/>
            <w:vAlign w:val="bottom"/>
            <w:tcBorders>
              <w:top w:val="single" w:sz="8" w:color="0000EE"/>
            </w:tcBorders>
            <w:gridSpan w:val="2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64"/>
        </w:trPr>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64"/>
        </w:trPr>
        <w:tc>
          <w:tcPr>
            <w:tcW w:w="444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4"/>
        </w:trPr>
        <w:tc>
          <w:tcPr>
            <w:tcW w:w="330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27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DIVIDEND REINVESTMENT PLAN</w:t>
              </w:r>
            </w:hyperlink>
          </w:p>
        </w:tc>
        <w:tc>
          <w:tcPr>
            <w:tcW w:w="802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32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DESCRIPTION OF OUR CAPITAL STOCK</w:t>
              </w:r>
            </w:hyperlink>
          </w:p>
        </w:tc>
        <w:tc>
          <w:tcPr>
            <w:tcW w:w="756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3480" w:type="dxa"/>
            <w:vAlign w:val="bottom"/>
            <w:tcBorders>
              <w:top w:val="single" w:sz="8" w:color="0000EE"/>
            </w:tcBorders>
            <w:gridSpan w:val="2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3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24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DESCRIPTION OF OUR UNITS</w:t>
              </w:r>
            </w:hyperlink>
          </w:p>
        </w:tc>
        <w:tc>
          <w:tcPr>
            <w:tcW w:w="83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64"/>
        </w:trPr>
        <w:tc>
          <w:tcPr>
            <w:tcW w:w="1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REGULATION</w:t>
              </w:r>
            </w:hyperlink>
          </w:p>
        </w:tc>
        <w:tc>
          <w:tcPr>
            <w:tcW w:w="966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4"/>
        </w:trPr>
        <w:tc>
          <w:tcPr>
            <w:tcW w:w="438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476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SUB-ADMINISTRATOR, CUSTODIAN, TRANSFER AGENT AND TRUSTEE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5800" w:type="dxa"/>
            <w:vAlign w:val="bottom"/>
            <w:tcBorders>
              <w:top w:val="single" w:sz="8" w:color="0000EE"/>
            </w:tcBorders>
            <w:gridSpan w:val="34"/>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LEGAL MATTERS</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4360" w:type="dxa"/>
            <w:vAlign w:val="bottom"/>
            <w:tcBorders>
              <w:top w:val="single" w:sz="8" w:color="0000EE"/>
              <w:bottom w:val="single" w:sz="8" w:color="0000EE"/>
            </w:tcBorders>
            <w:gridSpan w:val="28"/>
          </w:tcPr>
          <w:p>
            <w:pPr>
              <w:spacing w:after="0"/>
              <w:rPr>
                <w:sz w:val="20"/>
                <w:szCs w:val="20"/>
                <w:color w:val="auto"/>
              </w:rPr>
            </w:pPr>
            <w:r>
              <w:rPr>
                <w:rFonts w:ascii="Arial" w:cs="Arial" w:eastAsia="Arial" w:hAnsi="Arial"/>
                <w:sz w:val="18"/>
                <w:szCs w:val="18"/>
                <w:color w:val="0000EE"/>
                <w:w w:val="94"/>
              </w:rPr>
              <w:t>INDEX TO CONSOLIDATED FINANCIAL STATEMENTS</w:t>
            </w:r>
          </w:p>
        </w:tc>
        <w:tc>
          <w:tcPr>
            <w:tcW w:w="320" w:type="dxa"/>
            <w:vAlign w:val="bottom"/>
            <w:tcBorders>
              <w:top w:val="single" w:sz="8" w:color="0000EE"/>
            </w:tcBorders>
            <w:gridSpan w:val="4"/>
          </w:tcPr>
          <w:p>
            <w:pPr>
              <w:spacing w:after="0"/>
              <w:rPr>
                <w:sz w:val="22"/>
                <w:szCs w:val="22"/>
                <w:color w:val="auto"/>
              </w:rPr>
            </w:pPr>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64"/>
        </w:trPr>
        <w:tc>
          <w:tcPr>
            <w:tcW w:w="24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PART C OTHER INFORMATION</w:t>
            </w:r>
          </w:p>
        </w:tc>
        <w:tc>
          <w:tcPr>
            <w:tcW w:w="830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64"/>
        </w:trPr>
        <w:tc>
          <w:tcPr>
            <w:tcW w:w="10780" w:type="dxa"/>
            <w:vAlign w:val="bottom"/>
            <w:gridSpan w:val="36"/>
          </w:tcPr>
          <w:p>
            <w:pPr>
              <w:spacing w:after="0"/>
              <w:rPr>
                <w:sz w:val="20"/>
                <w:szCs w:val="20"/>
                <w:color w:val="auto"/>
              </w:rPr>
            </w:pPr>
            <w:r>
              <w:rPr>
                <w:rFonts w:ascii="Arial" w:cs="Arial" w:eastAsia="Arial" w:hAnsi="Arial"/>
                <w:sz w:val="18"/>
                <w:szCs w:val="18"/>
                <w:color w:val="0000EE"/>
              </w:rPr>
              <w:t>SIGNATURES</w:t>
            </w:r>
          </w:p>
        </w:tc>
        <w:tc>
          <w:tcPr>
            <w:tcW w:w="54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83"/>
        </w:trPr>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1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10"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51"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the Credit Facility, or any future credit facility, the Small Business Administration, or the SBA, debentures, proceeds from the rotation of our portfolio and proceeds from public and private offerings of securities to finance our investment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07"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maintain a multi-currency $380.0 million Credit Facility which matures in February 2016 and is secured by substantially all of our investment portfolio assets (excluding the assets of our SBIC Funds), under which we had $211.5 million and $145.0 million of debt outstanding (including a $35.5 million temporary draw) with a weighted average interest rate of 3.00% and 3.49%, exclusive of the fee on undrawn commitments of 0.50%, as of December 31, 2012 and September 30, 2012, respectively. Pricing of borrowings under our current Credit Facility is set at 275 basis points over LIBOR. As of December 31, 2012 and September 30, 2012, we had $168.5 million and $235.0 million, respectively, available to us under our Credit Facility. We believe that our capital resources will provide us with the flexibility to take advantage of market opportunities when they arise. In addition, any future additional debt capital we incur, to the extent it is available under current market conditions, may be issued at a higher cost and on less favorable terms and conditions than our current Credit Facility.</w:t>
      </w:r>
    </w:p>
    <w:p>
      <w:pPr>
        <w:spacing w:after="0" w:line="118"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of December 31, 2012 and September 30, 2012, SBIC LP had drawn $150.0 million,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relative to other creditors. See “Regulation” for more information.</w:t>
      </w:r>
    </w:p>
    <w:p>
      <w:pPr>
        <w:spacing w:after="0" w:line="143" w:lineRule="exact"/>
        <w:rPr>
          <w:sz w:val="20"/>
          <w:szCs w:val="20"/>
          <w:color w:val="auto"/>
        </w:rPr>
      </w:pPr>
    </w:p>
    <w:p>
      <w:pPr>
        <w:ind w:right="40" w:firstLine="571"/>
        <w:spacing w:after="0" w:line="438" w:lineRule="auto"/>
        <w:rPr>
          <w:sz w:val="20"/>
          <w:szCs w:val="20"/>
          <w:color w:val="auto"/>
        </w:rPr>
      </w:pPr>
      <w:r>
        <w:rPr>
          <w:rFonts w:ascii="Arial" w:cs="Arial" w:eastAsia="Arial" w:hAnsi="Arial"/>
          <w:sz w:val="18"/>
          <w:szCs w:val="18"/>
          <w:color w:val="auto"/>
        </w:rPr>
        <w:t xml:space="preserve">See “Management’s Discussion and Analysis of Financial Condition and Results of Operations—Liquidity and Capital Resources” for more information. </w:t>
      </w:r>
      <w:r>
        <w:rPr>
          <w:rFonts w:ascii="Arial" w:cs="Arial" w:eastAsia="Arial" w:hAnsi="Arial"/>
          <w:sz w:val="18"/>
          <w:szCs w:val="18"/>
          <w:b w:val="1"/>
          <w:bCs w:val="1"/>
          <w:color w:val="auto"/>
        </w:rPr>
        <w:t>Operating and Regulatory Structure</w:t>
      </w:r>
    </w:p>
    <w:p>
      <w:pPr>
        <w:spacing w:after="0" w:line="1"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December 31, 2012,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both"/>
        <w:ind w:firstLine="571"/>
        <w:spacing w:after="0" w:line="302" w:lineRule="auto"/>
        <w:rPr>
          <w:sz w:val="20"/>
          <w:szCs w:val="20"/>
          <w:color w:val="auto"/>
        </w:rPr>
      </w:pPr>
      <w:r>
        <w:rPr>
          <w:rFonts w:ascii="Arial" w:cs="Arial" w:eastAsia="Arial" w:hAnsi="Arial"/>
          <w:sz w:val="15"/>
          <w:szCs w:val="15"/>
          <w:color w:val="auto"/>
        </w:rPr>
        <w:t>On January 22, 2013, we issued $67.5 million in aggregate principal amount of 2025 Notes for net proceeds of $65.2 million, after underwriting discounts and offering costs. Interest on the 2025 Notes is paid quarterly on February 1, May 1, August 1 and November 1, at a rate of 6.25% per year, commencing on May 1, 2013.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w:t>
      </w:r>
    </w:p>
    <w:p>
      <w:pPr>
        <w:spacing w:after="0" w:line="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proceeds from the sale of the 2025 Notes are being used to repay indebtedness owed under the Credit Facility, to invest in new or existing portfolio companies, or for other general corporate or strategic purposes.</w:t>
      </w:r>
    </w:p>
    <w:p>
      <w:pPr>
        <w:spacing w:after="0" w:line="138" w:lineRule="exact"/>
        <w:rPr>
          <w:sz w:val="20"/>
          <w:szCs w:val="20"/>
          <w:color w:val="auto"/>
        </w:rPr>
      </w:pPr>
    </w:p>
    <w:p>
      <w:pPr>
        <w:jc w:val="both"/>
        <w:ind w:right="300" w:firstLine="571"/>
        <w:spacing w:after="0" w:line="259" w:lineRule="auto"/>
        <w:rPr>
          <w:sz w:val="20"/>
          <w:szCs w:val="20"/>
          <w:color w:val="auto"/>
        </w:rPr>
      </w:pPr>
      <w:r>
        <w:rPr>
          <w:rFonts w:ascii="Arial" w:cs="Arial" w:eastAsia="Arial" w:hAnsi="Arial"/>
          <w:sz w:val="18"/>
          <w:szCs w:val="18"/>
          <w:color w:val="auto"/>
        </w:rPr>
        <w:t>Effective January 24, 2013, our wholly-owned subsidiary, PennantPark SBIC II LP, received a license from the SBA to operate as an SBIC under the 1958 Act. As an SBIC, SBIC II will be subject to a variety of regulations and oversight by the SBA concerning, among other things, the size and nature of the companies in which it may invest as well as the structure of those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For the three months ended December 31, 2012 and for the years ended September 30, 2012, 2011, 2010, 2009 and 2008, our ratios of earnings to fixed charges were 9.2, 5.4, 1.9, 4.5, 7.7 and (6.5), respectively. See “Ratio of Earnings to Fixed Charges” for more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5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3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New York Stock Exchange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jc w:val="right"/>
        <w:ind w:right="180"/>
        <w:spacing w:after="0" w:line="183"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1"/>
          <w:szCs w:val="11"/>
          <w:color w:val="auto"/>
        </w:rPr>
        <w:t>(2)</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vertAlign w:val="superscript"/>
        </w:rPr>
        <w:t>(4)</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vertAlign w:val="superscript"/>
        </w:rPr>
        <w:t>(5)</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vertAlign w:val="superscript"/>
        </w:rPr>
        <w:t>(6)</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27940</wp:posOffset>
            </wp:positionV>
            <wp:extent cx="626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35"/>
          <w:szCs w:val="35"/>
          <w:color w:val="auto"/>
          <w:vertAlign w:val="subscript"/>
        </w:rPr>
        <w:t>8.67</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9580" w:space="720"/>
            <w:col w:w="1120"/>
          </w:cols>
          <w:pgMar w:left="240" w:top="459" w:right="239" w:bottom="1440" w:gutter="0" w:footer="0" w:header="0"/>
          <w:type w:val="continuous"/>
        </w:sectPr>
      </w:pPr>
    </w:p>
    <w:p>
      <w:pPr>
        <w:spacing w:after="0" w:line="7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2012.</w:t>
      </w:r>
    </w:p>
    <w:p>
      <w:pPr>
        <w:spacing w:after="0" w:line="68" w:lineRule="exact"/>
        <w:rPr>
          <w:rFonts w:ascii="Arial" w:cs="Arial" w:eastAsia="Arial" w:hAnsi="Arial"/>
          <w:sz w:val="14"/>
          <w:szCs w:val="14"/>
          <w:color w:val="auto"/>
        </w:rPr>
      </w:pPr>
    </w:p>
    <w:p>
      <w:pPr>
        <w:ind w:left="580" w:right="58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December 31, 2012.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6"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December 31, 2012,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2012,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December 31, 2012.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hanging="572"/>
        <w:spacing w:after="0" w:line="270"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December 31, 2012, we had $168.5 million of unused borrowing capacity, subject to maintenance of the applicable total assets to debt ratio, under the 1940 Act, and $211.5 million in borrowings outstanding under our $380.0 million Credit Facility. As of December 31, 2012,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0"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2012,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hanging="572"/>
        <w:spacing w:after="0" w:line="27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33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6.03%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3 Years</w:t>
            </w:r>
          </w:p>
        </w:tc>
        <w:tc>
          <w:tcPr>
            <w:tcW w:w="40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5 Years</w:t>
            </w:r>
          </w:p>
        </w:tc>
        <w:tc>
          <w:tcPr>
            <w:tcW w:w="38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10 Years</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4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on the market value of our common stock,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69"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69"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3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63"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net asset value, even if we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net asset value without first obtaining approval for such issuance from our stockholders and our independent directors. Additionally, our ability to incur indebtedness is limited by our asset coverage, as defined in the 1940 Act, which we refer to as the asset coverage ratio, exclusive of the SBA debentures pursuant to our SEC exemptive relief.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stipulated by the 1940 Act, which could, in turn, cause us to lose our status as a BDC and materially impair our business operations. A protracted disruption in the credit markets could also materially decrease demand for our investments.</w:t>
      </w:r>
    </w:p>
    <w:p>
      <w:pPr>
        <w:spacing w:after="0" w:line="15"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may be at a higher cost 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0"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Senior Notes and SBA debentures.</w:t>
      </w:r>
    </w:p>
    <w:p>
      <w:pPr>
        <w:spacing w:after="0" w:line="2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In addition to the applicable asset coverage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liquidity,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21"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1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shareholders’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170"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 in the same way as our borrowings.</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distributions to our common stockholders.</w:t>
      </w:r>
    </w:p>
    <w:p>
      <w:pPr>
        <w:spacing w:after="0" w:line="147"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51"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34"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Following periods of volatility in the market price of a company’s securities, securities class action litigation has often been brought against that company.</w:t>
      </w:r>
    </w:p>
    <w:p>
      <w:pPr>
        <w:spacing w:after="0" w:line="125"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58"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w:t>
      </w:r>
    </w:p>
    <w:p>
      <w:pPr>
        <w:spacing w:after="0" w:line="8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50" w:lineRule="exact"/>
        <w:rPr>
          <w:sz w:val="20"/>
          <w:szCs w:val="20"/>
          <w:color w:val="auto"/>
        </w:rPr>
      </w:pPr>
    </w:p>
    <w:p>
      <w:pPr>
        <w:ind w:right="260" w:firstLine="228"/>
        <w:spacing w:after="0" w:line="357" w:lineRule="auto"/>
        <w:rPr>
          <w:sz w:val="20"/>
          <w:szCs w:val="20"/>
          <w:color w:val="auto"/>
        </w:rPr>
      </w:pPr>
      <w:r>
        <w:rPr>
          <w:rFonts w:ascii="Arial" w:cs="Arial" w:eastAsia="Arial" w:hAnsi="Arial"/>
          <w:sz w:val="15"/>
          <w:szCs w:val="15"/>
          <w:b w:val="1"/>
          <w:bCs w:val="1"/>
          <w:i w:val="1"/>
          <w:i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20"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BDCs.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treatment would substantially reduce net assets and income available for debt service and dividends.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shareholders in the next year equal to 4% of the undistributed amount.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For federal income tax purposes, we will include in income certain amounts that we have not yet received in cash, such original issue discount, or OID, or contractual payment in 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8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effect on our business, financial condition and results of operations. If we are not able to obtain cash from other sources, we may fail to qualify for RIC tax benefits and thus be subject to corporate-level income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60" w:firstLine="571"/>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25"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SBA debentures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dividends or issue additional senior securities would be restricted if our asset coverage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6" w:lineRule="exact"/>
        <w:rPr>
          <w:sz w:val="20"/>
          <w:szCs w:val="20"/>
          <w:color w:val="auto"/>
        </w:rPr>
      </w:pPr>
    </w:p>
    <w:p>
      <w:pPr>
        <w:ind w:left="900" w:hanging="67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Senior Securities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of issuing senior securities, we are exposed to typical risks associated with leverage, including an increased risk of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6" w:lineRule="exact"/>
        <w:rPr>
          <w:rFonts w:ascii="Arial" w:cs="Arial" w:eastAsia="Arial" w:hAnsi="Arial"/>
          <w:sz w:val="16"/>
          <w:szCs w:val="16"/>
          <w:color w:val="auto"/>
        </w:rPr>
      </w:pPr>
    </w:p>
    <w:p>
      <w:pPr>
        <w:ind w:left="900" w:hanging="676"/>
        <w:spacing w:after="0" w:line="306"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Additional Common Stock. </w:t>
      </w:r>
      <w:r>
        <w:rPr>
          <w:rFonts w:ascii="Arial" w:cs="Arial" w:eastAsia="Arial" w:hAnsi="Arial"/>
          <w:sz w:val="15"/>
          <w:szCs w:val="15"/>
          <w:color w:val="auto"/>
        </w:rPr>
        <w:t>Our board of directors may decide to issue common stock to finance our operations rather than issuing debt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senior securities. As a BDC, we are generally not able to issue our common stock at a price below net asset value without first obtaining certain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98" w:lineRule="exact"/>
        <w:rPr>
          <w:rFonts w:ascii="Arial" w:cs="Arial" w:eastAsia="Arial" w:hAnsi="Arial"/>
          <w:sz w:val="15"/>
          <w:szCs w:val="15"/>
          <w:color w:val="auto"/>
        </w:rPr>
      </w:pPr>
    </w:p>
    <w:p>
      <w:pPr>
        <w:ind w:left="900" w:right="240" w:hanging="67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Securitization. </w:t>
      </w:r>
      <w:r>
        <w:rPr>
          <w:rFonts w:ascii="Arial" w:cs="Arial" w:eastAsia="Arial" w:hAnsi="Arial"/>
          <w:sz w:val="18"/>
          <w:szCs w:val="18"/>
          <w:color w:val="auto"/>
        </w:rPr>
        <w:t>In addition to issuing securities to raise capital as described above, we anticipate that in the future, as market conditions permit,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securitize our loans to generate cash for funding new investments. To securitize loans, we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3" w:lineRule="exact"/>
        <w:rPr>
          <w:sz w:val="20"/>
          <w:szCs w:val="20"/>
          <w:color w:val="auto"/>
        </w:rPr>
      </w:pPr>
    </w:p>
    <w:p>
      <w:pPr>
        <w:ind w:left="900" w:right="100" w:hanging="676"/>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SBA Debentures. </w:t>
      </w:r>
      <w:r>
        <w:rPr>
          <w:rFonts w:ascii="Arial" w:cs="Arial" w:eastAsia="Arial" w:hAnsi="Arial"/>
          <w:sz w:val="16"/>
          <w:szCs w:val="16"/>
          <w:color w:val="auto"/>
        </w:rPr>
        <w:t>In addition to issuing securities and using securitizations to raise capital as described above, we have issued and may in the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as permitted under SBA regulations and through our wholly owned subsidiaries, SBIC LP, SBIC II and any future SBIC subsidiary, SBA debentures to generate cash for funding new investments. To issue SBA debentures, we may request commitments for debt capital from the SBA. Our SBIC Funds would be exposed to any losses on its portfolio of loans, however, such debentures are non-recourse to us.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an entity-level tax on us.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16"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89"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our SBIC Funds may borrow to a maximum of $150 million each, which is up to twice its regulatory capital, and may borrow to a maximum of $225 million as part of a group of SBICs under common control.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as defined in the 1940 Act, is not met, exclusive of the SBA debentures pursuant to SEC exemptive relief, and any amounts that we use to service our indebtedness are not available for distribution to our common stockholders.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0" w:lineRule="exact"/>
        <w:rPr>
          <w:sz w:val="20"/>
          <w:szCs w:val="20"/>
          <w:color w:val="auto"/>
        </w:rPr>
      </w:pPr>
    </w:p>
    <w:p>
      <w:pPr>
        <w:ind w:right="300" w:firstLine="571"/>
        <w:spacing w:after="0" w:line="255"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Lenders have fixed dollar claims on our assets that have priority over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97"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As of December 31, 2012, we had outstanding borrowings of $211.5 million under our Credit Facility and $150.0 million outstanding under the SBA debentures. Our consolidated debt outstanding was $361.5 million and had a weighted average annual interest rate at the time of 3.29% exclusive of the fee on undrawn commitment of 0.50% and 3.43% upfront fees on the SBA debentures. Accordingly, to cover the annual interest on our borrowings outstanding at December 31, 2012, at the then current rate, we would have to receive an annual yield of at least 1.07%. This example is for illustrative purposes only, and actual interest rates on our Credit Facility, or any future debt, borrowings are likely to fluctuate. The costs associated with our borrowings, including any increase in the management fee or incentive fee payable to our Investment Adviser, are and will be borne by our common stockholders.</w:t>
      </w:r>
    </w:p>
    <w:p>
      <w:pPr>
        <w:spacing w:after="0" w:line="93"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December 31, 2012 of 33% of total assets (including such borrowed funds), at a weighted average rate at the time of 3.29%,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5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2"/>
        </w:trPr>
        <w:tc>
          <w:tcPr>
            <w:tcW w:w="51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580" w:type="dxa"/>
            <w:vAlign w:val="bottom"/>
          </w:tcPr>
          <w:p>
            <w:pPr>
              <w:jc w:val="right"/>
              <w:ind w:right="192"/>
              <w:spacing w:after="0"/>
              <w:rPr>
                <w:sz w:val="20"/>
                <w:szCs w:val="20"/>
                <w:color w:val="auto"/>
              </w:rPr>
            </w:pPr>
            <w:r>
              <w:rPr>
                <w:rFonts w:ascii="Arial" w:cs="Arial" w:eastAsia="Arial" w:hAnsi="Arial"/>
                <w:sz w:val="18"/>
                <w:szCs w:val="18"/>
                <w:color w:val="auto"/>
              </w:rPr>
              <w:t>(17.9)%</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(9.8)%</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6.3%</w:t>
            </w: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51"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Credit Facility expires in February 2016.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December 2012, the applicable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96"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If we issue preferred stock, debt securities, convertible debt securities or units, the net asset value and market value of our common stock may become more volatile.</w:t>
      </w:r>
    </w:p>
    <w:p>
      <w:pPr>
        <w:spacing w:after="0" w:line="51"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9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affiliates,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8"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 including:</w:t>
      </w:r>
    </w:p>
    <w:p>
      <w:pPr>
        <w:spacing w:after="0" w:line="12"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the market value of the debt securities or the trading market for the debt securities. Our debt securities may include convertible features that cause them to more closely bear risks associated with an investment in our common stock.</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net asset value. Any future indebtedness that we elect the fair value option for may have similar effects on our net asset value as does our Credit Facility and 2025 Notes.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or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5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At December 31, 2012, all of our portfolio assets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8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89"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rely in part on our over-the-counter securities, which faced liquidity constraints under recent market conditions, to provide us with additional liquidity.</w:t>
      </w:r>
    </w:p>
    <w:p>
      <w:pPr>
        <w:spacing w:after="0" w:line="125"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81" w:lineRule="exact"/>
        <w:rPr>
          <w:sz w:val="20"/>
          <w:szCs w:val="20"/>
          <w:color w:val="auto"/>
        </w:rPr>
      </w:pPr>
    </w:p>
    <w:p>
      <w:pPr>
        <w:ind w:left="460" w:right="60" w:hanging="452"/>
        <w:spacing w:after="0" w:line="28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460" w:right="2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Mezzanine Debt: </w:t>
      </w:r>
      <w:r>
        <w:rPr>
          <w:rFonts w:ascii="Arial" w:cs="Arial" w:eastAsia="Arial" w:hAnsi="Arial"/>
          <w:sz w:val="18"/>
          <w:szCs w:val="18"/>
          <w:color w:val="auto"/>
        </w:rPr>
        <w:t>Our mezzanine debt investments, which we define to include second lien secured and subordinated debt, will generally be subordinated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33"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1"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4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9"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believe that most of our senior secured loans, mezzanine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4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9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effect on our investment returns as compared to companies investing primarily in the securities of public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jc w:val="both"/>
        <w:ind w:right="100" w:firstLine="571"/>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70"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shareholders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Investment Adviser incentive compensation for a fiscal quarter even if there is a decline in the value of our portfolio or we incur a net loss for that quarter.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debt securities may involve significant risks in addition to the risks inherent in U.S. investments.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8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40" w:firstLine="571"/>
        <w:spacing w:after="0" w:line="310" w:lineRule="auto"/>
        <w:rPr>
          <w:sz w:val="20"/>
          <w:szCs w:val="20"/>
          <w:color w:val="auto"/>
        </w:rPr>
      </w:pPr>
      <w:r>
        <w:rPr>
          <w:rFonts w:ascii="Arial" w:cs="Arial" w:eastAsia="Arial" w:hAnsi="Arial"/>
          <w:sz w:val="15"/>
          <w:szCs w:val="15"/>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1"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jc w:val="both"/>
        <w:ind w:right="260" w:firstLine="228"/>
        <w:spacing w:after="0" w:line="256" w:lineRule="auto"/>
        <w:rPr>
          <w:sz w:val="20"/>
          <w:szCs w:val="20"/>
          <w:color w:val="auto"/>
        </w:rPr>
      </w:pPr>
      <w:r>
        <w:rPr>
          <w:rFonts w:ascii="Arial" w:cs="Arial" w:eastAsia="Arial" w:hAnsi="Arial"/>
          <w:sz w:val="18"/>
          <w:szCs w:val="18"/>
          <w:b w:val="1"/>
          <w:bCs w:val="1"/>
          <w:i w:val="1"/>
          <w:iCs w:val="1"/>
          <w:color w:val="auto"/>
        </w:rPr>
        <w:t>We may again obtain the approval of our stockholders to issue shares of our common stock at prices below the then current net asset value per share of our common stock. If we receive such approval from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2"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13"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in ways with which you may not agree.</w:t>
      </w:r>
    </w:p>
    <w:p>
      <w:pPr>
        <w:spacing w:after="0" w:line="9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net asset value or at premiums that are unsustainable over the long term.</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closed on the NASDAQ Global Select Market at $11.00 and $10.61 as of December 31, 2012 and September 30, 2012, respectively. Our NAV was $10.38 and $10.22 as of December 31, 2012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660" w:right="1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158" w:lineRule="exact"/>
        <w:rPr>
          <w:sz w:val="20"/>
          <w:szCs w:val="20"/>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118"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Resources—Dividends and Distributions” for more information.</w:t>
      </w:r>
    </w:p>
    <w:p>
      <w:pPr>
        <w:spacing w:after="0" w:line="14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dividends in which case they may be required to pay taxes in excess of the cash they receive.</w:t>
      </w:r>
    </w:p>
    <w:p>
      <w:pPr>
        <w:spacing w:after="0" w:line="5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The total dividend declared would be taxable income to a shareholder even though he or she may only receive a relatively small portion of the dividend in cash to pay any taxes due on the dividend. We have not elected to distribute stock as a dividend but reserve the right to do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of 2002, or the Sarbanes Oxley Act, and other rules implemented by the SEC and the listing standards of the NASDAQ Stock Market LLC and NYSE.</w:t>
      </w:r>
    </w:p>
    <w:p>
      <w:pPr>
        <w:spacing w:after="0" w:line="170"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132"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December 31, 2012, we had $211.5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71"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43"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December 31, 2012,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indenture under which the 2025 Notes were issued contains limited protection for holders of the 2025 Notes.</w:t>
      </w:r>
    </w:p>
    <w:p>
      <w:pPr>
        <w:spacing w:after="0" w:line="171"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62" w:lineRule="exact"/>
        <w:rPr>
          <w:sz w:val="20"/>
          <w:szCs w:val="20"/>
          <w:color w:val="auto"/>
        </w:rPr>
      </w:pPr>
    </w:p>
    <w:p>
      <w:pPr>
        <w:ind w:left="900" w:hanging="325"/>
        <w:spacing w:after="0" w:line="25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64"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2025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the indenture does not require us to offer to purchase the 2025 Notes in connection with a change of control or any other event.</w:t>
      </w:r>
    </w:p>
    <w:p>
      <w:pPr>
        <w:spacing w:after="0" w:line="194"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7" w:lineRule="exact"/>
        <w:rPr>
          <w:sz w:val="20"/>
          <w:szCs w:val="20"/>
          <w:color w:val="auto"/>
        </w:rPr>
      </w:pPr>
    </w:p>
    <w:p>
      <w:pPr>
        <w:ind w:right="48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 it more difficult for us to satisfy our obligations with respect to the 2025 Notes or negatively affecting the trading value of the 2025 Notes.</w:t>
      </w:r>
    </w:p>
    <w:p>
      <w:pPr>
        <w:spacing w:after="0" w:line="14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140"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2025 Notes are a new issue of debt securities. Although we recently listed the 2025 Notes on the New York Stock Exchange we cannot provide any assurances that an active trading market will develop for the 2025 Notes or that holders of the 2025 Notes will be able to sell their 2025 Notes. If the 2025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43"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December 31, 2012, we had $168.5 million of unused borrowing capacity, subject to maintenance of the applicable total assets to debt ratio, as set forth in the 1940 Act, and $211.5 million in borrowings outstanding under our $380. 0 million Credit Facility. Borrowings under our Credit Facility bear interest at an annual rate equal to LIBOR plus 275 basis points per annum. At December 31, 2012, the interest rate on the Credit Facility was 3.00%.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20"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2012, 2011, 2010, 2009 and 2008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three months ended December 31, 2012, are not necessarily indicative of the results that may be expected for the fiscal year ending September 30, 2013. The unaudited selected financial data for the three months ended December 31, 2012 and 2011, should be read in conjunction with our consolidated financial statements and related notes thereto and “Management’s Discussion and Analysis of Financial Condition and Results of Operations” in this prospectus.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0"/>
              </w:rPr>
              <w:t>For the 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8"/>
              </w:rPr>
              <w:t>For the Years Ended September 30,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(5)</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(5)</w:t>
            </w:r>
          </w:p>
        </w:tc>
        <w:tc>
          <w:tcPr>
            <w:tcW w:w="340" w:type="dxa"/>
            <w:vAlign w:val="bottom"/>
          </w:tcPr>
          <w:p>
            <w:pPr>
              <w:spacing w:after="0"/>
              <w:rPr>
                <w:sz w:val="12"/>
                <w:szCs w:val="12"/>
                <w:color w:val="auto"/>
              </w:rPr>
            </w:pPr>
          </w:p>
        </w:tc>
        <w:tc>
          <w:tcPr>
            <w:tcW w:w="8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8"/>
              </w:rPr>
              <w:t>(Dollar amounts in thousands, except per share</w:t>
            </w: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data)</w:t>
            </w: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32,958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$ 26,839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  113,392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$ 91,738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$ 60,140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$ 45,119</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$ 39,811</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14,777</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11,842</w:t>
            </w:r>
          </w:p>
        </w:tc>
        <w:tc>
          <w:tcPr>
            <w:tcW w:w="3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56,323</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39,093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28,065</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22,400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57,069</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52,645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32,075</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22,719</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18,556</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w:t>
            </w:r>
          </w:p>
        </w:tc>
        <w:tc>
          <w:tcPr>
            <w:tcW w:w="780" w:type="dxa"/>
            <w:vAlign w:val="bottom"/>
          </w:tcPr>
          <w:p>
            <w:pPr>
              <w:jc w:val="right"/>
              <w:spacing w:after="0"/>
              <w:rPr>
                <w:sz w:val="20"/>
                <w:szCs w:val="20"/>
                <w:color w:val="auto"/>
              </w:rPr>
            </w:pPr>
            <w:r>
              <w:rPr>
                <w:rFonts w:ascii="Arial" w:cs="Arial" w:eastAsia="Arial" w:hAnsi="Arial"/>
                <w:sz w:val="18"/>
                <w:szCs w:val="18"/>
                <w:color w:val="auto"/>
              </w:rPr>
              <w:t>10,360</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3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6,284</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(42,382)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(15,539)</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13,083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(59,259)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28,541</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63,353</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10,263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16,535</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35,802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(40,703)</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10.69</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1.08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5"/>
        </w:trPr>
        <w:tc>
          <w:tcPr>
            <w:tcW w:w="4040" w:type="dxa"/>
            <w:vAlign w:val="bottom"/>
            <w:gridSpan w:val="2"/>
          </w:tcPr>
          <w:p>
            <w:pPr>
              <w:spacing w:after="0"/>
              <w:rPr>
                <w:sz w:val="20"/>
                <w:szCs w:val="20"/>
                <w:color w:val="auto"/>
              </w:rPr>
            </w:pPr>
            <w:r>
              <w:rPr>
                <w:rFonts w:ascii="Arial" w:cs="Arial" w:eastAsia="Arial" w:hAnsi="Arial"/>
                <w:sz w:val="18"/>
                <w:szCs w:val="18"/>
                <w:color w:val="auto"/>
                <w:w w:val="97"/>
              </w:rPr>
              <w:t>Net increase (decrease) in net assets resulting from</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0.24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1.70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0.96</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69"/>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6"/>
              </w:rPr>
              <w:t>Consolidated Statement of Assets and Liabilities</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b w:val="1"/>
                <w:bCs w:val="1"/>
                <w:color w:val="auto"/>
              </w:rPr>
              <w:t>data:</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1,112,150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867,444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1,018,968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928,738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711,494</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512,381</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419,811</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Total investment portfolio</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1,064,408</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810,434</w:t>
            </w:r>
          </w:p>
        </w:tc>
        <w:tc>
          <w:tcPr>
            <w:tcW w:w="3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990,480</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827,549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664,724</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469,760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372,148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294,452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388,792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233,641</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175,475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202,000</w:t>
            </w:r>
          </w:p>
        </w:tc>
        <w:tc>
          <w:tcPr>
            <w:tcW w:w="0" w:type="dxa"/>
            <w:vAlign w:val="bottom"/>
          </w:tcPr>
          <w:p>
            <w:pPr>
              <w:spacing w:after="0"/>
              <w:rPr>
                <w:sz w:val="1"/>
                <w:szCs w:val="1"/>
                <w:color w:val="auto"/>
              </w:rPr>
            </w:pPr>
          </w:p>
        </w:tc>
      </w:tr>
      <w:tr>
        <w:trPr>
          <w:trHeight w:val="275"/>
        </w:trPr>
        <w:tc>
          <w:tcPr>
            <w:tcW w:w="4040" w:type="dxa"/>
            <w:vAlign w:val="bottom"/>
            <w:gridSpan w:val="2"/>
          </w:tcPr>
          <w:p>
            <w:pPr>
              <w:spacing w:after="0"/>
              <w:rPr>
                <w:sz w:val="20"/>
                <w:szCs w:val="20"/>
                <w:color w:val="auto"/>
              </w:rPr>
            </w:pPr>
            <w:r>
              <w:rPr>
                <w:rFonts w:ascii="Arial" w:cs="Arial" w:eastAsia="Arial" w:hAnsi="Arial"/>
                <w:sz w:val="18"/>
                <w:szCs w:val="18"/>
                <w:color w:val="auto"/>
              </w:rPr>
              <w:t>Payable for investments purchased and unfunded</w:t>
            </w: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28,160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36,735</w:t>
            </w:r>
          </w:p>
        </w:tc>
        <w:tc>
          <w:tcPr>
            <w:tcW w:w="3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26,935</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55,705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74,988</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25,821</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465,710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669,717</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462,657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386,575</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300,580</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210,728</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w w:val="95"/>
              </w:rPr>
              <w:t>Number of portfolio companies (at period/year end)</w:t>
            </w:r>
            <w:r>
              <w:rPr>
                <w:rFonts w:ascii="Arial" w:cs="Arial" w:eastAsia="Arial" w:hAnsi="Arial"/>
                <w:sz w:val="11"/>
                <w:szCs w:val="11"/>
                <w:color w:val="auto"/>
                <w:w w:val="95"/>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48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period/year end)</w:t>
            </w:r>
            <w:r>
              <w:rPr>
                <w:rFonts w:ascii="Arial" w:cs="Arial" w:eastAsia="Arial" w:hAnsi="Arial"/>
                <w:sz w:val="11"/>
                <w:szCs w:val="11"/>
                <w:color w:val="auto"/>
              </w:rPr>
              <w:t>(5)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220" w:hanging="212"/>
        <w:spacing w:after="0" w:line="221"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220" w:hanging="212"/>
        <w:spacing w:after="0" w:line="221"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fair value in the case of our Credit Facility (except for 2008).</w:t>
      </w:r>
    </w:p>
    <w:p>
      <w:pPr>
        <w:ind w:left="220" w:hanging="212"/>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dividends and distributions, if any, reinvested in accordance with our dividend reinvestment plan.</w:t>
      </w:r>
    </w:p>
    <w:p>
      <w:pPr>
        <w:spacing w:after="0" w:line="10" w:lineRule="exact"/>
        <w:rPr>
          <w:rFonts w:ascii="Arial" w:cs="Arial" w:eastAsia="Arial" w:hAnsi="Arial"/>
          <w:sz w:val="12"/>
          <w:szCs w:val="12"/>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32,958</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18,181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10,360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28,541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r>
      <w:tr>
        <w:trPr>
          <w:trHeight w:val="365"/>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15,571</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9,759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14,997</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(12,151)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16,638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3,420</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26,397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15,846</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13,159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11,171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(10,901)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14,351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13,587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25,522</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16,681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8,957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7,059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(10,090)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6,630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 per common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r>
      <w:tr>
        <w:trPr>
          <w:trHeight w:val="363"/>
        </w:trPr>
        <w:tc>
          <w:tcPr>
            <w:tcW w:w="6840" w:type="dxa"/>
            <w:vAlign w:val="bottom"/>
          </w:tcPr>
          <w:p>
            <w:pPr>
              <w:ind w:left="562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We may also invest in public middle-market U.S. companies that are thinly traded or have a small-market capitalization.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37"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as a RIC and qualify annually under the Code.</w:t>
      </w:r>
    </w:p>
    <w:p>
      <w:pPr>
        <w:spacing w:after="0" w:line="39"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32"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PennantPark Investment, through the Investment Adviser, provides similar services to our SBIC Funds under their investment management agreements. Their investment management agreements do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our SBIC Funds under their administration agreement with us. Our board of directors, a majority of whom are independent of us, supervises our activities, and the Investment Adviser manages our day-to-day activities.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PIK.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69" w:lineRule="exact"/>
        <w:rPr>
          <w:sz w:val="20"/>
          <w:szCs w:val="20"/>
          <w:color w:val="auto"/>
        </w:rPr>
      </w:pPr>
    </w:p>
    <w:p>
      <w:pPr>
        <w:ind w:right="120" w:firstLine="571"/>
        <w:spacing w:after="0" w:line="323" w:lineRule="auto"/>
        <w:rPr>
          <w:sz w:val="20"/>
          <w:szCs w:val="20"/>
          <w:color w:val="auto"/>
        </w:rPr>
      </w:pPr>
      <w:r>
        <w:rPr>
          <w:rFonts w:ascii="Arial" w:cs="Arial" w:eastAsia="Arial" w:hAnsi="Arial"/>
          <w:sz w:val="15"/>
          <w:szCs w:val="15"/>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commitments we accrue under our Credit Facility and SBA debentures. We bear all other direct or indirect costs and expenses of our operations and transactions, including:</w:t>
      </w:r>
    </w:p>
    <w:p>
      <w:pPr>
        <w:spacing w:after="0" w:line="3"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99" w:lineRule="exact"/>
        <w:rPr>
          <w:rFonts w:ascii="Arial" w:cs="Arial" w:eastAsia="Arial" w:hAnsi="Arial"/>
          <w:sz w:val="16"/>
          <w:szCs w:val="16"/>
          <w:color w:val="auto"/>
        </w:rPr>
      </w:pPr>
    </w:p>
    <w:p>
      <w:pPr>
        <w:ind w:left="660" w:hanging="314"/>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jc w:val="both"/>
        <w:ind w:right="280" w:firstLine="571"/>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6640" w:type="dxa"/>
            <w:vAlign w:val="bottom"/>
            <w:gridSpan w:val="2"/>
          </w:tcPr>
          <w:p>
            <w:pPr>
              <w:ind w:left="1280"/>
              <w:spacing w:after="0"/>
              <w:rPr>
                <w:sz w:val="20"/>
                <w:szCs w:val="20"/>
                <w:color w:val="auto"/>
              </w:rPr>
            </w:pPr>
            <w:r>
              <w:rPr>
                <w:rFonts w:ascii="Arial" w:cs="Arial" w:eastAsia="Arial" w:hAnsi="Arial"/>
                <w:sz w:val="18"/>
                <w:szCs w:val="18"/>
                <w:b w:val="1"/>
                <w:bCs w:val="1"/>
                <w:color w:val="auto"/>
                <w:w w:val="88"/>
              </w:rPr>
              <w:t>Estimated Annual Expenses (as a Percentage of Average Total Assets)</w:t>
            </w:r>
          </w:p>
        </w:tc>
        <w:tc>
          <w:tcPr>
            <w:tcW w:w="640" w:type="dxa"/>
            <w:vAlign w:val="bottom"/>
          </w:tcPr>
          <w:p>
            <w:pPr>
              <w:spacing w:after="0"/>
              <w:rPr>
                <w:sz w:val="19"/>
                <w:szCs w:val="19"/>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18"/>
                <w:szCs w:val="18"/>
                <w:color w:val="auto"/>
              </w:rPr>
              <w:t>Base management fees</w:t>
            </w: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84"/>
        </w:trPr>
        <w:tc>
          <w:tcPr>
            <w:tcW w:w="664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664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22"/>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annual expenses</w:t>
            </w:r>
          </w:p>
        </w:tc>
        <w:tc>
          <w:tcPr>
            <w:tcW w:w="5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-786765</wp:posOffset>
            </wp:positionV>
            <wp:extent cx="49225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-426720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-135255</wp:posOffset>
            </wp:positionV>
            <wp:extent cx="49225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(5</w:t>
      </w:r>
      <w:r>
        <w:rPr>
          <w:rFonts w:ascii="Arial" w:cs="Arial" w:eastAsia="Arial" w:hAnsi="Arial"/>
          <w:sz w:val="17"/>
          <w:szCs w:val="17"/>
          <w:color w:val="auto"/>
          <w:vertAlign w:val="superscript"/>
        </w:rPr>
        <w:t>)</w:t>
      </w:r>
    </w:p>
    <w:p>
      <w:pPr>
        <w:spacing w:after="0" w:line="147" w:lineRule="exact"/>
        <w:rPr>
          <w:sz w:val="20"/>
          <w:szCs w:val="20"/>
          <w:color w:val="auto"/>
        </w:rPr>
      </w:pPr>
    </w:p>
    <w:p>
      <w:pPr>
        <w:sectPr>
          <w:pgSz w:w="11900" w:h="16838" w:orient="portrait"/>
          <w:cols w:equalWidth="0" w:num="2">
            <w:col w:w="9120" w:space="220"/>
            <w:col w:w="2060"/>
          </w:cols>
          <w:pgMar w:left="240" w:top="459" w:right="259" w:bottom="1440" w:gutter="0" w:footer="0" w:header="0"/>
          <w:type w:val="continuous"/>
        </w:sectPr>
      </w:pPr>
    </w:p>
    <w:p>
      <w:pPr>
        <w:ind w:left="340" w:right="20" w:hanging="332"/>
        <w:spacing w:after="0" w:line="239"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See “Certain Relationships and Transactions—Investment Management Agreement” for more information.</w:t>
      </w:r>
    </w:p>
    <w:p>
      <w:pPr>
        <w:spacing w:after="0" w:line="43"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December 31, 2012,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2012,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December 31, 2012. For more detailed information about the incentive fee, please see “Certain Relationships and Transactions-Investment Management Agreement” for more information.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20" w:hanging="332"/>
        <w:spacing w:after="0" w:line="265"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of December 31, 2012, we had $168.5 million of unused borrowing capacity, subject to maintenance of the applicable total assets to debt ratio, which is defined in the 1940 Act, and $211.5 million in borrowings outstanding under our $380 million Credit Facility. As of December 31, 2012,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w:t>
      </w:r>
    </w:p>
    <w:p>
      <w:pPr>
        <w:ind w:left="340" w:right="100"/>
        <w:spacing w:after="0" w:line="277" w:lineRule="auto"/>
        <w:rPr>
          <w:rFonts w:ascii="Arial" w:cs="Arial" w:eastAsia="Arial" w:hAnsi="Arial"/>
          <w:sz w:val="12"/>
          <w:szCs w:val="12"/>
          <w:color w:val="auto"/>
        </w:rPr>
      </w:pPr>
      <w:r>
        <w:rPr>
          <w:rFonts w:ascii="Arial" w:cs="Arial" w:eastAsia="Arial" w:hAnsi="Arial"/>
          <w:sz w:val="12"/>
          <w:szCs w:val="12"/>
          <w:color w:val="auto"/>
        </w:rPr>
        <w:t>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spacing w:after="0" w:line="36" w:lineRule="exact"/>
        <w:rPr>
          <w:rFonts w:ascii="Arial" w:cs="Arial" w:eastAsia="Arial" w:hAnsi="Arial"/>
          <w:sz w:val="12"/>
          <w:szCs w:val="12"/>
          <w:color w:val="auto"/>
        </w:rPr>
      </w:pPr>
    </w:p>
    <w:p>
      <w:pPr>
        <w:ind w:left="340" w:right="60" w:hanging="332"/>
        <w:spacing w:after="0" w:line="28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2012,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December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For the three months ended December 31, 2012, we invested $168.4 million in five new and seven existing portfolio companies with a weighted average yield on debt investments of 12.7%. This compares to investing $43.0 million in one new portfolio company and seven existing portfolio companies with a weighted average yield on debt investments of 16.4% for the three months ended December 31, 2011.</w:t>
      </w:r>
    </w:p>
    <w:p>
      <w:pPr>
        <w:spacing w:after="0" w:line="14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For the fiscal year ended September 30, 2012, we purchased $328.3 million of investments in 13 new and 17 existing portfolio companies with a weighted average yield of 13.3% on debt investments. This compares to purchasing $479.7 million of investments in 17 new and 11 existing portfolio companies with an overall weighted average yield of 13.7% on debt investments, and purchasing $309.5 million of investments in 17 new and 12 existing portfolio companies with an overall weighted average yield of 14.9% on debt investments for the fiscal years ended September 30, 2011 and 2010, respectively.</w:t>
      </w:r>
    </w:p>
    <w:p>
      <w:pPr>
        <w:spacing w:after="0" w:line="113"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Sales and repayments of investments for the three months ended December 31, 2012 totaled $110.8 million. This compares to sales and repayments of investments for the three months ended December 31, 2011, which totaled $69.3 million.</w:t>
      </w:r>
    </w:p>
    <w:p>
      <w:pPr>
        <w:spacing w:after="0" w:line="132"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For the fiscal year ended September 30, 2012, sales and repayments generated proceeds of $201.7 million. For the fiscal years ended September 30, 2011 and 2010, sales and repayments generated proceeds of $304.0 and $145.2 million, respectively.</w:t>
      </w:r>
    </w:p>
    <w:p>
      <w:pPr>
        <w:spacing w:after="0" w:line="13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December 31, 2012, our portfolio totaled $1,064.4 million and consisted of $312.7 million of senior secured loans, $212.8 million of second lien secured debt, $411.0 million of subordinated debt and $127.9 million of preferred and common equity investments. Our debt portfolio consisted of 66% fixed-rate and 34% variable-rate investments (including 29% with a LIBOR or prime floor). Our overall portfolio consisted of 56 companies with an average investment size of $19.0 million, had a weighted average yield on debt investments of 13.3%, and was invested 29% in senior secured loans, 20% in second lien secured debt, 39% in subordinated debt and 12% in preferred and common equity investments.</w:t>
      </w:r>
    </w:p>
    <w:p>
      <w:pPr>
        <w:spacing w:after="0" w:line="1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2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8"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280" w:hanging="346"/>
        <w:spacing w:after="0" w:line="332"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500" w:hanging="742"/>
        <w:spacing w:after="0" w:line="259" w:lineRule="auto"/>
        <w:tabs>
          <w:tab w:leader="none" w:pos="120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220" w:right="54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1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2012 and 2011, our Credit Facility had a net change in unrealized appreciation of $0.5 million and $1.1 million, respectively. As of December 31, 2012 and September 30, 2012, net unrealized depreciation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on our debt are capitalized, and we then amortize such amounts as interest income or expense as applicable. We record contractual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160" w:firstLine="8"/>
        <w:spacing w:after="0" w:line="253"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45"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three months ended December 31,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Investment income for the three months ended December 31, 2012 was $33.0 million and was primarily attributable to $8.8 million from senior secured loans, $6.4 million from second lien secured debt investments, $16.5 million from subordinated debt investments and $1.3 million from common equity investments. This compares to investment income for the three months ended December 31, 2011, which was $26.8 million, and was primarily attributable to $11.0 million from senior secured loans, $4.1 million from second lien secured debt investments and $11.7 million from subordinated debt investments. The increase in investment income compared with the same period in the prior year was due to the growth of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0" w:firstLine="571"/>
        <w:spacing w:after="0" w:line="291" w:lineRule="auto"/>
        <w:rPr>
          <w:sz w:val="20"/>
          <w:szCs w:val="20"/>
          <w:color w:val="auto"/>
        </w:rPr>
      </w:pPr>
      <w:r>
        <w:rPr>
          <w:rFonts w:ascii="Arial" w:cs="Arial" w:eastAsia="Arial" w:hAnsi="Arial"/>
          <w:sz w:val="16"/>
          <w:szCs w:val="16"/>
          <w:color w:val="auto"/>
        </w:rPr>
        <w:t>Expenses for the three months ended December 31, 2012 totaled $14.8 million. Base management fees for the same period totaled $5.1 million, performance-based incentive fees totaled $4.5 million, Credit Facility and SBA debentures related interest and expenses totaled $3.1 million, general and administrative expenses and excise tax totaled $2.1 million. This compares to expenses for the three months ended December 31, 2011, which totaled $11.8 million. Base management fees for the same period totaled $4.0 million, performance-based incentive fees totaled $3.7 million, Credit Facility and SBA debentures related interest and expenses totaled $2.4 million, general and administrative expenses totaled $1.7 million. The increase in expenses was due to the growth of the portfolio as well as the higher cost of debt capital.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Net investment income totaled $18.2 million, or $0.28 per share, for the three months ended December 31, 2012, and $15.0 million, or $0.33 per share, for the three months ended December 31, 2011. The increase in net investment income over the prior period was due to the growth of our portfolio. The decrease in per share net investment income over the prior period was the result of issuance of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Sales and repayments of investments for the three months ended December 31, 2012 totaled $110.8 million and realized gains totaled $0.9 million. Sales and repayments of investments totaled $69.3 million and net realized gains totaled $8.0 million for the three months ended December 31, 2011.</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For both the three months ended December 31, 2012 and 2011, we reported unrealized appreciation on investments of $10.0 million. As of December 31, 2012 and September 30, 2012, net unrealized depreciation on investments totaled $8.1 million and $18.1 million, respectively. The change in unrealized depreciation on investments from September 30, 2012 to December 31, 2012 was the result of the realization of unrealized gains upon exiting our investments and changes in market values.</w:t>
      </w:r>
    </w:p>
    <w:p>
      <w:pPr>
        <w:spacing w:after="0" w:line="14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For the three months ended December 31, 2012 and 2011, our Credit Facility value increased by $0.5 million and $1.1 million, respectively. The change from the prior period was primarily the result of the renewal of the Credit Facility. As of December 31, 2012 and September 30, 2012, net unrealized depreciation on our Credit Facility totaled zero and $0.5 million, respectively. Net change in unrealized appreciation on the Credit Facility over the prior period was due to changes in the leveraged finance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Net increase in net assets resulting from operations totaled $28.5 million, or $0.44 per share, for the three months ended December 31, 2012. This compares to a net increase in net assets resulting from operations which totaled $15.8 million, or $0.34 per share, for the three months ended December 31, 2011. This increase in net assets resulting from operations compared to the prior period was due to the continued growth in net investment income as a result of growing our portfolio and appreciation of our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2012, 2011 and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8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16"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Investment income for the fiscal year ended September 30, 2010 was $60.1 million and was primarily attributable to $19.5 million from senior secured loan investments, $14.1 million from second lien secured debt investments, and $26.5 million from subordinated debt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80" w:firstLine="571"/>
        <w:spacing w:after="0" w:line="255"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performance-based incentive fee totaled $14.2 million, Credit Facility and SBA debentures related expenses totaled $17.1 million (including the $5.4 million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16"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116" w:lineRule="exact"/>
        <w:rPr>
          <w:sz w:val="20"/>
          <w:szCs w:val="20"/>
          <w:color w:val="auto"/>
        </w:rPr>
      </w:pPr>
    </w:p>
    <w:p>
      <w:pPr>
        <w:ind w:right="520" w:firstLine="571"/>
        <w:spacing w:after="0" w:line="259" w:lineRule="auto"/>
        <w:rPr>
          <w:sz w:val="20"/>
          <w:szCs w:val="20"/>
          <w:color w:val="auto"/>
        </w:rPr>
      </w:pPr>
      <w:r>
        <w:rPr>
          <w:rFonts w:ascii="Arial" w:cs="Arial" w:eastAsia="Arial" w:hAnsi="Arial"/>
          <w:sz w:val="18"/>
          <w:szCs w:val="18"/>
          <w:color w:val="auto"/>
        </w:rPr>
        <w:t>Expenses for the fiscal year ended September 30, 2010 totaled $28.0 million. Base management fees for the same period totaled $11.6 million, performance-based incentive fee totaled $8.0 million, Credit Facility and SBA debentures related expenses totaled $3.7 million, general and administrative expenses totaled $4.6 million and an excise tax of $0.1 million was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Net investment income totaled $57.1 million or $1.08 per share, $52.6 million or $1.25 per share and $32.1 million or $1.09 per share, for the fiscal years ended September 30, 2012, 2011 and 2010, respectively. The increase in net investment income from 2011 to 2012 was the result of the growth of our portfolio, while the per share net investment income decrease was the result of share issuances.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2012, 2011 and 2010 totaled $201.7 million, $304.0 million and $145.2 million, respectively, and net realized gains (losses) totaled $(12.8) million, $16.3 million and $(15.4) million, respectively. Net realized losses increased over the prior year due to sales, restructurings, and repayments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 and Credit Facility</w:t>
      </w:r>
    </w:p>
    <w:p>
      <w:pPr>
        <w:spacing w:after="0" w:line="90"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$20.6 million, $(46.8) million and $35.5 million for the fiscal years ended September 30, 2012, 2011 and 2010, respectively. Net change in unrealized (appreciation) depreciation on our Credit Facility totaled $(1.6) million, $(11.9) million and $(35.7) million for the same periods, respectively. Net change in unrealized depreciation on investments increased over the prior year due to the overall changes in the leveraged finance markets. Net change in unrealized depreciation on our Credit Facility over the prior year is the result of amending and restating the terms of our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Net increase in net assets resulting from operations totaled $63.4 million or $1.20 per share, $10.3 million or $0.24 per share, and $16.5 million or $0.56 per share for the fiscal years ended September 30, 2012, 2011 and 2010, respectively. The net increase in net assets from operations was higher than the prior year due to the continued growth in net investment income as a result of growing our portfolio and unrealized gains offset by realized losses.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ind w:right="120" w:firstLine="571"/>
        <w:spacing w:after="0" w:line="283" w:lineRule="auto"/>
        <w:rPr>
          <w:sz w:val="20"/>
          <w:szCs w:val="20"/>
          <w:color w:val="auto"/>
        </w:rPr>
      </w:pPr>
      <w:r>
        <w:rPr>
          <w:rFonts w:ascii="Arial" w:cs="Arial" w:eastAsia="Arial" w:hAnsi="Arial"/>
          <w:sz w:val="16"/>
          <w:szCs w:val="16"/>
          <w:color w:val="auto"/>
        </w:rPr>
        <w:t>In February 2012, we amended and restated our multi-currency Credit Facility, which increased the size of the Credit Facility to $380 million, with certain lenders and SunTrust Bank, acting as administrative agent and JPMorgan Chase Bank, N.A., as syndication agent for the lenders. As of December 31, 2012 and September 30, 2012, we had $211.5 million and $145.0 million (including a temporary draw of $35.5 million), respectively, in outstanding borrowings under the Credit Facility, with a weighted average interest rate at the time of 3.00% and 3.49%, respectively, exclusive of the fee on undrawn commitments of</w:t>
      </w:r>
    </w:p>
    <w:p>
      <w:pPr>
        <w:spacing w:after="0" w:line="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0.50%. The Credit Facility is a four-year revolving facility with a stated maturity date of February 2016, and a one-year term-out period following its third year. Borrowings under the Credit Facility bear interest at 275 basis points over LIBOR. As of September 30, 2011, we had outstanding borrowings of $240.9 million under the Credit Facility, with a weighted average interest rate of 1.27% exclusive of the fee on undrawn commitment of 0.20%, and $74.1 million of unused borrowing capacity. As of December 31, 2012 and September 30, 2012, we had $168.5 million and $235.0 million of unused borrowing capacity, respectively, subject to the regulatory restrictions that the 1940 Act imposes on us as a BDC. The Credit Facility is secured by substantially all of our assets excluding assets held by our SBIC Funds.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80" w:firstLine="8"/>
        <w:spacing w:after="0" w:line="288"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Funds).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December 31, 2012, we were in compliance with the terms of our Credit Facility.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 On October 25, 2012, we issued an additional 700,000 shares of common stock at a public offering price of $10.82 per share generating gross proceeds of $7.6 million and net proceeds of $7.3 million after underwriting discounts and offering expenses payable by us from the underwriters’ partial exercise of the over-allotment option granted in connection with our September 2012 equity offering.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27"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December 31, 2012, we excluded the principal amounts of our SBA debentures from our asset coverage ratio pursuant to SEC exemptive relief. As a result of this exemptive relief, our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regulatory requirements including an examination by the SBA. We have funded SBIC LP with $75.0 million of equity capital and had SBA debentures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outstanding of $150.0 million as of December 31, 2012. We have funded SBIC II with $2.5 million of seed capital. SBA debentures are non-recourse to us, have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10-year maturity, and may be prepaid at any time without penalty. The interest rate of SBA debentures is fixed at the time of issuance,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pooling, at a market-driven spread over 10-year U.S. Treasury Notes. SBA current regulations limit the amount that SBIC LP may borrow to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million, which is up to twice its potential regulatory capital, and may borrow to a maximum of $225 million as part of a group of SBICs under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 SBIC LP has accessed the maximum borrowing with its $75.0 million in regulatory capital.</w:t>
      </w:r>
    </w:p>
    <w:p>
      <w:pPr>
        <w:spacing w:after="0" w:line="16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As of December 31, 2012 and September 30, 2012, $150.0 million in debt commitments were fully drawn with a weighted average interest rate of 3.70% exclusive of the 3.43% in upfront fees (4.04% after upfront fees). The SBA debentures upfront fees of 3.43% consist of a commitment fee of 1.00% and an issuance discount of 2.43%. Both fees will be amortized over the lives of the loans. Our fixed rate SBA debentures as of December 31, 2012 and September 30, 2012 and 2011 were as follows:</w:t>
      </w:r>
    </w:p>
    <w:p>
      <w:pPr>
        <w:spacing w:after="0" w:line="15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Issuance Dates</w:t>
            </w: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ind w:left="20"/>
              <w:spacing w:after="0" w:line="162" w:lineRule="exact"/>
              <w:rPr>
                <w:sz w:val="20"/>
                <w:szCs w:val="20"/>
                <w:color w:val="auto"/>
              </w:rPr>
            </w:pPr>
            <w:r>
              <w:rPr>
                <w:rFonts w:ascii="Arial" w:cs="Arial" w:eastAsia="Arial" w:hAnsi="Arial"/>
                <w:sz w:val="12"/>
                <w:szCs w:val="12"/>
                <w:b w:val="1"/>
                <w:bCs w:val="1"/>
                <w:color w:val="auto"/>
              </w:rPr>
              <w:t xml:space="preserve">coupon rate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8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6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22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ind w:left="560"/>
              <w:spacing w:after="0" w:line="203" w:lineRule="exact"/>
              <w:rPr>
                <w:sz w:val="20"/>
                <w:szCs w:val="20"/>
                <w:color w:val="auto"/>
              </w:rPr>
            </w:pPr>
            <w:r>
              <w:rPr>
                <w:rFonts w:ascii="Arial" w:cs="Arial" w:eastAsia="Arial" w:hAnsi="Arial"/>
                <w:sz w:val="18"/>
                <w:szCs w:val="18"/>
                <w:color w:val="auto"/>
              </w:rPr>
              <w:t>3.50%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200" w:type="dxa"/>
            <w:vAlign w:val="bottom"/>
            <w:gridSpan w:val="3"/>
          </w:tcPr>
          <w:p>
            <w:pPr>
              <w:ind w:left="660"/>
              <w:spacing w:after="0"/>
              <w:rPr>
                <w:sz w:val="20"/>
                <w:szCs w:val="20"/>
                <w:color w:val="auto"/>
              </w:rPr>
            </w:pPr>
            <w:r>
              <w:rPr>
                <w:rFonts w:ascii="Arial" w:cs="Arial" w:eastAsia="Arial" w:hAnsi="Arial"/>
                <w:sz w:val="18"/>
                <w:szCs w:val="18"/>
                <w:color w:val="auto"/>
              </w:rPr>
              <w:t>March 1, 2021</w:t>
            </w:r>
          </w:p>
        </w:tc>
        <w:tc>
          <w:tcPr>
            <w:tcW w:w="860" w:type="dxa"/>
            <w:vAlign w:val="bottom"/>
          </w:tcPr>
          <w:p>
            <w:pPr>
              <w:ind w:left="560"/>
              <w:spacing w:after="0"/>
              <w:rPr>
                <w:sz w:val="20"/>
                <w:szCs w:val="20"/>
                <w:color w:val="auto"/>
              </w:rPr>
            </w:pPr>
            <w:r>
              <w:rPr>
                <w:rFonts w:ascii="Arial" w:cs="Arial" w:eastAsia="Arial" w:hAnsi="Arial"/>
                <w:sz w:val="18"/>
                <w:szCs w:val="18"/>
                <w:color w:val="auto"/>
                <w:w w:val="79"/>
              </w:rPr>
              <w:t>4.46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9"/>
              </w:rPr>
              <w:t>September 1, 2021</w:t>
            </w:r>
          </w:p>
        </w:tc>
        <w:tc>
          <w:tcPr>
            <w:tcW w:w="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9"/>
              </w:rPr>
              <w:t>3.38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3.70%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 Excludes 3.43% of upfront fees.</w:t>
      </w:r>
    </w:p>
    <w:p>
      <w:pPr>
        <w:spacing w:after="0" w:line="185" w:lineRule="exact"/>
        <w:rPr>
          <w:sz w:val="20"/>
          <w:szCs w:val="20"/>
          <w:color w:val="auto"/>
        </w:rPr>
      </w:pPr>
    </w:p>
    <w:p>
      <w:pPr>
        <w:ind w:right="30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2012, SBIC LP was in compliance with its regulatory requirements.</w:t>
      </w:r>
    </w:p>
    <w:p>
      <w:pPr>
        <w:spacing w:after="0" w:line="120"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4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$35.8 million for the three months ended December 31, 2012, primarily for net purchases of investments. Our financing activities provided cash of $59.5 million for the same period, primarily from net borrowings under our Credit Facility and proceeds from our follow-on public offerings of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Our operating activities provided cash of $31.7 million for the three months ended December 31, 2011, primarily from net proceeds from the disposition of investments. Our financing activities used cash of $61.2 million for the same period, primarily from net repayments under our Credit Facility.</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4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40"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cash proceeds of $95.6 million for the same period, primarily from proceeds from a follow-on public offerings of common stock. Our operating activities used cash primarily for investing that was provided from proceeds from secondary public offerings and draws under our Credit Facility.</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2012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Payments due by period (in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w:t>
            </w:r>
          </w:p>
        </w:tc>
        <w:tc>
          <w:tcPr>
            <w:tcW w:w="900" w:type="dxa"/>
            <w:vAlign w:val="bottom"/>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42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$ 211.5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$211.5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5"/>
              </w:rPr>
              <w:t>17.4</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5"/>
              </w:rPr>
              <w:t>17.4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220" w:right="140" w:hanging="212"/>
        <w:spacing w:after="0" w:line="230"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weighted average interest rate on the total debt outstanding as of December 31, 2012 was 3.29%, exclusive of the fee on the undrawn commitment of 0.50% on the Credit Facility and 3.43% of upfront fees on SBIC LP’s SBA debentures.</w:t>
      </w: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Unfunded debt investments described in the Consolidated Statement of Assets and Liabilities represent unfunded delayed draws on investments.</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2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Under our Administration Agreement, which was most recently reapproved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177"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three months ended December 31, 2012, and 2011, we elected to retain a portion of our calendar year income and incurred an excise tax of approximately $0.1 million. For the fiscal years ended September 30, 2012, 2011, and 2010, we elected to retain a portion of our calendar year income and incurred an excise tax of approximately $0.3 million, $0.2 million and $0.1 million, respectively.</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the three months ended December 31, 2012 and 2011, we declared dividends of $0.28 and $0.28 per share, respectively, for total dividends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$18.6 million and $12.8 million, respectively. During the fiscal years ended September 30, 2012, 2011 and 2010, we declared dividends of $1.12, $1.07 and $1.03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 share, respectively, for total dividends of $60.1 million, $46.3 million and $32.3 million, respectively. We monitor available net investment income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if a return of capital for taxation purposes may occur for the fiscal year. To the extent our taxable earnings fall below the total amount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for any given fiscal year, a portion of those distributions may be deemed to be a return of capital to our common stockholders. Tax characteristics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distributions will be reported to stockholders on Form 1099-DIV after the end of the calendar year and in our periodic reports filed with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On January 22, 2013, we issued $67.5 million in aggregate principal amount of 2025 Notes for net proceeds of $65.2 million, after underwriting discounts and offering costs. Interest on the 2025 Notes is paid quarterly on February 1, May 1, August 1 and November 1, at a rate of 6.25% per year, commencing on May 1, 2013.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proceeds from the sale of the 2025 Notes are being used to repay indebtedness owed under the Credit Facility, to invest in new or existing portfolio companies, or for other general corporate or strategic purposes.</w:t>
      </w:r>
    </w:p>
    <w:p>
      <w:pPr>
        <w:spacing w:after="0" w:line="12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Effective January 24, 2013, our wholly-owned subsidiary, SBIC II, received a license from the SBA to operate as an SBIC under the 1958 Act. As an SBIC, SBIC II will be subject to a variety of regulations and oversight by the SBA concerning, among other things, the size and nature of the companies in which it may invest as well as the structure of those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As of December 31, 2012, our portfolio consisted of 66% fixed-rate and 34% variable-rate investments (including 29% with a LIBOR, or prime floor). As of September 30, 2012, our debt portfolio consisted of 69% fixed-rate and 31% variable-rate investments (including 26% with a LIBOR or prime floor). The variable-rate loans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 from market rates above any such floor.</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Assuming that the current balance sheet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a result, there can be no assurance that a significant change in market interest rates will not have a material adverse effect on our net investment income.</w:t>
      </w:r>
    </w:p>
    <w:p>
      <w:pPr>
        <w:spacing w:after="0" w:line="14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December 31, 2012 has been derived from our unaudited Consolidated Financial Statements. Information about our senior securities is shown in the following table as of September 30, 2012, 2011, 2010, 2009 and 2008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78"/>
              </w:rPr>
              <w:t>Asset</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80"/>
              <w:spacing w:after="0" w:line="135" w:lineRule="exact"/>
              <w:rPr>
                <w:sz w:val="20"/>
                <w:szCs w:val="20"/>
                <w:color w:val="auto"/>
              </w:rPr>
            </w:pPr>
            <w:r>
              <w:rPr>
                <w:rFonts w:ascii="Arial" w:cs="Arial" w:eastAsia="Arial" w:hAnsi="Arial"/>
                <w:sz w:val="14"/>
                <w:szCs w:val="14"/>
                <w:b w:val="1"/>
                <w:bCs w:val="1"/>
                <w:color w:val="auto"/>
                <w:w w:val="84"/>
              </w:rPr>
              <w:t>Coverage</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74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w w:val="95"/>
              </w:rPr>
              <w:t>Total Amount</w:t>
            </w:r>
          </w:p>
        </w:tc>
        <w:tc>
          <w:tcPr>
            <w:tcW w:w="8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5540" w:type="dxa"/>
            <w:vAlign w:val="bottom"/>
          </w:tcPr>
          <w:p>
            <w:pPr>
              <w:spacing w:after="0"/>
              <w:rPr>
                <w:sz w:val="15"/>
                <w:szCs w:val="15"/>
                <w:color w:val="auto"/>
              </w:rPr>
            </w:pPr>
          </w:p>
        </w:tc>
        <w:tc>
          <w:tcPr>
            <w:tcW w:w="1740" w:type="dxa"/>
            <w:vAlign w:val="bottom"/>
            <w:gridSpan w:val="3"/>
          </w:tcPr>
          <w:p>
            <w:pPr>
              <w:jc w:val="right"/>
              <w:ind w:right="84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6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6"/>
              </w:rPr>
              <w:t>(unaudited)</w:t>
            </w:r>
          </w:p>
        </w:tc>
        <w:tc>
          <w:tcPr>
            <w:tcW w:w="66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(3)</w:t>
            </w:r>
          </w:p>
        </w:tc>
      </w:tr>
      <w:tr>
        <w:trPr>
          <w:trHeight w:val="190"/>
        </w:trPr>
        <w:tc>
          <w:tcPr>
            <w:tcW w:w="6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1"/>
                <w:szCs w:val="11"/>
                <w:color w:val="auto"/>
              </w:rPr>
              <w:t>(4)</w:t>
            </w:r>
            <w:r>
              <w:rPr>
                <w:rFonts w:ascii="Arial" w:cs="Arial" w:eastAsia="Arial" w:hAnsi="Arial"/>
                <w:sz w:val="18"/>
                <w:szCs w:val="18"/>
                <w:color w:val="auto"/>
              </w:rPr>
              <w:t xml:space="preserve"> (As of December 31, 2012)</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211,500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4,255</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1"/>
                <w:szCs w:val="11"/>
                <w:color w:val="auto"/>
              </w:rPr>
              <w:t>(4)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(4)</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240,900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247,600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225,100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202,000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hanging="212"/>
        <w:spacing w:after="0" w:line="258" w:lineRule="auto"/>
        <w:tabs>
          <w:tab w:leader="none" w:pos="2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220" w:hanging="212"/>
        <w:spacing w:after="0" w:line="221"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amounts exclude SBIC LP’s SBA debentures from our asset coverage per unit computation pursuant to an exemptive relief letter provided by the SEC in June 2011.</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For the three months ended December 31, 2012 and for the years ended September 30, 2012, 2011, 2010, 2009 and 2008, the ratios of earnings to fixed charges of ours computed as set forth below,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gridSpan w:val="10"/>
            <w:vMerge w:val="restart"/>
          </w:tcPr>
          <w:p>
            <w:pPr>
              <w:jc w:val="right"/>
              <w:ind w:right="240"/>
              <w:spacing w:after="0"/>
              <w:rPr>
                <w:sz w:val="20"/>
                <w:szCs w:val="20"/>
                <w:color w:val="auto"/>
              </w:rPr>
            </w:pPr>
            <w:r>
              <w:rPr>
                <w:rFonts w:ascii="Arial" w:cs="Arial" w:eastAsia="Arial" w:hAnsi="Arial"/>
                <w:sz w:val="14"/>
                <w:szCs w:val="14"/>
                <w:b w:val="1"/>
                <w:bCs w:val="1"/>
                <w:color w:val="auto"/>
                <w:w w:val="88"/>
              </w:rPr>
              <w:t>For the Fiscal Years Ended 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540" w:type="dxa"/>
            <w:vAlign w:val="bottom"/>
            <w:gridSpan w:val="2"/>
            <w:vMerge w:val="continue"/>
          </w:tcPr>
          <w:p>
            <w:pPr>
              <w:spacing w:after="0"/>
              <w:rPr>
                <w:sz w:val="10"/>
                <w:szCs w:val="10"/>
                <w:color w:val="auto"/>
              </w:rPr>
            </w:pPr>
          </w:p>
        </w:tc>
        <w:tc>
          <w:tcPr>
            <w:tcW w:w="1020" w:type="dxa"/>
            <w:vAlign w:val="bottom"/>
            <w:gridSpan w:val="3"/>
          </w:tcPr>
          <w:p>
            <w:pPr>
              <w:ind w:left="40"/>
              <w:spacing w:after="0" w:line="114"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10"/>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18,181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57,069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52,645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22,719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(15,417)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(39,244)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(58,641)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52,327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63,353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(40,703)</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Interest and expenses on the Credit Facility and SBA Debentures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11,681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Fixed Charges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4,629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Earnings include net realized and unrealized gains or losses. Net realized and unrealized gains or losses can vary substantially from period to period.</w:t>
      </w:r>
    </w:p>
    <w:p>
      <w:pPr>
        <w:ind w:left="220" w:right="20" w:hanging="212"/>
        <w:spacing w:after="0" w:line="22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Fixed charges include interest and related expenses on our Credit Facility, which is indexed to LIBOR and fluctuate with changes in interest rates, and SBA debentures and amortization of debt issuance costs on our SBA debentures.</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would need to generate additional earnings of $47,012 to achieve a coverage ratio of one-to-one for the year ended September 30,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NAV and quarterly dividends per share since October 1, 2007. On February 14, 2013, the last reported closing price of our common stock was $11.39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Premium</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(Discount)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Closing Sales Price</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Low Sales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Borders>
              <w:bottom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99"/>
              </w:rPr>
              <w:t>Price to</w:t>
            </w:r>
          </w:p>
        </w:tc>
        <w:tc>
          <w:tcPr>
            <w:tcW w:w="106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rPr>
              <w:t>Price to</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14" w:lineRule="exact"/>
              <w:rPr>
                <w:sz w:val="20"/>
                <w:szCs w:val="20"/>
                <w:color w:val="auto"/>
              </w:rPr>
            </w:pPr>
            <w:r>
              <w:rPr>
                <w:rFonts w:ascii="Arial" w:cs="Arial" w:eastAsia="Arial" w:hAnsi="Arial"/>
                <w:sz w:val="12"/>
                <w:szCs w:val="12"/>
                <w:b w:val="1"/>
                <w:bCs w:val="1"/>
                <w:color w:val="auto"/>
                <w:w w:val="97"/>
              </w:rPr>
              <w:t>Dividends</w:t>
            </w:r>
          </w:p>
        </w:tc>
        <w:tc>
          <w:tcPr>
            <w:tcW w:w="0" w:type="dxa"/>
            <w:vAlign w:val="bottom"/>
          </w:tcPr>
          <w:p>
            <w:pPr>
              <w:spacing w:after="0"/>
              <w:rPr>
                <w:sz w:val="1"/>
                <w:szCs w:val="1"/>
                <w:color w:val="auto"/>
              </w:rPr>
            </w:pPr>
          </w:p>
        </w:tc>
      </w:tr>
      <w:tr>
        <w:trPr>
          <w:trHeight w:val="156"/>
        </w:trPr>
        <w:tc>
          <w:tcPr>
            <w:tcW w:w="5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Period</w:t>
            </w:r>
          </w:p>
        </w:tc>
        <w:tc>
          <w:tcPr>
            <w:tcW w:w="980" w:type="dxa"/>
            <w:vAlign w:val="bottom"/>
            <w:gridSpan w:val="2"/>
          </w:tcPr>
          <w:p>
            <w:pPr>
              <w:ind w:left="16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(1)</w:t>
            </w:r>
          </w:p>
        </w:tc>
        <w:tc>
          <w:tcPr>
            <w:tcW w:w="100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High</w:t>
            </w:r>
          </w:p>
        </w:tc>
        <w:tc>
          <w:tcPr>
            <w:tcW w:w="70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060" w:type="dxa"/>
            <w:vAlign w:val="bottom"/>
            <w:gridSpan w:val="2"/>
          </w:tcPr>
          <w:p>
            <w:pPr>
              <w:jc w:val="center"/>
              <w:ind w:right="32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2013</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Second quarter (February 14, 2013)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  11.39</w:t>
            </w:r>
          </w:p>
        </w:tc>
        <w:tc>
          <w:tcPr>
            <w:tcW w:w="700" w:type="dxa"/>
            <w:vAlign w:val="bottom"/>
          </w:tcPr>
          <w:p>
            <w:pPr>
              <w:jc w:val="right"/>
              <w:spacing w:after="0"/>
              <w:rPr>
                <w:sz w:val="20"/>
                <w:szCs w:val="20"/>
                <w:color w:val="auto"/>
              </w:rPr>
            </w:pPr>
            <w:r>
              <w:rPr>
                <w:rFonts w:ascii="Arial" w:cs="Arial" w:eastAsia="Arial" w:hAnsi="Arial"/>
                <w:sz w:val="18"/>
                <w:szCs w:val="18"/>
                <w:color w:val="auto"/>
              </w:rPr>
              <w:t>$  11.01</w:t>
            </w: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11.02</w:t>
            </w:r>
          </w:p>
        </w:tc>
        <w:tc>
          <w:tcPr>
            <w:tcW w:w="700" w:type="dxa"/>
            <w:vAlign w:val="bottom"/>
          </w:tcPr>
          <w:p>
            <w:pPr>
              <w:jc w:val="right"/>
              <w:spacing w:after="0"/>
              <w:rPr>
                <w:sz w:val="20"/>
                <w:szCs w:val="20"/>
                <w:color w:val="auto"/>
              </w:rPr>
            </w:pPr>
            <w:r>
              <w:rPr>
                <w:rFonts w:ascii="Arial" w:cs="Arial" w:eastAsia="Arial" w:hAnsi="Arial"/>
                <w:sz w:val="18"/>
                <w:szCs w:val="18"/>
                <w:color w:val="auto"/>
              </w:rPr>
              <w:t>8.57</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700" w:type="dxa"/>
            <w:vAlign w:val="bottom"/>
          </w:tcPr>
          <w:p>
            <w:pPr>
              <w:jc w:val="right"/>
              <w:spacing w:after="0"/>
              <w:rPr>
                <w:sz w:val="20"/>
                <w:szCs w:val="20"/>
                <w:color w:val="auto"/>
              </w:rPr>
            </w:pPr>
            <w:r>
              <w:rPr>
                <w:rFonts w:ascii="Arial" w:cs="Arial" w:eastAsia="Arial" w:hAnsi="Arial"/>
                <w:sz w:val="18"/>
                <w:szCs w:val="18"/>
                <w:color w:val="auto"/>
              </w:rPr>
              <w:t>8.89</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13.05</w:t>
            </w:r>
          </w:p>
        </w:tc>
        <w:tc>
          <w:tcPr>
            <w:tcW w:w="700" w:type="dxa"/>
            <w:vAlign w:val="bottom"/>
          </w:tcPr>
          <w:p>
            <w:pPr>
              <w:jc w:val="right"/>
              <w:spacing w:after="0"/>
              <w:rPr>
                <w:sz w:val="20"/>
                <w:szCs w:val="20"/>
                <w:color w:val="auto"/>
              </w:rPr>
            </w:pPr>
            <w:r>
              <w:rPr>
                <w:rFonts w:ascii="Arial" w:cs="Arial" w:eastAsia="Arial" w:hAnsi="Arial"/>
                <w:sz w:val="18"/>
                <w:szCs w:val="18"/>
                <w:color w:val="auto"/>
              </w:rPr>
              <w:t>11.21</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700" w:type="dxa"/>
            <w:vAlign w:val="bottom"/>
          </w:tcPr>
          <w:p>
            <w:pPr>
              <w:jc w:val="right"/>
              <w:spacing w:after="0"/>
              <w:rPr>
                <w:sz w:val="20"/>
                <w:szCs w:val="20"/>
                <w:color w:val="auto"/>
              </w:rPr>
            </w:pPr>
            <w:r>
              <w:rPr>
                <w:rFonts w:ascii="Arial" w:cs="Arial" w:eastAsia="Arial" w:hAnsi="Arial"/>
                <w:sz w:val="18"/>
                <w:szCs w:val="18"/>
                <w:color w:val="auto"/>
              </w:rPr>
              <w:t>9.02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9.15</w:t>
            </w:r>
          </w:p>
        </w:tc>
        <w:tc>
          <w:tcPr>
            <w:tcW w:w="700" w:type="dxa"/>
            <w:vAlign w:val="bottom"/>
          </w:tcPr>
          <w:p>
            <w:pPr>
              <w:jc w:val="right"/>
              <w:spacing w:after="0"/>
              <w:rPr>
                <w:sz w:val="20"/>
                <w:szCs w:val="20"/>
                <w:color w:val="auto"/>
              </w:rPr>
            </w:pPr>
            <w:r>
              <w:rPr>
                <w:rFonts w:ascii="Arial" w:cs="Arial" w:eastAsia="Arial" w:hAnsi="Arial"/>
                <w:sz w:val="18"/>
                <w:szCs w:val="18"/>
                <w:color w:val="auto"/>
              </w:rPr>
              <w:t>7.63</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9.06</w:t>
            </w: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10.77</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8.60</w:t>
            </w: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720" w:type="dxa"/>
            <w:vAlign w:val="bottom"/>
          </w:tcPr>
          <w:p>
            <w:pPr>
              <w:jc w:val="right"/>
              <w:spacing w:after="0"/>
              <w:rPr>
                <w:sz w:val="20"/>
                <w:szCs w:val="20"/>
                <w:color w:val="auto"/>
              </w:rPr>
            </w:pPr>
            <w:r>
              <w:rPr>
                <w:rFonts w:ascii="Arial" w:cs="Arial" w:eastAsia="Arial" w:hAnsi="Arial"/>
                <w:sz w:val="18"/>
                <w:szCs w:val="18"/>
                <w:color w:val="auto"/>
              </w:rPr>
              <w:t>12.07</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14.49</w:t>
            </w:r>
          </w:p>
        </w:tc>
        <w:tc>
          <w:tcPr>
            <w:tcW w:w="700" w:type="dxa"/>
            <w:vAlign w:val="bottom"/>
          </w:tcPr>
          <w:p>
            <w:pPr>
              <w:jc w:val="right"/>
              <w:spacing w:after="0"/>
              <w:rPr>
                <w:sz w:val="20"/>
                <w:szCs w:val="20"/>
                <w:color w:val="auto"/>
              </w:rPr>
            </w:pPr>
            <w:r>
              <w:rPr>
                <w:rFonts w:ascii="Arial" w:cs="Arial" w:eastAsia="Arial" w:hAnsi="Arial"/>
                <w:sz w:val="18"/>
                <w:szCs w:val="18"/>
                <w:color w:val="auto"/>
              </w:rPr>
              <w:t>9.08</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ind w:left="220" w:right="80" w:hanging="212"/>
        <w:spacing w:after="0" w:line="230"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113"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$11.00 and $10.61 as of December 31, 2012 and September 30, 2012, respectively. Our NAV was $10.38 and $10.22 as of December 31, 2012 and September 30, 2012, respectively. The possibility that our shares of common stock will trade at a discount from NAV or at a premium that is unsustainable over the long term is separate and distinct from the risk that our NAV will decrease. As of December 31, 2012, we had 16 stockholders of record.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47"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571"/>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40" w:type="dxa"/>
            <w:vAlign w:val="bottom"/>
            <w:gridSpan w:val="3"/>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7"/>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5.00 %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10.00 %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1,200,000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0.83%</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96,700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-2296160</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-1936115</wp:posOffset>
            </wp:positionV>
            <wp:extent cx="72466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-1576070</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-1216025</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-855980</wp:posOffset>
            </wp:positionV>
            <wp:extent cx="72466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-495300</wp:posOffset>
            </wp:positionV>
            <wp:extent cx="724662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48</w:t>
      </w:r>
    </w:p>
    <w:p>
      <w:pPr>
        <w:sectPr>
          <w:pgSz w:w="11900" w:h="16838" w:orient="portrait"/>
          <w:cols w:equalWidth="0" w:num="2">
            <w:col w:w="3960" w:space="500"/>
            <w:col w:w="6920"/>
          </w:cols>
          <w:pgMar w:left="240" w:top="459" w:right="27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right="6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6"/>
              </w:rPr>
              <w:t>Example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Example 2</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5%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at 10% Discount</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2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9"/>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4"/>
                <w:szCs w:val="24"/>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
              <w:spacing w:after="0"/>
              <w:rPr>
                <w:sz w:val="20"/>
                <w:szCs w:val="20"/>
                <w:color w:val="auto"/>
              </w:rPr>
            </w:pPr>
            <w:r>
              <w:rPr>
                <w:rFonts w:ascii="Arial" w:cs="Arial" w:eastAsia="Arial" w:hAnsi="Arial"/>
                <w:sz w:val="18"/>
                <w:szCs w:val="18"/>
                <w:color w:val="auto"/>
                <w:w w:val="95"/>
              </w:rPr>
              <w:t>$  (3,300)</w:t>
            </w:r>
          </w:p>
        </w:tc>
        <w:tc>
          <w:tcPr>
            <w:tcW w:w="2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-315595</wp:posOffset>
            </wp:positionV>
            <wp:extent cx="724662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4140" w:space="720"/>
            <w:col w:w="6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9.91</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9.67</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   10.00</w:t>
            </w:r>
          </w:p>
        </w:tc>
        <w:tc>
          <w:tcPr>
            <w:tcW w:w="3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Dilution per share held by stockholder A (NAV per share less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(0.33)</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8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9"/>
              </w:rPr>
              <w:t>Percentage dilution to stockholder A (dilution per share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(0.20)%</w:t>
            </w:r>
          </w:p>
        </w:tc>
        <w:tc>
          <w:tcPr>
            <w:tcW w:w="300" w:type="dxa"/>
            <w:vAlign w:val="bottom"/>
          </w:tcPr>
          <w:p>
            <w:pPr>
              <w:spacing w:after="0"/>
              <w:rPr>
                <w:sz w:val="19"/>
                <w:szCs w:val="19"/>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(0.90)%</w:t>
            </w:r>
          </w:p>
        </w:tc>
        <w:tc>
          <w:tcPr>
            <w:tcW w:w="300" w:type="dxa"/>
            <w:vAlign w:val="bottom"/>
          </w:tcPr>
          <w:p>
            <w:pPr>
              <w:spacing w:after="0"/>
              <w:rPr>
                <w:sz w:val="19"/>
                <w:szCs w:val="19"/>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(3.30)%</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8.47</w:t>
            </w:r>
          </w:p>
        </w:tc>
        <w:tc>
          <w:tcPr>
            <w:tcW w:w="36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8.47</w:t>
            </w:r>
          </w:p>
        </w:tc>
        <w:tc>
          <w:tcPr>
            <w:tcW w:w="3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2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7"/>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4"/>
              </w:rPr>
              <w:t>Following</w:t>
            </w:r>
          </w:p>
        </w:tc>
        <w:tc>
          <w:tcPr>
            <w:tcW w:w="64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Below NAV</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Sale</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Sale</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w w:val="84"/>
              </w:rPr>
              <w:t>1,200,000</w:t>
            </w:r>
          </w:p>
        </w:tc>
        <w:tc>
          <w:tcPr>
            <w:tcW w:w="2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3"/>
              </w:rPr>
              <w:t>20.00 %</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1,200,000</w:t>
            </w:r>
          </w:p>
        </w:tc>
        <w:tc>
          <w:tcPr>
            <w:tcW w:w="2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20.00 %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NAV per share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color w:val="auto"/>
              </w:rPr>
              <w:t>10.00</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19"/>
                <w:szCs w:val="19"/>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8"/>
              </w:rPr>
              <w:t>(3.30)%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9"/>
                <w:szCs w:val="19"/>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8"/>
              </w:rPr>
              <w:t>(8.00)%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100,000</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106,370</w:t>
            </w:r>
          </w:p>
        </w:tc>
        <w:tc>
          <w:tcPr>
            <w:tcW w:w="2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6.37 %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125,710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25.71 %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w w:val="88"/>
              </w:rPr>
              <w:t>Total investment by stockholder A (assumed to be $10.00 per share on shares held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prior to sale)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color w:val="auto"/>
              </w:rPr>
              <w:t>100,000</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8"/>
                <w:szCs w:val="18"/>
                <w:color w:val="auto"/>
              </w:rPr>
              <w:t>108,470</w:t>
            </w:r>
          </w:p>
        </w:tc>
        <w:tc>
          <w:tcPr>
            <w:tcW w:w="220" w:type="dxa"/>
            <w:vAlign w:val="bottom"/>
          </w:tcPr>
          <w:p>
            <w:pPr>
              <w:spacing w:after="0"/>
              <w:rPr>
                <w:sz w:val="19"/>
                <w:szCs w:val="19"/>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8.47 %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125,410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25.41 %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(dilution)/accretion to stockholder A (total NAV less total investment)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w w:val="91"/>
              </w:rPr>
              <w:t>Investment per share held by stockholder A (assumed to be $10.00 per share 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shares held prior to sale)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color w:val="auto"/>
              </w:rPr>
              <w:t>10.00</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19"/>
                <w:szCs w:val="19"/>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8"/>
              </w:rPr>
              <w:t>(1.40)%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per 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w w:val="96"/>
              </w:rPr>
              <w:t>Percentage (dilution)/accretion to stockholder A (dilution/accretion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divided by investment per share)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8"/>
              </w:rPr>
              <w:t>(1.93)%</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86"/>
              </w:rPr>
              <w:t>Example 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86"/>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right"/>
              <w:ind w:right="435"/>
              <w:spacing w:after="0" w:line="149" w:lineRule="exact"/>
              <w:rPr>
                <w:sz w:val="20"/>
                <w:szCs w:val="20"/>
                <w:color w:val="auto"/>
              </w:rPr>
            </w:pPr>
            <w:r>
              <w:rPr>
                <w:rFonts w:ascii="Arial" w:cs="Arial" w:eastAsia="Arial" w:hAnsi="Arial"/>
                <w:sz w:val="14"/>
                <w:szCs w:val="14"/>
                <w:b w:val="1"/>
                <w:bCs w:val="1"/>
                <w:color w:val="auto"/>
              </w:rPr>
              <w:t>5% Offering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15"/>
              <w:spacing w:after="0" w:line="149" w:lineRule="exact"/>
              <w:rPr>
                <w:sz w:val="20"/>
                <w:szCs w:val="20"/>
                <w:color w:val="auto"/>
              </w:rPr>
            </w:pPr>
            <w:r>
              <w:rPr>
                <w:rFonts w:ascii="Arial" w:cs="Arial" w:eastAsia="Arial" w:hAnsi="Arial"/>
                <w:sz w:val="14"/>
                <w:szCs w:val="14"/>
                <w:b w:val="1"/>
                <w:bCs w:val="1"/>
                <w:color w:val="auto"/>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68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at 5% Discount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NAV per share</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(0.20)%</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gridSpan w:val="3"/>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gridSpan w:val="3"/>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5,025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9,952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16,940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Total dilution to stockholder A (total NAV less total</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Dilution per share held by stockholder A (NAV per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less investment per share)</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 (dilution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share divided by investment per share)</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(0.70)%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4.10 %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4"/>
              </w:rPr>
              <w:t>14.17 %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38"/>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2007:</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860" w:type="dxa"/>
            <w:vAlign w:val="bottom"/>
            <w:vMerge w:val="restart"/>
          </w:tcPr>
          <w:p>
            <w:pPr>
              <w:spacing w:after="0"/>
              <w:rPr>
                <w:sz w:val="14"/>
                <w:szCs w:val="14"/>
                <w:color w:val="auto"/>
              </w:rPr>
            </w:pPr>
          </w:p>
        </w:tc>
        <w:tc>
          <w:tcPr>
            <w:tcW w:w="180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Payment Dates</w:t>
            </w:r>
          </w:p>
        </w:tc>
        <w:tc>
          <w:tcPr>
            <w:tcW w:w="8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18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December 21, 2012</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January 2, 2013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September 20, 2012</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October 1, 2012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21, 2012</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July 2, 2012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March 22, 2012</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April 2, 2012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23, 2011</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January 3, 2012</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September 23, 2011</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October 3, 2011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20, 2011</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July 1, 2011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March 15, 2011</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April 1, 2011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17, 2010</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January 3, 2011</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September 14, 2010</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October 1, 2010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24, 2010</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July 1, 2010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March 25, 2010</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April 1, 2010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2009</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January 4, 2010</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September 8, 2009</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October 1, 2009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24, 2009</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July 1, 2009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March 25, 2009</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April 1, 2009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23, 2008</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January 4, 2009</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September 24, 2008</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October 1, 2008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23, 2008</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June 30, 2008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60"/>
              <w:spacing w:after="0"/>
              <w:rPr>
                <w:sz w:val="20"/>
                <w:szCs w:val="20"/>
                <w:color w:val="auto"/>
              </w:rPr>
            </w:pPr>
            <w:r>
              <w:rPr>
                <w:rFonts w:ascii="Arial" w:cs="Arial" w:eastAsia="Arial" w:hAnsi="Arial"/>
                <w:sz w:val="18"/>
                <w:szCs w:val="18"/>
                <w:color w:val="auto"/>
              </w:rPr>
              <w:t>March 24, 2008</w:t>
            </w:r>
          </w:p>
        </w:tc>
        <w:tc>
          <w:tcPr>
            <w:tcW w:w="3580" w:type="dxa"/>
            <w:vAlign w:val="bottom"/>
            <w:gridSpan w:val="3"/>
          </w:tcPr>
          <w:p>
            <w:pPr>
              <w:ind w:left="1800"/>
              <w:spacing w:after="0"/>
              <w:rPr>
                <w:sz w:val="20"/>
                <w:szCs w:val="20"/>
                <w:color w:val="auto"/>
              </w:rPr>
            </w:pPr>
            <w:r>
              <w:rPr>
                <w:rFonts w:ascii="Arial" w:cs="Arial" w:eastAsia="Arial" w:hAnsi="Arial"/>
                <w:sz w:val="18"/>
                <w:szCs w:val="18"/>
                <w:color w:val="auto"/>
              </w:rPr>
              <w:t>March 31, 2008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2007</w:t>
            </w:r>
          </w:p>
        </w:tc>
        <w:tc>
          <w:tcPr>
            <w:tcW w:w="35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December 31, 2007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three months ended December 31, 2012.</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engage in any sales of unregistered securities during the fiscal years ended September 30, 2012, 2011 and 2010, respectively.</w:t>
      </w:r>
    </w:p>
    <w:p>
      <w:pPr>
        <w:sectPr>
          <w:pgSz w:w="11900" w:h="16838" w:orient="portrait"/>
          <w:cols w:equalWidth="0" w:num="1">
            <w:col w:w="11240"/>
          </w:cols>
          <w:pgMar w:left="240" w:top="459" w:right="419" w:bottom="1440" w:gutter="0" w:footer="0" w:header="0"/>
        </w:sectPr>
      </w:pP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37"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the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as a RIC and qualify annually under the Code.</w:t>
      </w:r>
    </w:p>
    <w:p>
      <w:pPr>
        <w:spacing w:after="0" w:line="39"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280" w:hanging="314"/>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660" w:right="20" w:hanging="314"/>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8" w:lineRule="exact"/>
        <w:rPr>
          <w:rFonts w:ascii="Arial" w:cs="Arial" w:eastAsia="Arial" w:hAnsi="Arial"/>
          <w:sz w:val="18"/>
          <w:szCs w:val="18"/>
          <w:color w:val="auto"/>
        </w:rPr>
      </w:pPr>
    </w:p>
    <w:p>
      <w:pPr>
        <w:ind w:left="660" w:hanging="314"/>
        <w:spacing w:after="0" w:line="31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660" w:right="120" w:hanging="314"/>
        <w:spacing w:after="0" w:line="29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660" w:right="120" w:hanging="314"/>
        <w:spacing w:after="0" w:line="29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197"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6"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05"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maintain a multi-currency $380.0 million Credit Facility which matures in February 2016 and is secured by substantially all of our investment portfolio assets (excluding the assets of SBIC Funds), under which we had $211.5 million and $145.0 million (including a $35.5 million temporary draw) of debt outstanding with a weighted average interest rate of 3.00% and 3.49% as of December 31, 2012 and September 30, 2012, respectively. Pricing of borrowings under our current Credit Facility is set at 275 basis points over LIBOR. As of December 31, 2012 and September 30, 2012, we had $168.5 million and $235.0 million, respectively, available to us under our Credit Facility. We believe that our capital resources will provide us with the flexibility to take advantage of market opportunities when they arise. In addition, any future additional debt capital we incur, to the extent it is available, may be issued at a higher cost and on less favorable terms and conditions than our current Credit Facility.</w:t>
      </w:r>
    </w:p>
    <w:p>
      <w:pPr>
        <w:spacing w:after="0" w:line="91"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As of December 31, 2012 and September 30, 2012, SBIC LP had drawn $150.0 million,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other creditors. See “Regulation” for more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89" w:lineRule="exact"/>
        <w:rPr>
          <w:sz w:val="20"/>
          <w:szCs w:val="20"/>
          <w:color w:val="auto"/>
        </w:rPr>
      </w:pPr>
    </w:p>
    <w:p>
      <w:pPr>
        <w:ind w:right="180" w:firstLine="565"/>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9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impact our ability to make distributions and change the value of our stock.</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9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94" w:lineRule="exact"/>
        <w:rPr>
          <w:sz w:val="20"/>
          <w:szCs w:val="20"/>
          <w:color w:val="auto"/>
        </w:rPr>
      </w:pPr>
    </w:p>
    <w:p>
      <w:pPr>
        <w:ind w:left="1140" w:hanging="335"/>
        <w:spacing w:after="0"/>
        <w:tabs>
          <w:tab w:leader="none" w:pos="114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and established financial sponsor relationships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197" w:lineRule="exact"/>
        <w:rPr>
          <w:sz w:val="20"/>
          <w:szCs w:val="20"/>
          <w:color w:val="auto"/>
        </w:rPr>
      </w:pPr>
    </w:p>
    <w:p>
      <w:pPr>
        <w:ind w:left="1140" w:hanging="335"/>
        <w:spacing w:after="0"/>
        <w:tabs>
          <w:tab w:leader="none" w:pos="114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Strong and defensible competitive market positions</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194" w:lineRule="exact"/>
        <w:rPr>
          <w:sz w:val="20"/>
          <w:szCs w:val="20"/>
          <w:color w:val="auto"/>
        </w:rPr>
      </w:pPr>
    </w:p>
    <w:p>
      <w:pPr>
        <w:ind w:left="1140" w:hanging="335"/>
        <w:spacing w:after="0"/>
        <w:tabs>
          <w:tab w:leader="none" w:pos="11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60" w:firstLine="571"/>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 transaction.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typically includes:</w:t>
      </w:r>
    </w:p>
    <w:p>
      <w:pPr>
        <w:spacing w:after="0" w:line="158"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93" w:lineRule="exact"/>
        <w:rPr>
          <w:sz w:val="20"/>
          <w:szCs w:val="20"/>
          <w:color w:val="auto"/>
        </w:rPr>
      </w:pPr>
    </w:p>
    <w:p>
      <w:pPr>
        <w:ind w:right="40" w:firstLine="571"/>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1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Mezzanine debt may have interest-only payments in the early years, with cash or PIK payments with amortization of principal deferred to the later years of the mezzanine debt. In some cases, we may invest in debt securities that, by their terms, convert into equity or additional debt securities or defers payment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86"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58"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100" w:hanging="67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Aerospace and Defense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Auto Sector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Beverage, Food and Tobacco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Broadcasting and Entertainment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Buildings and Real Estate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Business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Cable Television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Cargo Transportation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Chemicals, Plastics and Rubber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Products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Containers Packaging &amp; Glass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Distribution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Manufacturing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Diversified Natural Resources, Precious Metals and Minerals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Education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Electronics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Energy/Utilities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Grocery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Healthcare, Education and Childcare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Home &amp; Office Furnishings, Housewares &amp; Durable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Hotels, Motels, Inns and Gaming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Leisure, Amusement, Motion Picture,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Logistics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Manufacturing/Basic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Mining, Steel, Iron and Non-Precious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Oil and 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Other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Personal, Food and Miscellaneous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Printing and Publishing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Retail Stores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Telecommunications</w:t>
      </w:r>
    </w:p>
    <w:p>
      <w:pPr>
        <w:spacing w:after="0" w:line="354"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 2012</w:t>
            </w:r>
          </w:p>
        </w:tc>
        <w:tc>
          <w:tcPr>
            <w:tcW w:w="340" w:type="dxa"/>
            <w:vAlign w:val="bottom"/>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2960" w:type="dxa"/>
            <w:vAlign w:val="bottom"/>
          </w:tcPr>
          <w:p>
            <w:pPr>
              <w:spacing w:after="0"/>
              <w:rPr>
                <w:sz w:val="15"/>
                <w:szCs w:val="15"/>
                <w:color w:val="auto"/>
              </w:rPr>
            </w:pPr>
          </w:p>
        </w:tc>
        <w:tc>
          <w:tcPr>
            <w:tcW w:w="13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4"/>
              </w:rPr>
              <w:t>September 30, 2012</w:t>
            </w:r>
          </w:p>
        </w:tc>
        <w:tc>
          <w:tcPr>
            <w:tcW w:w="0" w:type="dxa"/>
            <w:vAlign w:val="bottom"/>
          </w:tcPr>
          <w:p>
            <w:pPr>
              <w:spacing w:after="0"/>
              <w:rPr>
                <w:sz w:val="1"/>
                <w:szCs w:val="1"/>
                <w:color w:val="auto"/>
              </w:rPr>
            </w:pPr>
          </w:p>
        </w:tc>
      </w:tr>
      <w:tr>
        <w:trPr>
          <w:trHeight w:val="203"/>
        </w:trPr>
        <w:tc>
          <w:tcPr>
            <w:tcW w:w="35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Magnum Hunter Resources Corporation</w:t>
            </w:r>
          </w:p>
        </w:tc>
        <w:tc>
          <w:tcPr>
            <w:tcW w:w="7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Last Mile Funding, Corp. (3 PD, Inc.)</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(Eureka Hunter Pipeline, LLC )</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480" w:type="dxa"/>
            <w:vAlign w:val="bottom"/>
            <w:gridSpan w:val="3"/>
            <w:vMerge w:val="restart"/>
          </w:tcPr>
          <w:p>
            <w:pPr>
              <w:ind w:left="340"/>
              <w:spacing w:after="0"/>
              <w:rPr>
                <w:sz w:val="20"/>
                <w:szCs w:val="20"/>
                <w:color w:val="auto"/>
              </w:rPr>
            </w:pPr>
            <w:r>
              <w:rPr>
                <w:rFonts w:ascii="Arial" w:cs="Arial" w:eastAsia="Arial" w:hAnsi="Arial"/>
                <w:sz w:val="18"/>
                <w:szCs w:val="18"/>
                <w:color w:val="auto"/>
              </w:rPr>
              <w:t>Magnum Hunter Resources Corporation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Vestcom Parent Holdings Inc.</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gridSpan w:val="2"/>
            <w:vMerge w:val="restart"/>
          </w:tcPr>
          <w:p>
            <w:pPr>
              <w:ind w:left="220"/>
              <w:spacing w:after="0"/>
              <w:rPr>
                <w:sz w:val="20"/>
                <w:szCs w:val="20"/>
                <w:color w:val="auto"/>
              </w:rPr>
            </w:pPr>
            <w:r>
              <w:rPr>
                <w:rFonts w:ascii="Arial" w:cs="Arial" w:eastAsia="Arial" w:hAnsi="Arial"/>
                <w:sz w:val="18"/>
                <w:szCs w:val="18"/>
                <w:color w:val="auto"/>
              </w:rPr>
              <w:t>(Eureka Hunter Pipeline, LLC)</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7"/>
        </w:trPr>
        <w:tc>
          <w:tcPr>
            <w:tcW w:w="4280" w:type="dxa"/>
            <w:vAlign w:val="bottom"/>
            <w:gridSpan w:val="2"/>
            <w:vMerge w:val="restart"/>
          </w:tcPr>
          <w:p>
            <w:pPr>
              <w:ind w:left="220"/>
              <w:spacing w:after="0"/>
              <w:rPr>
                <w:sz w:val="20"/>
                <w:szCs w:val="20"/>
                <w:color w:val="auto"/>
              </w:rPr>
            </w:pPr>
            <w:r>
              <w:rPr>
                <w:rFonts w:ascii="Arial" w:cs="Arial" w:eastAsia="Arial" w:hAnsi="Arial"/>
                <w:sz w:val="18"/>
                <w:szCs w:val="18"/>
                <w:color w:val="auto"/>
              </w:rPr>
              <w:t>(Vestcom International Inc.)</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428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2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1"/>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Jacobs Entertainment Inc.</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3"/>
                <w:szCs w:val="13"/>
                <w:color w:val="auto"/>
              </w:rPr>
            </w:pPr>
          </w:p>
        </w:tc>
        <w:tc>
          <w:tcPr>
            <w:tcW w:w="4140" w:type="dxa"/>
            <w:vAlign w:val="bottom"/>
            <w:gridSpan w:val="2"/>
            <w:vMerge w:val="continue"/>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80" w:type="dxa"/>
            <w:vAlign w:val="bottom"/>
            <w:gridSpan w:val="2"/>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4480" w:type="dxa"/>
            <w:vAlign w:val="bottom"/>
            <w:gridSpan w:val="3"/>
            <w:vMerge w:val="restart"/>
          </w:tcPr>
          <w:p>
            <w:pPr>
              <w:ind w:left="340"/>
              <w:spacing w:after="0"/>
              <w:rPr>
                <w:sz w:val="20"/>
                <w:szCs w:val="20"/>
                <w:color w:val="auto"/>
              </w:rPr>
            </w:pPr>
            <w:r>
              <w:rPr>
                <w:rFonts w:ascii="Arial" w:cs="Arial" w:eastAsia="Arial" w:hAnsi="Arial"/>
                <w:sz w:val="18"/>
                <w:szCs w:val="18"/>
                <w:color w:val="auto"/>
              </w:rPr>
              <w:t>New Service Champ Holdings, Inc.</w:t>
            </w: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Last Mile Funding Corp. (3PD, Inc.)</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8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LTI Flexible Products, Inc.</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(Service Champ Inc.)</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8"/>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Pre-Paid Legal Services, Inc.</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8"/>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New Service Champ Holdings, Inc.</w:t>
            </w: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4140" w:type="dxa"/>
            <w:vAlign w:val="bottom"/>
            <w:gridSpan w:val="2"/>
            <w:vMerge w:val="continue"/>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280" w:type="dxa"/>
            <w:vAlign w:val="bottom"/>
            <w:gridSpan w:val="2"/>
            <w:vMerge w:val="continue"/>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80" w:type="dxa"/>
            <w:vAlign w:val="bottom"/>
            <w:gridSpan w:val="3"/>
            <w:vMerge w:val="restart"/>
          </w:tcPr>
          <w:p>
            <w:pPr>
              <w:ind w:left="340"/>
              <w:spacing w:after="0"/>
              <w:rPr>
                <w:sz w:val="20"/>
                <w:szCs w:val="20"/>
                <w:color w:val="auto"/>
              </w:rPr>
            </w:pPr>
            <w:r>
              <w:rPr>
                <w:rFonts w:ascii="Arial" w:cs="Arial" w:eastAsia="Arial" w:hAnsi="Arial"/>
                <w:sz w:val="18"/>
                <w:szCs w:val="18"/>
                <w:color w:val="auto"/>
              </w:rPr>
              <w:t>American Gilsonite Company</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1"/>
        </w:trPr>
        <w:tc>
          <w:tcPr>
            <w:tcW w:w="42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(Service Champ Inc.)</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48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4280" w:type="dxa"/>
            <w:vAlign w:val="bottom"/>
            <w:tcBorders>
              <w:bottom w:val="single" w:sz="8" w:color="CCEEFF"/>
            </w:tcBorders>
            <w:gridSpan w:val="2"/>
            <w:vMerge w:val="continue"/>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296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Learning Care Group, Inc.</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4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Brand Energy and Infrastructure Services, Inc.</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Penton Media, Inc.</w:t>
            </w:r>
          </w:p>
        </w:tc>
        <w:tc>
          <w:tcPr>
            <w:tcW w:w="12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4480" w:type="dxa"/>
            <w:vAlign w:val="bottom"/>
            <w:gridSpan w:val="3"/>
          </w:tcPr>
          <w:p>
            <w:pPr>
              <w:ind w:left="340"/>
              <w:spacing w:after="0" w:line="203" w:lineRule="exact"/>
              <w:rPr>
                <w:sz w:val="20"/>
                <w:szCs w:val="20"/>
                <w:color w:val="auto"/>
              </w:rPr>
            </w:pPr>
            <w:r>
              <w:rPr>
                <w:rFonts w:ascii="Arial" w:cs="Arial" w:eastAsia="Arial" w:hAnsi="Arial"/>
                <w:sz w:val="18"/>
                <w:szCs w:val="18"/>
                <w:color w:val="auto"/>
              </w:rPr>
              <w:t>Learning Care Group, Inc.</w:t>
            </w:r>
          </w:p>
        </w:tc>
        <w:tc>
          <w:tcPr>
            <w:tcW w:w="1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2"/>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American Gilsonite Company</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2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140" w:type="dxa"/>
            <w:vAlign w:val="bottom"/>
            <w:gridSpan w:val="2"/>
            <w:vMerge w:val="continue"/>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Prince Mineral Holdings Corp.</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1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6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5"/>
                <w:szCs w:val="15"/>
                <w:color w:val="auto"/>
              </w:rPr>
            </w:pPr>
          </w:p>
        </w:tc>
        <w:tc>
          <w:tcPr>
            <w:tcW w:w="340" w:type="dxa"/>
            <w:vAlign w:val="bottom"/>
          </w:tcPr>
          <w:p>
            <w:pPr>
              <w:spacing w:after="0"/>
              <w:rPr>
                <w:sz w:val="15"/>
                <w:szCs w:val="15"/>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September 30, 2012</w:t>
            </w:r>
          </w:p>
        </w:tc>
        <w:tc>
          <w:tcPr>
            <w:tcW w:w="200" w:type="dxa"/>
            <w:vAlign w:val="bottom"/>
            <w:tcBorders>
              <w:bottom w:val="single" w:sz="8" w:color="CCEEFF"/>
            </w:tcBorders>
          </w:tcPr>
          <w:p>
            <w:pPr>
              <w:spacing w:after="0"/>
              <w:rPr>
                <w:sz w:val="15"/>
                <w:szCs w:val="15"/>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and Publishing</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Electronics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Healthcare, Education &amp; Childcare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Auto Sector</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 Transport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Chemicals, Plastics and Rubber</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97"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2012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20" w:type="dxa"/>
            <w:vAlign w:val="bottom"/>
          </w:tcPr>
          <w:p>
            <w:pPr>
              <w:spacing w:after="0"/>
              <w:rPr>
                <w:sz w:val="16"/>
                <w:szCs w:val="16"/>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Companies Less than 5% Owned</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Acentia, LLC</w:t>
            </w: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3130 Fairview Park Drive, Suite 800</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Falls Church, VA 22042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AHC Mezzanine, LLC (Advanstar Inc.)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350 Park Avenue</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Aircell Business Aviation Services LLC</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2"/>
              </w:rPr>
              <w:t>1250 North Arlington Heights Road, Suite 500, Itasca,</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IL 60143</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Alegeus Technologies, LLC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(Alegeus Technologies Holdings Corp.)</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1601 Trapelo Rd</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Waltham, MA 02451</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Diversified Natural Resources,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29950 South Bonanza Highway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Precious Metals and Minerals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Bonanza, UT 84008</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American Surgical Holdings, Inc.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10039 Bissonnet Street, Suite 250</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Houston, TX 77036-7852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Broadcasting and Entertainment</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Brand Energy and Infrastructure Services, Inc.</w:t>
            </w: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Energy / Utilities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1325 Cobb International Dr., Ste. A-1</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Kennesaw, GA 30152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60" w:type="dxa"/>
            <w:vAlign w:val="bottom"/>
            <w:gridSpan w:val="2"/>
          </w:tcPr>
          <w:p>
            <w:pPr>
              <w:jc w:val="right"/>
              <w:ind w:right="87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CEVA Group PLC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Cargo Transport</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St. George Street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W1S 1FS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Columbus International,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Suite 205-207 Dowell House Cr.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Roebuck &amp; Palmetto Sts.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Bridgetown, Barbados, West Indies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1651 Wilkening Rd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Schaumburg, IL 60173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CT Technologies Intermediate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(CT Technologies Intermediate Holdings,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925 North Point Parkway, Ste. 350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Alpharetta, GA 30005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Common Stock</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Escort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5440 West Chester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West Chester, OH 45069-2950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Eureka Hunter Pipeline, LLC (Magnum Hunter</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Energy/Utilities Oil and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Resources Corporation)</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Post Oak Blvd., Suite 650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Galls, LLC; Quartermaster,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(CI (Galls) Prime Investment Holdings, LLC)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1340 Russell Cave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Lexington, KY 40505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Sam Enterprises,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 Parkway Dr., Ste. 270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Lincolnshire, IL 60069</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Greatwide Logistics Services,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(Transportation 100 HoldCo, LLC)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12404 Park Central Dr., Ste. 300s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Dallas, TX 75251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Hanley-Wood,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Thomas Circle, NW St 600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 20005</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2901 West Kingsley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Garland, TX 75041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Infusystems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31700 Research Park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Madison Heights, MI 48071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Instant Web,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7951 Powers Boulevard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Chanhassen, MN 55317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Health Solutions,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North Wilke Road, Suite 155,</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Arlington Heights, IL 60004</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Jacuzzi Brands Corp.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Home and Office Furnishings,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13925 City Center Dr.</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Housewares and Durable Consumer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Chino Hills, CA 91709</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Products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r>
      <w:tr>
        <w:trPr>
          <w:trHeight w:val="189"/>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r>
      <w:tr>
        <w:trPr>
          <w:trHeight w:val="201"/>
        </w:trPr>
        <w:tc>
          <w:tcPr>
            <w:tcW w:w="4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Jacobs Entertainment, Inc.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Hotels, Motels, Inns and Gaming</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17301 W. Colfax Ave., Ste. 250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Golden, CO 80401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JF Acquisition,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1330 St. Mary’s Street, Suite 210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Raleigh, NC 27605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Kadmon Pharmaceuticals,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(Kadmon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Alexandria Center for Life Sciences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 East 29</w:t>
            </w:r>
            <w:r>
              <w:rPr>
                <w:rFonts w:ascii="Arial" w:cs="Arial" w:eastAsia="Arial" w:hAnsi="Arial"/>
                <w:sz w:val="11"/>
                <w:szCs w:val="11"/>
                <w:color w:val="auto"/>
              </w:rPr>
              <w:t>th</w:t>
            </w:r>
            <w:r>
              <w:rPr>
                <w:rFonts w:ascii="Arial" w:cs="Arial" w:eastAsia="Arial" w:hAnsi="Arial"/>
                <w:sz w:val="18"/>
                <w:szCs w:val="18"/>
                <w:color w:val="auto"/>
              </w:rPr>
              <w:t xml:space="preserve"> Street,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K2 Pure Solutions NoCal, L.P.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3515 Massillion Road, Suite 290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Uniontown, OH 44685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Mile Funding, Corp. (3PD,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South Service Road, Suite 120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Melville, NY 11747</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Learning Core Group (US) No. 2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Education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(Learning Care Group (US),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Haggerty Road, Suite 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Novi, MI 48375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USA GP and</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Energy Finance (USA),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Louisiana Street, Suite 1500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LTI Flexible Products,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Chemical, Plastic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600 S. McClure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Stanislaus County, CA 95357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Paradigm Management Services,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(Paradigm Acquisition Corp.)</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1277 Treat Boulevard,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Walnut Creek, CA 94597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Technologies,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Tech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1234 Atlantic Street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Kansas City, MO 64116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1"/>
                <w:szCs w:val="11"/>
                <w:color w:val="auto"/>
              </w:rPr>
              <w:t>th</w:t>
            </w:r>
            <w:r>
              <w:rPr>
                <w:rFonts w:ascii="Arial" w:cs="Arial" w:eastAsia="Arial" w:hAnsi="Arial"/>
                <w:sz w:val="18"/>
                <w:szCs w:val="18"/>
                <w:color w:val="auto"/>
              </w:rPr>
              <w:t xml:space="preserve"> Street, 4</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Miscellaneous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(MidOcean PPL Holdings,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Pre-Paid 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 OK 74820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Prince Mineral Holdings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Mining, Steel, Iron and Non-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14 East 44th Street</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Precious Metals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Questex Media Group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(QMG HoldCo,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275 Grove Street, Suite 2-130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Newton, MA 02466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Realogy Corp.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Buildings and Real Estate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One Campus Drive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Parsippany, NJ 07054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156"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ROC Finance LLC and ROC Finance 1 Corp.</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Hotels, Motels, Inns and Gaming</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 Campus Maritus, 1086 Woodward Avenue,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Detroit, MI 48226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Tekelec Global,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Telecommunications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(Titan Private Holdings I, LLC)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5200 Paramount Parkway, Morrisville, NC 27560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TRAK Acquisition Corp.</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 Brickell Bay Drive, 27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Trusthouse Services Group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Beverage, Food &amp; Tobacco</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2201 Water Ridge Parkway Suite 320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Charlotte, NC 28217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TZ Holdings, L.P. (Trizetto Group,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567 San Nicolas Drive, Suite 360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Newport Beach, CA 92660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Veritext Corp. (VText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50 Public Square, 29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Cleveland, OH 44113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Vestcom Parent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(Vestcom International,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7304 Kanis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Little Rock, AR 72204</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VPSI, Inc. (Verde Parent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Personal Transportation</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1220 Rankin Drive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Troy, MI 48083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Worley Claims Services,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303 Timber Creek, Hammond, LA 70403</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Z Wireless</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Retail</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7505 South Louise Avenue,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Sioux Falls, SD 57108</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Companies 5% to 24% Owned</w:t>
            </w: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EnviroSolutions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13.7%</w:t>
            </w:r>
            <w:r>
              <w:rPr>
                <w:rFonts w:ascii="Arial" w:cs="Arial" w:eastAsia="Arial" w:hAnsi="Arial"/>
                <w:sz w:val="11"/>
                <w:szCs w:val="11"/>
                <w:color w:val="auto"/>
                <w:w w:val="91"/>
              </w:rPr>
              <w:t>(2),(3)</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11220 Asset Loop, Suite 201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Manassas, VA 20109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Leisure, Amusement, Motion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(NCP-Performance)</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Pictures, Entertainment</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 Performance 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Chapel Hill, NC 27514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Service Champ,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7.7%</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180 New Britain Blvd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Chalfont, PA 18914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Companies 25% or More Owned</w:t>
            </w: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SuttonPark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 xml:space="preserve">100% </w:t>
            </w:r>
            <w:r>
              <w:rPr>
                <w:rFonts w:ascii="Arial" w:cs="Arial" w:eastAsia="Arial" w:hAnsi="Arial"/>
                <w:sz w:val="11"/>
                <w:szCs w:val="11"/>
                <w:color w:val="auto"/>
                <w:w w:val="95"/>
              </w:rPr>
              <w:t>(3), (4)</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New York, NY 10022</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Oil &amp;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w:t>
            </w:r>
            <w:r>
              <w:rPr>
                <w:rFonts w:ascii="Arial" w:cs="Arial" w:eastAsia="Arial" w:hAnsi="Arial"/>
                <w:sz w:val="11"/>
                <w:szCs w:val="11"/>
                <w:color w:val="auto"/>
                <w:w w:val="93"/>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4848 Loop Central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Houston, TX 77081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3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12.0%.</w:t>
      </w:r>
    </w:p>
    <w:p>
      <w:pPr>
        <w:ind w:left="340" w:hanging="332"/>
        <w:spacing w:after="0" w:line="22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8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w w:val="86"/>
              </w:rPr>
              <w:t>December 31, 2012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September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8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7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8%</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Electronics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Auto Sector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Chemical, Plastic and Rubber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Consumer Products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Personal, Food and Miscellaneous Services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Media</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Communications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Insurance</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Telecommunications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Mining, Steel, Iron and Non-Precious Metals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gridSpan w:val="2"/>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4"/>
            <w:shd w:val="clear" w:color="auto" w:fill="CCEEFF"/>
          </w:tcPr>
          <w:p>
            <w:pPr>
              <w:jc w:val="right"/>
              <w:ind w:right="122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auto"/>
              </w:rPr>
              <w:t>67</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8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0" w:right="20" w:hanging="212"/>
        <w:spacing w:after="0" w:line="227"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Due to the absence of the affirmative vote of the holders a majority of the outstanding shares of common stock to elect Mr. Penn as a Class III Director at the annual meeting of stockholders held on February 5, 2013, the named proxies for the stockholders approved an adjournment of the meeting to allow the polls to remain open until 9:30 a.m. on February 26, 2013. If Mr. Penn is duly elected at the reconvened meeting on February 26, 2013 and qualifies, he will serve as a Class III Director until the 2016 annual meeting of stockholders, or until his successor is duly elected and qualifies or until his earlier resignation, removal from office, death or incapacity. In the absence of the affirmative vote of the holders of a majority of the outstanding shares of common stock to elect Mr. Penn as a Class III Director at the reconvened meeting, he will serve until the 2013 annual meeting of stockholders, or until his successor is duly elected and qualifies or until his earlier resignation, removal from office, death or incapacity.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 Address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 Address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37"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Adam K. Bernstein (49), Director. Mr. Bernstein became a Director of PennantPark Investment and PennantPark Floating Rate Capital Ltd. in February 2007 and October 2010,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62"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Marshall Brozost (45),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Jeffrey Flug (50), Director. Mr. Flug became a Director of PennantPark Investment and PennantPark Floating Rate Capital Ltd. in February 2007 and October 2010,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Samuel L. Katz (47),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Arthur H. Penn (49),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Aviv Efrat (48), Chief Financial Officer and Treasurer. Mr. Efrat became PennantPark Investment’s and PennantPark Floating Rate Capital Ltd.’s Chief Financial Officer and Treasurer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Guy F. Talarico (57), Chief Compliance Officer. Mr. Talarico became PennantPark Investment’s and PennantPark Floating Rate Capital Ltd.’s Chief Compliance Officer in May 2008 and March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80" w:firstLine="571"/>
        <w:spacing w:after="0" w:line="357"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 other factors.</w:t>
      </w: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PNNT</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PFLT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Pension 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20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450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5"/>
              </w:rPr>
              <w:t>expense</w:t>
            </w:r>
            <w:r>
              <w:rPr>
                <w:rFonts w:ascii="Arial" w:cs="Arial" w:eastAsia="Arial" w:hAnsi="Arial"/>
                <w:sz w:val="18"/>
                <w:szCs w:val="18"/>
                <w:b w:val="1"/>
                <w:bCs w:val="1"/>
                <w:color w:val="auto"/>
                <w:w w:val="95"/>
                <w:vertAlign w:val="superscript"/>
              </w:rPr>
              <w:t>(1)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2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102,500</w:t>
            </w:r>
          </w:p>
        </w:tc>
        <w:tc>
          <w:tcPr>
            <w:tcW w:w="11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None</w:t>
            </w:r>
          </w:p>
        </w:tc>
        <w:tc>
          <w:tcPr>
            <w:tcW w:w="3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w w:val="82"/>
              </w:rPr>
              <w:t>102,500</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56,250</w:t>
            </w:r>
          </w:p>
        </w:tc>
        <w:tc>
          <w:tcPr>
            <w:tcW w:w="3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tcBorders>
              <w:top w:val="single" w:sz="8" w:color="CCEEFF"/>
            </w:tcBorders>
            <w:gridSpan w:val="2"/>
          </w:tcPr>
          <w:p>
            <w:pPr>
              <w:jc w:val="center"/>
              <w:ind w:left="92"/>
              <w:spacing w:after="0"/>
              <w:rPr>
                <w:sz w:val="20"/>
                <w:szCs w:val="20"/>
                <w:color w:val="auto"/>
              </w:rPr>
            </w:pPr>
            <w:r>
              <w:rPr>
                <w:rFonts w:ascii="Arial" w:cs="Arial" w:eastAsia="Arial" w:hAnsi="Arial"/>
                <w:sz w:val="18"/>
                <w:szCs w:val="18"/>
                <w:color w:val="auto"/>
                <w:w w:val="89"/>
              </w:rPr>
              <w:t>$56,250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102,500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112,500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Independent Directors have the option to receive their directors’ fees paid in shares of our common stock issued at a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equal to the greater of net asset value or the market price at the time of payment. No compensation is expected to be paid to directors who are “interested persons”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1940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to managing our investments, as of December 31, 2012, our portfolio managers also managed investments on behalf of the following entity:</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ind w:left="60"/>
              <w:spacing w:after="0"/>
              <w:rPr>
                <w:sz w:val="20"/>
                <w:szCs w:val="20"/>
                <w:color w:val="auto"/>
              </w:rPr>
            </w:pPr>
            <w:r>
              <w:rPr>
                <w:rFonts w:ascii="Arial" w:cs="Arial" w:eastAsia="Arial" w:hAnsi="Arial"/>
                <w:sz w:val="18"/>
                <w:szCs w:val="18"/>
                <w:b w:val="1"/>
                <w:bCs w:val="1"/>
                <w:color w:val="auto"/>
              </w:rPr>
              <w:t>Entity</w:t>
            </w:r>
          </w:p>
        </w:tc>
      </w:tr>
      <w:tr>
        <w:trPr>
          <w:trHeight w:val="43"/>
        </w:trPr>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01"/>
        </w:trPr>
        <w:tc>
          <w:tcPr>
            <w:tcW w:w="27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4"/>
              </w:rPr>
              <w:t>PennantPark Floating Rate Capital</w:t>
            </w:r>
          </w:p>
        </w:tc>
        <w:tc>
          <w:tcPr>
            <w:tcW w:w="1620" w:type="dxa"/>
            <w:vAlign w:val="bottom"/>
          </w:tcPr>
          <w:p>
            <w:pPr>
              <w:ind w:left="60"/>
              <w:spacing w:after="0" w:line="201"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Private Investment</w:t>
            </w:r>
          </w:p>
        </w:tc>
      </w:tr>
      <w:tr>
        <w:trPr>
          <w:trHeight w:val="222"/>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Gross Assets</w:t>
            </w:r>
          </w:p>
        </w:tc>
        <w:tc>
          <w:tcPr>
            <w:tcW w:w="0" w:type="dxa"/>
            <w:vAlign w:val="bottom"/>
          </w:tcPr>
          <w:p>
            <w:pPr>
              <w:spacing w:after="0"/>
              <w:rPr>
                <w:sz w:val="1"/>
                <w:szCs w:val="1"/>
                <w:color w:val="auto"/>
              </w:rPr>
            </w:pPr>
          </w:p>
        </w:tc>
      </w:tr>
      <w:tr>
        <w:trPr>
          <w:trHeight w:val="216"/>
        </w:trPr>
        <w:tc>
          <w:tcPr>
            <w:tcW w:w="4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Investment Focus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 in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millions)</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Arial" w:cs="Arial" w:eastAsia="Arial" w:hAnsi="Arial"/>
                <w:sz w:val="18"/>
                <w:szCs w:val="18"/>
                <w:color w:val="auto"/>
                <w:w w:val="89"/>
              </w:rPr>
              <w:t>Primarily floating rate loans, with an emphasis on senior secured</w:t>
            </w:r>
          </w:p>
        </w:tc>
        <w:tc>
          <w:tcPr>
            <w:tcW w:w="2060" w:type="dxa"/>
            <w:vAlign w:val="bottom"/>
            <w:gridSpan w:val="3"/>
          </w:tcPr>
          <w:p>
            <w:pPr>
              <w:jc w:val="right"/>
              <w:ind w:right="732"/>
              <w:spacing w:after="0"/>
              <w:rPr>
                <w:sz w:val="20"/>
                <w:szCs w:val="20"/>
                <w:color w:val="auto"/>
              </w:rPr>
            </w:pPr>
            <w:r>
              <w:rPr>
                <w:rFonts w:ascii="Arial" w:cs="Arial" w:eastAsia="Arial" w:hAnsi="Arial"/>
                <w:sz w:val="18"/>
                <w:szCs w:val="18"/>
                <w:color w:val="auto"/>
                <w:w w:val="93"/>
              </w:rPr>
              <w:t>loans, in middle-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market leveraged companies.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186</w:t>
            </w: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Other credit opportunities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-563880</wp:posOffset>
            </wp:positionV>
            <wp:extent cx="7246620"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320" w:space="100"/>
            <w:col w:w="7000"/>
          </w:cols>
          <w:pgMar w:left="240" w:top="459" w:right="239" w:bottom="1440" w:gutter="0" w:footer="0" w:header="0"/>
          <w:type w:val="continuous"/>
        </w:sect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As of December 31, 2012,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The following table sets forth, as of December 31,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w w:val="88"/>
              </w:rPr>
              <w:t>Name and Address</w:t>
            </w:r>
            <w:r>
              <w:rPr>
                <w:rFonts w:ascii="Arial" w:cs="Arial" w:eastAsia="Arial" w:hAnsi="Arial"/>
                <w:sz w:val="11"/>
                <w:szCs w:val="11"/>
                <w:b w:val="1"/>
                <w:bCs w:val="1"/>
                <w:color w:val="auto"/>
                <w:w w:val="88"/>
              </w:rPr>
              <w:t>(1)</w:t>
            </w:r>
          </w:p>
        </w:tc>
        <w:tc>
          <w:tcPr>
            <w:tcW w:w="5540" w:type="dxa"/>
            <w:vAlign w:val="bottom"/>
            <w:vMerge w:val="restart"/>
          </w:tcPr>
          <w:p>
            <w:pPr>
              <w:spacing w:after="0"/>
              <w:rPr>
                <w:sz w:val="18"/>
                <w:szCs w:val="18"/>
                <w:color w:val="auto"/>
              </w:rPr>
            </w:pPr>
          </w:p>
        </w:tc>
        <w:tc>
          <w:tcPr>
            <w:tcW w:w="21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(4)</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37"/>
        </w:trPr>
        <w:tc>
          <w:tcPr>
            <w:tcW w:w="1580" w:type="dxa"/>
            <w:vAlign w:val="bottom"/>
            <w:tcBorders>
              <w:bottom w:val="single" w:sz="8" w:color="auto"/>
            </w:tcBorders>
            <w:vMerge w:val="continue"/>
          </w:tcPr>
          <w:p>
            <w:pPr>
              <w:spacing w:after="0"/>
              <w:rPr>
                <w:sz w:val="20"/>
                <w:szCs w:val="20"/>
                <w:color w:val="auto"/>
              </w:rPr>
            </w:pPr>
          </w:p>
        </w:tc>
        <w:tc>
          <w:tcPr>
            <w:tcW w:w="5540" w:type="dxa"/>
            <w:vAlign w:val="bottom"/>
            <w:vMerge w:val="continue"/>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Owned</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181"/>
        </w:trPr>
        <w:tc>
          <w:tcPr>
            <w:tcW w:w="71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The Vanguard Group</w:t>
            </w:r>
          </w:p>
        </w:tc>
        <w:tc>
          <w:tcPr>
            <w:tcW w:w="17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Beneficial</w:t>
            </w: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3,383,178</w:t>
            </w:r>
          </w:p>
        </w:tc>
        <w:tc>
          <w:tcPr>
            <w:tcW w:w="4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color w:val="auto"/>
              </w:rPr>
              <w:t>Marshall Brozost</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12,265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Jeffrey Flug</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color w:val="auto"/>
              </w:rPr>
              <w:t>Samuel L. Katz</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113,482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520,774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color w:val="auto"/>
              </w:rPr>
              <w:t>Aviv Efrat</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43,515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920,395</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590 Madison Avenue, 15th Floor, New York, New York 10022.</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Bernstein is the President of JAM Investments, LLC and may therefore be deemed to own beneficially the 68,236 shares of PNNT held by JAM Investments, LLC.</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337,374 shares of PNNT held by the Investment Adviser.</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31, 2012.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82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$100,001 -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c>
          <w:tcPr>
            <w:tcW w:w="18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9"/>
                <w:szCs w:val="19"/>
                <w:color w:val="auto"/>
              </w:rPr>
            </w:pP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$1 - $10,000</w:t>
            </w:r>
          </w:p>
        </w:tc>
        <w:tc>
          <w:tcPr>
            <w:tcW w:w="120" w:type="dxa"/>
            <w:vAlign w:val="bottom"/>
          </w:tcPr>
          <w:p>
            <w:pPr>
              <w:spacing w:after="0"/>
              <w:rPr>
                <w:sz w:val="19"/>
                <w:szCs w:val="19"/>
                <w:color w:val="auto"/>
              </w:rPr>
            </w:pP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$500,001 -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$100,001 - $</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$500,001 -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right="80" w:hanging="212"/>
        <w:spacing w:after="0" w:line="266" w:lineRule="auto"/>
        <w:tabs>
          <w:tab w:leader="none" w:pos="2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Also reflects holdings of PennantPark Investment Advisers, LLC. Under terms agreed among us, the Investment Adviser and underwriters of PennantPark Floating Rate Capital Ltd.’s initial public offering, the Investment Adviser paid 2% of the underwriters’ sales load, or approximately $2.1 million in the aggregate, on PennantPark Floating Rate Capital Ltd.’s behalf. PennantPark Floating Rate Capital Ltd. agreed to repay such amount to the Investment Adviser upon its achievement of a benchmark return over four consecutive quarters, and the Investment Adviser agreed to use such amount to purchase shares of PennantPark Floating Rate Capital Ltd.’s common stock over a six-month period following such repayment. PennantPark Floating Rate Capital Ltd. met the conditions for repayment to the Investment Adviser at the end of the quarter ended December 31, 2012 and repaid approximately $2.1 million to the Investment Adviser. The Investment Adviser announced that it intends to purchase shares of PennantPark Floating Rate Capital Ltd.’s common stock in the secondary market over the applicable six-month purchase period in compliance with applicable law and SEC guidance.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manages day-to-day operations of and provides investment advisory services to our SBIC Funds under their investment management agreements. Our SBIC Funds’ investment management agreements do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660" w:hanging="31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90" w:lineRule="exact"/>
        <w:rPr>
          <w:sz w:val="20"/>
          <w:szCs w:val="20"/>
          <w:color w:val="auto"/>
        </w:rPr>
      </w:pPr>
    </w:p>
    <w:p>
      <w:pPr>
        <w:ind w:right="34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base management fee is at an annual rate of 2.00% of our “average adjusted gross assets” (net of U.S. Treasury Bills and/or temporary draws under any credit facility or repurchase agreements or other balance sheet transactions undertaken at the end of a fiscal quarter for purposes of preserving investment flexibility for the next quarter, if any). Our base management fee is payable quarterly in arrears. The base management fee is calculated based on our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2012 and 2011, the Investment Adviser earned base management fees of $5.1 million and $4.0 million, respectively, from us. For the fiscal years ended September 30, 2012, 2011 and 2010, the Investment Adviser earned base management fees of $17.5 million, $14.9 million and $11.6 million, respectively, from us.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0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6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Average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60" w:firstLine="571"/>
        <w:spacing w:after="0" w:line="282"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5" w:lineRule="exact"/>
        <w:rPr>
          <w:sz w:val="20"/>
          <w:szCs w:val="20"/>
          <w:color w:val="auto"/>
        </w:rPr>
      </w:pPr>
    </w:p>
    <w:p>
      <w:pPr>
        <w:ind w:left="5620" w:right="4120" w:hanging="5612"/>
        <w:spacing w:after="0" w:line="433" w:lineRule="auto"/>
        <w:tabs>
          <w:tab w:leader="none" w:pos="2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Income does not exceed 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all Pre-Incentive Fee Investment Income thereafter is allocated to our Investment Adviser. These calculations are appropriately prorated and adjusted for any share issuances or repurchases during the relevant quarter. For the three months ended December 31, 2012 and 2011, the Investment Adviser earned a performance-based incentive fee on net investment income, as calculated under the Investment Management Agreement, of $4.5 million and $3.7 million, respectively, from us. For the fiscal years ended September 30, 2012, 2011 and 2010, the Investment Adviser earned $14.2 million, $13.2 million and $8.0 million, respectively, in incentive fees from 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2012 and 2011, the Investment Adviser did not earn a performance based incentive fee on capital gains as calculated under the Investment Management Agreement. For the fiscal years ended September 30, 2012, 2011 and 2010, the Investment Adviser did not earn a performance based fee on capital gains as calculated under the Investment Management Agreement.</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did not earn a performance-based incentive fee on capital gains as calculated under GAAP. For the years ended September 30, 2012, 2011 and 2010, our unrealized and realized capital gains did not exceed our cumulative realized and unrealized losses and resulted in no accrual under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4120"/>
        <w:spacing w:after="0" w:line="402"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140"/>
        <w:spacing w:after="0"/>
        <w:tabs>
          <w:tab w:leader="none" w:pos="51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0980"/>
          </w:cols>
          <w:pgMar w:left="240" w:top="459" w:right="67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251"/>
          </w:cols>
          <w:pgMar w:left="240" w:top="459" w:right="67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0980"/>
          </w:cols>
          <w:pgMar w:left="240" w:top="459" w:right="679" w:bottom="1440" w:gutter="0" w:footer="0" w:header="0"/>
          <w:type w:val="continuous"/>
        </w:sect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36" w:hanging="136"/>
        <w:spacing w:after="0"/>
        <w:tabs>
          <w:tab w:leader="none" w:pos="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 x (0)</w:t>
      </w:r>
    </w:p>
    <w:p>
      <w:pPr>
        <w:spacing w:after="0" w:line="36" w:lineRule="exact"/>
        <w:rPr>
          <w:rFonts w:ascii="Arial" w:cs="Arial" w:eastAsia="Arial" w:hAnsi="Arial"/>
          <w:sz w:val="18"/>
          <w:szCs w:val="18"/>
          <w:color w:val="auto"/>
        </w:rPr>
      </w:pPr>
    </w:p>
    <w:p>
      <w:pPr>
        <w:ind w:left="136" w:hanging="136"/>
        <w:spacing w:after="0"/>
        <w:tabs>
          <w:tab w:leader="none" w:pos="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0</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incentive fee</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20% x (6% -1%)</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 x 5%</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1%</w:t>
      </w:r>
    </w:p>
    <w:p>
      <w:pPr>
        <w:spacing w:after="0" w:line="171" w:lineRule="exact"/>
        <w:rPr>
          <w:sz w:val="20"/>
          <w:szCs w:val="20"/>
          <w:color w:val="auto"/>
        </w:rPr>
      </w:pPr>
    </w:p>
    <w:p>
      <w:pPr>
        <w:sectPr>
          <w:pgSz w:w="11900" w:h="16838" w:orient="portrait"/>
          <w:cols w:equalWidth="0" w:num="2">
            <w:col w:w="2320" w:space="544"/>
            <w:col w:w="8116"/>
          </w:cols>
          <w:pgMar w:left="240" w:top="459" w:right="679" w:bottom="1440" w:gutter="0" w:footer="0" w:header="0"/>
          <w:type w:val="continuous"/>
        </w:sectPr>
      </w:pPr>
    </w:p>
    <w:p>
      <w:pPr>
        <w:jc w:val="center"/>
        <w:ind w:right="-4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980"/>
          </w:cols>
          <w:pgMar w:left="240" w:top="459" w:right="6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60" w:firstLine="571"/>
        <w:spacing w:after="0" w:line="285"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months ended December 31, 2012 and 2011, the Investment Adviser and Administrator, collectively, were reimbursed $0.5 million and $0.7 million, respectively, from us, including expenses the Investment Adviser incurred on behalf of the Administrator, for the services described above. For the fiscal years ended September 30, 2012, 2011 and 2010, the Investment Adviser and Administrator, collectively, were reimbursed $3.6 million, $2.6 million and $2.1 million, respectively, from us, including expenses the Investment Adviser incurred on behalf of the Administrator, for the services described above.</w:t>
      </w:r>
    </w:p>
    <w:p>
      <w:pPr>
        <w:spacing w:after="0" w:line="45"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three months ended December 31, 2012 and 2011, PennantPark Investment was reimbursed $0.1 million and $0.2 million, respectively, from SPH, including expenses it incurred on behalf of the Administrator, for the services described above. For the fiscal years ended September 30, 2012, 2011 and 2010, PennantPark Investment was reimbursed $0.7 million, $0.5 million and $0.1 million, respectively, from SPH, including expenses it incurred on behalf of the Administrator, for the services described above.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2013. Unless terminated 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 The Investment Management Agreement may be terminated by either party without penalty upon not more than 60 days’ written notice to the other. See “Risk Factors —Risks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39"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hanging="346"/>
        <w:spacing w:after="0" w:line="332" w:lineRule="auto"/>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660" w:hanging="31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hanging="314"/>
        <w:spacing w:after="0" w:line="30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660" w:right="80" w:hanging="314"/>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20"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4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December 31, 2012,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February 14, 2013 was $11.39 per share. As of December 31, 2012, we had 16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66,356,911</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39"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2015, and 2016,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59"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any series of preferred stock that we may issue, our board of directors will determine and the prospectus supplement relating to such series will describe:</w:t>
      </w:r>
    </w:p>
    <w:p>
      <w:pPr>
        <w:spacing w:after="0" w:line="125"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2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On January 22, 2013, we issued $67.5 million in aggregate principal amount of 2025 Notes for net proceeds of $65.2 million after underwriting discounts and offering costs. Interest on the 2025 Notes is paid quarterly on February 1, May 1, August 1 and November 1, at a rate of 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February 14, 2013 was $24.97 per $25 of par.</w:t>
      </w:r>
    </w:p>
    <w:p>
      <w:pPr>
        <w:spacing w:after="0" w:line="6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60" w:hanging="314"/>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8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294"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1" w:lineRule="exact"/>
        <w:rPr>
          <w:rFonts w:ascii="Arial" w:cs="Arial" w:eastAsia="Arial" w:hAnsi="Arial"/>
          <w:sz w:val="16"/>
          <w:szCs w:val="16"/>
          <w:color w:val="auto"/>
        </w:rPr>
      </w:pPr>
    </w:p>
    <w:p>
      <w:pPr>
        <w:ind w:left="660" w:right="20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80" w:hanging="314"/>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is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1"/>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ratio at the time of the distribution or repurchase. We may also borrow amounts up to 5% of the value of our total assets for temporary or emergency purposes without regard to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jc w:val="both"/>
        <w:ind w:right="8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20" w:hanging="314"/>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40" w:hanging="314"/>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380" w:hanging="314"/>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hanging="314"/>
        <w:spacing w:after="0" w:line="30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6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51" w:lineRule="exact"/>
        <w:rPr>
          <w:sz w:val="20"/>
          <w:szCs w:val="20"/>
          <w:color w:val="auto"/>
        </w:rPr>
      </w:pPr>
    </w:p>
    <w:p>
      <w:pPr>
        <w:ind w:right="140" w:firstLine="571"/>
        <w:spacing w:after="0" w:line="287"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may borrow to a maximum of $225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0" w:firstLine="571"/>
        <w:spacing w:after="0" w:line="302" w:lineRule="auto"/>
        <w:rPr>
          <w:sz w:val="20"/>
          <w:szCs w:val="20"/>
          <w:color w:val="auto"/>
        </w:rPr>
      </w:pPr>
      <w:r>
        <w:rPr>
          <w:rFonts w:ascii="Arial" w:cs="Arial" w:eastAsia="Arial" w:hAnsi="Arial"/>
          <w:sz w:val="15"/>
          <w:szCs w:val="15"/>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right="20" w:firstLine="8"/>
        <w:spacing w:after="0" w:line="292"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200" w:hanging="314"/>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16"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The total dividend declared would be taxable income to a shareholder even though he or she may only receive a relatively small portion of the dividend in cash to pay any taxes due on the dividend. We have not elected to distribute stock as a dividend but reserve the right to do so.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jc w:val="both"/>
        <w:ind w:right="380" w:firstLine="571"/>
        <w:spacing w:after="0" w:line="259"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400" w:type="dxa"/>
            <w:vAlign w:val="bottom"/>
            <w:gridSpan w:val="15"/>
          </w:tcPr>
          <w:p>
            <w:pPr>
              <w:jc w:val="center"/>
              <w:ind w:right="16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580" w:type="dxa"/>
            <w:vAlign w:val="bottom"/>
          </w:tcPr>
          <w:p>
            <w:pPr>
              <w:spacing w:after="0"/>
              <w:rPr>
                <w:sz w:val="19"/>
                <w:szCs w:val="19"/>
                <w:color w:val="auto"/>
              </w:rPr>
            </w:pPr>
          </w:p>
        </w:tc>
      </w:tr>
      <w:tr>
        <w:trPr>
          <w:trHeight w:val="378"/>
        </w:trPr>
        <w:tc>
          <w:tcPr>
            <w:tcW w:w="9740" w:type="dxa"/>
            <w:vAlign w:val="bottom"/>
            <w:gridSpan w:val="16"/>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1580" w:type="dxa"/>
            <w:vAlign w:val="bottom"/>
          </w:tcPr>
          <w:p>
            <w:pPr>
              <w:spacing w:after="0"/>
              <w:rPr>
                <w:sz w:val="24"/>
                <w:szCs w:val="24"/>
                <w:color w:val="auto"/>
              </w:rPr>
            </w:pPr>
          </w:p>
        </w:tc>
      </w:tr>
      <w:tr>
        <w:trPr>
          <w:trHeight w:val="297"/>
        </w:trPr>
        <w:tc>
          <w:tcPr>
            <w:tcW w:w="9740" w:type="dxa"/>
            <w:vAlign w:val="bottom"/>
            <w:gridSpan w:val="16"/>
          </w:tcPr>
          <w:p>
            <w:pPr>
              <w:spacing w:after="0"/>
              <w:rPr>
                <w:sz w:val="20"/>
                <w:szCs w:val="20"/>
                <w:color w:val="auto"/>
              </w:rPr>
            </w:pPr>
            <w:r>
              <w:rPr>
                <w:rFonts w:ascii="Arial" w:cs="Arial" w:eastAsia="Arial" w:hAnsi="Arial"/>
                <w:sz w:val="18"/>
                <w:szCs w:val="18"/>
                <w:b w:val="1"/>
                <w:bCs w:val="1"/>
                <w:color w:val="auto"/>
              </w:rPr>
              <w:t>Annual Financial Statments</w:t>
            </w:r>
          </w:p>
        </w:tc>
        <w:tc>
          <w:tcPr>
            <w:tcW w:w="1580" w:type="dxa"/>
            <w:vAlign w:val="bottom"/>
          </w:tcPr>
          <w:p>
            <w:pPr>
              <w:spacing w:after="0"/>
              <w:rPr>
                <w:sz w:val="24"/>
                <w:szCs w:val="24"/>
                <w:color w:val="auto"/>
              </w:rPr>
            </w:pPr>
          </w:p>
        </w:tc>
      </w:tr>
      <w:tr>
        <w:trPr>
          <w:trHeight w:val="259"/>
        </w:trPr>
        <w:tc>
          <w:tcPr>
            <w:tcW w:w="47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Management’s Report on Internal Control over Financial Reporting</w:t>
              </w:r>
            </w:hyperlink>
          </w:p>
        </w:tc>
        <w:tc>
          <w:tcPr>
            <w:tcW w:w="4980" w:type="dxa"/>
            <w:vAlign w:val="bottom"/>
            <w:gridSpan w:val="12"/>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Report of Independent Registered Public Accounting Firm On Internal Control Over Financial Reporting</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25">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4"/>
          </w:tcPr>
          <w:p>
            <w:pPr>
              <w:spacing w:after="0"/>
              <w:rPr>
                <w:sz w:val="24"/>
                <w:szCs w:val="24"/>
                <w:color w:val="auto"/>
              </w:rPr>
            </w:pPr>
          </w:p>
        </w:tc>
        <w:tc>
          <w:tcPr>
            <w:tcW w:w="236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Consolidated Statements of Operations for the years ended September 30, 2012, 2011 and 2010</w:t>
              </w:r>
            </w:hyperlink>
          </w:p>
        </w:tc>
        <w:tc>
          <w:tcPr>
            <w:tcW w:w="3020" w:type="dxa"/>
            <w:vAlign w:val="bottom"/>
            <w:gridSpan w:val="9"/>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Consolidated Statements of Changes in Net Assets for the years ended September 30, 2012, 2011 and 2010</w:t>
              </w:r>
            </w:hyperlink>
          </w:p>
        </w:tc>
        <w:tc>
          <w:tcPr>
            <w:tcW w:w="216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Cash Flows for the years ended September 30, 2012, 2011 and 2010</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Consolidated Schedules of Investments as of September 30, 2012 and 2011</w:t>
              </w:r>
            </w:hyperlink>
          </w:p>
        </w:tc>
        <w:tc>
          <w:tcPr>
            <w:tcW w:w="1460" w:type="dxa"/>
            <w:vAlign w:val="bottom"/>
            <w:tcBorders>
              <w:top w:val="single" w:sz="8" w:color="0000EE"/>
            </w:tcBorders>
            <w:gridSpan w:val="3"/>
          </w:tcPr>
          <w:p>
            <w:pPr>
              <w:spacing w:after="0"/>
              <w:rPr>
                <w:sz w:val="24"/>
                <w:szCs w:val="24"/>
                <w:color w:val="auto"/>
              </w:rPr>
            </w:pPr>
          </w:p>
        </w:tc>
        <w:tc>
          <w:tcPr>
            <w:tcW w:w="2980" w:type="dxa"/>
            <w:vAlign w:val="bottom"/>
            <w:gridSpan w:val="8"/>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3340" w:type="dxa"/>
            <w:vAlign w:val="bottom"/>
            <w:tcBorders>
              <w:bottom w:val="single" w:sz="8" w:color="0000EE"/>
            </w:tcBorders>
          </w:tcPr>
          <w:p>
            <w:pPr>
              <w:spacing w:after="0"/>
              <w:rPr>
                <w:rFonts w:ascii="Arial" w:cs="Arial" w:eastAsia="Arial" w:hAnsi="Arial"/>
                <w:sz w:val="18"/>
                <w:szCs w:val="18"/>
                <w:color w:val="0000EE"/>
                <w:w w:val="87"/>
              </w:rPr>
            </w:pPr>
            <w:hyperlink w:anchor="page143">
              <w:r>
                <w:rPr>
                  <w:rFonts w:ascii="Arial" w:cs="Arial" w:eastAsia="Arial" w:hAnsi="Arial"/>
                  <w:sz w:val="18"/>
                  <w:szCs w:val="18"/>
                  <w:color w:val="0000EE"/>
                  <w:w w:val="87"/>
                </w:rPr>
                <w:t>Notes to the Consolidated Financial Statements</w:t>
              </w:r>
            </w:hyperlink>
          </w:p>
        </w:tc>
        <w:tc>
          <w:tcPr>
            <w:tcW w:w="6400" w:type="dxa"/>
            <w:vAlign w:val="bottom"/>
            <w:gridSpan w:val="15"/>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r>
      <w:tr>
        <w:trPr>
          <w:trHeight w:val="451"/>
        </w:trPr>
        <w:tc>
          <w:tcPr>
            <w:tcW w:w="9740" w:type="dxa"/>
            <w:vAlign w:val="bottom"/>
            <w:gridSpan w:val="16"/>
          </w:tcPr>
          <w:p>
            <w:pPr>
              <w:spacing w:after="0"/>
              <w:rPr>
                <w:sz w:val="20"/>
                <w:szCs w:val="20"/>
                <w:color w:val="auto"/>
              </w:rPr>
            </w:pPr>
            <w:r>
              <w:rPr>
                <w:rFonts w:ascii="Arial" w:cs="Arial" w:eastAsia="Arial" w:hAnsi="Arial"/>
                <w:sz w:val="18"/>
                <w:szCs w:val="18"/>
                <w:b w:val="1"/>
                <w:bCs w:val="1"/>
                <w:color w:val="auto"/>
              </w:rPr>
              <w:t>Interim Financial Statements</w:t>
            </w:r>
          </w:p>
        </w:tc>
        <w:tc>
          <w:tcPr>
            <w:tcW w:w="1580" w:type="dxa"/>
            <w:vAlign w:val="bottom"/>
          </w:tcPr>
          <w:p>
            <w:pPr>
              <w:spacing w:after="0"/>
              <w:rPr>
                <w:sz w:val="24"/>
                <w:szCs w:val="24"/>
                <w:color w:val="auto"/>
              </w:rPr>
            </w:pPr>
          </w:p>
        </w:tc>
      </w:tr>
      <w:tr>
        <w:trPr>
          <w:trHeight w:val="286"/>
        </w:trPr>
        <w:tc>
          <w:tcPr>
            <w:tcW w:w="9740" w:type="dxa"/>
            <w:vAlign w:val="bottom"/>
            <w:gridSpan w:val="1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20"/>
        </w:trPr>
        <w:tc>
          <w:tcPr>
            <w:tcW w:w="3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Assets and Liabilities as of December 31, 2012 (unaudited) and September 30, 2012</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304"/>
        </w:trPr>
        <w:tc>
          <w:tcPr>
            <w:tcW w:w="7940" w:type="dxa"/>
            <w:vAlign w:val="bottom"/>
            <w:tcBorders>
              <w:top w:val="single" w:sz="8" w:color="0000EE"/>
            </w:tcBorders>
            <w:gridSpan w:val="14"/>
          </w:tcPr>
          <w:p>
            <w:pPr>
              <w:spacing w:after="0"/>
              <w:rPr>
                <w:rFonts w:ascii="Arial" w:cs="Arial" w:eastAsia="Arial" w:hAnsi="Arial"/>
                <w:sz w:val="18"/>
                <w:szCs w:val="18"/>
                <w:color w:val="0000EE"/>
                <w:w w:val="90"/>
              </w:rPr>
            </w:pPr>
            <w:hyperlink w:anchor="page158">
              <w:r>
                <w:rPr>
                  <w:rFonts w:ascii="Arial" w:cs="Arial" w:eastAsia="Arial" w:hAnsi="Arial"/>
                  <w:sz w:val="18"/>
                  <w:szCs w:val="18"/>
                  <w:color w:val="0000EE"/>
                  <w:w w:val="90"/>
                </w:rPr>
                <w:t>Consolidated Statements of Operations for the three months ended December 31, 2012 and 2011 (unaudited)</w:t>
              </w:r>
            </w:hyperlink>
          </w:p>
        </w:tc>
        <w:tc>
          <w:tcPr>
            <w:tcW w:w="180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0"/>
        </w:trPr>
        <w:tc>
          <w:tcPr>
            <w:tcW w:w="3940" w:type="dxa"/>
            <w:vAlign w:val="bottom"/>
            <w:gridSpan w:val="2"/>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Changes in Net Assets for the three months ended December 31, 2012 and 2011 (unaudited)</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304"/>
        </w:trPr>
        <w:tc>
          <w:tcPr>
            <w:tcW w:w="7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160">
              <w:r>
                <w:rPr>
                  <w:rFonts w:ascii="Arial" w:cs="Arial" w:eastAsia="Arial" w:hAnsi="Arial"/>
                  <w:sz w:val="18"/>
                  <w:szCs w:val="18"/>
                  <w:color w:val="0000EE"/>
                  <w:w w:val="87"/>
                </w:rPr>
                <w:t>Consolidated Statements of Cash Flows for the three months ended December 31, 2012 and 2011 (unaudited)</w:t>
              </w:r>
            </w:hyperlink>
          </w:p>
        </w:tc>
        <w:tc>
          <w:tcPr>
            <w:tcW w:w="760" w:type="dxa"/>
            <w:vAlign w:val="bottom"/>
            <w:tcBorders>
              <w:top w:val="single" w:sz="8" w:color="0000EE"/>
            </w:tcBorders>
            <w:gridSpan w:val="2"/>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304"/>
        </w:trPr>
        <w:tc>
          <w:tcPr>
            <w:tcW w:w="9740" w:type="dxa"/>
            <w:vAlign w:val="bottom"/>
            <w:gridSpan w:val="16"/>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Schedules of Investments as of December 31, 2012 (unaudited) and September 30, 2012</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04"/>
        </w:trPr>
        <w:tc>
          <w:tcPr>
            <w:tcW w:w="7180" w:type="dxa"/>
            <w:vAlign w:val="bottom"/>
            <w:tcBorders>
              <w:top w:val="single" w:sz="8" w:color="0000EE"/>
            </w:tcBorders>
            <w:gridSpan w:val="9"/>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Notes to Consolidated Financial Statements (unaudited)</w:t>
              </w:r>
            </w:hyperlink>
          </w:p>
        </w:tc>
        <w:tc>
          <w:tcPr>
            <w:tcW w:w="256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383"/>
        </w:trPr>
        <w:tc>
          <w:tcPr>
            <w:tcW w:w="3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40" w:type="dxa"/>
            <w:vAlign w:val="bottom"/>
            <w:gridSpan w:val="11"/>
          </w:tcPr>
          <w:p>
            <w:pPr>
              <w:jc w:val="center"/>
              <w:ind w:right="3600"/>
              <w:spacing w:after="0"/>
              <w:rPr>
                <w:sz w:val="20"/>
                <w:szCs w:val="20"/>
                <w:color w:val="auto"/>
              </w:rPr>
            </w:pPr>
            <w:r>
              <w:rPr>
                <w:rFonts w:ascii="Arial" w:cs="Arial" w:eastAsia="Arial" w:hAnsi="Arial"/>
                <w:sz w:val="18"/>
                <w:szCs w:val="18"/>
                <w:color w:val="auto"/>
                <w:w w:val="88"/>
              </w:rPr>
              <w:t>F-1</w:t>
            </w:r>
          </w:p>
        </w:tc>
        <w:tc>
          <w:tcPr>
            <w:tcW w:w="15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89"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2012.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2012,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16" w:lineRule="exact"/>
        <w:rPr>
          <w:sz w:val="20"/>
          <w:szCs w:val="20"/>
          <w:color w:val="auto"/>
        </w:rPr>
      </w:pPr>
    </w:p>
    <w:p>
      <w:pPr>
        <w:ind w:right="760" w:firstLine="571"/>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2012. This report appears on page F-4.</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3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2012 and 2011, and the related consolidated statements of operations, changes in net assets, and cash flows for the years ended September 30, 2012, 2011 and 2010. These consolidated financial statements are the responsibility of the Company’s management. Our responsibility is to express an opinion on these consolidated financial statements based on our audits.</w:t>
      </w:r>
    </w:p>
    <w:p>
      <w:pPr>
        <w:spacing w:after="0" w:line="8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3" w:lineRule="exact"/>
        <w:rPr>
          <w:sz w:val="20"/>
          <w:szCs w:val="20"/>
          <w:color w:val="auto"/>
        </w:rPr>
      </w:pPr>
    </w:p>
    <w:p>
      <w:pPr>
        <w:ind w:right="560" w:firstLine="57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2012 and 2011, and the results of operations and cash flows for the years ended September 30, 2012, 2011 and 2010, in conformity with U.S. generally accepted accounting principles.</w:t>
      </w:r>
    </w:p>
    <w:p>
      <w:pPr>
        <w:spacing w:after="0" w:line="11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38"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55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1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58"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2012 and 2011, and the related statements of operations, changes in net assets, and cash flows for the years ended September 30, 2012, 2011 and 2010, and our report dated November 14, 2012 expressed an unqualified opinion on those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(cost—$871,867,953 and $816,078,311,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773,375,381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660"/>
              <w:spacing w:after="0"/>
              <w:rPr>
                <w:sz w:val="20"/>
                <w:szCs w:val="20"/>
                <w:color w:val="auto"/>
              </w:rPr>
            </w:pPr>
            <w:r>
              <w:rPr>
                <w:rFonts w:ascii="Arial" w:cs="Arial" w:eastAsia="Arial" w:hAnsi="Arial"/>
                <w:sz w:val="18"/>
                <w:szCs w:val="18"/>
                <w:color w:val="auto"/>
              </w:rPr>
              <w:t>(cost—$72,576,858 and $36,744,425, respectively)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80,955,257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40,673,133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(cost—$64,167,051 and $13,500,100,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13,500,001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tcPr>
          <w:p>
            <w:pPr>
              <w:ind w:left="440"/>
              <w:spacing w:after="0"/>
              <w:rPr>
                <w:sz w:val="20"/>
                <w:szCs w:val="20"/>
                <w:color w:val="auto"/>
              </w:rPr>
            </w:pPr>
            <w:r>
              <w:rPr>
                <w:rFonts w:ascii="Arial" w:cs="Arial" w:eastAsia="Arial" w:hAnsi="Arial"/>
                <w:sz w:val="18"/>
                <w:szCs w:val="18"/>
                <w:color w:val="auto"/>
              </w:rPr>
              <w:t>Total of investments, at fair value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660"/>
              <w:spacing w:after="0"/>
              <w:rPr>
                <w:sz w:val="20"/>
                <w:szCs w:val="20"/>
                <w:color w:val="auto"/>
              </w:rPr>
            </w:pPr>
            <w:r>
              <w:rPr>
                <w:rFonts w:ascii="Arial" w:cs="Arial" w:eastAsia="Arial" w:hAnsi="Arial"/>
                <w:sz w:val="18"/>
                <w:szCs w:val="18"/>
                <w:color w:val="auto"/>
              </w:rPr>
              <w:t>(cost – $1,008,611,862 and $866,322,836, respectively)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827,548,515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71,604,519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14,928,862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10,878,236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13,118,967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5,121,302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928,738,214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15,824,061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12,336,241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18,572,499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26,935,270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37,132,151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8"/>
                <w:szCs w:val="18"/>
                <w:color w:val="auto"/>
              </w:rPr>
              <w:t>Credit Facility payable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20"/>
              <w:spacing w:after="0"/>
              <w:rPr>
                <w:sz w:val="20"/>
                <w:szCs w:val="20"/>
                <w:color w:val="auto"/>
              </w:rPr>
            </w:pPr>
            <w:r>
              <w:rPr>
                <w:rFonts w:ascii="Arial" w:cs="Arial" w:eastAsia="Arial" w:hAnsi="Arial"/>
                <w:sz w:val="18"/>
                <w:szCs w:val="18"/>
                <w:color w:val="auto"/>
              </w:rPr>
              <w:t>(cost—$145,000,000 and $240,900,000, respectively) (See Notes 5 and 11)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144,452,500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238,792,125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854,725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4,791,913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4,206,989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3,773,829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466,081,018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8"/>
                <w:szCs w:val="18"/>
                <w:color w:val="auto"/>
                <w:w w:val="88"/>
              </w:rPr>
              <w:t>Common stock, 65,514,503 and 45,689,781 shares are issued and outstanding, respectively. Par value is $0.001 per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20"/>
              <w:spacing w:after="0"/>
              <w:rPr>
                <w:sz w:val="20"/>
                <w:szCs w:val="20"/>
                <w:color w:val="auto"/>
              </w:rPr>
            </w:pPr>
            <w:r>
              <w:rPr>
                <w:rFonts w:ascii="Arial" w:cs="Arial" w:eastAsia="Arial" w:hAnsi="Arial"/>
                <w:sz w:val="18"/>
                <w:szCs w:val="18"/>
                <w:color w:val="auto"/>
              </w:rPr>
              <w:t>and 100,000,000 shares are authorized.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540,603,020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Undistributed net investment income (See Note 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2,804,397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(See Note 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(60,273,037)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(49,651,922)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(18,132,152)</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(38,774,321)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462,657,196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928,738,214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99,663,198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83,632,455</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8,486,387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4,726,387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3,542,583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2,217,320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1,700,222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113,392,390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91,738,495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60,139,757</w:t>
            </w: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17,507,262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14,899,983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14,223,777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13,161,597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8,018,309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11,680,634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5,322,231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3,745,741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2,596,756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2,328,210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b w:val="1"/>
                <w:bCs w:val="1"/>
                <w:color w:val="auto"/>
              </w:rPr>
              <w:t>Expenses before debt issuance costs and excise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50,653,740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38,864,596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27,966,846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56,323,049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39,093,420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57,069,341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52,645,075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32,074,617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(12,798,035)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16,259,622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42,727,722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(45,350,345)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36,275,341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(22,085,553)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(1,439,878)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Credit Facility appreciation (See Note 5 and 11)</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(11,851,000)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(35,665,745)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19,081,794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(58,641,223)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(122,029)</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6,283,759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(42,381,601)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(15,539,126)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63,353,100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10,263,474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16,535,491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w w:val="93"/>
              </w:rPr>
              <w:t>Net increase in net assets resulting from operations per common share basic and diluted (See</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Note 7)</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0"/>
              </w:rPr>
              <w:t>Years ended September 30,</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57,069,341</w:t>
            </w:r>
          </w:p>
        </w:tc>
        <w:tc>
          <w:tcPr>
            <w:tcW w:w="16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52,645,075</w:t>
            </w:r>
          </w:p>
        </w:tc>
        <w:tc>
          <w:tcPr>
            <w:tcW w:w="3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32,074,617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gain on investments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(12,798,035)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16,259,622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w w:val="96"/>
              </w:rPr>
              <w:t>Net change in unrealized appreciation (depreciation) on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20,642,169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(46,790,223)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35,543,716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(1,560,375)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(11,851,000)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(35,665,745)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63,353,100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3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16,535,491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Distributions</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(60,137,978)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(46,347,691)</w:t>
            </w:r>
          </w:p>
        </w:tc>
        <w:tc>
          <w:tcPr>
            <w:tcW w:w="3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(32,264,036)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Public offerings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206,572,500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114,080,000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Offerings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(5,743,800)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Reinvestment of dividends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4,989,529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3,829,990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207,059,851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76,081,973</w:t>
            </w: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85,994,955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462,657,196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386,575,223</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300,580,268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669,717,047</w:t>
            </w:r>
          </w:p>
        </w:tc>
        <w:tc>
          <w:tcPr>
            <w:tcW w:w="1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462,657,196</w:t>
            </w:r>
          </w:p>
        </w:tc>
        <w:tc>
          <w:tcPr>
            <w:tcW w:w="32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2,804,397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63,353,100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16,535,491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Adjustments to reconcile net increase in net assets resulting from operations to net cash used for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(20,642,169)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(35,543,716)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11,851,000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12,798,035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(16,259,622)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(10,357,608)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(6,745,834)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(328,275,329)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(479,733,669)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(309,455,078)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(9,065,502)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(10,883,750)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201,656,926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304,008,543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145,237,359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(4,050,626)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12,240,763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(27,528,767)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(18,572,499)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(34,212,501)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(19,242,446)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15,872,049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749,017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fees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1,534,818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accrued other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(115,339,638)</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(137,812,516)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(127,050,830)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Public offerings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206,572,500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114,080,000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107,710,000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Offerings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(7,717,300)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(5,743,800)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(51,660,628)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(39,582,741)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(27,919,260)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135,500,000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(4,450,875)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701,900,000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256,000,000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(1,023,800,000)</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(694,100,000)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51,294,572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207,602,584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(64,045,066)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(31,433,215)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1,814,451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10,643,840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4,149,149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Maturity</w:t>
            </w:r>
          </w:p>
        </w:tc>
        <w:tc>
          <w:tcPr>
            <w:tcW w:w="190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Current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Par/</w:t>
            </w: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7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vMerge w:val="continue"/>
          </w:tcPr>
          <w:p>
            <w:pPr>
              <w:spacing w:after="0"/>
              <w:rPr>
                <w:sz w:val="12"/>
                <w:szCs w:val="12"/>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8"/>
              </w:rPr>
              <w:t xml:space="preserve">Investments in Non-Controlled, Non-Affiliated Portfolio Companies—130.3% </w:t>
            </w:r>
            <w:r>
              <w:rPr>
                <w:rFonts w:ascii="Arial" w:cs="Arial" w:eastAsia="Arial" w:hAnsi="Arial"/>
                <w:sz w:val="21"/>
                <w:szCs w:val="21"/>
                <w:b w:val="1"/>
                <w:bCs w:val="1"/>
                <w:color w:val="auto"/>
                <w:w w:val="98"/>
                <w:vertAlign w:val="superscript"/>
              </w:rPr>
              <w:t>(1),(2)</w:t>
            </w:r>
          </w:p>
        </w:tc>
        <w:tc>
          <w:tcPr>
            <w:tcW w:w="19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L+975</w:t>
            </w:r>
            <w:r>
              <w:rPr>
                <w:rFonts w:ascii="Arial" w:cs="Arial" w:eastAsia="Arial" w:hAnsi="Arial"/>
                <w:sz w:val="22"/>
                <w:szCs w:val="22"/>
                <w:color w:val="auto"/>
                <w:vertAlign w:val="superscript"/>
              </w:rPr>
              <w:t>(8)</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Arial" w:cs="Arial" w:eastAsia="Arial" w:hAnsi="Arial"/>
                <w:sz w:val="14"/>
                <w:szCs w:val="14"/>
                <w:color w:val="auto"/>
              </w:rPr>
              <w:t>Aircell Business Aviation Services LLC</w:t>
            </w:r>
          </w:p>
        </w:tc>
        <w:tc>
          <w:tcPr>
            <w:tcW w:w="1660" w:type="dxa"/>
            <w:vAlign w:val="bottom"/>
          </w:tcPr>
          <w:p>
            <w:pPr>
              <w:jc w:val="right"/>
              <w:ind w:right="112"/>
              <w:spacing w:after="0" w:line="122" w:lineRule="exact"/>
              <w:rPr>
                <w:sz w:val="20"/>
                <w:szCs w:val="20"/>
                <w:color w:val="auto"/>
              </w:rPr>
            </w:pPr>
            <w:r>
              <w:rPr>
                <w:rFonts w:ascii="Arial" w:cs="Arial" w:eastAsia="Arial" w:hAnsi="Arial"/>
                <w:sz w:val="14"/>
                <w:szCs w:val="14"/>
                <w:color w:val="auto"/>
              </w:rPr>
              <w:t>06/21/2017</w:t>
            </w:r>
          </w:p>
        </w:tc>
        <w:tc>
          <w:tcPr>
            <w:tcW w:w="1900" w:type="dxa"/>
            <w:vAlign w:val="bottom"/>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8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11.25%</w:t>
            </w:r>
          </w:p>
        </w:tc>
        <w:tc>
          <w:tcPr>
            <w:tcW w:w="920" w:type="dxa"/>
            <w:vAlign w:val="bottom"/>
            <w:gridSpan w:val="2"/>
            <w:vMerge w:val="continue"/>
          </w:tcPr>
          <w:p>
            <w:pPr>
              <w:spacing w:after="0"/>
              <w:rPr>
                <w:sz w:val="10"/>
                <w:szCs w:val="10"/>
                <w:color w:val="auto"/>
              </w:rPr>
            </w:pPr>
          </w:p>
        </w:tc>
        <w:tc>
          <w:tcPr>
            <w:tcW w:w="1000" w:type="dxa"/>
            <w:vAlign w:val="bottom"/>
            <w:gridSpan w:val="2"/>
          </w:tcPr>
          <w:p>
            <w:pPr>
              <w:jc w:val="right"/>
              <w:ind w:right="300"/>
              <w:spacing w:after="0" w:line="122" w:lineRule="exact"/>
              <w:rPr>
                <w:sz w:val="20"/>
                <w:szCs w:val="20"/>
                <w:color w:val="auto"/>
              </w:rPr>
            </w:pPr>
            <w:r>
              <w:rPr>
                <w:rFonts w:ascii="Arial" w:cs="Arial" w:eastAsia="Arial" w:hAnsi="Arial"/>
                <w:sz w:val="14"/>
                <w:szCs w:val="14"/>
                <w:color w:val="auto"/>
                <w:w w:val="96"/>
              </w:rPr>
              <w:t>14,906,250</w:t>
            </w: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w w:val="88"/>
              </w:rPr>
              <w:t>$ 14,332,682</w:t>
            </w:r>
          </w:p>
        </w:tc>
        <w:tc>
          <w:tcPr>
            <w:tcW w:w="9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$ 14,906,250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20"/>
                <w:szCs w:val="20"/>
                <w:color w:val="auto"/>
              </w:rPr>
            </w:pPr>
            <w:r>
              <w:rPr>
                <w:rFonts w:ascii="Arial" w:cs="Arial" w:eastAsia="Arial" w:hAnsi="Arial"/>
                <w:sz w:val="14"/>
                <w:szCs w:val="14"/>
                <w:color w:val="auto"/>
              </w:rPr>
              <w:t>American Surgical Holdings, Inc.</w:t>
            </w: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03/23/2015</w:t>
            </w:r>
          </w:p>
        </w:tc>
        <w:tc>
          <w:tcPr>
            <w:tcW w:w="1900" w:type="dxa"/>
            <w:vAlign w:val="bottom"/>
          </w:tcPr>
          <w:p>
            <w:pPr>
              <w:jc w:val="center"/>
              <w:ind w:left="12"/>
              <w:spacing w:after="0"/>
              <w:rPr>
                <w:sz w:val="20"/>
                <w:szCs w:val="20"/>
                <w:color w:val="auto"/>
              </w:rPr>
            </w:pPr>
            <w:r>
              <w:rPr>
                <w:rFonts w:ascii="Arial" w:cs="Arial" w:eastAsia="Arial" w:hAnsi="Arial"/>
                <w:sz w:val="14"/>
                <w:szCs w:val="14"/>
                <w:color w:val="auto"/>
                <w:w w:val="86"/>
              </w:rPr>
              <w:t>Healthcare, Education and</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14.00%</w:t>
            </w:r>
          </w:p>
        </w:tc>
        <w:tc>
          <w:tcPr>
            <w:tcW w:w="920" w:type="dxa"/>
            <w:vAlign w:val="bottom"/>
            <w:gridSpan w:val="2"/>
          </w:tcPr>
          <w:p>
            <w:pPr>
              <w:jc w:val="right"/>
              <w:ind w:right="44"/>
              <w:spacing w:after="0" w:line="165" w:lineRule="exact"/>
              <w:rPr>
                <w:sz w:val="20"/>
                <w:szCs w:val="20"/>
                <w:color w:val="auto"/>
              </w:rPr>
            </w:pPr>
            <w:r>
              <w:rPr>
                <w:rFonts w:ascii="Arial" w:cs="Arial" w:eastAsia="Arial" w:hAnsi="Arial"/>
                <w:sz w:val="12"/>
                <w:szCs w:val="12"/>
                <w:color w:val="auto"/>
              </w:rPr>
              <w:t>L+1,000</w:t>
            </w:r>
            <w:r>
              <w:rPr>
                <w:rFonts w:ascii="Arial" w:cs="Arial" w:eastAsia="Arial" w:hAnsi="Arial"/>
                <w:sz w:val="19"/>
                <w:szCs w:val="19"/>
                <w:color w:val="auto"/>
                <w:vertAlign w:val="superscript"/>
              </w:rPr>
              <w:t>(8)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17,811,828</w:t>
            </w:r>
          </w:p>
        </w:tc>
        <w:tc>
          <w:tcPr>
            <w:tcW w:w="740" w:type="dxa"/>
            <w:vAlign w:val="bottom"/>
          </w:tcPr>
          <w:p>
            <w:pPr>
              <w:jc w:val="right"/>
              <w:spacing w:after="0"/>
              <w:rPr>
                <w:sz w:val="20"/>
                <w:szCs w:val="20"/>
                <w:color w:val="auto"/>
              </w:rPr>
            </w:pPr>
            <w:r>
              <w:rPr>
                <w:rFonts w:ascii="Arial" w:cs="Arial" w:eastAsia="Arial" w:hAnsi="Arial"/>
                <w:sz w:val="14"/>
                <w:szCs w:val="14"/>
                <w:color w:val="auto"/>
              </w:rPr>
              <w:t>17,441,366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17,811,828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02/07/2014</w:t>
            </w:r>
          </w:p>
        </w:tc>
        <w:tc>
          <w:tcPr>
            <w:tcW w:w="19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Energy/Utilities</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3.68%</w:t>
            </w:r>
          </w:p>
        </w:tc>
        <w:tc>
          <w:tcPr>
            <w:tcW w:w="920" w:type="dxa"/>
            <w:vAlign w:val="bottom"/>
            <w:gridSpan w:val="2"/>
            <w:shd w:val="clear" w:color="auto" w:fill="CCEEFF"/>
          </w:tcPr>
          <w:p>
            <w:pPr>
              <w:jc w:val="right"/>
              <w:ind w:right="164"/>
              <w:spacing w:after="0" w:line="149" w:lineRule="exact"/>
              <w:rPr>
                <w:sz w:val="20"/>
                <w:szCs w:val="20"/>
                <w:color w:val="auto"/>
              </w:rPr>
            </w:pPr>
            <w:r>
              <w:rPr>
                <w:rFonts w:ascii="Arial" w:cs="Arial" w:eastAsia="Arial" w:hAnsi="Arial"/>
                <w:sz w:val="14"/>
                <w:szCs w:val="14"/>
                <w:color w:val="auto"/>
              </w:rPr>
              <w:t>L+325</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1,757,029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1,973,334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10/01/2016</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11.63%</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7,355,237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04/01/2018</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11.50%</w:t>
            </w:r>
          </w:p>
        </w:tc>
        <w:tc>
          <w:tcPr>
            <w:tcW w:w="700" w:type="dxa"/>
            <w:vAlign w:val="bottom"/>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11/20/2014</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11.50%</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12/01/2016</w:t>
            </w:r>
          </w:p>
        </w:tc>
        <w:tc>
          <w:tcPr>
            <w:tcW w:w="19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Consumer Products</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11.50%</w:t>
            </w:r>
          </w:p>
        </w:tc>
        <w:tc>
          <w:tcPr>
            <w:tcW w:w="700" w:type="dxa"/>
            <w:vAlign w:val="bottom"/>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12,000,000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11,795,443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Arial" w:cs="Arial" w:eastAsia="Arial" w:hAnsi="Arial"/>
                <w:sz w:val="14"/>
                <w:szCs w:val="14"/>
                <w:color w:val="auto"/>
              </w:rPr>
              <w:t>Hanley-Wood, L.L.C.</w:t>
            </w:r>
          </w:p>
        </w:tc>
        <w:tc>
          <w:tcPr>
            <w:tcW w:w="1660" w:type="dxa"/>
            <w:vAlign w:val="bottom"/>
          </w:tcPr>
          <w:p>
            <w:pPr>
              <w:jc w:val="right"/>
              <w:ind w:right="112"/>
              <w:spacing w:after="0" w:line="122" w:lineRule="exact"/>
              <w:rPr>
                <w:sz w:val="20"/>
                <w:szCs w:val="20"/>
                <w:color w:val="auto"/>
              </w:rPr>
            </w:pPr>
            <w:r>
              <w:rPr>
                <w:rFonts w:ascii="Arial" w:cs="Arial" w:eastAsia="Arial" w:hAnsi="Arial"/>
                <w:sz w:val="14"/>
                <w:szCs w:val="14"/>
                <w:color w:val="auto"/>
              </w:rPr>
              <w:t>01/13/2017</w:t>
            </w:r>
          </w:p>
        </w:tc>
        <w:tc>
          <w:tcPr>
            <w:tcW w:w="1900" w:type="dxa"/>
            <w:vAlign w:val="bottom"/>
          </w:tcPr>
          <w:p>
            <w:pPr>
              <w:jc w:val="center"/>
              <w:spacing w:after="0" w:line="122" w:lineRule="exact"/>
              <w:rPr>
                <w:sz w:val="20"/>
                <w:szCs w:val="20"/>
                <w:color w:val="auto"/>
              </w:rPr>
            </w:pPr>
            <w:r>
              <w:rPr>
                <w:rFonts w:ascii="Arial" w:cs="Arial" w:eastAsia="Arial" w:hAnsi="Arial"/>
                <w:sz w:val="14"/>
                <w:szCs w:val="14"/>
                <w:color w:val="auto"/>
                <w:w w:val="88"/>
              </w:rPr>
              <w:t>Other Media</w:t>
            </w:r>
          </w:p>
        </w:tc>
        <w:tc>
          <w:tcPr>
            <w:tcW w:w="8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8.00%</w:t>
            </w:r>
          </w:p>
        </w:tc>
        <w:tc>
          <w:tcPr>
            <w:tcW w:w="920" w:type="dxa"/>
            <w:vAlign w:val="bottom"/>
            <w:gridSpan w:val="2"/>
          </w:tcPr>
          <w:p>
            <w:pPr>
              <w:jc w:val="right"/>
              <w:ind w:right="44"/>
              <w:spacing w:after="0" w:line="122" w:lineRule="exact"/>
              <w:rPr>
                <w:sz w:val="20"/>
                <w:szCs w:val="20"/>
                <w:color w:val="auto"/>
              </w:rPr>
            </w:pPr>
            <w:r>
              <w:rPr>
                <w:rFonts w:ascii="Arial" w:cs="Arial" w:eastAsia="Arial" w:hAnsi="Arial"/>
                <w:sz w:val="10"/>
                <w:szCs w:val="10"/>
                <w:color w:val="auto"/>
              </w:rPr>
              <w:t>L+650</w:t>
            </w:r>
            <w:r>
              <w:rPr>
                <w:rFonts w:ascii="Arial" w:cs="Arial" w:eastAsia="Arial" w:hAnsi="Arial"/>
                <w:sz w:val="14"/>
                <w:szCs w:val="14"/>
                <w:color w:val="auto"/>
                <w:vertAlign w:val="superscript"/>
              </w:rPr>
              <w:t>(8)</w:t>
            </w:r>
          </w:p>
        </w:tc>
        <w:tc>
          <w:tcPr>
            <w:tcW w:w="1000" w:type="dxa"/>
            <w:vAlign w:val="bottom"/>
            <w:gridSpan w:val="2"/>
          </w:tcPr>
          <w:p>
            <w:pPr>
              <w:jc w:val="right"/>
              <w:ind w:right="300"/>
              <w:spacing w:after="0" w:line="122" w:lineRule="exact"/>
              <w:rPr>
                <w:sz w:val="20"/>
                <w:szCs w:val="20"/>
                <w:color w:val="auto"/>
              </w:rPr>
            </w:pPr>
            <w:r>
              <w:rPr>
                <w:rFonts w:ascii="Arial" w:cs="Arial" w:eastAsia="Arial" w:hAnsi="Arial"/>
                <w:sz w:val="14"/>
                <w:szCs w:val="14"/>
                <w:color w:val="auto"/>
              </w:rPr>
              <w:t>1,752,896</w:t>
            </w: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1,752,896</w:t>
            </w:r>
          </w:p>
        </w:tc>
        <w:tc>
          <w:tcPr>
            <w:tcW w:w="9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1,752,896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20"/>
                <w:szCs w:val="20"/>
                <w:color w:val="auto"/>
                <w:vertAlign w:val="superscript"/>
              </w:rPr>
              <w:t>(5)</w:t>
            </w: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04/01/2017</w:t>
            </w:r>
          </w:p>
        </w:tc>
        <w:tc>
          <w:tcPr>
            <w:tcW w:w="1900" w:type="dxa"/>
            <w:vAlign w:val="bottom"/>
          </w:tcPr>
          <w:p>
            <w:pPr>
              <w:jc w:val="center"/>
              <w:spacing w:after="0"/>
              <w:rPr>
                <w:sz w:val="20"/>
                <w:szCs w:val="20"/>
                <w:color w:val="auto"/>
              </w:rPr>
            </w:pPr>
            <w:r>
              <w:rPr>
                <w:rFonts w:ascii="Arial" w:cs="Arial" w:eastAsia="Arial" w:hAnsi="Arial"/>
                <w:sz w:val="14"/>
                <w:szCs w:val="14"/>
                <w:color w:val="auto"/>
                <w:w w:val="87"/>
              </w:rPr>
              <w:t>Auto Sector</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11.50%</w:t>
            </w:r>
          </w:p>
        </w:tc>
        <w:tc>
          <w:tcPr>
            <w:tcW w:w="70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4"/>
              <w:spacing w:after="0"/>
              <w:rPr>
                <w:sz w:val="20"/>
                <w:szCs w:val="20"/>
                <w:color w:val="auto"/>
              </w:rPr>
            </w:pPr>
            <w:r>
              <w:rPr>
                <w:rFonts w:ascii="Arial" w:cs="Arial" w:eastAsia="Arial" w:hAnsi="Arial"/>
                <w:sz w:val="11"/>
                <w:szCs w:val="11"/>
                <w:color w:val="auto"/>
                <w:w w:val="74"/>
              </w:rPr>
              <w:t>(8)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11,500,000</w:t>
            </w:r>
          </w:p>
        </w:tc>
        <w:tc>
          <w:tcPr>
            <w:tcW w:w="740" w:type="dxa"/>
            <w:vAlign w:val="bottom"/>
          </w:tcPr>
          <w:p>
            <w:pPr>
              <w:jc w:val="right"/>
              <w:spacing w:after="0"/>
              <w:rPr>
                <w:sz w:val="20"/>
                <w:szCs w:val="20"/>
                <w:color w:val="auto"/>
              </w:rPr>
            </w:pPr>
            <w:r>
              <w:rPr>
                <w:rFonts w:ascii="Arial" w:cs="Arial" w:eastAsia="Arial" w:hAnsi="Arial"/>
                <w:sz w:val="14"/>
                <w:szCs w:val="14"/>
                <w:color w:val="auto"/>
              </w:rPr>
              <w:t>11,288,165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12,218,750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400" w:type="dxa"/>
            <w:vAlign w:val="bottom"/>
            <w:vMerge w:val="restart"/>
          </w:tcPr>
          <w:p>
            <w:pPr>
              <w:spacing w:after="0" w:line="122" w:lineRule="exact"/>
              <w:rPr>
                <w:sz w:val="20"/>
                <w:szCs w:val="20"/>
                <w:color w:val="auto"/>
              </w:rPr>
            </w:pPr>
            <w:r>
              <w:rPr>
                <w:rFonts w:ascii="Arial" w:cs="Arial" w:eastAsia="Arial" w:hAnsi="Arial"/>
                <w:sz w:val="14"/>
                <w:szCs w:val="14"/>
                <w:color w:val="auto"/>
              </w:rPr>
              <w:t>Instant Web, Inc.</w:t>
            </w:r>
          </w:p>
        </w:tc>
        <w:tc>
          <w:tcPr>
            <w:tcW w:w="1660" w:type="dxa"/>
            <w:vAlign w:val="bottom"/>
            <w:vMerge w:val="restart"/>
          </w:tcPr>
          <w:p>
            <w:pPr>
              <w:jc w:val="right"/>
              <w:ind w:right="112"/>
              <w:spacing w:after="0" w:line="122" w:lineRule="exact"/>
              <w:rPr>
                <w:sz w:val="20"/>
                <w:szCs w:val="20"/>
                <w:color w:val="auto"/>
              </w:rPr>
            </w:pPr>
            <w:r>
              <w:rPr>
                <w:rFonts w:ascii="Arial" w:cs="Arial" w:eastAsia="Arial" w:hAnsi="Arial"/>
                <w:sz w:val="14"/>
                <w:szCs w:val="14"/>
                <w:color w:val="auto"/>
              </w:rPr>
              <w:t>08/07/2014</w:t>
            </w:r>
          </w:p>
        </w:tc>
        <w:tc>
          <w:tcPr>
            <w:tcW w:w="1900" w:type="dxa"/>
            <w:vAlign w:val="bottom"/>
            <w:vMerge w:val="restart"/>
          </w:tcPr>
          <w:p>
            <w:pPr>
              <w:jc w:val="center"/>
              <w:spacing w:after="0" w:line="122" w:lineRule="exact"/>
              <w:rPr>
                <w:sz w:val="20"/>
                <w:szCs w:val="20"/>
                <w:color w:val="auto"/>
              </w:rPr>
            </w:pPr>
            <w:r>
              <w:rPr>
                <w:rFonts w:ascii="Arial" w:cs="Arial" w:eastAsia="Arial" w:hAnsi="Arial"/>
                <w:sz w:val="14"/>
                <w:szCs w:val="14"/>
                <w:color w:val="auto"/>
                <w:w w:val="89"/>
              </w:rPr>
              <w:t>Printing and Publishing</w:t>
            </w:r>
          </w:p>
        </w:tc>
        <w:tc>
          <w:tcPr>
            <w:tcW w:w="820" w:type="dxa"/>
            <w:vAlign w:val="bottom"/>
            <w:vMerge w:val="restart"/>
          </w:tcPr>
          <w:p>
            <w:pPr>
              <w:jc w:val="right"/>
              <w:ind w:right="32"/>
              <w:spacing w:after="0" w:line="122" w:lineRule="exact"/>
              <w:rPr>
                <w:sz w:val="20"/>
                <w:szCs w:val="20"/>
                <w:color w:val="auto"/>
              </w:rPr>
            </w:pPr>
            <w:r>
              <w:rPr>
                <w:rFonts w:ascii="Arial" w:cs="Arial" w:eastAsia="Arial" w:hAnsi="Arial"/>
                <w:sz w:val="14"/>
                <w:szCs w:val="14"/>
                <w:color w:val="auto"/>
              </w:rPr>
              <w:t>14.50%</w:t>
            </w:r>
          </w:p>
        </w:tc>
        <w:tc>
          <w:tcPr>
            <w:tcW w:w="7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0" w:type="dxa"/>
            <w:vAlign w:val="bottom"/>
            <w:gridSpan w:val="2"/>
            <w:vMerge w:val="restart"/>
          </w:tcPr>
          <w:p>
            <w:pPr>
              <w:jc w:val="right"/>
              <w:ind w:right="300"/>
              <w:spacing w:after="0" w:line="122" w:lineRule="exact"/>
              <w:rPr>
                <w:sz w:val="20"/>
                <w:szCs w:val="20"/>
                <w:color w:val="auto"/>
              </w:rPr>
            </w:pPr>
            <w:r>
              <w:rPr>
                <w:rFonts w:ascii="Arial" w:cs="Arial" w:eastAsia="Arial" w:hAnsi="Arial"/>
                <w:sz w:val="14"/>
                <w:szCs w:val="14"/>
                <w:color w:val="auto"/>
                <w:w w:val="96"/>
              </w:rPr>
              <w:t>24,115,645</w:t>
            </w:r>
          </w:p>
        </w:tc>
        <w:tc>
          <w:tcPr>
            <w:tcW w:w="740" w:type="dxa"/>
            <w:vAlign w:val="bottom"/>
            <w:vMerge w:val="restart"/>
          </w:tcPr>
          <w:p>
            <w:pPr>
              <w:jc w:val="right"/>
              <w:spacing w:after="0" w:line="122" w:lineRule="exact"/>
              <w:rPr>
                <w:sz w:val="20"/>
                <w:szCs w:val="20"/>
                <w:color w:val="auto"/>
              </w:rPr>
            </w:pPr>
            <w:r>
              <w:rPr>
                <w:rFonts w:ascii="Arial" w:cs="Arial" w:eastAsia="Arial" w:hAnsi="Arial"/>
                <w:sz w:val="14"/>
                <w:szCs w:val="14"/>
                <w:color w:val="auto"/>
              </w:rPr>
              <w:t>23,829,738</w:t>
            </w:r>
          </w:p>
        </w:tc>
        <w:tc>
          <w:tcPr>
            <w:tcW w:w="920" w:type="dxa"/>
            <w:vAlign w:val="bottom"/>
            <w:gridSpan w:val="2"/>
            <w:vMerge w:val="restart"/>
          </w:tcPr>
          <w:p>
            <w:pPr>
              <w:jc w:val="right"/>
              <w:spacing w:after="0" w:line="122" w:lineRule="exact"/>
              <w:rPr>
                <w:sz w:val="20"/>
                <w:szCs w:val="20"/>
                <w:color w:val="auto"/>
              </w:rPr>
            </w:pPr>
            <w:r>
              <w:rPr>
                <w:rFonts w:ascii="Arial" w:cs="Arial" w:eastAsia="Arial" w:hAnsi="Arial"/>
                <w:sz w:val="14"/>
                <w:szCs w:val="14"/>
                <w:color w:val="auto"/>
              </w:rPr>
              <w:t>23,802,142</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gridSpan w:val="2"/>
          </w:tcPr>
          <w:p>
            <w:pPr>
              <w:jc w:val="right"/>
              <w:ind w:right="164"/>
              <w:spacing w:after="0" w:line="68" w:lineRule="exact"/>
              <w:rPr>
                <w:sz w:val="20"/>
                <w:szCs w:val="20"/>
                <w:color w:val="auto"/>
              </w:rPr>
            </w:pPr>
            <w:r>
              <w:rPr>
                <w:rFonts w:ascii="Arial" w:cs="Arial" w:eastAsia="Arial" w:hAnsi="Arial"/>
                <w:sz w:val="7"/>
                <w:szCs w:val="7"/>
                <w:color w:val="auto"/>
              </w:rPr>
              <w:t>L+950</w:t>
            </w:r>
          </w:p>
        </w:tc>
        <w:tc>
          <w:tcPr>
            <w:tcW w:w="10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20"/>
                <w:szCs w:val="20"/>
                <w:color w:val="auto"/>
              </w:rPr>
            </w:pPr>
            <w:r>
              <w:rPr>
                <w:rFonts w:ascii="Arial" w:cs="Arial" w:eastAsia="Arial" w:hAnsi="Arial"/>
                <w:sz w:val="14"/>
                <w:szCs w:val="14"/>
                <w:color w:val="auto"/>
              </w:rPr>
              <w:t>Interactive Health Solutions, Inc.</w:t>
            </w: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10/04/2016</w:t>
            </w:r>
          </w:p>
        </w:tc>
        <w:tc>
          <w:tcPr>
            <w:tcW w:w="1900" w:type="dxa"/>
            <w:vAlign w:val="bottom"/>
          </w:tcPr>
          <w:p>
            <w:pPr>
              <w:jc w:val="center"/>
              <w:ind w:left="12"/>
              <w:spacing w:after="0"/>
              <w:rPr>
                <w:sz w:val="20"/>
                <w:szCs w:val="20"/>
                <w:color w:val="auto"/>
              </w:rPr>
            </w:pPr>
            <w:r>
              <w:rPr>
                <w:rFonts w:ascii="Arial" w:cs="Arial" w:eastAsia="Arial" w:hAnsi="Arial"/>
                <w:sz w:val="14"/>
                <w:szCs w:val="14"/>
                <w:color w:val="auto"/>
                <w:w w:val="86"/>
              </w:rPr>
              <w:t>Healthcare, Education and</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11.50%</w:t>
            </w:r>
          </w:p>
        </w:tc>
        <w:tc>
          <w:tcPr>
            <w:tcW w:w="920" w:type="dxa"/>
            <w:vAlign w:val="bottom"/>
            <w:gridSpan w:val="2"/>
          </w:tcPr>
          <w:p>
            <w:pPr>
              <w:jc w:val="right"/>
              <w:ind w:right="44"/>
              <w:spacing w:after="0" w:line="165" w:lineRule="exact"/>
              <w:rPr>
                <w:sz w:val="20"/>
                <w:szCs w:val="20"/>
                <w:color w:val="auto"/>
              </w:rPr>
            </w:pPr>
            <w:r>
              <w:rPr>
                <w:rFonts w:ascii="Arial" w:cs="Arial" w:eastAsia="Arial" w:hAnsi="Arial"/>
                <w:sz w:val="12"/>
                <w:szCs w:val="12"/>
                <w:color w:val="auto"/>
              </w:rPr>
              <w:t>L+950</w:t>
            </w:r>
            <w:r>
              <w:rPr>
                <w:rFonts w:ascii="Arial" w:cs="Arial" w:eastAsia="Arial" w:hAnsi="Arial"/>
                <w:sz w:val="19"/>
                <w:szCs w:val="19"/>
                <w:color w:val="auto"/>
                <w:vertAlign w:val="superscript"/>
              </w:rPr>
              <w:t>(8)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18,525,000</w:t>
            </w:r>
          </w:p>
        </w:tc>
        <w:tc>
          <w:tcPr>
            <w:tcW w:w="740" w:type="dxa"/>
            <w:vAlign w:val="bottom"/>
          </w:tcPr>
          <w:p>
            <w:pPr>
              <w:jc w:val="right"/>
              <w:spacing w:after="0"/>
              <w:rPr>
                <w:sz w:val="20"/>
                <w:szCs w:val="20"/>
                <w:color w:val="auto"/>
              </w:rPr>
            </w:pPr>
            <w:r>
              <w:rPr>
                <w:rFonts w:ascii="Arial" w:cs="Arial" w:eastAsia="Arial" w:hAnsi="Arial"/>
                <w:sz w:val="14"/>
                <w:szCs w:val="14"/>
                <w:color w:val="auto"/>
              </w:rPr>
              <w:t>18,165,492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18,571,313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line="138" w:lineRule="exact"/>
              <w:rPr>
                <w:sz w:val="20"/>
                <w:szCs w:val="20"/>
                <w:color w:val="auto"/>
              </w:rPr>
            </w:pPr>
            <w:r>
              <w:rPr>
                <w:rFonts w:ascii="Arial" w:cs="Arial" w:eastAsia="Arial" w:hAnsi="Arial"/>
                <w:sz w:val="14"/>
                <w:szCs w:val="14"/>
                <w:color w:val="auto"/>
              </w:rPr>
              <w:t>Jacuzzi Brands Corp.</w:t>
            </w:r>
          </w:p>
        </w:tc>
        <w:tc>
          <w:tcPr>
            <w:tcW w:w="16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02/07/2014</w:t>
            </w: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2.28%</w:t>
            </w:r>
          </w:p>
        </w:tc>
        <w:tc>
          <w:tcPr>
            <w:tcW w:w="920" w:type="dxa"/>
            <w:vAlign w:val="bottom"/>
            <w:gridSpan w:val="2"/>
          </w:tcPr>
          <w:p>
            <w:pPr>
              <w:jc w:val="right"/>
              <w:ind w:right="164"/>
              <w:spacing w:after="0" w:line="138" w:lineRule="exact"/>
              <w:rPr>
                <w:sz w:val="20"/>
                <w:szCs w:val="20"/>
                <w:color w:val="auto"/>
              </w:rPr>
            </w:pPr>
            <w:r>
              <w:rPr>
                <w:rFonts w:ascii="Arial" w:cs="Arial" w:eastAsia="Arial" w:hAnsi="Arial"/>
                <w:sz w:val="14"/>
                <w:szCs w:val="14"/>
                <w:color w:val="auto"/>
              </w:rPr>
              <w:t>L+225</w:t>
            </w: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9,598,649</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9,598,649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ind w:left="12"/>
              <w:spacing w:after="0" w:line="159" w:lineRule="exact"/>
              <w:rPr>
                <w:sz w:val="20"/>
                <w:szCs w:val="20"/>
                <w:color w:val="auto"/>
              </w:rPr>
            </w:pPr>
            <w:r>
              <w:rPr>
                <w:rFonts w:ascii="Arial" w:cs="Arial" w:eastAsia="Arial" w:hAnsi="Arial"/>
                <w:sz w:val="14"/>
                <w:szCs w:val="14"/>
                <w:color w:val="auto"/>
                <w:w w:val="85"/>
              </w:rPr>
              <w:t>Consumer Products</w:t>
            </w:r>
          </w:p>
        </w:tc>
        <w:tc>
          <w:tcPr>
            <w:tcW w:w="820" w:type="dxa"/>
            <w:vAlign w:val="bottom"/>
          </w:tcPr>
          <w:p>
            <w:pPr>
              <w:spacing w:after="0"/>
              <w:rPr>
                <w:sz w:val="13"/>
                <w:szCs w:val="13"/>
                <w:color w:val="auto"/>
              </w:rPr>
            </w:pPr>
          </w:p>
        </w:tc>
        <w:tc>
          <w:tcPr>
            <w:tcW w:w="9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L+775</w:t>
            </w:r>
            <w:r>
              <w:rPr>
                <w:rFonts w:ascii="Arial" w:cs="Arial" w:eastAsia="Arial" w:hAnsi="Arial"/>
                <w:sz w:val="22"/>
                <w:szCs w:val="22"/>
                <w:color w:val="auto"/>
                <w:vertAlign w:val="superscript"/>
              </w:rPr>
              <w:t>(8)</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line="138" w:lineRule="exact"/>
              <w:rPr>
                <w:sz w:val="20"/>
                <w:szCs w:val="20"/>
                <w:color w:val="auto"/>
              </w:rPr>
            </w:pPr>
            <w:r>
              <w:rPr>
                <w:rFonts w:ascii="Arial" w:cs="Arial" w:eastAsia="Arial" w:hAnsi="Arial"/>
                <w:sz w:val="14"/>
                <w:szCs w:val="14"/>
                <w:color w:val="auto"/>
              </w:rPr>
              <w:t>K2 Pure Solutions NoCal, L.P.</w:t>
            </w:r>
          </w:p>
        </w:tc>
        <w:tc>
          <w:tcPr>
            <w:tcW w:w="16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09/10/2015</w:t>
            </w: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10.00%</w:t>
            </w:r>
          </w:p>
        </w:tc>
        <w:tc>
          <w:tcPr>
            <w:tcW w:w="920" w:type="dxa"/>
            <w:vAlign w:val="bottom"/>
            <w:gridSpan w:val="2"/>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96"/>
              </w:rPr>
              <w:t>18,952,500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18,216,865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19,236,788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820" w:type="dxa"/>
            <w:vAlign w:val="bottom"/>
          </w:tcPr>
          <w:p>
            <w:pPr>
              <w:spacing w:after="0"/>
              <w:rPr>
                <w:sz w:val="13"/>
                <w:szCs w:val="13"/>
                <w:color w:val="auto"/>
              </w:rPr>
            </w:pPr>
          </w:p>
        </w:tc>
        <w:tc>
          <w:tcPr>
            <w:tcW w:w="9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L+1,300</w:t>
            </w:r>
            <w:r>
              <w:rPr>
                <w:rFonts w:ascii="Arial" w:cs="Arial" w:eastAsia="Arial" w:hAnsi="Arial"/>
                <w:sz w:val="22"/>
                <w:szCs w:val="22"/>
                <w:color w:val="auto"/>
                <w:vertAlign w:val="superscript"/>
              </w:rPr>
              <w:t>(8)</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line="138" w:lineRule="exact"/>
              <w:rPr>
                <w:sz w:val="20"/>
                <w:szCs w:val="20"/>
                <w:color w:val="auto"/>
              </w:rPr>
            </w:pPr>
            <w:r>
              <w:rPr>
                <w:rFonts w:ascii="Arial" w:cs="Arial" w:eastAsia="Arial" w:hAnsi="Arial"/>
                <w:sz w:val="14"/>
                <w:szCs w:val="14"/>
                <w:color w:val="auto"/>
              </w:rPr>
              <w:t>Kadmon Pharmaceuticals, LLC</w:t>
            </w:r>
          </w:p>
        </w:tc>
        <w:tc>
          <w:tcPr>
            <w:tcW w:w="16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10/31/2012</w:t>
            </w:r>
          </w:p>
        </w:tc>
        <w:tc>
          <w:tcPr>
            <w:tcW w:w="190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6"/>
              </w:rPr>
              <w:t>Healthcare, Education and</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15.00%</w:t>
            </w:r>
          </w:p>
        </w:tc>
        <w:tc>
          <w:tcPr>
            <w:tcW w:w="920" w:type="dxa"/>
            <w:vAlign w:val="bottom"/>
            <w:gridSpan w:val="2"/>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4,931,494</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4,992,740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5,110,409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Learning Care Group, Inc.</w:t>
            </w:r>
          </w:p>
        </w:tc>
        <w:tc>
          <w:tcPr>
            <w:tcW w:w="1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04/27/2016</w:t>
            </w:r>
          </w:p>
        </w:tc>
        <w:tc>
          <w:tcPr>
            <w:tcW w:w="19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6"/>
              </w:rPr>
              <w:t>Education</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12.00%</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44"/>
              <w:spacing w:after="0"/>
              <w:rPr>
                <w:sz w:val="20"/>
                <w:szCs w:val="20"/>
                <w:color w:val="auto"/>
              </w:rPr>
            </w:pPr>
            <w:r>
              <w:rPr>
                <w:rFonts w:ascii="Arial" w:cs="Arial" w:eastAsia="Arial" w:hAnsi="Arial"/>
                <w:sz w:val="11"/>
                <w:szCs w:val="11"/>
                <w:color w:val="auto"/>
                <w:w w:val="74"/>
              </w:rPr>
              <w:t>(8)</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26,052,632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25,640,832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25,857,237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00" w:type="dxa"/>
            <w:vAlign w:val="bottom"/>
          </w:tcPr>
          <w:p>
            <w:pPr>
              <w:spacing w:after="0" w:line="137" w:lineRule="exact"/>
              <w:rPr>
                <w:sz w:val="20"/>
                <w:szCs w:val="20"/>
                <w:color w:val="auto"/>
              </w:rPr>
            </w:pPr>
            <w:r>
              <w:rPr>
                <w:rFonts w:ascii="Arial" w:cs="Arial" w:eastAsia="Arial" w:hAnsi="Arial"/>
                <w:sz w:val="14"/>
                <w:szCs w:val="14"/>
                <w:color w:val="auto"/>
              </w:rPr>
              <w:t>Penton Media, Inc.</w:t>
            </w:r>
          </w:p>
        </w:tc>
        <w:tc>
          <w:tcPr>
            <w:tcW w:w="1660" w:type="dxa"/>
            <w:vAlign w:val="bottom"/>
          </w:tcPr>
          <w:p>
            <w:pPr>
              <w:jc w:val="right"/>
              <w:ind w:right="112"/>
              <w:spacing w:after="0" w:line="137" w:lineRule="exact"/>
              <w:rPr>
                <w:sz w:val="20"/>
                <w:szCs w:val="20"/>
                <w:color w:val="auto"/>
              </w:rPr>
            </w:pPr>
            <w:r>
              <w:rPr>
                <w:rFonts w:ascii="Arial" w:cs="Arial" w:eastAsia="Arial" w:hAnsi="Arial"/>
                <w:sz w:val="14"/>
                <w:szCs w:val="14"/>
                <w:color w:val="auto"/>
              </w:rPr>
              <w:t>08/01/2014</w:t>
            </w:r>
          </w:p>
        </w:tc>
        <w:tc>
          <w:tcPr>
            <w:tcW w:w="1900" w:type="dxa"/>
            <w:vAlign w:val="bottom"/>
          </w:tcPr>
          <w:p>
            <w:pPr>
              <w:jc w:val="center"/>
              <w:spacing w:after="0" w:line="137" w:lineRule="exact"/>
              <w:rPr>
                <w:sz w:val="20"/>
                <w:szCs w:val="20"/>
                <w:color w:val="auto"/>
              </w:rPr>
            </w:pPr>
            <w:r>
              <w:rPr>
                <w:rFonts w:ascii="Arial" w:cs="Arial" w:eastAsia="Arial" w:hAnsi="Arial"/>
                <w:sz w:val="14"/>
                <w:szCs w:val="14"/>
                <w:color w:val="auto"/>
                <w:w w:val="88"/>
              </w:rPr>
              <w:t>Other Media</w:t>
            </w:r>
          </w:p>
        </w:tc>
        <w:tc>
          <w:tcPr>
            <w:tcW w:w="820" w:type="dxa"/>
            <w:vAlign w:val="bottom"/>
          </w:tcPr>
          <w:p>
            <w:pPr>
              <w:jc w:val="right"/>
              <w:ind w:right="32"/>
              <w:spacing w:after="0" w:line="137" w:lineRule="exact"/>
              <w:rPr>
                <w:sz w:val="20"/>
                <w:szCs w:val="20"/>
                <w:color w:val="auto"/>
              </w:rPr>
            </w:pPr>
            <w:r>
              <w:rPr>
                <w:rFonts w:ascii="Arial" w:cs="Arial" w:eastAsia="Arial" w:hAnsi="Arial"/>
                <w:sz w:val="14"/>
                <w:szCs w:val="14"/>
                <w:color w:val="auto"/>
              </w:rPr>
              <w:t>5.00%</w:t>
            </w:r>
          </w:p>
        </w:tc>
        <w:tc>
          <w:tcPr>
            <w:tcW w:w="920" w:type="dxa"/>
            <w:vAlign w:val="bottom"/>
            <w:gridSpan w:val="2"/>
          </w:tcPr>
          <w:p>
            <w:pPr>
              <w:jc w:val="right"/>
              <w:ind w:right="164"/>
              <w:spacing w:after="0" w:line="137" w:lineRule="exact"/>
              <w:rPr>
                <w:sz w:val="20"/>
                <w:szCs w:val="20"/>
                <w:color w:val="auto"/>
              </w:rPr>
            </w:pPr>
            <w:r>
              <w:rPr>
                <w:rFonts w:ascii="Arial" w:cs="Arial" w:eastAsia="Arial" w:hAnsi="Arial"/>
                <w:sz w:val="14"/>
                <w:szCs w:val="14"/>
                <w:color w:val="auto"/>
              </w:rPr>
              <w:t>L+400</w:t>
            </w:r>
          </w:p>
        </w:tc>
        <w:tc>
          <w:tcPr>
            <w:tcW w:w="1000" w:type="dxa"/>
            <w:vAlign w:val="bottom"/>
            <w:gridSpan w:val="2"/>
          </w:tcPr>
          <w:p>
            <w:pPr>
              <w:jc w:val="right"/>
              <w:ind w:right="300"/>
              <w:spacing w:after="0" w:line="137" w:lineRule="exact"/>
              <w:rPr>
                <w:sz w:val="20"/>
                <w:szCs w:val="20"/>
                <w:color w:val="auto"/>
              </w:rPr>
            </w:pPr>
            <w:r>
              <w:rPr>
                <w:rFonts w:ascii="Arial" w:cs="Arial" w:eastAsia="Arial" w:hAnsi="Arial"/>
                <w:sz w:val="14"/>
                <w:szCs w:val="14"/>
                <w:color w:val="auto"/>
                <w:w w:val="96"/>
              </w:rPr>
              <w:t>37,775,294</w:t>
            </w:r>
          </w:p>
        </w:tc>
        <w:tc>
          <w:tcPr>
            <w:tcW w:w="740" w:type="dxa"/>
            <w:vAlign w:val="bottom"/>
          </w:tcPr>
          <w:p>
            <w:pPr>
              <w:jc w:val="right"/>
              <w:spacing w:after="0" w:line="137" w:lineRule="exact"/>
              <w:rPr>
                <w:sz w:val="20"/>
                <w:szCs w:val="20"/>
                <w:color w:val="auto"/>
              </w:rPr>
            </w:pPr>
            <w:r>
              <w:rPr>
                <w:rFonts w:ascii="Arial" w:cs="Arial" w:eastAsia="Arial" w:hAnsi="Arial"/>
                <w:sz w:val="14"/>
                <w:szCs w:val="14"/>
                <w:color w:val="auto"/>
              </w:rPr>
              <w:t>33,971,917</w:t>
            </w:r>
          </w:p>
        </w:tc>
        <w:tc>
          <w:tcPr>
            <w:tcW w:w="9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30,503,550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w w:val="95"/>
              </w:rPr>
              <w:t>(PIK 1.00%)</w:t>
            </w:r>
          </w:p>
        </w:tc>
        <w:tc>
          <w:tcPr>
            <w:tcW w:w="9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L+600</w:t>
            </w:r>
            <w:r>
              <w:rPr>
                <w:rFonts w:ascii="Arial" w:cs="Arial" w:eastAsia="Arial" w:hAnsi="Arial"/>
                <w:sz w:val="22"/>
                <w:szCs w:val="22"/>
                <w:color w:val="auto"/>
                <w:vertAlign w:val="superscript"/>
              </w:rPr>
              <w:t>(8)</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line="139" w:lineRule="exact"/>
              <w:rPr>
                <w:sz w:val="20"/>
                <w:szCs w:val="20"/>
                <w:color w:val="auto"/>
              </w:rPr>
            </w:pPr>
            <w:r>
              <w:rPr>
                <w:rFonts w:ascii="Arial" w:cs="Arial" w:eastAsia="Arial" w:hAnsi="Arial"/>
                <w:sz w:val="14"/>
                <w:szCs w:val="14"/>
                <w:color w:val="auto"/>
              </w:rPr>
              <w:t>Pre-Paid Legal Services, Inc., Tranche A</w:t>
            </w:r>
          </w:p>
        </w:tc>
        <w:tc>
          <w:tcPr>
            <w:tcW w:w="1660" w:type="dxa"/>
            <w:vAlign w:val="bottom"/>
          </w:tcPr>
          <w:p>
            <w:pPr>
              <w:jc w:val="right"/>
              <w:ind w:right="112"/>
              <w:spacing w:after="0" w:line="139" w:lineRule="exact"/>
              <w:rPr>
                <w:sz w:val="20"/>
                <w:szCs w:val="20"/>
                <w:color w:val="auto"/>
              </w:rPr>
            </w:pPr>
            <w:r>
              <w:rPr>
                <w:rFonts w:ascii="Arial" w:cs="Arial" w:eastAsia="Arial" w:hAnsi="Arial"/>
                <w:sz w:val="14"/>
                <w:szCs w:val="14"/>
                <w:color w:val="auto"/>
              </w:rPr>
              <w:t>12/30/2016</w:t>
            </w:r>
          </w:p>
        </w:tc>
        <w:tc>
          <w:tcPr>
            <w:tcW w:w="1900" w:type="dxa"/>
            <w:vAlign w:val="bottom"/>
          </w:tcPr>
          <w:p>
            <w:pPr>
              <w:jc w:val="center"/>
              <w:spacing w:after="0" w:line="139" w:lineRule="exact"/>
              <w:rPr>
                <w:sz w:val="20"/>
                <w:szCs w:val="20"/>
                <w:color w:val="auto"/>
              </w:rPr>
            </w:pPr>
            <w:r>
              <w:rPr>
                <w:rFonts w:ascii="Arial" w:cs="Arial" w:eastAsia="Arial" w:hAnsi="Arial"/>
                <w:sz w:val="14"/>
                <w:szCs w:val="14"/>
                <w:color w:val="auto"/>
                <w:w w:val="85"/>
              </w:rPr>
              <w:t>Personal, Food and</w:t>
            </w:r>
          </w:p>
        </w:tc>
        <w:tc>
          <w:tcPr>
            <w:tcW w:w="820" w:type="dxa"/>
            <w:vAlign w:val="bottom"/>
          </w:tcPr>
          <w:p>
            <w:pPr>
              <w:jc w:val="right"/>
              <w:ind w:right="32"/>
              <w:spacing w:after="0" w:line="139" w:lineRule="exact"/>
              <w:rPr>
                <w:sz w:val="20"/>
                <w:szCs w:val="20"/>
                <w:color w:val="auto"/>
              </w:rPr>
            </w:pPr>
            <w:r>
              <w:rPr>
                <w:rFonts w:ascii="Arial" w:cs="Arial" w:eastAsia="Arial" w:hAnsi="Arial"/>
                <w:sz w:val="14"/>
                <w:szCs w:val="14"/>
                <w:color w:val="auto"/>
              </w:rPr>
              <w:t>7.50%</w:t>
            </w:r>
          </w:p>
        </w:tc>
        <w:tc>
          <w:tcPr>
            <w:tcW w:w="920" w:type="dxa"/>
            <w:vAlign w:val="bottom"/>
            <w:gridSpan w:val="2"/>
            <w:vMerge w:val="continue"/>
          </w:tcPr>
          <w:p>
            <w:pPr>
              <w:spacing w:after="0"/>
              <w:rPr>
                <w:sz w:val="12"/>
                <w:szCs w:val="12"/>
                <w:color w:val="auto"/>
              </w:rPr>
            </w:pPr>
          </w:p>
        </w:tc>
        <w:tc>
          <w:tcPr>
            <w:tcW w:w="1000" w:type="dxa"/>
            <w:vAlign w:val="bottom"/>
            <w:gridSpan w:val="2"/>
          </w:tcPr>
          <w:p>
            <w:pPr>
              <w:jc w:val="right"/>
              <w:ind w:right="300"/>
              <w:spacing w:after="0" w:line="139" w:lineRule="exact"/>
              <w:rPr>
                <w:sz w:val="20"/>
                <w:szCs w:val="20"/>
                <w:color w:val="auto"/>
              </w:rPr>
            </w:pPr>
            <w:r>
              <w:rPr>
                <w:rFonts w:ascii="Arial" w:cs="Arial" w:eastAsia="Arial" w:hAnsi="Arial"/>
                <w:sz w:val="14"/>
                <w:szCs w:val="14"/>
                <w:color w:val="auto"/>
              </w:rPr>
              <w:t>1,552,846</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1,533,687</w:t>
            </w:r>
          </w:p>
        </w:tc>
        <w:tc>
          <w:tcPr>
            <w:tcW w:w="92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1,556,728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820" w:type="dxa"/>
            <w:vAlign w:val="bottom"/>
          </w:tcPr>
          <w:p>
            <w:pPr>
              <w:spacing w:after="0"/>
              <w:rPr>
                <w:sz w:val="13"/>
                <w:szCs w:val="13"/>
                <w:color w:val="auto"/>
              </w:rPr>
            </w:pPr>
          </w:p>
        </w:tc>
        <w:tc>
          <w:tcPr>
            <w:tcW w:w="9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line="138" w:lineRule="exact"/>
              <w:rPr>
                <w:sz w:val="20"/>
                <w:szCs w:val="20"/>
                <w:color w:val="auto"/>
              </w:rPr>
            </w:pPr>
            <w:r>
              <w:rPr>
                <w:rFonts w:ascii="Arial" w:cs="Arial" w:eastAsia="Arial" w:hAnsi="Arial"/>
                <w:sz w:val="14"/>
                <w:szCs w:val="14"/>
                <w:color w:val="auto"/>
              </w:rPr>
              <w:t>Pre-Paid Legal Services, Inc., Tranche B</w:t>
            </w:r>
          </w:p>
        </w:tc>
        <w:tc>
          <w:tcPr>
            <w:tcW w:w="16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12/30/2016</w:t>
            </w: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11.00%</w:t>
            </w:r>
          </w:p>
        </w:tc>
        <w:tc>
          <w:tcPr>
            <w:tcW w:w="920" w:type="dxa"/>
            <w:vAlign w:val="bottom"/>
            <w:gridSpan w:val="2"/>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96"/>
              </w:rPr>
              <w:t>35,000,000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34,118,800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35,350,000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vMerge w:val="restart"/>
          </w:tcPr>
          <w:p>
            <w:pPr>
              <w:spacing w:after="0"/>
              <w:rPr>
                <w:sz w:val="20"/>
                <w:szCs w:val="20"/>
                <w:color w:val="auto"/>
              </w:rPr>
            </w:pPr>
            <w:r>
              <w:rPr>
                <w:rFonts w:ascii="Arial" w:cs="Arial" w:eastAsia="Arial" w:hAnsi="Arial"/>
                <w:sz w:val="14"/>
                <w:szCs w:val="14"/>
                <w:color w:val="auto"/>
              </w:rPr>
              <w:t xml:space="preserve">Questex Media Group LLC </w:t>
            </w:r>
            <w:r>
              <w:rPr>
                <w:rFonts w:ascii="Arial" w:cs="Arial" w:eastAsia="Arial" w:hAnsi="Arial"/>
                <w:sz w:val="22"/>
                <w:szCs w:val="22"/>
                <w:color w:val="auto"/>
                <w:vertAlign w:val="superscript"/>
              </w:rPr>
              <w:t>(9)</w:t>
            </w:r>
          </w:p>
        </w:tc>
        <w:tc>
          <w:tcPr>
            <w:tcW w:w="166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1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12/16/2012</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4"/>
              <w:spacing w:after="0"/>
              <w:rPr>
                <w:sz w:val="20"/>
                <w:szCs w:val="20"/>
                <w:color w:val="auto"/>
              </w:rPr>
            </w:pPr>
            <w:r>
              <w:rPr>
                <w:rFonts w:ascii="Arial" w:cs="Arial" w:eastAsia="Arial" w:hAnsi="Arial"/>
                <w:sz w:val="11"/>
                <w:szCs w:val="11"/>
                <w:color w:val="auto"/>
                <w:w w:val="74"/>
              </w:rPr>
              <w:t>(8)</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133,603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133,603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133,603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00" w:type="dxa"/>
            <w:vAlign w:val="bottom"/>
            <w:vMerge w:val="restart"/>
          </w:tcPr>
          <w:p>
            <w:pPr>
              <w:spacing w:after="0" w:line="122" w:lineRule="exact"/>
              <w:rPr>
                <w:sz w:val="20"/>
                <w:szCs w:val="20"/>
                <w:color w:val="auto"/>
              </w:rPr>
            </w:pPr>
            <w:r>
              <w:rPr>
                <w:rFonts w:ascii="Arial" w:cs="Arial" w:eastAsia="Arial" w:hAnsi="Arial"/>
                <w:sz w:val="14"/>
                <w:szCs w:val="14"/>
                <w:color w:val="auto"/>
              </w:rPr>
              <w:t>Tekelec Global Inc. (First Out)</w:t>
            </w:r>
          </w:p>
        </w:tc>
        <w:tc>
          <w:tcPr>
            <w:tcW w:w="1660" w:type="dxa"/>
            <w:vAlign w:val="bottom"/>
            <w:vMerge w:val="restart"/>
          </w:tcPr>
          <w:p>
            <w:pPr>
              <w:jc w:val="right"/>
              <w:ind w:right="112"/>
              <w:spacing w:after="0" w:line="122" w:lineRule="exact"/>
              <w:rPr>
                <w:sz w:val="20"/>
                <w:szCs w:val="20"/>
                <w:color w:val="auto"/>
              </w:rPr>
            </w:pPr>
            <w:r>
              <w:rPr>
                <w:rFonts w:ascii="Arial" w:cs="Arial" w:eastAsia="Arial" w:hAnsi="Arial"/>
                <w:sz w:val="14"/>
                <w:szCs w:val="14"/>
                <w:color w:val="auto"/>
              </w:rPr>
              <w:t>01/29/2018</w:t>
            </w:r>
          </w:p>
        </w:tc>
        <w:tc>
          <w:tcPr>
            <w:tcW w:w="1900" w:type="dxa"/>
            <w:vAlign w:val="bottom"/>
            <w:vMerge w:val="restart"/>
          </w:tcPr>
          <w:p>
            <w:pPr>
              <w:jc w:val="center"/>
              <w:spacing w:after="0" w:line="122" w:lineRule="exact"/>
              <w:rPr>
                <w:sz w:val="20"/>
                <w:szCs w:val="20"/>
                <w:color w:val="auto"/>
              </w:rPr>
            </w:pPr>
            <w:r>
              <w:rPr>
                <w:rFonts w:ascii="Arial" w:cs="Arial" w:eastAsia="Arial" w:hAnsi="Arial"/>
                <w:sz w:val="14"/>
                <w:szCs w:val="14"/>
                <w:color w:val="auto"/>
                <w:w w:val="87"/>
              </w:rPr>
              <w:t>Telecommunications</w:t>
            </w:r>
          </w:p>
        </w:tc>
        <w:tc>
          <w:tcPr>
            <w:tcW w:w="820" w:type="dxa"/>
            <w:vAlign w:val="bottom"/>
            <w:vMerge w:val="restart"/>
          </w:tcPr>
          <w:p>
            <w:pPr>
              <w:jc w:val="right"/>
              <w:ind w:right="32"/>
              <w:spacing w:after="0" w:line="122" w:lineRule="exact"/>
              <w:rPr>
                <w:sz w:val="20"/>
                <w:szCs w:val="20"/>
                <w:color w:val="auto"/>
              </w:rPr>
            </w:pPr>
            <w:r>
              <w:rPr>
                <w:rFonts w:ascii="Arial" w:cs="Arial" w:eastAsia="Arial" w:hAnsi="Arial"/>
                <w:sz w:val="14"/>
                <w:szCs w:val="14"/>
                <w:color w:val="auto"/>
              </w:rPr>
              <w:t>9.00%</w:t>
            </w:r>
          </w:p>
        </w:tc>
        <w:tc>
          <w:tcPr>
            <w:tcW w:w="7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0" w:type="dxa"/>
            <w:vAlign w:val="bottom"/>
            <w:gridSpan w:val="2"/>
            <w:vMerge w:val="restart"/>
          </w:tcPr>
          <w:p>
            <w:pPr>
              <w:jc w:val="right"/>
              <w:ind w:right="300"/>
              <w:spacing w:after="0" w:line="122" w:lineRule="exact"/>
              <w:rPr>
                <w:sz w:val="20"/>
                <w:szCs w:val="20"/>
                <w:color w:val="auto"/>
              </w:rPr>
            </w:pPr>
            <w:r>
              <w:rPr>
                <w:rFonts w:ascii="Arial" w:cs="Arial" w:eastAsia="Arial" w:hAnsi="Arial"/>
                <w:sz w:val="14"/>
                <w:szCs w:val="14"/>
                <w:color w:val="auto"/>
              </w:rPr>
              <w:t>850,000</w:t>
            </w:r>
          </w:p>
        </w:tc>
        <w:tc>
          <w:tcPr>
            <w:tcW w:w="740" w:type="dxa"/>
            <w:vAlign w:val="bottom"/>
            <w:vMerge w:val="restart"/>
          </w:tcPr>
          <w:p>
            <w:pPr>
              <w:jc w:val="right"/>
              <w:spacing w:after="0" w:line="122" w:lineRule="exact"/>
              <w:rPr>
                <w:sz w:val="20"/>
                <w:szCs w:val="20"/>
                <w:color w:val="auto"/>
              </w:rPr>
            </w:pPr>
            <w:r>
              <w:rPr>
                <w:rFonts w:ascii="Arial" w:cs="Arial" w:eastAsia="Arial" w:hAnsi="Arial"/>
                <w:sz w:val="14"/>
                <w:szCs w:val="14"/>
                <w:color w:val="auto"/>
              </w:rPr>
              <w:t>838,369</w:t>
            </w:r>
          </w:p>
        </w:tc>
        <w:tc>
          <w:tcPr>
            <w:tcW w:w="920" w:type="dxa"/>
            <w:vAlign w:val="bottom"/>
            <w:gridSpan w:val="2"/>
            <w:vMerge w:val="restart"/>
          </w:tcPr>
          <w:p>
            <w:pPr>
              <w:jc w:val="right"/>
              <w:spacing w:after="0" w:line="122" w:lineRule="exact"/>
              <w:rPr>
                <w:sz w:val="20"/>
                <w:szCs w:val="20"/>
                <w:color w:val="auto"/>
              </w:rPr>
            </w:pPr>
            <w:r>
              <w:rPr>
                <w:rFonts w:ascii="Arial" w:cs="Arial" w:eastAsia="Arial" w:hAnsi="Arial"/>
                <w:sz w:val="14"/>
                <w:szCs w:val="14"/>
                <w:color w:val="auto"/>
              </w:rPr>
              <w:t>850,000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gridSpan w:val="2"/>
          </w:tcPr>
          <w:p>
            <w:pPr>
              <w:jc w:val="right"/>
              <w:ind w:right="164"/>
              <w:spacing w:after="0" w:line="68" w:lineRule="exact"/>
              <w:rPr>
                <w:sz w:val="20"/>
                <w:szCs w:val="20"/>
                <w:color w:val="auto"/>
              </w:rPr>
            </w:pPr>
            <w:r>
              <w:rPr>
                <w:rFonts w:ascii="Arial" w:cs="Arial" w:eastAsia="Arial" w:hAnsi="Arial"/>
                <w:sz w:val="7"/>
                <w:szCs w:val="7"/>
                <w:color w:val="auto"/>
              </w:rPr>
              <w:t>L+750</w:t>
            </w:r>
          </w:p>
        </w:tc>
        <w:tc>
          <w:tcPr>
            <w:tcW w:w="10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01/29/2018</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13.50%</w:t>
            </w:r>
          </w:p>
        </w:tc>
        <w:tc>
          <w:tcPr>
            <w:tcW w:w="920" w:type="dxa"/>
            <w:vAlign w:val="bottom"/>
            <w:gridSpan w:val="2"/>
          </w:tcPr>
          <w:p>
            <w:pPr>
              <w:jc w:val="right"/>
              <w:ind w:right="44"/>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(8)</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10,625,000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10,338,450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10,848,126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Worley Claims Services, LLC</w:t>
            </w: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07/06/2017</w:t>
            </w:r>
          </w:p>
        </w:tc>
        <w:tc>
          <w:tcPr>
            <w:tcW w:w="1900" w:type="dxa"/>
            <w:vAlign w:val="bottom"/>
          </w:tcPr>
          <w:p>
            <w:pPr>
              <w:jc w:val="center"/>
              <w:spacing w:after="0"/>
              <w:rPr>
                <w:sz w:val="20"/>
                <w:szCs w:val="20"/>
                <w:color w:val="auto"/>
              </w:rPr>
            </w:pPr>
            <w:r>
              <w:rPr>
                <w:rFonts w:ascii="Arial" w:cs="Arial" w:eastAsia="Arial" w:hAnsi="Arial"/>
                <w:sz w:val="14"/>
                <w:szCs w:val="14"/>
                <w:color w:val="auto"/>
                <w:w w:val="84"/>
              </w:rPr>
              <w:t>Insurance</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44"/>
              <w:spacing w:after="0" w:line="176" w:lineRule="exact"/>
              <w:rPr>
                <w:sz w:val="20"/>
                <w:szCs w:val="20"/>
                <w:color w:val="auto"/>
              </w:rPr>
            </w:pPr>
            <w:r>
              <w:rPr>
                <w:rFonts w:ascii="Arial" w:cs="Arial" w:eastAsia="Arial" w:hAnsi="Arial"/>
                <w:sz w:val="13"/>
                <w:szCs w:val="13"/>
                <w:color w:val="auto"/>
              </w:rPr>
              <w:t>L+1,100</w:t>
            </w:r>
            <w:r>
              <w:rPr>
                <w:rFonts w:ascii="Arial" w:cs="Arial" w:eastAsia="Arial" w:hAnsi="Arial"/>
                <w:sz w:val="20"/>
                <w:szCs w:val="20"/>
                <w:color w:val="auto"/>
                <w:vertAlign w:val="superscript"/>
              </w:rPr>
              <w:t>(8)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14,934,000</w:t>
            </w:r>
          </w:p>
        </w:tc>
        <w:tc>
          <w:tcPr>
            <w:tcW w:w="740" w:type="dxa"/>
            <w:vAlign w:val="bottom"/>
          </w:tcPr>
          <w:p>
            <w:pPr>
              <w:jc w:val="right"/>
              <w:spacing w:after="0"/>
              <w:rPr>
                <w:sz w:val="20"/>
                <w:szCs w:val="20"/>
                <w:color w:val="auto"/>
              </w:rPr>
            </w:pPr>
            <w:r>
              <w:rPr>
                <w:rFonts w:ascii="Arial" w:cs="Arial" w:eastAsia="Arial" w:hAnsi="Arial"/>
                <w:sz w:val="14"/>
                <w:szCs w:val="14"/>
                <w:color w:val="auto"/>
              </w:rPr>
              <w:t>14,934,000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14,859,330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66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07/15/2016</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11.38%</w:t>
            </w:r>
          </w:p>
        </w:tc>
        <w:tc>
          <w:tcPr>
            <w:tcW w:w="700" w:type="dxa"/>
            <w:vAlign w:val="bottom"/>
            <w:shd w:val="clear" w:color="auto" w:fill="CCEEFF"/>
          </w:tcPr>
          <w:p>
            <w:pPr>
              <w:jc w:val="right"/>
              <w:ind w:right="17"/>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4,500,000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4,401,515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277,427,564</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278,960,887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724662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-1354455</wp:posOffset>
            </wp:positionV>
            <wp:extent cx="72466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-1062990</wp:posOffset>
            </wp:positionV>
            <wp:extent cx="72466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Maturity</w:t>
            </w:r>
          </w:p>
        </w:tc>
        <w:tc>
          <w:tcPr>
            <w:tcW w:w="18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Above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4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Coupon</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Debt—25.3%</w:t>
            </w:r>
          </w:p>
        </w:tc>
        <w:tc>
          <w:tcPr>
            <w:tcW w:w="158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15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09/01/2017</w:t>
            </w:r>
          </w:p>
        </w:tc>
        <w:tc>
          <w:tcPr>
            <w:tcW w:w="18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8"/>
              </w:rPr>
              <w:t>Diversified Natural Resources,</w:t>
            </w:r>
          </w:p>
        </w:tc>
        <w:tc>
          <w:tcPr>
            <w:tcW w:w="10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11.50%</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25,400,000</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8"/>
              </w:rPr>
              <w:t>$ 25,400,000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8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7"/>
              </w:rPr>
              <w:t>Precious Metals and Minerals</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02/07/2015</w:t>
            </w:r>
          </w:p>
        </w:tc>
        <w:tc>
          <w:tcPr>
            <w:tcW w:w="18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6.33%</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13,600,000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13,378,432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02/07/2015</w:t>
            </w:r>
          </w:p>
        </w:tc>
        <w:tc>
          <w:tcPr>
            <w:tcW w:w="1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12,000,000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11,866,485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1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02/01/2017</w:t>
            </w:r>
          </w:p>
        </w:tc>
        <w:tc>
          <w:tcPr>
            <w:tcW w:w="18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34,000,000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31,964,822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4"/>
                <w:szCs w:val="14"/>
                <w:color w:val="auto"/>
              </w:rPr>
              <w:t>Eureka Hunter Pipeline, LLC</w:t>
            </w:r>
          </w:p>
        </w:tc>
        <w:tc>
          <w:tcPr>
            <w:tcW w:w="1580" w:type="dxa"/>
            <w:vAlign w:val="bottom"/>
          </w:tcPr>
          <w:p>
            <w:pPr>
              <w:jc w:val="right"/>
              <w:ind w:right="32"/>
              <w:spacing w:after="0" w:line="122" w:lineRule="exact"/>
              <w:rPr>
                <w:sz w:val="20"/>
                <w:szCs w:val="20"/>
                <w:color w:val="auto"/>
              </w:rPr>
            </w:pPr>
            <w:r>
              <w:rPr>
                <w:rFonts w:ascii="Arial" w:cs="Arial" w:eastAsia="Arial" w:hAnsi="Arial"/>
                <w:sz w:val="14"/>
                <w:szCs w:val="14"/>
                <w:color w:val="auto"/>
              </w:rPr>
              <w:t>08/16/2018</w:t>
            </w:r>
          </w:p>
        </w:tc>
        <w:tc>
          <w:tcPr>
            <w:tcW w:w="1880" w:type="dxa"/>
            <w:vAlign w:val="bottom"/>
            <w:gridSpan w:val="2"/>
          </w:tcPr>
          <w:p>
            <w:pPr>
              <w:jc w:val="center"/>
              <w:ind w:right="20"/>
              <w:spacing w:after="0" w:line="122" w:lineRule="exact"/>
              <w:rPr>
                <w:sz w:val="20"/>
                <w:szCs w:val="20"/>
                <w:color w:val="auto"/>
              </w:rPr>
            </w:pPr>
            <w:r>
              <w:rPr>
                <w:rFonts w:ascii="Arial" w:cs="Arial" w:eastAsia="Arial" w:hAnsi="Arial"/>
                <w:sz w:val="14"/>
                <w:szCs w:val="14"/>
                <w:color w:val="auto"/>
                <w:w w:val="92"/>
              </w:rPr>
              <w:t>Energy/Utilities</w:t>
            </w:r>
          </w:p>
        </w:tc>
        <w:tc>
          <w:tcPr>
            <w:tcW w:w="104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340"/>
              <w:spacing w:after="0" w:line="12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w w:val="88"/>
              </w:rPr>
              <w:t>45,000,000</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4"/>
                <w:szCs w:val="14"/>
                <w:color w:val="auto"/>
              </w:rPr>
              <w:t>44,543,688</w:t>
            </w: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45,000,000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Greatwide Logistics Services, L.L.C.</w:t>
            </w:r>
          </w:p>
        </w:tc>
        <w:tc>
          <w:tcPr>
            <w:tcW w:w="1580" w:type="dxa"/>
            <w:vAlign w:val="bottom"/>
          </w:tcPr>
          <w:p>
            <w:pPr>
              <w:jc w:val="right"/>
              <w:ind w:right="32"/>
              <w:spacing w:after="0"/>
              <w:rPr>
                <w:sz w:val="20"/>
                <w:szCs w:val="20"/>
                <w:color w:val="auto"/>
              </w:rPr>
            </w:pPr>
            <w:r>
              <w:rPr>
                <w:rFonts w:ascii="Arial" w:cs="Arial" w:eastAsia="Arial" w:hAnsi="Arial"/>
                <w:sz w:val="14"/>
                <w:szCs w:val="14"/>
                <w:color w:val="auto"/>
              </w:rPr>
              <w:t>03/01/2014</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Cargo Transport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11.00%</w:t>
            </w:r>
          </w:p>
        </w:tc>
        <w:tc>
          <w:tcPr>
            <w:tcW w:w="920" w:type="dxa"/>
            <w:vAlign w:val="bottom"/>
            <w:gridSpan w:val="2"/>
          </w:tcPr>
          <w:p>
            <w:pPr>
              <w:jc w:val="right"/>
              <w:ind w:right="140"/>
              <w:spacing w:after="0" w:line="165" w:lineRule="exact"/>
              <w:rPr>
                <w:sz w:val="20"/>
                <w:szCs w:val="20"/>
                <w:color w:val="auto"/>
              </w:rPr>
            </w:pPr>
            <w:r>
              <w:rPr>
                <w:rFonts w:ascii="Arial" w:cs="Arial" w:eastAsia="Arial" w:hAnsi="Arial"/>
                <w:sz w:val="12"/>
                <w:szCs w:val="12"/>
                <w:color w:val="auto"/>
              </w:rPr>
              <w:t>L+700</w:t>
            </w:r>
            <w:r>
              <w:rPr>
                <w:rFonts w:ascii="Arial" w:cs="Arial" w:eastAsia="Arial" w:hAnsi="Arial"/>
                <w:sz w:val="19"/>
                <w:szCs w:val="19"/>
                <w:color w:val="auto"/>
                <w:vertAlign w:val="superscript"/>
              </w:rPr>
              <w:t>(8)</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3,184,219</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3,184,222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2,292,640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(PIK 11.00%)</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L+1,100</w:t>
            </w:r>
            <w:r>
              <w:rPr>
                <w:rFonts w:ascii="Arial" w:cs="Arial" w:eastAsia="Arial" w:hAnsi="Arial"/>
                <w:sz w:val="22"/>
                <w:szCs w:val="22"/>
                <w:color w:val="auto"/>
                <w:vertAlign w:val="superscript"/>
              </w:rPr>
              <w:t>(8)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line="139" w:lineRule="exact"/>
              <w:rPr>
                <w:sz w:val="20"/>
                <w:szCs w:val="20"/>
                <w:color w:val="auto"/>
              </w:rPr>
            </w:pPr>
            <w:r>
              <w:rPr>
                <w:rFonts w:ascii="Arial" w:cs="Arial" w:eastAsia="Arial" w:hAnsi="Arial"/>
                <w:sz w:val="14"/>
                <w:szCs w:val="14"/>
                <w:color w:val="auto"/>
              </w:rPr>
              <w:t>Paradigm Management Services, LLC</w:t>
            </w:r>
          </w:p>
        </w:tc>
        <w:tc>
          <w:tcPr>
            <w:tcW w:w="1580" w:type="dxa"/>
            <w:vAlign w:val="bottom"/>
          </w:tcPr>
          <w:p>
            <w:pPr>
              <w:jc w:val="right"/>
              <w:ind w:right="32"/>
              <w:spacing w:after="0" w:line="139" w:lineRule="exact"/>
              <w:rPr>
                <w:sz w:val="20"/>
                <w:szCs w:val="20"/>
                <w:color w:val="auto"/>
              </w:rPr>
            </w:pPr>
            <w:r>
              <w:rPr>
                <w:rFonts w:ascii="Arial" w:cs="Arial" w:eastAsia="Arial" w:hAnsi="Arial"/>
                <w:sz w:val="14"/>
                <w:szCs w:val="14"/>
                <w:color w:val="auto"/>
              </w:rPr>
              <w:t>07/31/2017</w:t>
            </w:r>
          </w:p>
        </w:tc>
        <w:tc>
          <w:tcPr>
            <w:tcW w:w="1880" w:type="dxa"/>
            <w:vAlign w:val="bottom"/>
            <w:gridSpan w:val="2"/>
          </w:tcPr>
          <w:p>
            <w:pPr>
              <w:jc w:val="center"/>
              <w:ind w:right="40"/>
              <w:spacing w:after="0" w:line="139" w:lineRule="exact"/>
              <w:rPr>
                <w:sz w:val="20"/>
                <w:szCs w:val="20"/>
                <w:color w:val="auto"/>
              </w:rPr>
            </w:pPr>
            <w:r>
              <w:rPr>
                <w:rFonts w:ascii="Arial" w:cs="Arial" w:eastAsia="Arial" w:hAnsi="Arial"/>
                <w:sz w:val="14"/>
                <w:szCs w:val="14"/>
                <w:color w:val="auto"/>
                <w:w w:val="87"/>
              </w:rPr>
              <w:t>Healthcare, Education and</w:t>
            </w:r>
          </w:p>
        </w:tc>
        <w:tc>
          <w:tcPr>
            <w:tcW w:w="1040" w:type="dxa"/>
            <w:vAlign w:val="bottom"/>
            <w:gridSpan w:val="2"/>
          </w:tcPr>
          <w:p>
            <w:pPr>
              <w:jc w:val="right"/>
              <w:ind w:right="260"/>
              <w:spacing w:after="0" w:line="139" w:lineRule="exact"/>
              <w:rPr>
                <w:sz w:val="20"/>
                <w:szCs w:val="20"/>
                <w:color w:val="auto"/>
              </w:rPr>
            </w:pPr>
            <w:r>
              <w:rPr>
                <w:rFonts w:ascii="Arial" w:cs="Arial" w:eastAsia="Arial" w:hAnsi="Arial"/>
                <w:sz w:val="14"/>
                <w:szCs w:val="14"/>
                <w:color w:val="auto"/>
              </w:rPr>
              <w:t>12.50%</w:t>
            </w:r>
          </w:p>
        </w:tc>
        <w:tc>
          <w:tcPr>
            <w:tcW w:w="920" w:type="dxa"/>
            <w:vAlign w:val="bottom"/>
            <w:gridSpan w:val="2"/>
            <w:vMerge w:val="continue"/>
          </w:tcPr>
          <w:p>
            <w:pPr>
              <w:spacing w:after="0"/>
              <w:rPr>
                <w:sz w:val="12"/>
                <w:szCs w:val="12"/>
                <w:color w:val="auto"/>
              </w:rPr>
            </w:pPr>
          </w:p>
        </w:tc>
        <w:tc>
          <w:tcPr>
            <w:tcW w:w="80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w w:val="88"/>
              </w:rPr>
              <w:t>20,512,821</w:t>
            </w: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rPr>
              <w:t>20,059,979</w:t>
            </w:r>
          </w:p>
        </w:tc>
        <w:tc>
          <w:tcPr>
            <w:tcW w:w="84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Childcare</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L+650</w:t>
            </w:r>
            <w:r>
              <w:rPr>
                <w:rFonts w:ascii="Arial" w:cs="Arial" w:eastAsia="Arial" w:hAnsi="Arial"/>
                <w:sz w:val="22"/>
                <w:szCs w:val="22"/>
                <w:color w:val="auto"/>
                <w:vertAlign w:val="superscript"/>
              </w:rPr>
              <w:t>(8)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4"/>
                <w:szCs w:val="14"/>
                <w:color w:val="auto"/>
              </w:rPr>
              <w:t>Questex Media Group LLC, Term Loan A</w:t>
            </w:r>
          </w:p>
        </w:tc>
        <w:tc>
          <w:tcPr>
            <w:tcW w:w="1580" w:type="dxa"/>
            <w:vAlign w:val="bottom"/>
          </w:tcPr>
          <w:p>
            <w:pPr>
              <w:jc w:val="right"/>
              <w:ind w:right="32"/>
              <w:spacing w:after="0" w:line="122" w:lineRule="exact"/>
              <w:rPr>
                <w:sz w:val="20"/>
                <w:szCs w:val="20"/>
                <w:color w:val="auto"/>
              </w:rPr>
            </w:pPr>
            <w:r>
              <w:rPr>
                <w:rFonts w:ascii="Arial" w:cs="Arial" w:eastAsia="Arial" w:hAnsi="Arial"/>
                <w:sz w:val="14"/>
                <w:szCs w:val="14"/>
                <w:color w:val="auto"/>
              </w:rPr>
              <w:t>12/15/2014</w:t>
            </w:r>
          </w:p>
        </w:tc>
        <w:tc>
          <w:tcPr>
            <w:tcW w:w="1880" w:type="dxa"/>
            <w:vAlign w:val="bottom"/>
            <w:gridSpan w:val="2"/>
          </w:tcPr>
          <w:p>
            <w:pPr>
              <w:jc w:val="center"/>
              <w:ind w:right="40"/>
              <w:spacing w:after="0" w:line="122" w:lineRule="exact"/>
              <w:rPr>
                <w:sz w:val="20"/>
                <w:szCs w:val="20"/>
                <w:color w:val="auto"/>
              </w:rPr>
            </w:pPr>
            <w:r>
              <w:rPr>
                <w:rFonts w:ascii="Arial" w:cs="Arial" w:eastAsia="Arial" w:hAnsi="Arial"/>
                <w:sz w:val="14"/>
                <w:szCs w:val="14"/>
                <w:color w:val="auto"/>
                <w:w w:val="88"/>
              </w:rPr>
              <w:t>Other Media</w:t>
            </w:r>
          </w:p>
        </w:tc>
        <w:tc>
          <w:tcPr>
            <w:tcW w:w="104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9.50%</w:t>
            </w:r>
          </w:p>
        </w:tc>
        <w:tc>
          <w:tcPr>
            <w:tcW w:w="920" w:type="dxa"/>
            <w:vAlign w:val="bottom"/>
            <w:gridSpan w:val="2"/>
            <w:vMerge w:val="continue"/>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w w:val="99"/>
              </w:rPr>
              <w:t>2,752,666</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4"/>
                <w:szCs w:val="14"/>
                <w:color w:val="auto"/>
              </w:rPr>
              <w:t>2,752,666</w:t>
            </w: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2,584,753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Questex Media Group LLC, Term Loan B</w:t>
            </w:r>
          </w:p>
        </w:tc>
        <w:tc>
          <w:tcPr>
            <w:tcW w:w="1580" w:type="dxa"/>
            <w:vAlign w:val="bottom"/>
          </w:tcPr>
          <w:p>
            <w:pPr>
              <w:jc w:val="right"/>
              <w:ind w:right="32"/>
              <w:spacing w:after="0"/>
              <w:rPr>
                <w:sz w:val="20"/>
                <w:szCs w:val="20"/>
                <w:color w:val="auto"/>
              </w:rPr>
            </w:pPr>
            <w:r>
              <w:rPr>
                <w:rFonts w:ascii="Arial" w:cs="Arial" w:eastAsia="Arial" w:hAnsi="Arial"/>
                <w:sz w:val="14"/>
                <w:szCs w:val="14"/>
                <w:color w:val="auto"/>
              </w:rPr>
              <w:t>12/15/2015</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Other Media</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11.50%</w:t>
            </w:r>
          </w:p>
        </w:tc>
        <w:tc>
          <w:tcPr>
            <w:tcW w:w="920" w:type="dxa"/>
            <w:vAlign w:val="bottom"/>
            <w:gridSpan w:val="2"/>
          </w:tcPr>
          <w:p>
            <w:pPr>
              <w:jc w:val="right"/>
              <w:ind w:right="140"/>
              <w:spacing w:after="0" w:line="165" w:lineRule="exact"/>
              <w:rPr>
                <w:sz w:val="20"/>
                <w:szCs w:val="20"/>
                <w:color w:val="auto"/>
              </w:rPr>
            </w:pPr>
            <w:r>
              <w:rPr>
                <w:rFonts w:ascii="Arial" w:cs="Arial" w:eastAsia="Arial" w:hAnsi="Arial"/>
                <w:sz w:val="12"/>
                <w:szCs w:val="12"/>
                <w:color w:val="auto"/>
              </w:rPr>
              <w:t>L+850</w:t>
            </w:r>
            <w:r>
              <w:rPr>
                <w:rFonts w:ascii="Arial" w:cs="Arial" w:eastAsia="Arial" w:hAnsi="Arial"/>
                <w:sz w:val="19"/>
                <w:szCs w:val="19"/>
                <w:color w:val="auto"/>
                <w:vertAlign w:val="superscript"/>
              </w:rPr>
              <w:t>(8)</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2,230,508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2,230,508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2,002,996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(PIK 11.50%)</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Realogy Corp.</w:t>
            </w:r>
          </w:p>
        </w:tc>
        <w:tc>
          <w:tcPr>
            <w:tcW w:w="1580" w:type="dxa"/>
            <w:vAlign w:val="bottom"/>
            <w:shd w:val="clear" w:color="auto" w:fill="CCEEFF"/>
          </w:tcPr>
          <w:p>
            <w:pPr>
              <w:jc w:val="right"/>
              <w:ind w:right="32"/>
              <w:spacing w:after="0" w:line="139" w:lineRule="exact"/>
              <w:rPr>
                <w:sz w:val="20"/>
                <w:szCs w:val="20"/>
                <w:color w:val="auto"/>
              </w:rPr>
            </w:pPr>
            <w:r>
              <w:rPr>
                <w:rFonts w:ascii="Arial" w:cs="Arial" w:eastAsia="Arial" w:hAnsi="Arial"/>
                <w:sz w:val="14"/>
                <w:szCs w:val="14"/>
                <w:color w:val="auto"/>
              </w:rPr>
              <w:t>10/15/2017</w:t>
            </w:r>
          </w:p>
        </w:tc>
        <w:tc>
          <w:tcPr>
            <w:tcW w:w="1880" w:type="dxa"/>
            <w:vAlign w:val="bottom"/>
            <w:gridSpan w:val="2"/>
            <w:shd w:val="clear" w:color="auto" w:fill="CCEEFF"/>
          </w:tcPr>
          <w:p>
            <w:pPr>
              <w:jc w:val="center"/>
              <w:ind w:right="40"/>
              <w:spacing w:after="0" w:line="139" w:lineRule="exact"/>
              <w:rPr>
                <w:sz w:val="20"/>
                <w:szCs w:val="20"/>
                <w:color w:val="auto"/>
              </w:rPr>
            </w:pPr>
            <w:r>
              <w:rPr>
                <w:rFonts w:ascii="Arial" w:cs="Arial" w:eastAsia="Arial" w:hAnsi="Arial"/>
                <w:sz w:val="14"/>
                <w:szCs w:val="14"/>
                <w:color w:val="auto"/>
                <w:w w:val="89"/>
              </w:rPr>
              <w:t>Buildings and Real</w:t>
            </w:r>
          </w:p>
        </w:tc>
        <w:tc>
          <w:tcPr>
            <w:tcW w:w="10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13.50%</w:t>
            </w: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88"/>
              </w:rPr>
              <w:t>10,000,000</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10,000,000</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10,062,500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0"/>
              </w:rPr>
              <w:t>Estate</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15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09/01/2018</w:t>
            </w:r>
          </w:p>
        </w:tc>
        <w:tc>
          <w:tcPr>
            <w:tcW w:w="18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0"/>
              </w:rPr>
              <w:t>Hotels, Motels,</w:t>
            </w:r>
          </w:p>
        </w:tc>
        <w:tc>
          <w:tcPr>
            <w:tcW w:w="10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12.13%</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16,000,000</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15,752,822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18,560,000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Inns and Gaming</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06/15/2015</w:t>
            </w:r>
          </w:p>
        </w:tc>
        <w:tc>
          <w:tcPr>
            <w:tcW w:w="18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6.22%</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7,811,488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7,511,344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7,411,149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2"/>
              </w:rPr>
              <w:t>188,644,968</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169,366,959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Notes—52.4%</w:t>
            </w:r>
          </w:p>
        </w:tc>
        <w:tc>
          <w:tcPr>
            <w:tcW w:w="15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10/02/2017</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Electronics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19,000,000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18,563,943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11/15/2015</w:t>
            </w:r>
          </w:p>
        </w:tc>
        <w:tc>
          <w:tcPr>
            <w:tcW w:w="18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35,552,000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34,172,451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24,175,360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1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02/15/2019</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8,930,000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8,754,461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LLC</w:t>
            </w:r>
          </w:p>
        </w:tc>
        <w:tc>
          <w:tcPr>
            <w:tcW w:w="15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03/26/2018</w:t>
            </w:r>
          </w:p>
        </w:tc>
        <w:tc>
          <w:tcPr>
            <w:tcW w:w="188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Electronics</w:t>
            </w:r>
          </w:p>
        </w:tc>
        <w:tc>
          <w:tcPr>
            <w:tcW w:w="10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12.00%</w:t>
            </w:r>
          </w:p>
        </w:tc>
        <w:tc>
          <w:tcPr>
            <w:tcW w:w="9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23,277,586</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22,812,086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22,812,034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(PIK 1.00%)</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4"/>
                <w:szCs w:val="14"/>
                <w:color w:val="auto"/>
              </w:rPr>
              <w:t>Diversitech Corporation</w:t>
            </w:r>
          </w:p>
        </w:tc>
        <w:tc>
          <w:tcPr>
            <w:tcW w:w="15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01/29/2017</w:t>
            </w:r>
          </w:p>
        </w:tc>
        <w:tc>
          <w:tcPr>
            <w:tcW w:w="18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0"/>
              </w:rPr>
              <w:t>Manufacturing/</w:t>
            </w:r>
          </w:p>
        </w:tc>
        <w:tc>
          <w:tcPr>
            <w:tcW w:w="104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(7)</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11,000,000</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10,836,901</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11,275,000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Basic Industry</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724662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Maturity</w:t>
            </w: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40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00" w:type="dxa"/>
            <w:vAlign w:val="bottom"/>
            <w:gridSpan w:val="2"/>
          </w:tcPr>
          <w:p>
            <w:pPr>
              <w:jc w:val="right"/>
              <w:ind w:right="378"/>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54"/>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Escort, Inc.</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06/01/2016</w:t>
            </w:r>
          </w:p>
        </w:tc>
        <w:tc>
          <w:tcPr>
            <w:tcW w:w="160" w:type="dxa"/>
            <w:vAlign w:val="bottom"/>
            <w:tcBorders>
              <w:top w:val="single" w:sz="8" w:color="CCEEFF"/>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rPr>
              <w:t>Electronics</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14.75</w:t>
            </w:r>
          </w:p>
        </w:tc>
        <w:tc>
          <w:tcPr>
            <w:tcW w:w="340" w:type="dxa"/>
            <w:vAlign w:val="bottom"/>
            <w:tcBorders>
              <w:top w:val="single" w:sz="8" w:color="CCEEFF"/>
            </w:tcBorders>
            <w:shd w:val="clear" w:color="auto" w:fill="CCEEFF"/>
          </w:tcPr>
          <w:p>
            <w:pPr>
              <w:jc w:val="right"/>
              <w:ind w:right="178"/>
              <w:spacing w:after="0" w:line="118" w:lineRule="exact"/>
              <w:rPr>
                <w:sz w:val="20"/>
                <w:szCs w:val="20"/>
                <w:color w:val="auto"/>
              </w:rPr>
            </w:pPr>
            <w:r>
              <w:rPr>
                <w:rFonts w:ascii="Arial" w:cs="Arial" w:eastAsia="Arial" w:hAnsi="Arial"/>
                <w:sz w:val="12"/>
                <w:szCs w:val="12"/>
                <w:color w:val="auto"/>
                <w:w w:val="74"/>
              </w:rPr>
              <w:t>%</w:t>
            </w:r>
          </w:p>
        </w:tc>
        <w:tc>
          <w:tcPr>
            <w:tcW w:w="660" w:type="dxa"/>
            <w:vAlign w:val="bottom"/>
            <w:tcBorders>
              <w:top w:val="single" w:sz="8" w:color="auto"/>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25,254,035</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$ 24,751,548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$ 25,254,035</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(PIK 2.75%)</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Galls, LLC; Quartermaster Inc.</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03/31/2017</w:t>
            </w:r>
          </w:p>
        </w:tc>
        <w:tc>
          <w:tcPr>
            <w:tcW w:w="18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4"/>
              </w:rPr>
              <w:t>Distribution</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13.00%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21,797,263</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21,399,764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21,906,249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18"/>
              <w:spacing w:after="0"/>
              <w:rPr>
                <w:sz w:val="20"/>
                <w:szCs w:val="20"/>
                <w:color w:val="auto"/>
              </w:rPr>
            </w:pPr>
            <w:r>
              <w:rPr>
                <w:rFonts w:ascii="Arial" w:cs="Arial" w:eastAsia="Arial" w:hAnsi="Arial"/>
                <w:sz w:val="14"/>
                <w:szCs w:val="14"/>
                <w:color w:val="auto"/>
              </w:rPr>
              <w:t>(PIK 2.00%)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JF Acquisition, LLC</w:t>
            </w:r>
          </w:p>
        </w:tc>
        <w:tc>
          <w:tcPr>
            <w:tcW w:w="8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91"/>
              </w:rPr>
              <w:t>06/30/2017</w:t>
            </w:r>
          </w:p>
        </w:tc>
        <w:tc>
          <w:tcPr>
            <w:tcW w:w="18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4"/>
              </w:rPr>
              <w:t>Distribution</w:t>
            </w:r>
          </w:p>
        </w:tc>
        <w:tc>
          <w:tcPr>
            <w:tcW w:w="1000" w:type="dxa"/>
            <w:vAlign w:val="bottom"/>
            <w:gridSpan w:val="2"/>
            <w:shd w:val="clear" w:color="auto" w:fill="CCEEFF"/>
          </w:tcPr>
          <w:p>
            <w:pPr>
              <w:jc w:val="right"/>
              <w:ind w:right="178"/>
              <w:spacing w:after="0" w:line="139" w:lineRule="exact"/>
              <w:rPr>
                <w:sz w:val="20"/>
                <w:szCs w:val="20"/>
                <w:color w:val="auto"/>
              </w:rPr>
            </w:pPr>
            <w:r>
              <w:rPr>
                <w:rFonts w:ascii="Arial" w:cs="Arial" w:eastAsia="Arial" w:hAnsi="Arial"/>
                <w:sz w:val="14"/>
                <w:szCs w:val="14"/>
                <w:color w:val="auto"/>
              </w:rPr>
              <w:t>14.00%</w:t>
            </w: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88"/>
              </w:rPr>
              <w:t>17,171,374</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16,748,220</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17,377,430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(PIK 2.00%)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Last Mile Funding Corp.</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06/30/2016</w:t>
            </w:r>
          </w:p>
        </w:tc>
        <w:tc>
          <w:tcPr>
            <w:tcW w:w="18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14.50%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45,597,139</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44,677,474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45,095,570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18"/>
              <w:spacing w:after="0"/>
              <w:rPr>
                <w:sz w:val="20"/>
                <w:szCs w:val="20"/>
                <w:color w:val="auto"/>
              </w:rPr>
            </w:pPr>
            <w:r>
              <w:rPr>
                <w:rFonts w:ascii="Arial" w:cs="Arial" w:eastAsia="Arial" w:hAnsi="Arial"/>
                <w:sz w:val="14"/>
                <w:szCs w:val="14"/>
                <w:color w:val="auto"/>
              </w:rPr>
              <w:t>(PIK 2.50%)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Learning Care Group (US) Inc.</w:t>
            </w:r>
          </w:p>
        </w:tc>
        <w:tc>
          <w:tcPr>
            <w:tcW w:w="8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91"/>
              </w:rPr>
              <w:t>06/30/2016</w:t>
            </w:r>
          </w:p>
        </w:tc>
        <w:tc>
          <w:tcPr>
            <w:tcW w:w="18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6"/>
              </w:rPr>
              <w:t>Education</w:t>
            </w:r>
          </w:p>
        </w:tc>
        <w:tc>
          <w:tcPr>
            <w:tcW w:w="1000" w:type="dxa"/>
            <w:vAlign w:val="bottom"/>
            <w:gridSpan w:val="2"/>
            <w:shd w:val="clear" w:color="auto" w:fill="CCEEFF"/>
          </w:tcPr>
          <w:p>
            <w:pPr>
              <w:jc w:val="right"/>
              <w:ind w:right="178"/>
              <w:spacing w:after="0" w:line="139" w:lineRule="exact"/>
              <w:rPr>
                <w:sz w:val="20"/>
                <w:szCs w:val="20"/>
                <w:color w:val="auto"/>
              </w:rPr>
            </w:pPr>
            <w:r>
              <w:rPr>
                <w:rFonts w:ascii="Arial" w:cs="Arial" w:eastAsia="Arial" w:hAnsi="Arial"/>
                <w:sz w:val="14"/>
                <w:szCs w:val="14"/>
                <w:color w:val="auto"/>
              </w:rPr>
              <w:t>15.00%</w:t>
            </w: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99"/>
              </w:rPr>
              <w:t>5,277,718</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4,696,436</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4,815,918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w w:val="96"/>
              </w:rPr>
              <w:t>(PIK 15.00%)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01/19/2019</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Chemical, Plastic and Rubber</w:t>
            </w:r>
          </w:p>
        </w:tc>
        <w:tc>
          <w:tcPr>
            <w:tcW w:w="10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30,000,000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01/11/2014</w:t>
            </w:r>
          </w:p>
        </w:tc>
        <w:tc>
          <w:tcPr>
            <w:tcW w:w="1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Chemical, Plastic and Rubber</w:t>
            </w:r>
          </w:p>
        </w:tc>
        <w:tc>
          <w:tcPr>
            <w:tcW w:w="10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5,000,000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4,825,000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06/15/2017</w:t>
            </w:r>
          </w:p>
        </w:tc>
        <w:tc>
          <w:tcPr>
            <w:tcW w:w="18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Printing and Publishing</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14.50%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15,000,000</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14,632,413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15,210,000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18"/>
              <w:spacing w:after="0"/>
              <w:rPr>
                <w:sz w:val="20"/>
                <w:szCs w:val="20"/>
                <w:color w:val="auto"/>
              </w:rPr>
            </w:pPr>
            <w:r>
              <w:rPr>
                <w:rFonts w:ascii="Arial" w:cs="Arial" w:eastAsia="Arial" w:hAnsi="Arial"/>
                <w:sz w:val="14"/>
                <w:szCs w:val="14"/>
                <w:color w:val="auto"/>
              </w:rPr>
              <w:t>(PIK 2.00%)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PAS Technologies, Inc.</w:t>
            </w:r>
          </w:p>
        </w:tc>
        <w:tc>
          <w:tcPr>
            <w:tcW w:w="8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91"/>
              </w:rPr>
              <w:t>05/12/2017</w:t>
            </w:r>
          </w:p>
        </w:tc>
        <w:tc>
          <w:tcPr>
            <w:tcW w:w="18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2"/>
            <w:shd w:val="clear" w:color="auto" w:fill="CCEEFF"/>
          </w:tcPr>
          <w:p>
            <w:pPr>
              <w:jc w:val="right"/>
              <w:ind w:right="178"/>
              <w:spacing w:after="0" w:line="139" w:lineRule="exact"/>
              <w:rPr>
                <w:sz w:val="20"/>
                <w:szCs w:val="20"/>
                <w:color w:val="auto"/>
              </w:rPr>
            </w:pPr>
            <w:r>
              <w:rPr>
                <w:rFonts w:ascii="Arial" w:cs="Arial" w:eastAsia="Arial" w:hAnsi="Arial"/>
                <w:sz w:val="14"/>
                <w:szCs w:val="14"/>
                <w:color w:val="auto"/>
              </w:rPr>
              <w:t>15.02%</w:t>
            </w: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88"/>
              </w:rPr>
              <w:t>17,123,218</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16,783,033</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17,123,218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(PIK 3.02%)</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12/03/2016</w:t>
            </w:r>
          </w:p>
        </w:tc>
        <w:tc>
          <w:tcPr>
            <w:tcW w:w="18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0"/>
              </w:rPr>
              <w:t>Mining, Steel, Iron</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13.50%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8"/>
              </w:rPr>
              <w:t>26,696,517</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26,263,685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26,696,517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and Non-Precious Metals</w:t>
            </w:r>
          </w:p>
        </w:tc>
        <w:tc>
          <w:tcPr>
            <w:tcW w:w="1000" w:type="dxa"/>
            <w:vAlign w:val="bottom"/>
            <w:gridSpan w:val="2"/>
          </w:tcPr>
          <w:p>
            <w:pPr>
              <w:jc w:val="right"/>
              <w:ind w:right="118"/>
              <w:spacing w:after="0"/>
              <w:rPr>
                <w:sz w:val="20"/>
                <w:szCs w:val="20"/>
                <w:color w:val="auto"/>
              </w:rPr>
            </w:pPr>
            <w:r>
              <w:rPr>
                <w:rFonts w:ascii="Arial" w:cs="Arial" w:eastAsia="Arial" w:hAnsi="Arial"/>
                <w:sz w:val="14"/>
                <w:szCs w:val="14"/>
                <w:color w:val="auto"/>
              </w:rPr>
              <w:t>(PIK 2.00%)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04/15/2018</w:t>
            </w:r>
          </w:p>
        </w:tc>
        <w:tc>
          <w:tcPr>
            <w:tcW w:w="1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Buildings and Real Estate</w:t>
            </w:r>
          </w:p>
        </w:tc>
        <w:tc>
          <w:tcPr>
            <w:tcW w:w="10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11.00%</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10,000,000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9,247,298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12/29/2015</w:t>
            </w:r>
          </w:p>
        </w:tc>
        <w:tc>
          <w:tcPr>
            <w:tcW w:w="1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(7)</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12,020,950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11,708,199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91"/>
              </w:rPr>
              <w:t>06/03/2019</w:t>
            </w:r>
          </w:p>
        </w:tc>
        <w:tc>
          <w:tcPr>
            <w:tcW w:w="18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14.25%</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14,778,578</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14,527,411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14,778,578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(PIK 2.25%)</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06/02/2014</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12/31/2015</w:t>
            </w:r>
          </w:p>
        </w:tc>
        <w:tc>
          <w:tcPr>
            <w:tcW w:w="1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13.00%</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16,200,000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15,916,579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2"/>
              </w:rPr>
              <w:t>355,236,902</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351,070,859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Interests—1.7% </w:t>
            </w:r>
            <w:r>
              <w:rPr>
                <w:rFonts w:ascii="Arial" w:cs="Arial" w:eastAsia="Arial" w:hAnsi="Arial"/>
                <w:sz w:val="17"/>
                <w:szCs w:val="17"/>
                <w:b w:val="1"/>
                <w:bCs w:val="1"/>
                <w:color w:val="auto"/>
                <w:vertAlign w:val="superscript"/>
              </w:rPr>
              <w:t>(6)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400" w:type="dxa"/>
            <w:vAlign w:val="bottom"/>
            <w:gridSpan w:val="3"/>
          </w:tcPr>
          <w:p>
            <w:pPr>
              <w:spacing w:after="0"/>
              <w:rPr>
                <w:sz w:val="20"/>
                <w:szCs w:val="20"/>
                <w:color w:val="auto"/>
              </w:rPr>
            </w:pPr>
            <w:r>
              <w:rPr>
                <w:rFonts w:ascii="Arial" w:cs="Arial" w:eastAsia="Arial" w:hAnsi="Arial"/>
                <w:sz w:val="14"/>
                <w:szCs w:val="14"/>
                <w:color w:val="auto"/>
              </w:rPr>
              <w:t>AH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Healthcare, Education</w:t>
            </w:r>
          </w:p>
        </w:tc>
        <w:tc>
          <w:tcPr>
            <w:tcW w:w="1000" w:type="dxa"/>
            <w:vAlign w:val="bottom"/>
            <w:gridSpan w:val="2"/>
          </w:tcPr>
          <w:p>
            <w:pPr>
              <w:jc w:val="right"/>
              <w:ind w:right="178"/>
              <w:spacing w:after="0"/>
              <w:rPr>
                <w:sz w:val="20"/>
                <w:szCs w:val="20"/>
                <w:color w:val="auto"/>
              </w:rPr>
            </w:pPr>
            <w:r>
              <w:rPr>
                <w:rFonts w:ascii="Arial" w:cs="Arial" w:eastAsia="Arial" w:hAnsi="Arial"/>
                <w:sz w:val="14"/>
                <w:szCs w:val="14"/>
                <w:color w:val="auto"/>
              </w:rPr>
              <w:t>6.00%</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211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500,000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624,081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1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318,896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Alegeus Technologies Holding Corp., Series A</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9"/>
              </w:rPr>
              <w:t>—</w:t>
            </w:r>
          </w:p>
        </w:tc>
        <w:tc>
          <w:tcPr>
            <w:tcW w:w="18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Financial Services</w:t>
            </w:r>
          </w:p>
        </w:tc>
        <w:tc>
          <w:tcPr>
            <w:tcW w:w="1000" w:type="dxa"/>
            <w:vAlign w:val="bottom"/>
            <w:gridSpan w:val="2"/>
          </w:tcPr>
          <w:p>
            <w:pPr>
              <w:jc w:val="right"/>
              <w:ind w:right="358"/>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949</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949,050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1,031,820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(Alegeus Technologies, LLC)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CI (IHS) Investment Holdings, LLC</w:t>
            </w:r>
          </w:p>
        </w:tc>
        <w:tc>
          <w:tcPr>
            <w:tcW w:w="820" w:type="dxa"/>
            <w:vAlign w:val="bottom"/>
            <w:gridSpan w:val="2"/>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99"/>
              </w:rPr>
              <w:t>—</w:t>
            </w:r>
          </w:p>
        </w:tc>
        <w:tc>
          <w:tcPr>
            <w:tcW w:w="18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1000" w:type="dxa"/>
            <w:vAlign w:val="bottom"/>
            <w:gridSpan w:val="2"/>
            <w:shd w:val="clear" w:color="auto" w:fill="CCEEFF"/>
          </w:tcPr>
          <w:p>
            <w:pPr>
              <w:jc w:val="right"/>
              <w:ind w:right="178"/>
              <w:spacing w:after="0" w:line="13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76,357</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765,307</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881,885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9"/>
              </w:rPr>
              <w:t>—</w:t>
            </w:r>
          </w:p>
        </w:tc>
        <w:tc>
          <w:tcPr>
            <w:tcW w:w="18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1000" w:type="dxa"/>
            <w:vAlign w:val="bottom"/>
            <w:gridSpan w:val="2"/>
          </w:tcPr>
          <w:p>
            <w:pPr>
              <w:jc w:val="right"/>
              <w:ind w:right="358"/>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38,179</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382,654</w:t>
            </w:r>
          </w:p>
        </w:tc>
        <w:tc>
          <w:tcPr>
            <w:tcW w:w="80" w:type="dxa"/>
            <w:vAlign w:val="bottom"/>
          </w:tcPr>
          <w:p>
            <w:pPr>
              <w:spacing w:after="0"/>
              <w:rPr>
                <w:sz w:val="11"/>
                <w:szCs w:val="11"/>
                <w:color w:val="auto"/>
              </w:rPr>
            </w:pPr>
          </w:p>
        </w:tc>
        <w:tc>
          <w:tcPr>
            <w:tcW w:w="82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(Interactive Health Solutions, Inc.)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1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Electronics</w:t>
            </w:r>
          </w:p>
        </w:tc>
        <w:tc>
          <w:tcPr>
            <w:tcW w:w="10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2,375,000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HW Topco, Inc.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9"/>
              </w:rPr>
              <w:t>—</w:t>
            </w:r>
          </w:p>
        </w:tc>
        <w:tc>
          <w:tcPr>
            <w:tcW w:w="18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8.00%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3,591</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24,177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27,916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(Hanley-Wood, LLC)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Basis Point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70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w w:val="90"/>
              </w:rPr>
              <w:t>Current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Above</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Par/</w:t>
            </w:r>
          </w:p>
        </w:tc>
        <w:tc>
          <w:tcPr>
            <w:tcW w:w="6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528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b w:val="1"/>
                <w:bCs w:val="1"/>
                <w:color w:val="auto"/>
                <w:w w:val="83"/>
              </w:rPr>
              <w:t>Coupon</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vMerge w:val="continue"/>
          </w:tcPr>
          <w:p>
            <w:pPr>
              <w:spacing w:after="0"/>
              <w:rPr>
                <w:sz w:val="12"/>
                <w:szCs w:val="12"/>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PAS Tech Holdings, Inc., Series A-1</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00"/>
              <w:spacing w:after="0" w:line="13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Aerospace and Defense</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8.00</w:t>
            </w:r>
          </w:p>
        </w:tc>
        <w:tc>
          <w:tcPr>
            <w:tcW w:w="220" w:type="dxa"/>
            <w:vAlign w:val="bottom"/>
            <w:tcBorders>
              <w:top w:val="single" w:sz="8" w:color="CCEEFF"/>
            </w:tcBorders>
            <w:shd w:val="clear" w:color="auto" w:fill="CCEEFF"/>
          </w:tcPr>
          <w:p>
            <w:pPr>
              <w:jc w:val="right"/>
              <w:ind w:right="58"/>
              <w:spacing w:after="0" w:line="132" w:lineRule="exact"/>
              <w:rPr>
                <w:sz w:val="20"/>
                <w:szCs w:val="20"/>
                <w:color w:val="auto"/>
              </w:rPr>
            </w:pPr>
            <w:r>
              <w:rPr>
                <w:rFonts w:ascii="Arial" w:cs="Arial" w:eastAsia="Arial" w:hAnsi="Arial"/>
                <w:sz w:val="12"/>
                <w:szCs w:val="12"/>
                <w:color w:val="auto"/>
                <w:w w:val="74"/>
              </w:rPr>
              <w:t>%</w:t>
            </w:r>
          </w:p>
        </w:tc>
        <w:tc>
          <w:tcPr>
            <w:tcW w:w="660" w:type="dxa"/>
            <w:vAlign w:val="bottom"/>
            <w:tcBorders>
              <w:top w:val="single" w:sz="8" w:color="auto"/>
            </w:tcBorders>
            <w:shd w:val="clear" w:color="auto" w:fill="CCEEFF"/>
          </w:tcPr>
          <w:p>
            <w:pPr>
              <w:ind w:left="460"/>
              <w:spacing w:after="0" w:line="131"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20,000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89"/>
              </w:rPr>
              <w:t>$ 1,980,000</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94"/>
              </w:rPr>
              <w:t>$   823,710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(PAS Technologies,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w:t>
            </w:r>
          </w:p>
        </w:tc>
        <w:tc>
          <w:tcPr>
            <w:tcW w:w="700" w:type="dxa"/>
            <w:vAlign w:val="bottom"/>
            <w:gridSpan w:val="2"/>
          </w:tcPr>
          <w:p>
            <w:pPr>
              <w:jc w:val="right"/>
              <w:ind w:right="58"/>
              <w:spacing w:after="0" w:line="138" w:lineRule="exact"/>
              <w:rPr>
                <w:sz w:val="20"/>
                <w:szCs w:val="20"/>
                <w:color w:val="auto"/>
              </w:rPr>
            </w:pPr>
            <w:r>
              <w:rPr>
                <w:rFonts w:ascii="Arial" w:cs="Arial" w:eastAsia="Arial" w:hAnsi="Arial"/>
                <w:sz w:val="14"/>
                <w:szCs w:val="14"/>
                <w:color w:val="auto"/>
              </w:rPr>
              <w:t>12.00%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1,099</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984,344</w:t>
            </w:r>
          </w:p>
        </w:tc>
        <w:tc>
          <w:tcPr>
            <w:tcW w:w="9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1"/>
              </w:rPr>
              <w:t>Tobacco</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4"/>
              </w:rPr>
              <w:t>Insurance</w:t>
            </w:r>
          </w:p>
        </w:tc>
        <w:tc>
          <w:tcPr>
            <w:tcW w:w="700" w:type="dxa"/>
            <w:vAlign w:val="bottom"/>
            <w:gridSpan w:val="2"/>
            <w:shd w:val="clear" w:color="auto" w:fill="CCEEFF"/>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686</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4"/>
              </w:rPr>
              <w:t>Insurance</w:t>
            </w:r>
          </w:p>
        </w:tc>
        <w:tc>
          <w:tcPr>
            <w:tcW w:w="700" w:type="dxa"/>
            <w:vAlign w:val="bottom"/>
            <w:gridSpan w:val="2"/>
          </w:tcPr>
          <w:p>
            <w:pPr>
              <w:jc w:val="right"/>
              <w:ind w:right="58"/>
              <w:spacing w:after="0" w:line="138" w:lineRule="exact"/>
              <w:rPr>
                <w:sz w:val="20"/>
                <w:szCs w:val="20"/>
                <w:color w:val="auto"/>
              </w:rPr>
            </w:pPr>
            <w:r>
              <w:rPr>
                <w:rFonts w:ascii="Arial" w:cs="Arial" w:eastAsia="Arial" w:hAnsi="Arial"/>
                <w:sz w:val="14"/>
                <w:szCs w:val="14"/>
                <w:color w:val="auto"/>
              </w:rPr>
              <w:t>6.50%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1,312</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1,666,679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gridSpan w:val="2"/>
          </w:tcPr>
          <w:p>
            <w:pPr>
              <w:ind w:left="200"/>
              <w:spacing w:after="0"/>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7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8.00%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1,824,167</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1,949,629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12,101,421</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11,178,282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b w:val="1"/>
                <w:bCs w:val="1"/>
                <w:color w:val="auto"/>
              </w:rPr>
              <w:t>Common Equity/Warrants/Partnership Interests—9.2%</w:t>
            </w:r>
            <w:r>
              <w:rPr>
                <w:rFonts w:ascii="Arial" w:cs="Arial" w:eastAsia="Arial" w:hAnsi="Arial"/>
                <w:sz w:val="18"/>
                <w:szCs w:val="18"/>
                <w:b w:val="1"/>
                <w:bCs w:val="1"/>
                <w:color w:val="auto"/>
                <w:vertAlign w:val="superscript"/>
              </w:rPr>
              <w:t>(6)</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line="217"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22"/>
                <w:szCs w:val="22"/>
                <w:color w:val="auto"/>
                <w:vertAlign w:val="superscript"/>
              </w:rPr>
              <w:t>(12)</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Electronics</w:t>
            </w:r>
          </w:p>
        </w:tc>
        <w:tc>
          <w:tcPr>
            <w:tcW w:w="700" w:type="dxa"/>
            <w:vAlign w:val="bottom"/>
            <w:gridSpan w:val="2"/>
          </w:tcPr>
          <w:p>
            <w:pPr>
              <w:jc w:val="right"/>
              <w:ind w:right="23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1,998</w:t>
            </w:r>
          </w:p>
        </w:tc>
        <w:tc>
          <w:tcPr>
            <w:tcW w:w="680" w:type="dxa"/>
            <w:vAlign w:val="bottom"/>
          </w:tcPr>
          <w:p>
            <w:pPr>
              <w:jc w:val="right"/>
              <w:spacing w:after="0"/>
              <w:rPr>
                <w:sz w:val="20"/>
                <w:szCs w:val="20"/>
                <w:color w:val="auto"/>
              </w:rPr>
            </w:pPr>
            <w:r>
              <w:rPr>
                <w:rFonts w:ascii="Arial" w:cs="Arial" w:eastAsia="Arial" w:hAnsi="Arial"/>
                <w:sz w:val="14"/>
                <w:szCs w:val="14"/>
                <w:color w:val="auto"/>
              </w:rPr>
              <w:t>2,000,000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1,737,396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 (Warrants)</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03/23/2021</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shd w:val="clear" w:color="auto" w:fill="CCEEFF"/>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753</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rPr>
              <w:t>Alegeus Technologies Holding Corp., Class A</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Financial Services</w:t>
            </w:r>
          </w:p>
        </w:tc>
        <w:tc>
          <w:tcPr>
            <w:tcW w:w="700" w:type="dxa"/>
            <w:vAlign w:val="bottom"/>
            <w:gridSpan w:val="2"/>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950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gridSpan w:val="2"/>
          </w:tcPr>
          <w:p>
            <w:pPr>
              <w:ind w:left="200"/>
              <w:spacing w:after="0"/>
              <w:rPr>
                <w:sz w:val="20"/>
                <w:szCs w:val="20"/>
                <w:color w:val="auto"/>
              </w:rPr>
            </w:pPr>
            <w:r>
              <w:rPr>
                <w:rFonts w:ascii="Arial" w:cs="Arial" w:eastAsia="Arial" w:hAnsi="Arial"/>
                <w:sz w:val="14"/>
                <w:szCs w:val="14"/>
                <w:color w:val="auto"/>
              </w:rPr>
              <w:t>(Alegeus Technologies, LLC)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Autumn Games, LLC</w:t>
            </w:r>
          </w:p>
        </w:tc>
        <w:tc>
          <w:tcPr>
            <w:tcW w:w="7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8"/>
              </w:rPr>
              <w:t>Broadcasting and</w:t>
            </w:r>
          </w:p>
        </w:tc>
        <w:tc>
          <w:tcPr>
            <w:tcW w:w="700" w:type="dxa"/>
            <w:vAlign w:val="bottom"/>
            <w:gridSpan w:val="2"/>
            <w:shd w:val="clear" w:color="auto" w:fill="CCEEFF"/>
          </w:tcPr>
          <w:p>
            <w:pPr>
              <w:jc w:val="right"/>
              <w:ind w:right="238"/>
              <w:spacing w:after="0" w:line="13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w w:val="89"/>
              </w:rPr>
              <w:t>1,333,330</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3,000,000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Entertainment</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Distribution</w:t>
            </w:r>
          </w:p>
        </w:tc>
        <w:tc>
          <w:tcPr>
            <w:tcW w:w="700" w:type="dxa"/>
            <w:vAlign w:val="bottom"/>
            <w:gridSpan w:val="2"/>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9"/>
              </w:rPr>
              <w:t>1,505,000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1,505,000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gridSpan w:val="2"/>
          </w:tcPr>
          <w:p>
            <w:pPr>
              <w:ind w:left="200"/>
              <w:spacing w:after="0"/>
              <w:rPr>
                <w:sz w:val="20"/>
                <w:szCs w:val="20"/>
                <w:color w:val="auto"/>
              </w:rPr>
            </w:pPr>
            <w:r>
              <w:rPr>
                <w:rFonts w:ascii="Arial" w:cs="Arial" w:eastAsia="Arial" w:hAnsi="Arial"/>
                <w:sz w:val="14"/>
                <w:szCs w:val="14"/>
                <w:color w:val="auto"/>
              </w:rPr>
              <w:t>(Galls, LLC; Quartermaster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CI (IHS) Investment Holdings, LLC</w:t>
            </w:r>
          </w:p>
        </w:tc>
        <w:tc>
          <w:tcPr>
            <w:tcW w:w="7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shd w:val="clear" w:color="auto" w:fill="CCEEFF"/>
          </w:tcPr>
          <w:p>
            <w:pPr>
              <w:jc w:val="right"/>
              <w:ind w:right="238"/>
              <w:spacing w:after="0" w:line="13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23,416</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234,693</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270,457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11,708</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117,346</w:t>
            </w:r>
          </w:p>
        </w:tc>
        <w:tc>
          <w:tcPr>
            <w:tcW w:w="180" w:type="dxa"/>
            <w:vAlign w:val="bottom"/>
          </w:tcPr>
          <w:p>
            <w:pPr>
              <w:spacing w:after="0"/>
              <w:rPr>
                <w:sz w:val="11"/>
                <w:szCs w:val="11"/>
                <w:color w:val="auto"/>
              </w:rPr>
            </w:pPr>
          </w:p>
        </w:tc>
        <w:tc>
          <w:tcPr>
            <w:tcW w:w="7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gridSpan w:val="2"/>
          </w:tcPr>
          <w:p>
            <w:pPr>
              <w:ind w:left="200"/>
              <w:spacing w:after="0"/>
              <w:rPr>
                <w:sz w:val="20"/>
                <w:szCs w:val="20"/>
                <w:color w:val="auto"/>
              </w:rPr>
            </w:pPr>
            <w:r>
              <w:rPr>
                <w:rFonts w:ascii="Arial" w:cs="Arial" w:eastAsia="Arial" w:hAnsi="Arial"/>
                <w:sz w:val="14"/>
                <w:szCs w:val="14"/>
                <w:color w:val="auto"/>
              </w:rPr>
              <w:t>(Interactive Health Solutions,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Convergint Technologies Holdings, LLC</w:t>
            </w:r>
          </w:p>
        </w:tc>
        <w:tc>
          <w:tcPr>
            <w:tcW w:w="7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Electronics</w:t>
            </w:r>
          </w:p>
        </w:tc>
        <w:tc>
          <w:tcPr>
            <w:tcW w:w="700" w:type="dxa"/>
            <w:vAlign w:val="bottom"/>
            <w:gridSpan w:val="2"/>
            <w:shd w:val="clear" w:color="auto" w:fill="CCEEFF"/>
          </w:tcPr>
          <w:p>
            <w:pPr>
              <w:jc w:val="right"/>
              <w:ind w:right="238"/>
              <w:spacing w:after="0" w:line="13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2,375</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(Convergint Technologies) LLC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00" w:type="dxa"/>
            <w:vAlign w:val="bottom"/>
            <w:gridSpan w:val="2"/>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1,904,033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Products</w:t>
            </w:r>
          </w:p>
        </w:tc>
        <w:tc>
          <w:tcPr>
            <w:tcW w:w="70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HW Topco, Inc. (Hanley-Wood, LLC)</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Other Media</w:t>
            </w:r>
          </w:p>
        </w:tc>
        <w:tc>
          <w:tcPr>
            <w:tcW w:w="700" w:type="dxa"/>
            <w:vAlign w:val="bottom"/>
            <w:gridSpan w:val="2"/>
          </w:tcPr>
          <w:p>
            <w:pPr>
              <w:jc w:val="right"/>
              <w:ind w:right="23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348,912</w:t>
            </w:r>
          </w:p>
        </w:tc>
        <w:tc>
          <w:tcPr>
            <w:tcW w:w="680" w:type="dxa"/>
            <w:vAlign w:val="bottom"/>
          </w:tcPr>
          <w:p>
            <w:pPr>
              <w:jc w:val="right"/>
              <w:spacing w:after="0"/>
              <w:rPr>
                <w:sz w:val="20"/>
                <w:szCs w:val="20"/>
                <w:color w:val="auto"/>
              </w:rPr>
            </w:pPr>
            <w:r>
              <w:rPr>
                <w:rFonts w:ascii="Arial" w:cs="Arial" w:eastAsia="Arial" w:hAnsi="Arial"/>
                <w:sz w:val="14"/>
                <w:szCs w:val="14"/>
                <w:color w:val="auto"/>
              </w:rPr>
              <w:t>2,443,050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2,642,438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2012</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Maturity</w:t>
            </w:r>
          </w:p>
        </w:tc>
      </w:tr>
      <w:tr>
        <w:trPr>
          <w:trHeight w:val="131"/>
        </w:trPr>
        <w:tc>
          <w:tcPr>
            <w:tcW w:w="20" w:type="dxa"/>
            <w:vAlign w:val="bottom"/>
          </w:tcPr>
          <w:p>
            <w:pPr>
              <w:spacing w:after="0"/>
              <w:rPr>
                <w:sz w:val="11"/>
                <w:szCs w:val="11"/>
                <w:color w:val="auto"/>
              </w:rPr>
            </w:pPr>
          </w:p>
        </w:tc>
        <w:tc>
          <w:tcPr>
            <w:tcW w:w="46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Kadmon Holdings, LLC, Class A</w:t>
            </w:r>
          </w:p>
        </w:tc>
        <w:tc>
          <w:tcPr>
            <w:tcW w:w="80" w:type="dxa"/>
            <w:vAlign w:val="bottom"/>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Kadmon Holdings, LLC, Class D</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740" w:type="dxa"/>
            <w:vAlign w:val="bottom"/>
            <w:gridSpan w:val="3"/>
          </w:tcPr>
          <w:p>
            <w:pPr>
              <w:spacing w:after="0"/>
              <w:rPr>
                <w:sz w:val="20"/>
                <w:szCs w:val="20"/>
                <w:color w:val="auto"/>
              </w:rPr>
            </w:pPr>
            <w:r>
              <w:rPr>
                <w:rFonts w:ascii="Arial" w:cs="Arial" w:eastAsia="Arial" w:hAnsi="Arial"/>
                <w:sz w:val="14"/>
                <w:szCs w:val="14"/>
                <w:color w:val="auto"/>
              </w:rPr>
              <w:t>Learning Care Group (US) Inc. (Warrants)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04/27/2020</w:t>
            </w: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(Eureka Hunter Pipeline,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1"/>
              </w:rPr>
              <w:t>10/14/2013</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(Eureka Hunter Pipeline,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MidOcean JF Holdings Corp.</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(JF Acquisition,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MidOcean PPL Holdings, Inc.</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(Pre-Paid Legal Services,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Paradigm Acquisition Corp.</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(Paradigm Management Services,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PAS Tech Holdings, Inc.</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(PAS Technologies,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A</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(Questex Media Group,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B</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(Questex Media Group,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SPG Boyd Holdings Corp.</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(LTI Flexible Products,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Titan Private Holdings I, LLC – Class A</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(Tekelec Global,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2"/>
        </w:trPr>
        <w:tc>
          <w:tcPr>
            <w:tcW w:w="4740" w:type="dxa"/>
            <w:vAlign w:val="bottom"/>
            <w:gridSpan w:val="3"/>
          </w:tcPr>
          <w:p>
            <w:pPr>
              <w:spacing w:after="0" w:line="133" w:lineRule="exact"/>
              <w:rPr>
                <w:sz w:val="20"/>
                <w:szCs w:val="20"/>
                <w:color w:val="auto"/>
              </w:rPr>
            </w:pPr>
            <w:r>
              <w:rPr>
                <w:rFonts w:ascii="Arial" w:cs="Arial" w:eastAsia="Arial" w:hAnsi="Arial"/>
                <w:sz w:val="14"/>
                <w:szCs w:val="14"/>
                <w:color w:val="auto"/>
              </w:rPr>
              <w:t>TRAK Acquisition Corp. (Warrants)</w:t>
            </w:r>
          </w:p>
        </w:tc>
        <w:tc>
          <w:tcPr>
            <w:tcW w:w="680" w:type="dxa"/>
            <w:vAlign w:val="bottom"/>
          </w:tcPr>
          <w:p>
            <w:pPr>
              <w:jc w:val="right"/>
              <w:spacing w:after="0" w:line="133" w:lineRule="exact"/>
              <w:rPr>
                <w:sz w:val="20"/>
                <w:szCs w:val="20"/>
                <w:color w:val="auto"/>
              </w:rPr>
            </w:pPr>
            <w:r>
              <w:rPr>
                <w:rFonts w:ascii="Arial" w:cs="Arial" w:eastAsia="Arial" w:hAnsi="Arial"/>
                <w:sz w:val="14"/>
                <w:szCs w:val="14"/>
                <w:color w:val="auto"/>
                <w:w w:val="91"/>
              </w:rPr>
              <w:t>12/29/2019</w:t>
            </w:r>
          </w:p>
        </w:tc>
        <w:tc>
          <w:tcPr>
            <w:tcW w:w="20" w:type="dxa"/>
            <w:vAlign w:val="bottom"/>
          </w:tcPr>
          <w:p>
            <w:pPr>
              <w:spacing w:after="0"/>
              <w:rPr>
                <w:sz w:val="11"/>
                <w:szCs w:val="11"/>
                <w:color w:val="auto"/>
              </w:rPr>
            </w:pPr>
          </w:p>
        </w:tc>
      </w:tr>
      <w:tr>
        <w:trPr>
          <w:trHeight w:val="165"/>
        </w:trPr>
        <w:tc>
          <w:tcPr>
            <w:tcW w:w="4740" w:type="dxa"/>
            <w:vAlign w:val="bottom"/>
            <w:gridSpan w:val="3"/>
          </w:tcPr>
          <w:p>
            <w:pPr>
              <w:spacing w:after="0" w:line="165"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(13)</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(Greatwide Logistics Services, L.L.C.)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(Trizetto Group, Inc.)</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Verde Parent Holdings, Inc.</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VText Holdings, Inc.</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r>
      <w:tr>
        <w:trPr>
          <w:trHeight w:val="172"/>
        </w:trPr>
        <w:tc>
          <w:tcPr>
            <w:tcW w:w="20" w:type="dxa"/>
            <w:vAlign w:val="bottom"/>
          </w:tcPr>
          <w:p>
            <w:pPr>
              <w:spacing w:after="0"/>
              <w:rPr>
                <w:sz w:val="14"/>
                <w:szCs w:val="14"/>
                <w:color w:val="auto"/>
              </w:rPr>
            </w:pPr>
          </w:p>
        </w:tc>
        <w:tc>
          <w:tcPr>
            <w:tcW w:w="4720" w:type="dxa"/>
            <w:vAlign w:val="bottom"/>
            <w:gridSpan w:val="2"/>
          </w:tcPr>
          <w:p>
            <w:pPr>
              <w:ind w:left="200"/>
              <w:spacing w:after="0"/>
              <w:rPr>
                <w:sz w:val="20"/>
                <w:szCs w:val="20"/>
                <w:color w:val="auto"/>
              </w:rPr>
            </w:pPr>
            <w:r>
              <w:rPr>
                <w:rFonts w:ascii="Arial" w:cs="Arial" w:eastAsia="Arial" w:hAnsi="Arial"/>
                <w:sz w:val="14"/>
                <w:szCs w:val="14"/>
                <w:color w:val="auto"/>
              </w:rPr>
              <w:t>(Veritext Corp.)</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Total Common Equity/Warrants/ Partnership Interests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w w:val="98"/>
              </w:rPr>
              <w:t>Total Investments in Non-Controlled, Non-Affiliated Portfolio Companies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Above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Par/</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780" w:type="dxa"/>
            <w:vAlign w:val="bottom"/>
            <w:gridSpan w:val="2"/>
            <w:vMerge w:val="continue"/>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gridSpan w:val="2"/>
            <w:vMerge w:val="continue"/>
          </w:tcPr>
          <w:p>
            <w:pPr>
              <w:spacing w:after="0"/>
              <w:rPr>
                <w:sz w:val="12"/>
                <w:szCs w:val="12"/>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31"/>
        </w:trPr>
        <w:tc>
          <w:tcPr>
            <w:tcW w:w="1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7"/>
              </w:rPr>
              <w:t>Healthcare, Education</w:t>
            </w:r>
          </w:p>
        </w:tc>
        <w:tc>
          <w:tcPr>
            <w:tcW w:w="80" w:type="dxa"/>
            <w:vAlign w:val="bottom"/>
          </w:tcPr>
          <w:p>
            <w:pPr>
              <w:spacing w:after="0"/>
              <w:rPr>
                <w:sz w:val="11"/>
                <w:szCs w:val="11"/>
                <w:color w:val="auto"/>
              </w:rPr>
            </w:pPr>
          </w:p>
        </w:tc>
        <w:tc>
          <w:tcPr>
            <w:tcW w:w="4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tcBorders>
              <w:top w:val="single" w:sz="8" w:color="auto"/>
            </w:tcBorders>
          </w:tcPr>
          <w:p>
            <w:pPr>
              <w:ind w:left="440"/>
              <w:spacing w:after="0" w:line="13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9"/>
              </w:rPr>
              <w:t>1,079,920</w:t>
            </w:r>
          </w:p>
        </w:tc>
        <w:tc>
          <w:tcPr>
            <w:tcW w:w="300" w:type="dxa"/>
            <w:vAlign w:val="bottom"/>
          </w:tcPr>
          <w:p>
            <w:pPr>
              <w:spacing w:after="0"/>
              <w:rPr>
                <w:sz w:val="11"/>
                <w:szCs w:val="11"/>
                <w:color w:val="auto"/>
              </w:rPr>
            </w:pPr>
          </w:p>
        </w:tc>
        <w:tc>
          <w:tcPr>
            <w:tcW w:w="7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  1,236,832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0"/>
              </w:rPr>
              <w:t>$ 12,013,688</w:t>
            </w: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1,079,920</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1,028,807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Education</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1,267</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779,920</w:t>
            </w:r>
          </w:p>
        </w:tc>
        <w:tc>
          <w:tcPr>
            <w:tcW w:w="1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Oil and Gas</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1,221,932</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3,239,999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311"/>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Oil and Gas</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122,193</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105,697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311"/>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Distribution</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1,700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287"/>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Personal, Food and</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3,000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20,000</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Aerospace and Defense</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20,000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Other Media</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4,325</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1,306,166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311"/>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Other Media</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531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287"/>
        </w:trPr>
        <w:tc>
          <w:tcPr>
            <w:tcW w:w="178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Chemical, Plastic</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300,000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Rubber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Telecommunications</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2,276,847</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2,274,883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287"/>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Business Services</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3,500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29,400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7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Cargo Transport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137,923</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2,111,588</w:t>
            </w:r>
          </w:p>
        </w:tc>
        <w:tc>
          <w:tcPr>
            <w:tcW w:w="1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Insurance</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9,567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r>
        <w:trPr>
          <w:trHeight w:val="287"/>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Personal Transportation</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9,166</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9,167</w:t>
            </w:r>
          </w:p>
        </w:tc>
        <w:tc>
          <w:tcPr>
            <w:tcW w:w="1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Business Services</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35,526</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4,050,000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6,941,000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38,457,098</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61,315,758</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2"/>
              </w:rPr>
              <w:t>871,867,953</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871,892,745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-3489960</wp:posOffset>
            </wp:positionV>
            <wp:extent cx="724662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-3086735</wp:posOffset>
            </wp:positionV>
            <wp:extent cx="724662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-2786380</wp:posOffset>
            </wp:positionV>
            <wp:extent cx="7246620" cy="1974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-2392045</wp:posOffset>
            </wp:positionV>
            <wp:extent cx="7246620" cy="197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-1997710</wp:posOffset>
            </wp:positionV>
            <wp:extent cx="7246620" cy="197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-1602740</wp:posOffset>
            </wp:positionV>
            <wp:extent cx="7246620"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-1208405</wp:posOffset>
            </wp:positionV>
            <wp:extent cx="7246620" cy="1974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-916940</wp:posOffset>
            </wp:positionV>
            <wp:extent cx="7246620" cy="1974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-522605</wp:posOffset>
            </wp:positionV>
            <wp:extent cx="7246620"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-213995</wp:posOffset>
            </wp:positionV>
            <wp:extent cx="72466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420" w:space="160"/>
            <w:col w:w="578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360"/>
          </w:cols>
          <w:pgMar w:left="240" w:top="459" w:right="29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Current</w:t>
            </w: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5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86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w w:val="98"/>
              </w:rPr>
              <w:t>Coupon</w:t>
            </w:r>
          </w:p>
        </w:tc>
        <w:tc>
          <w:tcPr>
            <w:tcW w:w="940" w:type="dxa"/>
            <w:vAlign w:val="bottom"/>
          </w:tcPr>
          <w:p>
            <w:pPr>
              <w:jc w:val="center"/>
              <w:ind w:right="95"/>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5"/>
              </w:rPr>
              <w:t xml:space="preserve">Investments in Non-Controlled, Affiliated Portfolio Companies—12.0% </w:t>
            </w:r>
            <w:r>
              <w:rPr>
                <w:rFonts w:ascii="Arial" w:cs="Arial" w:eastAsia="Arial" w:hAnsi="Arial"/>
                <w:sz w:val="21"/>
                <w:szCs w:val="21"/>
                <w:b w:val="1"/>
                <w:bCs w:val="1"/>
                <w:color w:val="auto"/>
                <w:w w:val="95"/>
                <w:vertAlign w:val="superscript"/>
              </w:rPr>
              <w:t>(1),(2)</w:t>
            </w:r>
          </w:p>
        </w:tc>
        <w:tc>
          <w:tcPr>
            <w:tcW w:w="78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01/16/2015</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 Amusement Motion</w:t>
            </w:r>
          </w:p>
        </w:tc>
        <w:tc>
          <w:tcPr>
            <w:tcW w:w="860" w:type="dxa"/>
            <w:vAlign w:val="bottom"/>
            <w:shd w:val="clear" w:color="auto" w:fill="CCEEFF"/>
          </w:tcPr>
          <w:p>
            <w:pPr>
              <w:jc w:val="right"/>
              <w:ind w:right="134"/>
              <w:spacing w:after="0" w:line="138" w:lineRule="exact"/>
              <w:rPr>
                <w:sz w:val="20"/>
                <w:szCs w:val="20"/>
                <w:color w:val="auto"/>
              </w:rPr>
            </w:pPr>
            <w:r>
              <w:rPr>
                <w:rFonts w:ascii="Arial" w:cs="Arial" w:eastAsia="Arial" w:hAnsi="Arial"/>
                <w:sz w:val="14"/>
                <w:szCs w:val="14"/>
                <w:color w:val="auto"/>
              </w:rPr>
              <w:t>7.25%</w:t>
            </w:r>
          </w:p>
        </w:tc>
        <w:tc>
          <w:tcPr>
            <w:tcW w:w="940" w:type="dxa"/>
            <w:vAlign w:val="bottom"/>
            <w:shd w:val="clear" w:color="auto" w:fill="CCEEFF"/>
          </w:tcPr>
          <w:p>
            <w:pPr>
              <w:ind w:left="340"/>
              <w:spacing w:after="0" w:line="138" w:lineRule="exact"/>
              <w:rPr>
                <w:sz w:val="20"/>
                <w:szCs w:val="20"/>
                <w:color w:val="auto"/>
              </w:rPr>
            </w:pPr>
            <w:r>
              <w:rPr>
                <w:rFonts w:ascii="Arial" w:cs="Arial" w:eastAsia="Arial" w:hAnsi="Arial"/>
                <w:sz w:val="10"/>
                <w:szCs w:val="10"/>
                <w:color w:val="auto"/>
              </w:rPr>
              <w:t>L+625</w:t>
            </w:r>
            <w:r>
              <w:rPr>
                <w:rFonts w:ascii="Arial" w:cs="Arial" w:eastAsia="Arial" w:hAnsi="Arial"/>
                <w:sz w:val="15"/>
                <w:szCs w:val="15"/>
                <w:color w:val="auto"/>
                <w:vertAlign w:val="superscript"/>
              </w:rPr>
              <w:t>(8)</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8,000,000</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$ 8,000,000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$ 7,672,000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and Entertainment</w:t>
            </w: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07/16/2015</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8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(7)</w:t>
            </w:r>
          </w:p>
        </w:tc>
        <w:tc>
          <w:tcPr>
            <w:tcW w:w="94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7,567,234</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7,435,314</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7,453,725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8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10/02/2017</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86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12.50%</w:t>
            </w: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24,000,000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23,495,700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10/02/2013</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860" w:type="dxa"/>
            <w:vAlign w:val="bottom"/>
            <w:shd w:val="clear" w:color="auto" w:fill="CCEEFF"/>
          </w:tcPr>
          <w:p>
            <w:pPr>
              <w:jc w:val="right"/>
              <w:ind w:right="314"/>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3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15,640,000</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46,571,014</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47,453,725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Interest—3.8% </w:t>
            </w:r>
            <w:r>
              <w:rPr>
                <w:rFonts w:ascii="Arial" w:cs="Arial" w:eastAsia="Arial" w:hAnsi="Arial"/>
                <w:sz w:val="17"/>
                <w:szCs w:val="17"/>
                <w:b w:val="1"/>
                <w:bCs w:val="1"/>
                <w:color w:val="auto"/>
                <w:vertAlign w:val="superscript"/>
              </w:rPr>
              <w:t>(6)</w:t>
            </w:r>
          </w:p>
        </w:tc>
        <w:tc>
          <w:tcPr>
            <w:tcW w:w="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tcPr>
          <w:p>
            <w:pPr>
              <w:jc w:val="right"/>
              <w:ind w:right="314"/>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125,106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10,055,844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18,425,519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860" w:type="dxa"/>
            <w:vAlign w:val="bottom"/>
            <w:shd w:val="clear" w:color="auto" w:fill="CCEEFF"/>
          </w:tcPr>
          <w:p>
            <w:pPr>
              <w:jc w:val="right"/>
              <w:ind w:right="314"/>
              <w:spacing w:after="0" w:line="13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2,902,355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8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7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860" w:type="dxa"/>
            <w:vAlign w:val="bottom"/>
          </w:tcPr>
          <w:p>
            <w:pPr>
              <w:jc w:val="right"/>
              <w:ind w:right="314"/>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4,501,658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18,005,844</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25,829,532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72,576,858</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80,955,257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Basis Point</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4"/>
              </w:rPr>
              <w:t>Spread</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4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5"/>
              </w:rPr>
              <w:t>Maturity</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Current</w:t>
            </w: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4"/>
              </w:rPr>
              <w:t>Above</w:t>
            </w: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4"/>
                <w:szCs w:val="14"/>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43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Coupon</w:t>
            </w:r>
          </w:p>
        </w:tc>
        <w:tc>
          <w:tcPr>
            <w:tcW w:w="880" w:type="dxa"/>
            <w:vAlign w:val="bottom"/>
          </w:tcPr>
          <w:p>
            <w:pPr>
              <w:jc w:val="center"/>
              <w:ind w:right="54"/>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11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8"/>
              </w:rPr>
              <w:t xml:space="preserve">Investments in Controlled, Affiliated Portfolio Companies—5.6% </w:t>
            </w:r>
            <w:r>
              <w:rPr>
                <w:rFonts w:ascii="Arial" w:cs="Arial" w:eastAsia="Arial" w:hAnsi="Arial"/>
                <w:sz w:val="21"/>
                <w:szCs w:val="21"/>
                <w:b w:val="1"/>
                <w:bCs w:val="1"/>
                <w:color w:val="auto"/>
                <w:w w:val="98"/>
                <w:vertAlign w:val="superscript"/>
              </w:rPr>
              <w:t>(1),(2)</w:t>
            </w:r>
          </w:p>
        </w:tc>
        <w:tc>
          <w:tcPr>
            <w:tcW w:w="9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06/30/2020</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shd w:val="clear" w:color="auto" w:fill="CCEEFF"/>
          </w:tcPr>
          <w:p>
            <w:pPr>
              <w:jc w:val="right"/>
              <w:ind w:right="15"/>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8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10,800,000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line="156" w:lineRule="exact"/>
              <w:rPr>
                <w:sz w:val="20"/>
                <w:szCs w:val="20"/>
                <w:color w:val="auto"/>
              </w:rPr>
            </w:pPr>
            <w:r>
              <w:rPr>
                <w:rFonts w:ascii="Arial" w:cs="Arial" w:eastAsia="Arial" w:hAnsi="Arial"/>
                <w:sz w:val="12"/>
                <w:szCs w:val="12"/>
                <w:color w:val="auto"/>
              </w:rPr>
              <w:t xml:space="preserve">UP Support Services, Inc. </w:t>
            </w:r>
            <w:r>
              <w:rPr>
                <w:rFonts w:ascii="Arial" w:cs="Arial" w:eastAsia="Arial" w:hAnsi="Arial"/>
                <w:sz w:val="18"/>
                <w:szCs w:val="18"/>
                <w:color w:val="auto"/>
                <w:vertAlign w:val="superscript"/>
              </w:rPr>
              <w:t>(9)</w:t>
            </w:r>
          </w:p>
        </w:tc>
        <w:tc>
          <w:tcPr>
            <w:tcW w:w="940" w:type="dxa"/>
            <w:vAlign w:val="bottom"/>
          </w:tcPr>
          <w:p>
            <w:pPr>
              <w:jc w:val="center"/>
              <w:ind w:left="132"/>
              <w:spacing w:after="0" w:line="155" w:lineRule="exact"/>
              <w:rPr>
                <w:sz w:val="20"/>
                <w:szCs w:val="20"/>
                <w:color w:val="auto"/>
              </w:rPr>
            </w:pPr>
            <w:r>
              <w:rPr>
                <w:rFonts w:ascii="Arial" w:cs="Arial" w:eastAsia="Arial" w:hAnsi="Arial"/>
                <w:sz w:val="14"/>
                <w:szCs w:val="14"/>
                <w:color w:val="auto"/>
                <w:w w:val="88"/>
              </w:rPr>
              <w:t>12/31/2015</w:t>
            </w:r>
          </w:p>
        </w:tc>
        <w:tc>
          <w:tcPr>
            <w:tcW w:w="1120" w:type="dxa"/>
            <w:vAlign w:val="bottom"/>
          </w:tcPr>
          <w:p>
            <w:pPr>
              <w:jc w:val="center"/>
              <w:spacing w:after="0" w:line="155" w:lineRule="exact"/>
              <w:rPr>
                <w:sz w:val="20"/>
                <w:szCs w:val="20"/>
                <w:color w:val="auto"/>
              </w:rPr>
            </w:pPr>
            <w:r>
              <w:rPr>
                <w:rFonts w:ascii="Arial" w:cs="Arial" w:eastAsia="Arial" w:hAnsi="Arial"/>
                <w:sz w:val="14"/>
                <w:szCs w:val="14"/>
                <w:color w:val="auto"/>
                <w:w w:val="89"/>
              </w:rPr>
              <w:t>Oil and Gas</w:t>
            </w:r>
          </w:p>
        </w:tc>
        <w:tc>
          <w:tcPr>
            <w:tcW w:w="1000" w:type="dxa"/>
            <w:vAlign w:val="bottom"/>
          </w:tcPr>
          <w:p>
            <w:pPr>
              <w:jc w:val="right"/>
              <w:ind w:right="315"/>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743,187</w:t>
            </w: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668,632</w:t>
            </w:r>
          </w:p>
        </w:tc>
        <w:tc>
          <w:tcPr>
            <w:tcW w:w="38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94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12/31/2015</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000" w:type="dxa"/>
            <w:vAlign w:val="bottom"/>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1,173,479</w:t>
            </w: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3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12,716,666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tcPr>
          <w:p>
            <w:pPr>
              <w:spacing w:after="0" w:line="138" w:lineRule="exact"/>
              <w:rPr>
                <w:sz w:val="20"/>
                <w:szCs w:val="20"/>
                <w:color w:val="auto"/>
              </w:rPr>
            </w:pPr>
            <w:r>
              <w:rPr>
                <w:rFonts w:ascii="Arial" w:cs="Arial" w:eastAsia="Arial" w:hAnsi="Arial"/>
                <w:sz w:val="14"/>
                <w:szCs w:val="14"/>
                <w:color w:val="auto"/>
              </w:rPr>
              <w:t>UP Support Services, Inc.</w:t>
            </w:r>
          </w:p>
        </w:tc>
        <w:tc>
          <w:tcPr>
            <w:tcW w:w="94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8"/>
              </w:rPr>
              <w:t>12/31/2015</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000" w:type="dxa"/>
            <w:vAlign w:val="bottom"/>
          </w:tcPr>
          <w:p>
            <w:pPr>
              <w:jc w:val="right"/>
              <w:ind w:right="135"/>
              <w:spacing w:after="0" w:line="138" w:lineRule="exact"/>
              <w:rPr>
                <w:sz w:val="20"/>
                <w:szCs w:val="20"/>
                <w:color w:val="auto"/>
              </w:rPr>
            </w:pPr>
            <w:r>
              <w:rPr>
                <w:rFonts w:ascii="Arial" w:cs="Arial" w:eastAsia="Arial" w:hAnsi="Arial"/>
                <w:sz w:val="14"/>
                <w:szCs w:val="14"/>
                <w:color w:val="auto"/>
              </w:rPr>
              <w:t>15.00%</w:t>
            </w:r>
          </w:p>
        </w:tc>
        <w:tc>
          <w:tcPr>
            <w:tcW w:w="880" w:type="dxa"/>
            <w:vAlign w:val="bottom"/>
          </w:tcPr>
          <w:p>
            <w:pPr>
              <w:ind w:left="500"/>
              <w:spacing w:after="0" w:line="138"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14,300,282</w:t>
            </w: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11,809,647</w:t>
            </w:r>
          </w:p>
        </w:tc>
        <w:tc>
          <w:tcPr>
            <w:tcW w:w="3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w w:val="99"/>
              </w:rPr>
              <w:t>14,300,282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color w:val="auto"/>
                <w:w w:val="98"/>
              </w:rPr>
              <w:t>(PIK 15.00)%</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88"/>
              </w:rPr>
              <w:t>06/30/2020</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5"/>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88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2,700,000</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2,700,000</w:t>
            </w:r>
          </w:p>
        </w:tc>
        <w:tc>
          <w:tcPr>
            <w:tcW w:w="3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2,158,053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14.00%</w:t>
            </w:r>
          </w:p>
        </w:tc>
        <w:tc>
          <w:tcPr>
            <w:tcW w:w="88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9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000" w:type="dxa"/>
            <w:vAlign w:val="bottom"/>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8.00%</w:t>
            </w:r>
          </w:p>
        </w:tc>
        <w:tc>
          <w:tcPr>
            <w:tcW w:w="8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411,988</w:t>
            </w: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8,239,760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38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880" w:type="dxa"/>
            <w:vAlign w:val="bottom"/>
          </w:tcPr>
          <w:p>
            <w:pPr>
              <w:ind w:left="5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2"/>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37,631,708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Investments—147.9%</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84"/>
              </w:rPr>
              <w:t>1,008,611,862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990,479,710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8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84"/>
              </w:rPr>
              <w:t>1,016,171,315</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998,039,163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in Excess of Other Assets—(49.0%)</w:t>
            </w: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(328,322,116)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460" w:right="600" w:hanging="452"/>
        <w:spacing w:after="0" w:line="268" w:lineRule="auto"/>
        <w:tabs>
          <w:tab w:leader="none" w:pos="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20" w:hanging="452"/>
        <w:spacing w:after="0" w:line="258" w:lineRule="auto"/>
        <w:tabs>
          <w:tab w:leader="none" w:pos="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(“L”) or Prime (“P”) rate.</w:t>
      </w:r>
    </w:p>
    <w:p>
      <w:pPr>
        <w:ind w:left="460" w:right="64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payable in cash and/or in-kind, or PIK.</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460" w:hanging="452"/>
        <w:spacing w:after="0" w:line="22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460" w:hanging="452"/>
        <w:spacing w:after="0"/>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95"/>
              </w:rPr>
              <w:t>Maturity</w:t>
            </w:r>
          </w:p>
        </w:tc>
        <w:tc>
          <w:tcPr>
            <w:tcW w:w="13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Current</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50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Coupon</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3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8"/>
              </w:rPr>
              <w:t>Investments in Non-Controlled, Non-Affiliated Portfolio Companies—167.2%</w:t>
            </w:r>
            <w:r>
              <w:rPr>
                <w:rFonts w:ascii="Arial" w:cs="Arial" w:eastAsia="Arial" w:hAnsi="Arial"/>
                <w:sz w:val="21"/>
                <w:szCs w:val="21"/>
                <w:b w:val="1"/>
                <w:bCs w:val="1"/>
                <w:color w:val="auto"/>
                <w:w w:val="98"/>
                <w:vertAlign w:val="superscript"/>
              </w:rPr>
              <w:t>(1),(2)</w:t>
            </w:r>
          </w:p>
        </w:tc>
        <w:tc>
          <w:tcPr>
            <w:tcW w:w="8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8" w:lineRule="exact"/>
              <w:rPr>
                <w:sz w:val="20"/>
                <w:szCs w:val="20"/>
                <w:color w:val="auto"/>
              </w:rPr>
            </w:pPr>
            <w:r>
              <w:rPr>
                <w:rFonts w:ascii="Arial" w:cs="Arial" w:eastAsia="Arial" w:hAnsi="Arial"/>
                <w:sz w:val="14"/>
                <w:szCs w:val="14"/>
                <w:color w:val="auto"/>
              </w:rPr>
              <w:t>American Surgical Holdings, Inc.</w:t>
            </w:r>
          </w:p>
        </w:tc>
        <w:tc>
          <w:tcPr>
            <w:tcW w:w="8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5"/>
              </w:rPr>
              <w:t>03/23/2015</w:t>
            </w:r>
          </w:p>
        </w:tc>
        <w:tc>
          <w:tcPr>
            <w:tcW w:w="130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6"/>
              </w:rPr>
              <w:t>Healthcare,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14.00%</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L+1,000</w:t>
            </w:r>
          </w:p>
        </w:tc>
        <w:tc>
          <w:tcPr>
            <w:tcW w:w="300" w:type="dxa"/>
            <w:vAlign w:val="bottom"/>
            <w:vMerge w:val="continue"/>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20,300,000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84"/>
              </w:rPr>
              <w:t>$19,748,930</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84"/>
              </w:rPr>
              <w:t>$20,300,000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Education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line="190" w:lineRule="exact"/>
              <w:rPr>
                <w:sz w:val="20"/>
                <w:szCs w:val="20"/>
                <w:color w:val="auto"/>
              </w:rPr>
            </w:pPr>
            <w:r>
              <w:rPr>
                <w:rFonts w:ascii="Arial" w:cs="Arial" w:eastAsia="Arial" w:hAnsi="Arial"/>
                <w:sz w:val="13"/>
                <w:szCs w:val="13"/>
                <w:color w:val="auto"/>
              </w:rPr>
              <w:t xml:space="preserve">CEVA Group PLC </w:t>
            </w:r>
            <w:r>
              <w:rPr>
                <w:rFonts w:ascii="Arial" w:cs="Arial" w:eastAsia="Arial" w:hAnsi="Arial"/>
                <w:sz w:val="21"/>
                <w:szCs w:val="21"/>
                <w:color w:val="auto"/>
                <w:vertAlign w:val="superscript"/>
              </w:rPr>
              <w:t>(5), (10)</w:t>
            </w:r>
          </w:p>
        </w:tc>
        <w:tc>
          <w:tcPr>
            <w:tcW w:w="880" w:type="dxa"/>
            <w:vAlign w:val="bottom"/>
          </w:tcPr>
          <w:p>
            <w:pPr>
              <w:jc w:val="center"/>
              <w:ind w:left="92"/>
              <w:spacing w:after="0"/>
              <w:rPr>
                <w:sz w:val="20"/>
                <w:szCs w:val="20"/>
                <w:color w:val="auto"/>
              </w:rPr>
            </w:pPr>
            <w:r>
              <w:rPr>
                <w:rFonts w:ascii="Arial" w:cs="Arial" w:eastAsia="Arial" w:hAnsi="Arial"/>
                <w:sz w:val="14"/>
                <w:szCs w:val="14"/>
                <w:color w:val="auto"/>
                <w:w w:val="85"/>
              </w:rPr>
              <w:t>10/01/2016</w:t>
            </w: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Logistics</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11.63%</w:t>
            </w:r>
          </w:p>
        </w:tc>
        <w:tc>
          <w:tcPr>
            <w:tcW w:w="2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7,500,000</w:t>
            </w:r>
          </w:p>
        </w:tc>
        <w:tc>
          <w:tcPr>
            <w:tcW w:w="680" w:type="dxa"/>
            <w:vAlign w:val="bottom"/>
          </w:tcPr>
          <w:p>
            <w:pPr>
              <w:jc w:val="right"/>
              <w:spacing w:after="0"/>
              <w:rPr>
                <w:sz w:val="20"/>
                <w:szCs w:val="20"/>
                <w:color w:val="auto"/>
              </w:rPr>
            </w:pPr>
            <w:r>
              <w:rPr>
                <w:rFonts w:ascii="Arial" w:cs="Arial" w:eastAsia="Arial" w:hAnsi="Arial"/>
                <w:sz w:val="14"/>
                <w:szCs w:val="14"/>
                <w:color w:val="auto"/>
              </w:rPr>
              <w:t>7,328,729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line="176" w:lineRule="exact"/>
              <w:rPr>
                <w:sz w:val="20"/>
                <w:szCs w:val="20"/>
                <w:color w:val="auto"/>
              </w:rPr>
            </w:pPr>
            <w:r>
              <w:rPr>
                <w:rFonts w:ascii="Arial" w:cs="Arial" w:eastAsia="Arial" w:hAnsi="Arial"/>
                <w:sz w:val="13"/>
                <w:szCs w:val="13"/>
                <w:color w:val="auto"/>
              </w:rPr>
              <w:t xml:space="preserve">CEVA Group PLC </w:t>
            </w:r>
            <w:r>
              <w:rPr>
                <w:rFonts w:ascii="Arial" w:cs="Arial" w:eastAsia="Arial" w:hAnsi="Arial"/>
                <w:sz w:val="20"/>
                <w:szCs w:val="20"/>
                <w:color w:val="auto"/>
                <w:vertAlign w:val="superscript"/>
              </w:rPr>
              <w:t>(5), (10)</w:t>
            </w:r>
          </w:p>
        </w:tc>
        <w:tc>
          <w:tcPr>
            <w:tcW w:w="880" w:type="dxa"/>
            <w:vAlign w:val="bottom"/>
          </w:tcPr>
          <w:p>
            <w:pPr>
              <w:jc w:val="center"/>
              <w:ind w:left="92"/>
              <w:spacing w:after="0"/>
              <w:rPr>
                <w:sz w:val="20"/>
                <w:szCs w:val="20"/>
                <w:color w:val="auto"/>
              </w:rPr>
            </w:pPr>
            <w:r>
              <w:rPr>
                <w:rFonts w:ascii="Arial" w:cs="Arial" w:eastAsia="Arial" w:hAnsi="Arial"/>
                <w:sz w:val="14"/>
                <w:szCs w:val="14"/>
                <w:color w:val="auto"/>
                <w:w w:val="85"/>
              </w:rPr>
              <w:t>04/01/2018</w:t>
            </w: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Logistics</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11.50%</w:t>
            </w:r>
          </w:p>
        </w:tc>
        <w:tc>
          <w:tcPr>
            <w:tcW w:w="2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1,000,000</w:t>
            </w:r>
          </w:p>
        </w:tc>
        <w:tc>
          <w:tcPr>
            <w:tcW w:w="680" w:type="dxa"/>
            <w:vAlign w:val="bottom"/>
          </w:tcPr>
          <w:p>
            <w:pPr>
              <w:jc w:val="right"/>
              <w:spacing w:after="0"/>
              <w:rPr>
                <w:sz w:val="20"/>
                <w:szCs w:val="20"/>
                <w:color w:val="auto"/>
              </w:rPr>
            </w:pPr>
            <w:r>
              <w:rPr>
                <w:rFonts w:ascii="Arial" w:cs="Arial" w:eastAsia="Arial" w:hAnsi="Arial"/>
                <w:sz w:val="14"/>
                <w:szCs w:val="14"/>
                <w:color w:val="auto"/>
              </w:rPr>
              <w:t>988,872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8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5"/>
              </w:rPr>
              <w:t>07/29/2016</w:t>
            </w:r>
          </w:p>
        </w:tc>
        <w:tc>
          <w:tcPr>
            <w:tcW w:w="130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9"/>
              </w:rPr>
              <w:t>Hotels, Motels, Inns</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12.38%</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L+988</w:t>
            </w:r>
          </w:p>
        </w:tc>
        <w:tc>
          <w:tcPr>
            <w:tcW w:w="300" w:type="dxa"/>
            <w:vAlign w:val="bottom"/>
            <w:vMerge w:val="continue"/>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11,358,254</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11,024,166</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11,310,924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000" w:type="dxa"/>
            <w:vAlign w:val="bottom"/>
            <w:vMerge w:val="restart"/>
          </w:tcPr>
          <w:p>
            <w:pPr>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22"/>
                <w:szCs w:val="22"/>
                <w:color w:val="auto"/>
                <w:vertAlign w:val="superscript"/>
              </w:rPr>
              <w:t>(5), (10)</w:t>
            </w:r>
          </w:p>
        </w:tc>
        <w:tc>
          <w:tcPr>
            <w:tcW w:w="880" w:type="dxa"/>
            <w:vAlign w:val="bottom"/>
          </w:tcPr>
          <w:p>
            <w:pPr>
              <w:spacing w:after="0"/>
              <w:rPr>
                <w:sz w:val="13"/>
                <w:szCs w:val="13"/>
                <w:color w:val="auto"/>
              </w:rPr>
            </w:pPr>
          </w:p>
        </w:tc>
        <w:tc>
          <w:tcPr>
            <w:tcW w:w="13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6"/>
              </w:rPr>
              <w:t>and Gaming</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0" w:type="dxa"/>
            <w:vAlign w:val="bottom"/>
            <w:vMerge w:val="continue"/>
          </w:tcPr>
          <w:p>
            <w:pPr>
              <w:spacing w:after="0"/>
              <w:rPr>
                <w:sz w:val="10"/>
                <w:szCs w:val="10"/>
                <w:color w:val="auto"/>
              </w:rPr>
            </w:pPr>
          </w:p>
        </w:tc>
        <w:tc>
          <w:tcPr>
            <w:tcW w:w="880" w:type="dxa"/>
            <w:vAlign w:val="bottom"/>
          </w:tcPr>
          <w:p>
            <w:pPr>
              <w:jc w:val="center"/>
              <w:ind w:left="92"/>
              <w:spacing w:after="0" w:line="122" w:lineRule="exact"/>
              <w:rPr>
                <w:sz w:val="20"/>
                <w:szCs w:val="20"/>
                <w:color w:val="auto"/>
              </w:rPr>
            </w:pPr>
            <w:r>
              <w:rPr>
                <w:rFonts w:ascii="Arial" w:cs="Arial" w:eastAsia="Arial" w:hAnsi="Arial"/>
                <w:sz w:val="14"/>
                <w:szCs w:val="14"/>
                <w:color w:val="auto"/>
                <w:w w:val="85"/>
              </w:rPr>
              <w:t>11/20/2014</w:t>
            </w:r>
          </w:p>
        </w:tc>
        <w:tc>
          <w:tcPr>
            <w:tcW w:w="1300" w:type="dxa"/>
            <w:vAlign w:val="bottom"/>
            <w:gridSpan w:val="2"/>
          </w:tcPr>
          <w:p>
            <w:pPr>
              <w:jc w:val="center"/>
              <w:ind w:right="60"/>
              <w:spacing w:after="0" w:line="122" w:lineRule="exact"/>
              <w:rPr>
                <w:sz w:val="20"/>
                <w:szCs w:val="20"/>
                <w:color w:val="auto"/>
              </w:rPr>
            </w:pPr>
            <w:r>
              <w:rPr>
                <w:rFonts w:ascii="Arial" w:cs="Arial" w:eastAsia="Arial" w:hAnsi="Arial"/>
                <w:sz w:val="14"/>
                <w:szCs w:val="14"/>
                <w:color w:val="auto"/>
                <w:w w:val="88"/>
              </w:rPr>
              <w:t>Communications</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4"/>
                <w:szCs w:val="14"/>
                <w:color w:val="auto"/>
              </w:rPr>
              <w:t>11.50%</w:t>
            </w:r>
          </w:p>
        </w:tc>
        <w:tc>
          <w:tcPr>
            <w:tcW w:w="260" w:type="dxa"/>
            <w:vAlign w:val="bottom"/>
          </w:tcPr>
          <w:p>
            <w:pPr>
              <w:spacing w:after="0"/>
              <w:rPr>
                <w:sz w:val="10"/>
                <w:szCs w:val="10"/>
                <w:color w:val="auto"/>
              </w:rPr>
            </w:pPr>
          </w:p>
        </w:tc>
        <w:tc>
          <w:tcPr>
            <w:tcW w:w="660" w:type="dxa"/>
            <w:vAlign w:val="bottom"/>
          </w:tcPr>
          <w:p>
            <w:pPr>
              <w:jc w:val="right"/>
              <w:ind w:right="13"/>
              <w:spacing w:after="0" w:line="122" w:lineRule="exact"/>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w w:val="94"/>
              </w:rPr>
              <w:t>10,000,000</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rPr>
              <w:t>9,800,000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line="176" w:lineRule="exact"/>
              <w:rPr>
                <w:sz w:val="20"/>
                <w:szCs w:val="20"/>
                <w:color w:val="auto"/>
              </w:rPr>
            </w:pPr>
            <w:r>
              <w:rPr>
                <w:rFonts w:ascii="Arial" w:cs="Arial" w:eastAsia="Arial" w:hAnsi="Arial"/>
                <w:sz w:val="13"/>
                <w:szCs w:val="13"/>
                <w:color w:val="auto"/>
              </w:rPr>
              <w:t xml:space="preserve">Covad Communications Group, Inc. </w:t>
            </w:r>
            <w:r>
              <w:rPr>
                <w:rFonts w:ascii="Arial" w:cs="Arial" w:eastAsia="Arial" w:hAnsi="Arial"/>
                <w:sz w:val="20"/>
                <w:szCs w:val="20"/>
                <w:color w:val="auto"/>
                <w:vertAlign w:val="superscript"/>
              </w:rPr>
              <w:t>(5)</w:t>
            </w:r>
          </w:p>
        </w:tc>
        <w:tc>
          <w:tcPr>
            <w:tcW w:w="880" w:type="dxa"/>
            <w:vAlign w:val="bottom"/>
          </w:tcPr>
          <w:p>
            <w:pPr>
              <w:jc w:val="center"/>
              <w:ind w:left="92"/>
              <w:spacing w:after="0"/>
              <w:rPr>
                <w:sz w:val="20"/>
                <w:szCs w:val="20"/>
                <w:color w:val="auto"/>
              </w:rPr>
            </w:pPr>
            <w:r>
              <w:rPr>
                <w:rFonts w:ascii="Arial" w:cs="Arial" w:eastAsia="Arial" w:hAnsi="Arial"/>
                <w:sz w:val="14"/>
                <w:szCs w:val="14"/>
                <w:color w:val="auto"/>
                <w:w w:val="85"/>
              </w:rPr>
              <w:t>11/03/2015</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Telecommunications</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12.00%</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L+1,000</w:t>
            </w:r>
          </w:p>
        </w:tc>
        <w:tc>
          <w:tcPr>
            <w:tcW w:w="300" w:type="dxa"/>
            <w:vAlign w:val="bottom"/>
            <w:vMerge w:val="continue"/>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6,475,000</w:t>
            </w:r>
          </w:p>
        </w:tc>
        <w:tc>
          <w:tcPr>
            <w:tcW w:w="680" w:type="dxa"/>
            <w:vAlign w:val="bottom"/>
          </w:tcPr>
          <w:p>
            <w:pPr>
              <w:jc w:val="right"/>
              <w:spacing w:after="0"/>
              <w:rPr>
                <w:sz w:val="20"/>
                <w:szCs w:val="20"/>
                <w:color w:val="auto"/>
              </w:rPr>
            </w:pPr>
            <w:r>
              <w:rPr>
                <w:rFonts w:ascii="Arial" w:cs="Arial" w:eastAsia="Arial" w:hAnsi="Arial"/>
                <w:sz w:val="14"/>
                <w:szCs w:val="14"/>
                <w:color w:val="auto"/>
              </w:rPr>
              <w:t>6,362,696</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Good Sam Enterprises, LLC </w:t>
            </w:r>
            <w:r>
              <w:rPr>
                <w:rFonts w:ascii="Arial" w:cs="Arial" w:eastAsia="Arial" w:hAnsi="Arial"/>
                <w:sz w:val="15"/>
                <w:szCs w:val="15"/>
                <w:color w:val="auto"/>
                <w:vertAlign w:val="superscript"/>
              </w:rPr>
              <w:t>(5)</w:t>
            </w:r>
          </w:p>
        </w:tc>
        <w:tc>
          <w:tcPr>
            <w:tcW w:w="88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5"/>
              </w:rPr>
              <w:t>12/01/2016</w:t>
            </w:r>
          </w:p>
        </w:tc>
        <w:tc>
          <w:tcPr>
            <w:tcW w:w="130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Consumer Products</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91"/>
              </w:rPr>
              <w:t>12,000,000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11,759,625</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11,220,000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(f/k/a Affinity Group Holdings Inc.)</w:t>
            </w:r>
          </w:p>
        </w:tc>
        <w:tc>
          <w:tcPr>
            <w:tcW w:w="8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00" w:type="dxa"/>
            <w:vAlign w:val="bottom"/>
          </w:tcPr>
          <w:p>
            <w:pPr>
              <w:spacing w:after="0" w:line="122" w:lineRule="exact"/>
              <w:rPr>
                <w:sz w:val="20"/>
                <w:szCs w:val="20"/>
                <w:color w:val="auto"/>
              </w:rPr>
            </w:pPr>
            <w:r>
              <w:rPr>
                <w:rFonts w:ascii="Arial" w:cs="Arial" w:eastAsia="Arial" w:hAnsi="Arial"/>
                <w:sz w:val="14"/>
                <w:szCs w:val="14"/>
                <w:color w:val="auto"/>
              </w:rPr>
              <w:t>Hanley-Wood, L.L.C.</w:t>
            </w:r>
          </w:p>
        </w:tc>
        <w:tc>
          <w:tcPr>
            <w:tcW w:w="880" w:type="dxa"/>
            <w:vAlign w:val="bottom"/>
          </w:tcPr>
          <w:p>
            <w:pPr>
              <w:jc w:val="center"/>
              <w:ind w:left="92"/>
              <w:spacing w:after="0" w:line="122" w:lineRule="exact"/>
              <w:rPr>
                <w:sz w:val="20"/>
                <w:szCs w:val="20"/>
                <w:color w:val="auto"/>
              </w:rPr>
            </w:pPr>
            <w:r>
              <w:rPr>
                <w:rFonts w:ascii="Arial" w:cs="Arial" w:eastAsia="Arial" w:hAnsi="Arial"/>
                <w:sz w:val="14"/>
                <w:szCs w:val="14"/>
                <w:color w:val="auto"/>
                <w:w w:val="85"/>
              </w:rPr>
              <w:t>03/10/2014</w:t>
            </w:r>
          </w:p>
        </w:tc>
        <w:tc>
          <w:tcPr>
            <w:tcW w:w="1300" w:type="dxa"/>
            <w:vAlign w:val="bottom"/>
            <w:gridSpan w:val="2"/>
          </w:tcPr>
          <w:p>
            <w:pPr>
              <w:jc w:val="center"/>
              <w:ind w:right="60"/>
              <w:spacing w:after="0" w:line="122" w:lineRule="exact"/>
              <w:rPr>
                <w:sz w:val="20"/>
                <w:szCs w:val="20"/>
                <w:color w:val="auto"/>
              </w:rPr>
            </w:pPr>
            <w:r>
              <w:rPr>
                <w:rFonts w:ascii="Arial" w:cs="Arial" w:eastAsia="Arial" w:hAnsi="Arial"/>
                <w:sz w:val="14"/>
                <w:szCs w:val="14"/>
                <w:color w:val="auto"/>
                <w:w w:val="88"/>
              </w:rPr>
              <w:t>Other Media</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4"/>
                <w:szCs w:val="14"/>
                <w:color w:val="auto"/>
              </w:rPr>
              <w:t>2.56%</w:t>
            </w:r>
          </w:p>
        </w:tc>
        <w:tc>
          <w:tcPr>
            <w:tcW w:w="260" w:type="dxa"/>
            <w:vAlign w:val="bottom"/>
          </w:tcPr>
          <w:p>
            <w:pPr>
              <w:spacing w:after="0"/>
              <w:rPr>
                <w:sz w:val="10"/>
                <w:szCs w:val="10"/>
                <w:color w:val="auto"/>
              </w:rPr>
            </w:pPr>
          </w:p>
        </w:tc>
        <w:tc>
          <w:tcPr>
            <w:tcW w:w="960" w:type="dxa"/>
            <w:vAlign w:val="bottom"/>
            <w:gridSpan w:val="2"/>
          </w:tcPr>
          <w:p>
            <w:pPr>
              <w:jc w:val="right"/>
              <w:ind w:right="244"/>
              <w:spacing w:after="0" w:line="122" w:lineRule="exact"/>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rPr>
              <w:t>8,662,500</w:t>
            </w: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rPr>
              <w:t>8,662,500</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rPr>
                <w:sz w:val="20"/>
                <w:szCs w:val="20"/>
                <w:color w:val="auto"/>
              </w:rPr>
            </w:pPr>
            <w:r>
              <w:rPr>
                <w:rFonts w:ascii="Arial" w:cs="Arial" w:eastAsia="Arial" w:hAnsi="Arial"/>
                <w:sz w:val="14"/>
                <w:szCs w:val="14"/>
                <w:color w:val="auto"/>
              </w:rPr>
              <w:t>Instant Web, Inc.</w:t>
            </w:r>
          </w:p>
        </w:tc>
        <w:tc>
          <w:tcPr>
            <w:tcW w:w="880" w:type="dxa"/>
            <w:vAlign w:val="bottom"/>
          </w:tcPr>
          <w:p>
            <w:pPr>
              <w:jc w:val="center"/>
              <w:ind w:left="92"/>
              <w:spacing w:after="0"/>
              <w:rPr>
                <w:sz w:val="20"/>
                <w:szCs w:val="20"/>
                <w:color w:val="auto"/>
              </w:rPr>
            </w:pPr>
            <w:r>
              <w:rPr>
                <w:rFonts w:ascii="Arial" w:cs="Arial" w:eastAsia="Arial" w:hAnsi="Arial"/>
                <w:sz w:val="14"/>
                <w:szCs w:val="14"/>
                <w:color w:val="auto"/>
                <w:w w:val="85"/>
              </w:rPr>
              <w:t>08/07/2014</w:t>
            </w: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Printing and</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14.50%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L+950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24,625,000</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24,227,464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25,683,875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9" w:lineRule="exact"/>
              <w:rPr>
                <w:sz w:val="20"/>
                <w:szCs w:val="20"/>
                <w:color w:val="auto"/>
              </w:rPr>
            </w:pPr>
            <w:r>
              <w:rPr>
                <w:rFonts w:ascii="Arial" w:cs="Arial" w:eastAsia="Arial" w:hAnsi="Arial"/>
                <w:sz w:val="14"/>
                <w:szCs w:val="14"/>
                <w:color w:val="auto"/>
              </w:rPr>
              <w:t>Interactive Health Solutions, Inc.</w:t>
            </w:r>
          </w:p>
        </w:tc>
        <w:tc>
          <w:tcPr>
            <w:tcW w:w="880" w:type="dxa"/>
            <w:vAlign w:val="bottom"/>
          </w:tcPr>
          <w:p>
            <w:pPr>
              <w:jc w:val="center"/>
              <w:ind w:left="92"/>
              <w:spacing w:after="0" w:line="139" w:lineRule="exact"/>
              <w:rPr>
                <w:sz w:val="20"/>
                <w:szCs w:val="20"/>
                <w:color w:val="auto"/>
              </w:rPr>
            </w:pPr>
            <w:r>
              <w:rPr>
                <w:rFonts w:ascii="Arial" w:cs="Arial" w:eastAsia="Arial" w:hAnsi="Arial"/>
                <w:sz w:val="14"/>
                <w:szCs w:val="14"/>
                <w:color w:val="auto"/>
                <w:w w:val="85"/>
              </w:rPr>
              <w:t>10/04/2016</w:t>
            </w:r>
          </w:p>
        </w:tc>
        <w:tc>
          <w:tcPr>
            <w:tcW w:w="1300" w:type="dxa"/>
            <w:vAlign w:val="bottom"/>
            <w:gridSpan w:val="2"/>
          </w:tcPr>
          <w:p>
            <w:pPr>
              <w:jc w:val="center"/>
              <w:ind w:right="40"/>
              <w:spacing w:after="0" w:line="139" w:lineRule="exact"/>
              <w:rPr>
                <w:sz w:val="20"/>
                <w:szCs w:val="20"/>
                <w:color w:val="auto"/>
              </w:rPr>
            </w:pPr>
            <w:r>
              <w:rPr>
                <w:rFonts w:ascii="Arial" w:cs="Arial" w:eastAsia="Arial" w:hAnsi="Arial"/>
                <w:sz w:val="14"/>
                <w:szCs w:val="14"/>
                <w:color w:val="auto"/>
                <w:w w:val="86"/>
              </w:rPr>
              <w:t>Healthcare,</w:t>
            </w:r>
          </w:p>
        </w:tc>
        <w:tc>
          <w:tcPr>
            <w:tcW w:w="600" w:type="dxa"/>
            <w:vAlign w:val="bottom"/>
            <w:gridSpan w:val="2"/>
          </w:tcPr>
          <w:p>
            <w:pPr>
              <w:jc w:val="right"/>
              <w:ind w:right="20"/>
              <w:spacing w:after="0" w:line="139" w:lineRule="exact"/>
              <w:rPr>
                <w:sz w:val="20"/>
                <w:szCs w:val="20"/>
                <w:color w:val="auto"/>
              </w:rPr>
            </w:pPr>
            <w:r>
              <w:rPr>
                <w:rFonts w:ascii="Arial" w:cs="Arial" w:eastAsia="Arial" w:hAnsi="Arial"/>
                <w:sz w:val="14"/>
                <w:szCs w:val="14"/>
                <w:color w:val="auto"/>
              </w:rPr>
              <w:t>11.50%</w:t>
            </w:r>
          </w:p>
        </w:tc>
        <w:tc>
          <w:tcPr>
            <w:tcW w:w="2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L+950</w:t>
            </w:r>
          </w:p>
        </w:tc>
        <w:tc>
          <w:tcPr>
            <w:tcW w:w="300" w:type="dxa"/>
            <w:vAlign w:val="bottom"/>
            <w:vMerge w:val="continue"/>
          </w:tcPr>
          <w:p>
            <w:pPr>
              <w:spacing w:after="0"/>
              <w:rPr>
                <w:sz w:val="12"/>
                <w:szCs w:val="12"/>
                <w:color w:val="auto"/>
              </w:rPr>
            </w:pPr>
          </w:p>
        </w:tc>
        <w:tc>
          <w:tcPr>
            <w:tcW w:w="8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w w:val="91"/>
              </w:rPr>
              <w:t>19,000,000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18,572,500</w:t>
            </w: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18,572,500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Education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9" w:lineRule="exact"/>
              <w:rPr>
                <w:sz w:val="20"/>
                <w:szCs w:val="20"/>
                <w:color w:val="auto"/>
              </w:rPr>
            </w:pPr>
            <w:r>
              <w:rPr>
                <w:rFonts w:ascii="Arial" w:cs="Arial" w:eastAsia="Arial" w:hAnsi="Arial"/>
                <w:sz w:val="14"/>
                <w:szCs w:val="14"/>
                <w:color w:val="auto"/>
              </w:rPr>
              <w:t>Jacuzzi Brands Corp.</w:t>
            </w:r>
          </w:p>
        </w:tc>
        <w:tc>
          <w:tcPr>
            <w:tcW w:w="880" w:type="dxa"/>
            <w:vAlign w:val="bottom"/>
          </w:tcPr>
          <w:p>
            <w:pPr>
              <w:jc w:val="center"/>
              <w:ind w:left="92"/>
              <w:spacing w:after="0" w:line="139" w:lineRule="exact"/>
              <w:rPr>
                <w:sz w:val="20"/>
                <w:szCs w:val="20"/>
                <w:color w:val="auto"/>
              </w:rPr>
            </w:pPr>
            <w:r>
              <w:rPr>
                <w:rFonts w:ascii="Arial" w:cs="Arial" w:eastAsia="Arial" w:hAnsi="Arial"/>
                <w:sz w:val="14"/>
                <w:szCs w:val="14"/>
                <w:color w:val="auto"/>
                <w:w w:val="85"/>
              </w:rPr>
              <w:t>02/07/2014</w:t>
            </w:r>
          </w:p>
        </w:tc>
        <w:tc>
          <w:tcPr>
            <w:tcW w:w="1300" w:type="dxa"/>
            <w:vAlign w:val="bottom"/>
            <w:gridSpan w:val="2"/>
          </w:tcPr>
          <w:p>
            <w:pPr>
              <w:jc w:val="center"/>
              <w:ind w:right="40"/>
              <w:spacing w:after="0" w:line="139" w:lineRule="exact"/>
              <w:rPr>
                <w:sz w:val="20"/>
                <w:szCs w:val="20"/>
                <w:color w:val="auto"/>
              </w:rPr>
            </w:pPr>
            <w:r>
              <w:rPr>
                <w:rFonts w:ascii="Arial" w:cs="Arial" w:eastAsia="Arial" w:hAnsi="Arial"/>
                <w:sz w:val="14"/>
                <w:szCs w:val="14"/>
                <w:color w:val="auto"/>
                <w:w w:val="89"/>
              </w:rPr>
              <w:t>Home and Office</w:t>
            </w:r>
          </w:p>
        </w:tc>
        <w:tc>
          <w:tcPr>
            <w:tcW w:w="600" w:type="dxa"/>
            <w:vAlign w:val="bottom"/>
            <w:gridSpan w:val="2"/>
          </w:tcPr>
          <w:p>
            <w:pPr>
              <w:jc w:val="right"/>
              <w:ind w:right="20"/>
              <w:spacing w:after="0" w:line="139" w:lineRule="exact"/>
              <w:rPr>
                <w:sz w:val="20"/>
                <w:szCs w:val="20"/>
                <w:color w:val="auto"/>
              </w:rPr>
            </w:pPr>
            <w:r>
              <w:rPr>
                <w:rFonts w:ascii="Arial" w:cs="Arial" w:eastAsia="Arial" w:hAnsi="Arial"/>
                <w:sz w:val="14"/>
                <w:szCs w:val="14"/>
                <w:color w:val="auto"/>
              </w:rPr>
              <w:t>2.51%</w:t>
            </w:r>
          </w:p>
        </w:tc>
        <w:tc>
          <w:tcPr>
            <w:tcW w:w="260" w:type="dxa"/>
            <w:vAlign w:val="bottom"/>
          </w:tcPr>
          <w:p>
            <w:pPr>
              <w:spacing w:after="0"/>
              <w:rPr>
                <w:sz w:val="12"/>
                <w:szCs w:val="12"/>
                <w:color w:val="auto"/>
              </w:rPr>
            </w:pPr>
          </w:p>
        </w:tc>
        <w:tc>
          <w:tcPr>
            <w:tcW w:w="960" w:type="dxa"/>
            <w:vAlign w:val="bottom"/>
            <w:gridSpan w:val="2"/>
          </w:tcPr>
          <w:p>
            <w:pPr>
              <w:jc w:val="right"/>
              <w:ind w:right="244"/>
              <w:spacing w:after="0" w:line="139" w:lineRule="exact"/>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9,671,622</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9,671,622</w:t>
            </w: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Furnishings,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3"/>
              </w:rPr>
              <w:t>Housewares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6"/>
              </w:rPr>
              <w:t>Durable Consumer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8" w:lineRule="exact"/>
              <w:rPr>
                <w:sz w:val="20"/>
                <w:szCs w:val="20"/>
                <w:color w:val="auto"/>
              </w:rPr>
            </w:pPr>
            <w:r>
              <w:rPr>
                <w:rFonts w:ascii="Arial" w:cs="Arial" w:eastAsia="Arial" w:hAnsi="Arial"/>
                <w:sz w:val="14"/>
                <w:szCs w:val="14"/>
                <w:color w:val="auto"/>
              </w:rPr>
              <w:t>K2 Pure Solutions NoCal, L.P.</w:t>
            </w:r>
          </w:p>
        </w:tc>
        <w:tc>
          <w:tcPr>
            <w:tcW w:w="8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5"/>
              </w:rPr>
              <w:t>09/10/2015</w:t>
            </w:r>
          </w:p>
        </w:tc>
        <w:tc>
          <w:tcPr>
            <w:tcW w:w="1300" w:type="dxa"/>
            <w:vAlign w:val="bottom"/>
            <w:gridSpan w:val="2"/>
          </w:tcPr>
          <w:p>
            <w:pPr>
              <w:jc w:val="center"/>
              <w:ind w:right="60"/>
              <w:spacing w:after="0" w:line="138" w:lineRule="exact"/>
              <w:rPr>
                <w:sz w:val="20"/>
                <w:szCs w:val="20"/>
                <w:color w:val="auto"/>
              </w:rPr>
            </w:pPr>
            <w:r>
              <w:rPr>
                <w:rFonts w:ascii="Arial" w:cs="Arial" w:eastAsia="Arial" w:hAnsi="Arial"/>
                <w:sz w:val="14"/>
                <w:szCs w:val="14"/>
                <w:color w:val="auto"/>
                <w:w w:val="85"/>
              </w:rPr>
              <w:t>Chemicals, Plastics</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P+675</w:t>
            </w:r>
          </w:p>
        </w:tc>
        <w:tc>
          <w:tcPr>
            <w:tcW w:w="300" w:type="dxa"/>
            <w:vAlign w:val="bottom"/>
            <w:vMerge w:val="continue"/>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18,952,500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18,002,959</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4"/>
              </w:rPr>
              <w:t>and Rubber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8" w:lineRule="exact"/>
              <w:rPr>
                <w:sz w:val="20"/>
                <w:szCs w:val="20"/>
                <w:color w:val="auto"/>
              </w:rPr>
            </w:pPr>
            <w:r>
              <w:rPr>
                <w:rFonts w:ascii="Arial" w:cs="Arial" w:eastAsia="Arial" w:hAnsi="Arial"/>
                <w:sz w:val="14"/>
                <w:szCs w:val="14"/>
                <w:color w:val="auto"/>
              </w:rPr>
              <w:t>Kadmon Pharmaceuticals, LLC</w:t>
            </w:r>
          </w:p>
        </w:tc>
        <w:tc>
          <w:tcPr>
            <w:tcW w:w="8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5"/>
              </w:rPr>
              <w:t>10/22/2011</w:t>
            </w:r>
          </w:p>
        </w:tc>
        <w:tc>
          <w:tcPr>
            <w:tcW w:w="130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6"/>
              </w:rPr>
              <w:t>Healthcare,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15.00%</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L+1,300</w:t>
            </w:r>
          </w:p>
        </w:tc>
        <w:tc>
          <w:tcPr>
            <w:tcW w:w="300" w:type="dxa"/>
            <w:vAlign w:val="bottom"/>
            <w:vMerge w:val="continue"/>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29,066,987</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27,940,332</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30,811,006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220"/>
              <w:spacing w:after="0" w:line="149" w:lineRule="exact"/>
              <w:rPr>
                <w:sz w:val="20"/>
                <w:szCs w:val="20"/>
                <w:color w:val="auto"/>
              </w:rPr>
            </w:pPr>
            <w:r>
              <w:rPr>
                <w:rFonts w:ascii="Arial" w:cs="Arial" w:eastAsia="Arial" w:hAnsi="Arial"/>
                <w:sz w:val="14"/>
                <w:szCs w:val="14"/>
                <w:color w:val="auto"/>
              </w:rPr>
              <w:t>(f/k/a Three Rivers Pharmaceutical, L.L.C.)</w:t>
            </w: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Education and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Learning Care Group, Inc.</w:t>
            </w:r>
          </w:p>
        </w:tc>
        <w:tc>
          <w:tcPr>
            <w:tcW w:w="88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5"/>
              </w:rPr>
              <w:t>04/27/2016</w:t>
            </w: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(6)</w:t>
            </w: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26,052,632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25,555,967</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25,401,316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000" w:type="dxa"/>
            <w:vAlign w:val="bottom"/>
          </w:tcPr>
          <w:p>
            <w:pPr>
              <w:spacing w:after="0" w:line="122" w:lineRule="exact"/>
              <w:rPr>
                <w:sz w:val="20"/>
                <w:szCs w:val="20"/>
                <w:color w:val="auto"/>
              </w:rPr>
            </w:pPr>
            <w:r>
              <w:rPr>
                <w:rFonts w:ascii="Arial" w:cs="Arial" w:eastAsia="Arial" w:hAnsi="Arial"/>
                <w:sz w:val="14"/>
                <w:szCs w:val="14"/>
                <w:color w:val="auto"/>
              </w:rPr>
              <w:t>Penton Media, Inc.</w:t>
            </w:r>
          </w:p>
        </w:tc>
        <w:tc>
          <w:tcPr>
            <w:tcW w:w="880" w:type="dxa"/>
            <w:vAlign w:val="bottom"/>
          </w:tcPr>
          <w:p>
            <w:pPr>
              <w:jc w:val="center"/>
              <w:ind w:left="92"/>
              <w:spacing w:after="0" w:line="122" w:lineRule="exact"/>
              <w:rPr>
                <w:sz w:val="20"/>
                <w:szCs w:val="20"/>
                <w:color w:val="auto"/>
              </w:rPr>
            </w:pPr>
            <w:r>
              <w:rPr>
                <w:rFonts w:ascii="Arial" w:cs="Arial" w:eastAsia="Arial" w:hAnsi="Arial"/>
                <w:sz w:val="14"/>
                <w:szCs w:val="14"/>
                <w:color w:val="auto"/>
                <w:w w:val="85"/>
              </w:rPr>
              <w:t>08/01/2014</w:t>
            </w:r>
          </w:p>
        </w:tc>
        <w:tc>
          <w:tcPr>
            <w:tcW w:w="1300" w:type="dxa"/>
            <w:vAlign w:val="bottom"/>
            <w:gridSpan w:val="2"/>
          </w:tcPr>
          <w:p>
            <w:pPr>
              <w:jc w:val="center"/>
              <w:ind w:right="60"/>
              <w:spacing w:after="0" w:line="122" w:lineRule="exact"/>
              <w:rPr>
                <w:sz w:val="20"/>
                <w:szCs w:val="20"/>
                <w:color w:val="auto"/>
              </w:rPr>
            </w:pPr>
            <w:r>
              <w:rPr>
                <w:rFonts w:ascii="Arial" w:cs="Arial" w:eastAsia="Arial" w:hAnsi="Arial"/>
                <w:sz w:val="14"/>
                <w:szCs w:val="14"/>
                <w:color w:val="auto"/>
                <w:w w:val="88"/>
              </w:rPr>
              <w:t>Other Media</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4"/>
                <w:szCs w:val="14"/>
                <w:color w:val="auto"/>
              </w:rPr>
              <w:t>5.00%</w:t>
            </w:r>
          </w:p>
        </w:tc>
        <w:tc>
          <w:tcPr>
            <w:tcW w:w="260" w:type="dxa"/>
            <w:vAlign w:val="bottom"/>
            <w:vMerge w:val="continue"/>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L+400</w:t>
            </w:r>
          </w:p>
        </w:tc>
        <w:tc>
          <w:tcPr>
            <w:tcW w:w="300" w:type="dxa"/>
            <w:vAlign w:val="bottom"/>
            <w:vMerge w:val="continue"/>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w w:val="91"/>
              </w:rPr>
              <w:t>37,779,699</w:t>
            </w: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w w:val="94"/>
              </w:rPr>
              <w:t>32,241,162</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w w:val="94"/>
              </w:rPr>
              <w:t>26,130,971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rPr>
                <w:sz w:val="20"/>
                <w:szCs w:val="20"/>
                <w:color w:val="auto"/>
              </w:rPr>
            </w:pPr>
            <w:r>
              <w:rPr>
                <w:rFonts w:ascii="Arial" w:cs="Arial" w:eastAsia="Arial" w:hAnsi="Arial"/>
                <w:sz w:val="14"/>
                <w:szCs w:val="14"/>
                <w:color w:val="auto"/>
              </w:rPr>
              <w:t>Prepaid Legal Services, Inc., Tranche A</w:t>
            </w:r>
          </w:p>
        </w:tc>
        <w:tc>
          <w:tcPr>
            <w:tcW w:w="880" w:type="dxa"/>
            <w:vAlign w:val="bottom"/>
          </w:tcPr>
          <w:p>
            <w:pPr>
              <w:jc w:val="center"/>
              <w:ind w:left="92"/>
              <w:spacing w:after="0"/>
              <w:rPr>
                <w:sz w:val="20"/>
                <w:szCs w:val="20"/>
                <w:color w:val="auto"/>
              </w:rPr>
            </w:pPr>
            <w:r>
              <w:rPr>
                <w:rFonts w:ascii="Arial" w:cs="Arial" w:eastAsia="Arial" w:hAnsi="Arial"/>
                <w:sz w:val="14"/>
                <w:szCs w:val="14"/>
                <w:color w:val="auto"/>
                <w:w w:val="85"/>
              </w:rPr>
              <w:t>12/30/2016</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Personal, Food and</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7.50%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L+600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2,000,000</w:t>
            </w:r>
          </w:p>
        </w:tc>
        <w:tc>
          <w:tcPr>
            <w:tcW w:w="680" w:type="dxa"/>
            <w:vAlign w:val="bottom"/>
          </w:tcPr>
          <w:p>
            <w:pPr>
              <w:jc w:val="right"/>
              <w:spacing w:after="0"/>
              <w:rPr>
                <w:sz w:val="20"/>
                <w:szCs w:val="20"/>
                <w:color w:val="auto"/>
              </w:rPr>
            </w:pPr>
            <w:r>
              <w:rPr>
                <w:rFonts w:ascii="Arial" w:cs="Arial" w:eastAsia="Arial" w:hAnsi="Arial"/>
                <w:sz w:val="14"/>
                <w:szCs w:val="14"/>
                <w:color w:val="auto"/>
              </w:rPr>
              <w:t>1,970,966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Miscellaneous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Services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(6)</w:t>
            </w:r>
          </w:p>
        </w:tc>
        <w:tc>
          <w:tcPr>
            <w:tcW w:w="66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880" w:type="dxa"/>
            <w:vAlign w:val="bottom"/>
          </w:tcPr>
          <w:p>
            <w:pPr>
              <w:jc w:val="center"/>
              <w:ind w:left="92"/>
              <w:spacing w:after="0" w:line="139" w:lineRule="exact"/>
              <w:rPr>
                <w:sz w:val="20"/>
                <w:szCs w:val="20"/>
                <w:color w:val="auto"/>
              </w:rPr>
            </w:pPr>
            <w:r>
              <w:rPr>
                <w:rFonts w:ascii="Arial" w:cs="Arial" w:eastAsia="Arial" w:hAnsi="Arial"/>
                <w:sz w:val="14"/>
                <w:szCs w:val="14"/>
                <w:color w:val="auto"/>
                <w:w w:val="85"/>
              </w:rPr>
              <w:t>12/30/2016</w:t>
            </w:r>
          </w:p>
        </w:tc>
        <w:tc>
          <w:tcPr>
            <w:tcW w:w="1300" w:type="dxa"/>
            <w:vAlign w:val="bottom"/>
            <w:gridSpan w:val="2"/>
          </w:tcPr>
          <w:p>
            <w:pPr>
              <w:jc w:val="center"/>
              <w:ind w:right="60"/>
              <w:spacing w:after="0" w:line="139" w:lineRule="exact"/>
              <w:rPr>
                <w:sz w:val="20"/>
                <w:szCs w:val="20"/>
                <w:color w:val="auto"/>
              </w:rPr>
            </w:pPr>
            <w:r>
              <w:rPr>
                <w:rFonts w:ascii="Arial" w:cs="Arial" w:eastAsia="Arial" w:hAnsi="Arial"/>
                <w:sz w:val="14"/>
                <w:szCs w:val="14"/>
                <w:color w:val="auto"/>
                <w:w w:val="85"/>
              </w:rPr>
              <w:t>Personal, Food and</w:t>
            </w:r>
          </w:p>
        </w:tc>
        <w:tc>
          <w:tcPr>
            <w:tcW w:w="600" w:type="dxa"/>
            <w:vAlign w:val="bottom"/>
            <w:gridSpan w:val="2"/>
          </w:tcPr>
          <w:p>
            <w:pPr>
              <w:jc w:val="right"/>
              <w:ind w:right="20"/>
              <w:spacing w:after="0" w:line="139" w:lineRule="exact"/>
              <w:rPr>
                <w:sz w:val="20"/>
                <w:szCs w:val="20"/>
                <w:color w:val="auto"/>
              </w:rPr>
            </w:pPr>
            <w:r>
              <w:rPr>
                <w:rFonts w:ascii="Arial" w:cs="Arial" w:eastAsia="Arial" w:hAnsi="Arial"/>
                <w:sz w:val="14"/>
                <w:szCs w:val="14"/>
                <w:color w:val="auto"/>
              </w:rPr>
              <w:t>11.00%</w:t>
            </w:r>
          </w:p>
        </w:tc>
        <w:tc>
          <w:tcPr>
            <w:tcW w:w="260" w:type="dxa"/>
            <w:vAlign w:val="bottom"/>
            <w:vMerge w:val="continue"/>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L+950</w:t>
            </w:r>
          </w:p>
        </w:tc>
        <w:tc>
          <w:tcPr>
            <w:tcW w:w="300" w:type="dxa"/>
            <w:vAlign w:val="bottom"/>
            <w:vMerge w:val="continue"/>
          </w:tcPr>
          <w:p>
            <w:pPr>
              <w:spacing w:after="0"/>
              <w:rPr>
                <w:sz w:val="12"/>
                <w:szCs w:val="12"/>
                <w:color w:val="auto"/>
              </w:rPr>
            </w:pPr>
          </w:p>
        </w:tc>
        <w:tc>
          <w:tcPr>
            <w:tcW w:w="8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w w:val="91"/>
              </w:rPr>
              <w:t>35,000,000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33,978,263</w:t>
            </w: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Miscellaneous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Services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Questex Media Group LLC</w:t>
            </w:r>
          </w:p>
        </w:tc>
        <w:tc>
          <w:tcPr>
            <w:tcW w:w="88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5"/>
              </w:rPr>
              <w:t>12/16/2012</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10.50%</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300" w:type="dxa"/>
            <w:vAlign w:val="bottom"/>
            <w:vMerge w:val="continue"/>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26,721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26,721</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(9)</w:t>
            </w:r>
          </w:p>
        </w:tc>
        <w:tc>
          <w:tcPr>
            <w:tcW w:w="880" w:type="dxa"/>
            <w:vAlign w:val="bottom"/>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12/16/2012</w:t>
            </w:r>
          </w:p>
        </w:tc>
        <w:tc>
          <w:tcPr>
            <w:tcW w:w="13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240,485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-3592830</wp:posOffset>
            </wp:positionV>
            <wp:extent cx="7246620" cy="291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-3163570</wp:posOffset>
            </wp:positionV>
            <wp:extent cx="724662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974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4718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291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3"/>
              </w:rPr>
              <w:t>Basis Point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Industry</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Current</w:t>
            </w:r>
          </w:p>
        </w:tc>
        <w:tc>
          <w:tcPr>
            <w:tcW w:w="2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4"/>
                <w:szCs w:val="14"/>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7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Coupon</w:t>
            </w: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3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jc w:val="right"/>
              <w:ind w:right="312"/>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124"/>
              <w:spacing w:after="0"/>
              <w:rPr>
                <w:sz w:val="20"/>
                <w:szCs w:val="20"/>
                <w:color w:val="auto"/>
              </w:rPr>
            </w:pPr>
            <w:r>
              <w:rPr>
                <w:rFonts w:ascii="Arial" w:cs="Arial" w:eastAsia="Arial" w:hAnsi="Arial"/>
                <w:sz w:val="11"/>
                <w:szCs w:val="11"/>
                <w:color w:val="auto"/>
                <w:w w:val="74"/>
              </w:rPr>
              <w:t>(8)</w:t>
            </w: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VPSI, Inc.</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w w:val="85"/>
              </w:rPr>
              <w:t>12/23/2015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Personal Transportation</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L+1,000</w:t>
            </w:r>
          </w:p>
        </w:tc>
        <w:tc>
          <w:tcPr>
            <w:tcW w:w="300" w:type="dxa"/>
            <w:vAlign w:val="bottom"/>
            <w:vMerge w:val="continue"/>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17,302,083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$ 17,047,133</w:t>
            </w:r>
          </w:p>
        </w:tc>
        <w:tc>
          <w:tcPr>
            <w:tcW w:w="8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$ 17,215,572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07/15/2016</w:t>
            </w: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9"/>
              </w:rPr>
              <w:t>Hotels, Motels, Inns</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280" w:type="dxa"/>
            <w:vAlign w:val="bottom"/>
          </w:tcPr>
          <w:p>
            <w:pPr>
              <w:spacing w:after="0"/>
              <w:rPr>
                <w:sz w:val="11"/>
                <w:szCs w:val="11"/>
                <w:color w:val="auto"/>
              </w:rPr>
            </w:pPr>
          </w:p>
        </w:tc>
        <w:tc>
          <w:tcPr>
            <w:tcW w:w="660" w:type="dxa"/>
            <w:vAlign w:val="bottom"/>
          </w:tcPr>
          <w:p>
            <w:pPr>
              <w:jc w:val="center"/>
              <w:ind w:left="314"/>
              <w:spacing w:after="0" w:line="138" w:lineRule="exact"/>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4,500,000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4,391,231</w:t>
            </w:r>
          </w:p>
        </w:tc>
        <w:tc>
          <w:tcPr>
            <w:tcW w:w="80" w:type="dxa"/>
            <w:vAlign w:val="bottom"/>
          </w:tcPr>
          <w:p>
            <w:pPr>
              <w:spacing w:after="0"/>
              <w:rPr>
                <w:sz w:val="11"/>
                <w:szCs w:val="11"/>
                <w:color w:val="auto"/>
              </w:rPr>
            </w:pP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4,590,000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and Gaming</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289,742,323</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280,144,815</w:t>
            </w:r>
          </w:p>
        </w:tc>
        <w:tc>
          <w:tcPr>
            <w:tcW w:w="0" w:type="dxa"/>
            <w:vAlign w:val="bottom"/>
          </w:tcPr>
          <w:p>
            <w:pPr>
              <w:spacing w:after="0"/>
              <w:rPr>
                <w:sz w:val="1"/>
                <w:szCs w:val="1"/>
                <w:color w:val="auto"/>
              </w:rPr>
            </w:pPr>
          </w:p>
        </w:tc>
      </w:tr>
      <w:tr>
        <w:trPr>
          <w:trHeight w:val="156"/>
        </w:trPr>
        <w:tc>
          <w:tcPr>
            <w:tcW w:w="4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Debt—32.9%</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Energy/Utilities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13,600,000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Energy/Utilities</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7.33%</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3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12,000,000</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02/01/2017</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Consumer Products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14"/>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34,000,000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08/16/2018</w:t>
            </w: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Energy/Utilities</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660" w:type="dxa"/>
            <w:vAlign w:val="bottom"/>
          </w:tcPr>
          <w:p>
            <w:pPr>
              <w:jc w:val="center"/>
              <w:ind w:left="314"/>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31,000,000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08/15/2012</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Energy/Utilities</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14"/>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19,000,000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18,525,000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40" w:type="dxa"/>
            <w:vAlign w:val="bottom"/>
            <w:gridSpan w:val="2"/>
          </w:tcPr>
          <w:p>
            <w:pPr>
              <w:spacing w:after="0" w:line="122"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spacing w:after="0" w:line="122" w:lineRule="exact"/>
              <w:rPr>
                <w:sz w:val="20"/>
                <w:szCs w:val="20"/>
                <w:color w:val="auto"/>
              </w:rPr>
            </w:pPr>
            <w:r>
              <w:rPr>
                <w:rFonts w:ascii="Arial" w:cs="Arial" w:eastAsia="Arial" w:hAnsi="Arial"/>
                <w:sz w:val="14"/>
                <w:szCs w:val="14"/>
                <w:color w:val="auto"/>
                <w:w w:val="85"/>
              </w:rPr>
              <w:t>03/01/2014</w:t>
            </w:r>
          </w:p>
        </w:tc>
        <w:tc>
          <w:tcPr>
            <w:tcW w:w="100" w:type="dxa"/>
            <w:vAlign w:val="bottom"/>
          </w:tcPr>
          <w:p>
            <w:pPr>
              <w:spacing w:after="0"/>
              <w:rPr>
                <w:sz w:val="10"/>
                <w:szCs w:val="10"/>
                <w:color w:val="auto"/>
              </w:rPr>
            </w:pPr>
          </w:p>
        </w:tc>
        <w:tc>
          <w:tcPr>
            <w:tcW w:w="154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6"/>
              </w:rPr>
              <w:t>Cargo Transport</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4"/>
                <w:szCs w:val="14"/>
                <w:color w:val="auto"/>
              </w:rPr>
              <w:t>11.00%</w:t>
            </w:r>
          </w:p>
        </w:tc>
        <w:tc>
          <w:tcPr>
            <w:tcW w:w="280" w:type="dxa"/>
            <w:vAlign w:val="bottom"/>
          </w:tcPr>
          <w:p>
            <w:pPr>
              <w:jc w:val="right"/>
              <w:ind w:right="84"/>
              <w:spacing w:after="0" w:line="122" w:lineRule="exact"/>
              <w:rPr>
                <w:sz w:val="20"/>
                <w:szCs w:val="20"/>
                <w:color w:val="auto"/>
              </w:rPr>
            </w:pPr>
            <w:r>
              <w:rPr>
                <w:rFonts w:ascii="Arial" w:cs="Arial" w:eastAsia="Arial" w:hAnsi="Arial"/>
                <w:sz w:val="11"/>
                <w:szCs w:val="11"/>
                <w:color w:val="auto"/>
                <w:w w:val="88"/>
              </w:rPr>
              <w:t>(6)</w:t>
            </w: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L+700</w:t>
            </w:r>
          </w:p>
        </w:tc>
        <w:tc>
          <w:tcPr>
            <w:tcW w:w="300" w:type="dxa"/>
            <w:vAlign w:val="bottom"/>
          </w:tcPr>
          <w:p>
            <w:pPr>
              <w:jc w:val="right"/>
              <w:ind w:right="124"/>
              <w:spacing w:after="0" w:line="122" w:lineRule="exact"/>
              <w:rPr>
                <w:sz w:val="20"/>
                <w:szCs w:val="20"/>
                <w:color w:val="auto"/>
              </w:rPr>
            </w:pPr>
            <w:r>
              <w:rPr>
                <w:rFonts w:ascii="Arial" w:cs="Arial" w:eastAsia="Arial" w:hAnsi="Arial"/>
                <w:sz w:val="11"/>
                <w:szCs w:val="11"/>
                <w:color w:val="auto"/>
                <w:w w:val="74"/>
              </w:rPr>
              <w:t>(8)</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4"/>
                <w:szCs w:val="14"/>
                <w:color w:val="auto"/>
              </w:rPr>
              <w:t>2,860,871</w:t>
            </w: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2,860,871</w:t>
            </w:r>
          </w:p>
        </w:tc>
        <w:tc>
          <w:tcPr>
            <w:tcW w:w="8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2,860,871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12/15/2014</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9.50%</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2,692,134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Questex Media Group LLC, Term Loan B</w:t>
            </w:r>
          </w:p>
        </w:tc>
        <w:tc>
          <w:tcPr>
            <w:tcW w:w="620" w:type="dxa"/>
            <w:vAlign w:val="bottom"/>
          </w:tcPr>
          <w:p>
            <w:pPr>
              <w:spacing w:after="0"/>
              <w:rPr>
                <w:sz w:val="20"/>
                <w:szCs w:val="20"/>
                <w:color w:val="auto"/>
              </w:rPr>
            </w:pPr>
            <w:r>
              <w:rPr>
                <w:rFonts w:ascii="Arial" w:cs="Arial" w:eastAsia="Arial" w:hAnsi="Arial"/>
                <w:sz w:val="14"/>
                <w:szCs w:val="14"/>
                <w:color w:val="auto"/>
                <w:w w:val="85"/>
              </w:rPr>
              <w:t>12/15/2015</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Other Media</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L+750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1,990,370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1,990,370</w:t>
            </w: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1,737,593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Resources,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09/13/2016</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left="14"/>
              <w:spacing w:after="0" w:line="149" w:lineRule="exact"/>
              <w:rPr>
                <w:sz w:val="20"/>
                <w:szCs w:val="20"/>
                <w:color w:val="auto"/>
              </w:rPr>
            </w:pPr>
            <w:r>
              <w:rPr>
                <w:rFonts w:ascii="Arial" w:cs="Arial" w:eastAsia="Arial" w:hAnsi="Arial"/>
                <w:sz w:val="11"/>
                <w:szCs w:val="11"/>
                <w:color w:val="auto"/>
              </w:rPr>
              <w:t xml:space="preserve">L+900 </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17,000,000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2260" w:type="dxa"/>
            <w:vAlign w:val="bottom"/>
            <w:gridSpan w:val="4"/>
          </w:tcPr>
          <w:p>
            <w:pPr>
              <w:spacing w:after="0" w:line="149" w:lineRule="exact"/>
              <w:rPr>
                <w:sz w:val="20"/>
                <w:szCs w:val="20"/>
                <w:color w:val="auto"/>
              </w:rPr>
            </w:pPr>
            <w:r>
              <w:rPr>
                <w:rFonts w:ascii="Arial" w:cs="Arial" w:eastAsia="Arial" w:hAnsi="Arial"/>
                <w:sz w:val="14"/>
                <w:szCs w:val="14"/>
                <w:color w:val="auto"/>
                <w:w w:val="94"/>
              </w:rPr>
              <w:t>10/15/2017  Buildings and Real Estate</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280" w:type="dxa"/>
            <w:vAlign w:val="bottom"/>
          </w:tcPr>
          <w:p>
            <w:pPr>
              <w:spacing w:after="0"/>
              <w:rPr>
                <w:sz w:val="12"/>
                <w:szCs w:val="12"/>
                <w:color w:val="auto"/>
              </w:rPr>
            </w:pPr>
          </w:p>
        </w:tc>
        <w:tc>
          <w:tcPr>
            <w:tcW w:w="660" w:type="dxa"/>
            <w:vAlign w:val="bottom"/>
          </w:tcPr>
          <w:p>
            <w:pPr>
              <w:jc w:val="center"/>
              <w:ind w:left="314"/>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10,000,000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226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w w:val="98"/>
              </w:rPr>
              <w:t>09/01/2018  Hotels, Motels, Inns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12.13%</w:t>
            </w: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left="314"/>
              <w:spacing w:after="0" w:line="138" w:lineRule="exact"/>
              <w:rPr>
                <w:sz w:val="20"/>
                <w:szCs w:val="20"/>
                <w:color w:val="auto"/>
              </w:rPr>
            </w:pPr>
            <w:r>
              <w:rPr>
                <w:rFonts w:ascii="Arial" w:cs="Arial" w:eastAsia="Arial" w:hAnsi="Arial"/>
                <w:sz w:val="14"/>
                <w:szCs w:val="14"/>
                <w:color w:val="auto"/>
                <w:w w:val="85"/>
              </w:rPr>
              <w:t>—</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1"/>
              </w:rPr>
              <w:t>16,000,000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15,726,668</w:t>
            </w:r>
          </w:p>
        </w:tc>
        <w:tc>
          <w:tcPr>
            <w:tcW w:w="8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16,160,000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Gaming</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4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06/15/2015</w:t>
            </w: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6"/>
              </w:rPr>
              <w:t>Healthcare, Education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6.07%</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L+575</w:t>
            </w:r>
          </w:p>
        </w:tc>
        <w:tc>
          <w:tcPr>
            <w:tcW w:w="30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1"/>
              </w:rPr>
              <w:t>13,500,000</w:t>
            </w:r>
          </w:p>
        </w:tc>
        <w:tc>
          <w:tcPr>
            <w:tcW w:w="9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11,856,253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12,521,250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Childcare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06/15/2015</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Financial Services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6.24%</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6,756,937</w:t>
            </w:r>
          </w:p>
        </w:tc>
        <w:tc>
          <w:tcPr>
            <w:tcW w:w="0" w:type="dxa"/>
            <w:vAlign w:val="bottom"/>
          </w:tcPr>
          <w:p>
            <w:pPr>
              <w:spacing w:after="0"/>
              <w:rPr>
                <w:sz w:val="1"/>
                <w:szCs w:val="1"/>
                <w:color w:val="auto"/>
              </w:rPr>
            </w:pPr>
          </w:p>
        </w:tc>
      </w:tr>
      <w:tr>
        <w:trPr>
          <w:trHeight w:val="156"/>
        </w:trPr>
        <w:tc>
          <w:tcPr>
            <w:tcW w:w="4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Maturity</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Current</w:t>
            </w:r>
          </w:p>
        </w:tc>
        <w:tc>
          <w:tcPr>
            <w:tcW w:w="2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94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Coupon</w:t>
            </w:r>
          </w:p>
        </w:tc>
        <w:tc>
          <w:tcPr>
            <w:tcW w:w="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Notes—65.0%</w:t>
            </w:r>
          </w:p>
        </w:tc>
        <w:tc>
          <w:tcPr>
            <w:tcW w:w="17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11/15/2015</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11.63%</w:t>
            </w:r>
          </w:p>
        </w:tc>
        <w:tc>
          <w:tcPr>
            <w:tcW w:w="280" w:type="dxa"/>
            <w:vAlign w:val="bottom"/>
          </w:tcPr>
          <w:p>
            <w:pPr>
              <w:spacing w:after="0"/>
              <w:rPr>
                <w:sz w:val="12"/>
                <w:szCs w:val="12"/>
                <w:color w:val="auto"/>
              </w:rPr>
            </w:pP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26,345,000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$ 26,391,240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Aquilex Holdings, LLC </w:t>
            </w:r>
            <w:r>
              <w:rPr>
                <w:rFonts w:ascii="Arial" w:cs="Arial" w:eastAsia="Arial" w:hAnsi="Arial"/>
                <w:sz w:val="15"/>
                <w:szCs w:val="15"/>
                <w:color w:val="auto"/>
                <w:vertAlign w:val="superscript"/>
              </w:rPr>
              <w:t>(5)</w:t>
            </w:r>
          </w:p>
        </w:tc>
        <w:tc>
          <w:tcPr>
            <w:tcW w:w="17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6"/>
              </w:rPr>
              <w:t>12/15/2016</w:t>
            </w:r>
          </w:p>
        </w:tc>
        <w:tc>
          <w:tcPr>
            <w:tcW w:w="15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Diversified /</w:t>
            </w: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11.13%</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18,885,000</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18,440,262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6"/>
              </w:rPr>
              <w:t>Conglomerate Services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Foundries,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04/17/2015</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14.25%</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8,109,468</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7,997,216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Diversitech Corporation</w:t>
            </w:r>
          </w:p>
        </w:tc>
        <w:tc>
          <w:tcPr>
            <w:tcW w:w="17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6"/>
              </w:rPr>
              <w:t>01/29/2017</w:t>
            </w:r>
          </w:p>
        </w:tc>
        <w:tc>
          <w:tcPr>
            <w:tcW w:w="15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Manufacturing /Basic</w:t>
            </w: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13.50%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11,000,000</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10,783,491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Industry</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Escort,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06/01/2016</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Electronics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14.75%</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24,560,142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23,964,150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Last Mile Funding, Corp.</w:t>
            </w:r>
          </w:p>
        </w:tc>
        <w:tc>
          <w:tcPr>
            <w:tcW w:w="17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6"/>
              </w:rPr>
              <w:t>06/30/2016</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Cargo Transport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44,456,391</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43,380,579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Learning Care Group (US)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06/30/2016</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Education</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4,566,982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3,891,689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17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6"/>
              </w:rPr>
              <w:t>01/26/2017</w:t>
            </w:r>
          </w:p>
        </w:tc>
        <w:tc>
          <w:tcPr>
            <w:tcW w:w="15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7"/>
              </w:rPr>
              <w:t>Chemical, Plastic and</w:t>
            </w: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13.88%</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33,937,985</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2"/>
              </w:rPr>
              <w:t>Rubber</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Mailsouth,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06/15/2017</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Printing and Publishing</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15,000,000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14,579,991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7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6"/>
              </w:rPr>
              <w:t>10/14/2016</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19,000,000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18,492,685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PAS Technologies,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05/12/2017</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14.02%</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16,785,000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16,400,403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26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w w:val="98"/>
              </w:rPr>
              <w:t>12/03/2016   Mining, Steel, Iron and</w:t>
            </w: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13.50%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8"/>
              </w:rPr>
              <w:t>26,169,195</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25,667,843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7"/>
              </w:rPr>
              <w:t>Non-Precious Metals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Realogy Corp.</w:t>
            </w:r>
          </w:p>
        </w:tc>
        <w:tc>
          <w:tcPr>
            <w:tcW w:w="3260" w:type="dxa"/>
            <w:vAlign w:val="bottom"/>
            <w:gridSpan w:val="3"/>
          </w:tcPr>
          <w:p>
            <w:pPr>
              <w:ind w:left="1060"/>
              <w:spacing w:after="0" w:line="149" w:lineRule="exact"/>
              <w:rPr>
                <w:sz w:val="20"/>
                <w:szCs w:val="20"/>
                <w:color w:val="auto"/>
              </w:rPr>
            </w:pPr>
            <w:r>
              <w:rPr>
                <w:rFonts w:ascii="Arial" w:cs="Arial" w:eastAsia="Arial" w:hAnsi="Arial"/>
                <w:sz w:val="14"/>
                <w:szCs w:val="14"/>
                <w:color w:val="auto"/>
                <w:w w:val="91"/>
              </w:rPr>
              <w:t>04/15/2018  Buildings and Real Estate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280" w:type="dxa"/>
            <w:vAlign w:val="bottom"/>
          </w:tcPr>
          <w:p>
            <w:pPr>
              <w:spacing w:after="0"/>
              <w:rPr>
                <w:sz w:val="12"/>
                <w:szCs w:val="12"/>
                <w:color w:val="auto"/>
              </w:rPr>
            </w:pP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10,000,000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9,159,259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7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6"/>
              </w:rPr>
              <w:t>12/29/2015</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12,020,950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UP Support Services Inc.</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02/08/2015</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Oil and Gas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26,276,070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26,063,224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7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6"/>
              </w:rPr>
              <w:t>12/31/2015</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15,000,000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14,686,238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(9)</w:t>
            </w:r>
          </w:p>
        </w:tc>
        <w:tc>
          <w:tcPr>
            <w:tcW w:w="1760" w:type="dxa"/>
            <w:vAlign w:val="bottom"/>
          </w:tcPr>
          <w:p>
            <w:pPr>
              <w:ind w:left="1060"/>
              <w:spacing w:after="0" w:line="149" w:lineRule="exact"/>
              <w:rPr>
                <w:sz w:val="20"/>
                <w:szCs w:val="20"/>
                <w:color w:val="auto"/>
              </w:rPr>
            </w:pPr>
            <w:r>
              <w:rPr>
                <w:rFonts w:ascii="Arial" w:cs="Arial" w:eastAsia="Arial" w:hAnsi="Arial"/>
                <w:sz w:val="14"/>
                <w:szCs w:val="14"/>
                <w:color w:val="auto"/>
                <w:w w:val="96"/>
              </w:rPr>
              <w:t>12/31/2012</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12,000,000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316,401,098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Preferred Equity/Partnership Interests —1.7% </w:t>
            </w:r>
            <w:r>
              <w:rPr>
                <w:rFonts w:ascii="Arial" w:cs="Arial" w:eastAsia="Arial" w:hAnsi="Arial"/>
                <w:sz w:val="18"/>
                <w:szCs w:val="18"/>
                <w:b w:val="1"/>
                <w:bCs w:val="1"/>
                <w:color w:val="auto"/>
                <w:vertAlign w:val="superscript"/>
              </w:rPr>
              <w:t>(7)</w:t>
            </w: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760" w:type="dxa"/>
            <w:vAlign w:val="bottom"/>
            <w:shd w:val="clear" w:color="auto" w:fill="CCEEFF"/>
          </w:tcPr>
          <w:p>
            <w:pPr>
              <w:ind w:left="126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211</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500,000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7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5"/>
              </w:rPr>
              <w:t>and Childcare</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rPr>
              <w:t>AHC Mezzanine, LLC</w:t>
            </w:r>
          </w:p>
        </w:tc>
        <w:tc>
          <w:tcPr>
            <w:tcW w:w="1760" w:type="dxa"/>
            <w:vAlign w:val="bottom"/>
          </w:tcPr>
          <w:p>
            <w:pPr>
              <w:ind w:left="126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0"/>
              </w:rPr>
              <w:t>Other Media</w:t>
            </w: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7505</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1"/>
                <w:szCs w:val="11"/>
                <w:color w:val="auto"/>
              </w:rPr>
            </w:pPr>
          </w:p>
        </w:tc>
        <w:tc>
          <w:tcPr>
            <w:tcW w:w="82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200"/>
              <w:spacing w:after="0"/>
              <w:rPr>
                <w:sz w:val="20"/>
                <w:szCs w:val="20"/>
                <w:color w:val="auto"/>
              </w:rPr>
            </w:pPr>
            <w:r>
              <w:rPr>
                <w:rFonts w:ascii="Arial" w:cs="Arial" w:eastAsia="Arial" w:hAnsi="Arial"/>
                <w:sz w:val="14"/>
                <w:szCs w:val="14"/>
                <w:color w:val="auto"/>
              </w:rPr>
              <w:t>(Advanstar Inc.)</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CFHC Holdings, Inc., Class A</w:t>
            </w:r>
          </w:p>
        </w:tc>
        <w:tc>
          <w:tcPr>
            <w:tcW w:w="1760" w:type="dxa"/>
            <w:vAlign w:val="bottom"/>
            <w:shd w:val="clear" w:color="auto" w:fill="CCEEFF"/>
          </w:tcPr>
          <w:p>
            <w:pPr>
              <w:ind w:left="1260"/>
              <w:spacing w:after="0" w:line="13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3"/>
              </w:rPr>
              <w:t>Aerospace and Defense</w:t>
            </w:r>
          </w:p>
        </w:tc>
        <w:tc>
          <w:tcPr>
            <w:tcW w:w="6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12.00%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909</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909,248</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7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760" w:type="dxa"/>
            <w:vAlign w:val="bottom"/>
          </w:tcPr>
          <w:p>
            <w:pPr>
              <w:ind w:left="126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3"/>
              </w:rPr>
              <w:t>Aerospace and Defense</w:t>
            </w:r>
          </w:p>
        </w:tc>
        <w:tc>
          <w:tcPr>
            <w:tcW w:w="6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8.00%</w:t>
            </w:r>
          </w:p>
        </w:tc>
        <w:tc>
          <w:tcPr>
            <w:tcW w:w="280" w:type="dxa"/>
            <w:vAlign w:val="bottom"/>
          </w:tcPr>
          <w:p>
            <w:pPr>
              <w:spacing w:after="0"/>
              <w:rPr>
                <w:sz w:val="11"/>
                <w:szCs w:val="11"/>
                <w:color w:val="auto"/>
              </w:rPr>
            </w:pP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20,000</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1,980,000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200"/>
              <w:spacing w:after="0"/>
              <w:rPr>
                <w:sz w:val="20"/>
                <w:szCs w:val="20"/>
                <w:color w:val="auto"/>
              </w:rPr>
            </w:pPr>
            <w:r>
              <w:rPr>
                <w:rFonts w:ascii="Arial" w:cs="Arial" w:eastAsia="Arial" w:hAnsi="Arial"/>
                <w:sz w:val="14"/>
                <w:szCs w:val="14"/>
                <w:color w:val="auto"/>
              </w:rPr>
              <w:t>(PAS Technologies, Inc.)</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TZ Holdings, L.P., Series A</w:t>
            </w:r>
          </w:p>
        </w:tc>
        <w:tc>
          <w:tcPr>
            <w:tcW w:w="1760" w:type="dxa"/>
            <w:vAlign w:val="bottom"/>
            <w:shd w:val="clear" w:color="auto" w:fill="CCEEFF"/>
          </w:tcPr>
          <w:p>
            <w:pPr>
              <w:ind w:left="1260"/>
              <w:spacing w:after="0" w:line="13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7"/>
              </w:rPr>
              <w:t>Insurance</w:t>
            </w:r>
          </w:p>
        </w:tc>
        <w:tc>
          <w:tcPr>
            <w:tcW w:w="60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686</w:t>
            </w:r>
          </w:p>
        </w:tc>
        <w:tc>
          <w:tcPr>
            <w:tcW w:w="8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685,820</w:t>
            </w: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(Trizetto Group, Inc.)</w:t>
            </w:r>
          </w:p>
        </w:tc>
        <w:tc>
          <w:tcPr>
            <w:tcW w:w="17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rPr>
              <w:t>TZ Holdings, L.P., Series B</w:t>
            </w:r>
          </w:p>
        </w:tc>
        <w:tc>
          <w:tcPr>
            <w:tcW w:w="1760" w:type="dxa"/>
            <w:vAlign w:val="bottom"/>
          </w:tcPr>
          <w:p>
            <w:pPr>
              <w:ind w:left="126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7"/>
              </w:rPr>
              <w:t>Insurance</w:t>
            </w:r>
          </w:p>
        </w:tc>
        <w:tc>
          <w:tcPr>
            <w:tcW w:w="6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6.50%</w:t>
            </w:r>
          </w:p>
        </w:tc>
        <w:tc>
          <w:tcPr>
            <w:tcW w:w="280" w:type="dxa"/>
            <w:vAlign w:val="bottom"/>
          </w:tcPr>
          <w:p>
            <w:pPr>
              <w:spacing w:after="0"/>
              <w:rPr>
                <w:sz w:val="11"/>
                <w:szCs w:val="11"/>
                <w:color w:val="auto"/>
              </w:rPr>
            </w:pP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1,312</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1,312,006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200"/>
              <w:spacing w:after="0"/>
              <w:rPr>
                <w:sz w:val="20"/>
                <w:szCs w:val="20"/>
                <w:color w:val="auto"/>
              </w:rPr>
            </w:pPr>
            <w:r>
              <w:rPr>
                <w:rFonts w:ascii="Arial" w:cs="Arial" w:eastAsia="Arial" w:hAnsi="Arial"/>
                <w:sz w:val="14"/>
                <w:szCs w:val="14"/>
                <w:color w:val="auto"/>
              </w:rPr>
              <w:t>(Trizetto Group, Inc.)</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0"/>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552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0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w w:val="86"/>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Universal Pegasus International, Inc.</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00"/>
              <w:spacing w:after="0" w:line="13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Oil and Gas</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8.00</w:t>
            </w:r>
          </w:p>
        </w:tc>
        <w:tc>
          <w:tcPr>
            <w:tcW w:w="220" w:type="dxa"/>
            <w:vAlign w:val="bottom"/>
            <w:tcBorders>
              <w:top w:val="single" w:sz="8" w:color="CCEEFF"/>
            </w:tcBorders>
            <w:shd w:val="clear" w:color="auto" w:fill="CCEEFF"/>
          </w:tcPr>
          <w:p>
            <w:pPr>
              <w:jc w:val="right"/>
              <w:ind w:right="32"/>
              <w:spacing w:after="0" w:line="131"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ind w:left="440"/>
              <w:spacing w:after="0" w:line="131"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101,175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89"/>
              </w:rPr>
              <w:t>$ 2,738,050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13"/>
              <w:spacing w:after="0" w:line="13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(UP Support Services,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7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8.00%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1,824,167</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1,824,167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1,911,003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10,268,187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8,024,938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520" w:type="dxa"/>
            <w:vAlign w:val="bottom"/>
            <w:gridSpan w:val="3"/>
          </w:tcPr>
          <w:p>
            <w:pPr>
              <w:spacing w:after="0" w:line="223" w:lineRule="exact"/>
              <w:rPr>
                <w:sz w:val="20"/>
                <w:szCs w:val="20"/>
                <w:color w:val="auto"/>
              </w:rPr>
            </w:pPr>
            <w:r>
              <w:rPr>
                <w:rFonts w:ascii="Arial" w:cs="Arial" w:eastAsia="Arial" w:hAnsi="Arial"/>
                <w:sz w:val="14"/>
                <w:szCs w:val="14"/>
                <w:b w:val="1"/>
                <w:bCs w:val="1"/>
                <w:color w:val="auto"/>
              </w:rPr>
              <w:t>Common Equity/Warrants/Partnership Interests—7.0%</w:t>
            </w:r>
            <w:r>
              <w:rPr>
                <w:rFonts w:ascii="Arial" w:cs="Arial" w:eastAsia="Arial" w:hAnsi="Arial"/>
                <w:sz w:val="22"/>
                <w:szCs w:val="22"/>
                <w:b w:val="1"/>
                <w:bCs w:val="1"/>
                <w:color w:val="auto"/>
                <w:vertAlign w:val="superscript"/>
              </w:rPr>
              <w:t>(7)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03/23/2021</w:t>
            </w: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CEA Autumn Management,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6"/>
              </w:rPr>
              <w:t>Broadcasting and</w:t>
            </w:r>
          </w:p>
        </w:tc>
        <w:tc>
          <w:tcPr>
            <w:tcW w:w="7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1,333</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280,176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Entertainment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CFHC Holdings, Inc.</w:t>
            </w:r>
          </w:p>
        </w:tc>
        <w:tc>
          <w:tcPr>
            <w:tcW w:w="7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5"/>
              </w:rPr>
              <w:t>Aerospace and Defense</w:t>
            </w:r>
          </w:p>
        </w:tc>
        <w:tc>
          <w:tcPr>
            <w:tcW w:w="700" w:type="dxa"/>
            <w:vAlign w:val="bottom"/>
            <w:gridSpan w:val="2"/>
            <w:shd w:val="clear" w:color="auto" w:fill="CCEEFF"/>
          </w:tcPr>
          <w:p>
            <w:pPr>
              <w:jc w:val="right"/>
              <w:ind w:right="212"/>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1,856</w:t>
            </w:r>
          </w:p>
        </w:tc>
        <w:tc>
          <w:tcPr>
            <w:tcW w:w="92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18,556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6"/>
              </w:rPr>
              <w:t>1,443,556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Business Services</w:t>
            </w:r>
          </w:p>
        </w:tc>
        <w:tc>
          <w:tcPr>
            <w:tcW w:w="7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2,277,209</w:t>
            </w: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8,431,871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(CT Technologies Intermediate Holdings,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7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1,350,000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9"/>
              </w:rPr>
              <w:t>1,079,920</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1,236,832</w:t>
            </w: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295,205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Corporation, LLC, Class D</w:t>
            </w:r>
          </w:p>
        </w:tc>
        <w:tc>
          <w:tcPr>
            <w:tcW w:w="7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700" w:type="dxa"/>
            <w:vAlign w:val="bottom"/>
            <w:gridSpan w:val="2"/>
            <w:shd w:val="clear" w:color="auto" w:fill="CCEEFF"/>
          </w:tcPr>
          <w:p>
            <w:pPr>
              <w:jc w:val="right"/>
              <w:ind w:right="212"/>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w w:val="89"/>
              </w:rPr>
              <w:t>1,079,920</w:t>
            </w:r>
          </w:p>
        </w:tc>
        <w:tc>
          <w:tcPr>
            <w:tcW w:w="92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1,028,807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6"/>
              </w:rPr>
              <w:t>1,028,807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Learning Care Group (US)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04/27/2020</w:t>
            </w: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Education</w:t>
            </w:r>
          </w:p>
        </w:tc>
        <w:tc>
          <w:tcPr>
            <w:tcW w:w="7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1,267</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112,064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(Warrants)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1,221,932</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3,239,999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4,044,595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10/14/2013</w:t>
            </w: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122,193</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105,697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MidOcean PPL Holdings, Inc.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Personal, Food and</w:t>
            </w:r>
          </w:p>
        </w:tc>
        <w:tc>
          <w:tcPr>
            <w:tcW w:w="700" w:type="dxa"/>
            <w:vAlign w:val="bottom"/>
            <w:gridSpan w:val="2"/>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3,320,146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(Pre-Paid LegalServices,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Par/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24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 (3)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PAS Tech Holdings, Inc.</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Aerospace and Defense</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80"/>
              <w:spacing w:after="0" w:line="131"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40"/>
              <w:spacing w:after="0" w:line="131"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20,000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101,931</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(PAS Technologies,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4,325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1,352,585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gridSpan w:val="2"/>
          </w:tcPr>
          <w:p>
            <w:pPr>
              <w:ind w:left="200"/>
              <w:spacing w:after="0"/>
              <w:rPr>
                <w:sz w:val="20"/>
                <w:szCs w:val="20"/>
                <w:color w:val="auto"/>
              </w:rPr>
            </w:pPr>
            <w:r>
              <w:rPr>
                <w:rFonts w:ascii="Arial" w:cs="Arial" w:eastAsia="Arial" w:hAnsi="Arial"/>
                <w:sz w:val="14"/>
                <w:szCs w:val="14"/>
                <w:color w:val="auto"/>
              </w:rPr>
              <w:t>(Questex Media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QMG HoldCo, LLC, Class B</w:t>
            </w:r>
          </w:p>
        </w:tc>
        <w:tc>
          <w:tcPr>
            <w:tcW w:w="7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166,063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TRAK Acquisition Corp.</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12/29/2019</w:t>
            </w: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577,061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gridSpan w:val="2"/>
          </w:tcPr>
          <w:p>
            <w:pPr>
              <w:ind w:left="200"/>
              <w:spacing w:after="0"/>
              <w:rPr>
                <w:sz w:val="20"/>
                <w:szCs w:val="20"/>
                <w:color w:val="auto"/>
              </w:rPr>
            </w:pPr>
            <w:r>
              <w:rPr>
                <w:rFonts w:ascii="Arial" w:cs="Arial" w:eastAsia="Arial" w:hAnsi="Arial"/>
                <w:sz w:val="14"/>
                <w:szCs w:val="14"/>
                <w:color w:val="auto"/>
              </w:rPr>
              <w:t>(Warrants)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Transportation 100 Holdco, L.L.C.</w:t>
            </w:r>
          </w:p>
        </w:tc>
        <w:tc>
          <w:tcPr>
            <w:tcW w:w="7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6"/>
              </w:rPr>
              <w:t>Cargo Transport</w:t>
            </w:r>
          </w:p>
        </w:tc>
        <w:tc>
          <w:tcPr>
            <w:tcW w:w="84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137,923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1,521,406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(Greatwide Logistics Services, L.L.C.)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4"/>
              </w:rPr>
              <w:t>Insurance</w:t>
            </w:r>
          </w:p>
        </w:tc>
        <w:tc>
          <w:tcPr>
            <w:tcW w:w="84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1,591,505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gridSpan w:val="2"/>
          </w:tcPr>
          <w:p>
            <w:pPr>
              <w:ind w:left="200"/>
              <w:spacing w:after="0"/>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Universal Pegasus International, Inc.</w:t>
            </w:r>
          </w:p>
        </w:tc>
        <w:tc>
          <w:tcPr>
            <w:tcW w:w="7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6"/>
              </w:rPr>
              <w:t>Oil and Gas</w:t>
            </w:r>
          </w:p>
        </w:tc>
        <w:tc>
          <w:tcPr>
            <w:tcW w:w="84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110,742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(UP Support Services,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Personal Transportation</w:t>
            </w:r>
          </w:p>
        </w:tc>
        <w:tc>
          <w:tcPr>
            <w:tcW w:w="84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9,166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gridSpan w:val="2"/>
          </w:tcPr>
          <w:p>
            <w:pPr>
              <w:ind w:left="200"/>
              <w:spacing w:after="0"/>
              <w:rPr>
                <w:sz w:val="20"/>
                <w:szCs w:val="20"/>
                <w:color w:val="auto"/>
              </w:rPr>
            </w:pPr>
            <w:r>
              <w:rPr>
                <w:rFonts w:ascii="Arial" w:cs="Arial" w:eastAsia="Arial" w:hAnsi="Arial"/>
                <w:sz w:val="14"/>
                <w:szCs w:val="14"/>
                <w:color w:val="auto"/>
              </w:rPr>
              <w:t>(VPSI,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Vtext Holdings, Inc.</w:t>
            </w:r>
          </w:p>
        </w:tc>
        <w:tc>
          <w:tcPr>
            <w:tcW w:w="7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35,526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7,501,780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(Veritext Corp.)</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32,299,342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Investments in Non-Controlled, Non-Affiliated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816,078,311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773,375,381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spacing w:after="0" w:line="223" w:lineRule="exact"/>
              <w:rPr>
                <w:sz w:val="20"/>
                <w:szCs w:val="20"/>
                <w:color w:val="auto"/>
              </w:rPr>
            </w:pPr>
            <w:r>
              <w:rPr>
                <w:rFonts w:ascii="Arial" w:cs="Arial" w:eastAsia="Arial" w:hAnsi="Arial"/>
                <w:sz w:val="14"/>
                <w:szCs w:val="14"/>
                <w:b w:val="1"/>
                <w:bCs w:val="1"/>
                <w:color w:val="auto"/>
                <w:w w:val="95"/>
              </w:rPr>
              <w:t xml:space="preserve">Investments in Non-Controlled, Affiliated Portfolio Companies—8.8% </w:t>
            </w:r>
            <w:r>
              <w:rPr>
                <w:rFonts w:ascii="Arial" w:cs="Arial" w:eastAsia="Arial" w:hAnsi="Arial"/>
                <w:sz w:val="22"/>
                <w:szCs w:val="22"/>
                <w:b w:val="1"/>
                <w:bCs w:val="1"/>
                <w:color w:val="auto"/>
                <w:w w:val="95"/>
                <w:vertAlign w:val="superscript"/>
              </w:rPr>
              <w:t>(1),(2)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 – 1.4%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07/29/2013</w:t>
            </w: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6,666,666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gridSpan w:val="2"/>
          </w:tcPr>
          <w:p>
            <w:pPr>
              <w:spacing w:after="0" w:line="122" w:lineRule="exact"/>
              <w:rPr>
                <w:sz w:val="20"/>
                <w:szCs w:val="20"/>
                <w:color w:val="auto"/>
              </w:rPr>
            </w:pPr>
            <w:r>
              <w:rPr>
                <w:rFonts w:ascii="Arial" w:cs="Arial" w:eastAsia="Arial" w:hAnsi="Arial"/>
                <w:sz w:val="14"/>
                <w:szCs w:val="14"/>
                <w:color w:val="auto"/>
              </w:rPr>
              <w:t>EnviroSolutions, Inc.</w:t>
            </w:r>
          </w:p>
        </w:tc>
        <w:tc>
          <w:tcPr>
            <w:tcW w:w="620" w:type="dxa"/>
            <w:vAlign w:val="bottom"/>
          </w:tcPr>
          <w:p>
            <w:pPr>
              <w:spacing w:after="0" w:line="122" w:lineRule="exact"/>
              <w:rPr>
                <w:sz w:val="20"/>
                <w:szCs w:val="20"/>
                <w:color w:val="auto"/>
              </w:rPr>
            </w:pPr>
            <w:r>
              <w:rPr>
                <w:rFonts w:ascii="Arial" w:cs="Arial" w:eastAsia="Arial" w:hAnsi="Arial"/>
                <w:sz w:val="14"/>
                <w:szCs w:val="14"/>
                <w:color w:val="auto"/>
                <w:w w:val="85"/>
              </w:rPr>
              <w:t>07/29/2014</w:t>
            </w:r>
          </w:p>
        </w:tc>
        <w:tc>
          <w:tcPr>
            <w:tcW w:w="100" w:type="dxa"/>
            <w:vAlign w:val="bottom"/>
          </w:tcPr>
          <w:p>
            <w:pPr>
              <w:spacing w:after="0"/>
              <w:rPr>
                <w:sz w:val="10"/>
                <w:szCs w:val="10"/>
                <w:color w:val="auto"/>
              </w:rPr>
            </w:pPr>
          </w:p>
        </w:tc>
        <w:tc>
          <w:tcPr>
            <w:tcW w:w="1380" w:type="dxa"/>
            <w:vAlign w:val="bottom"/>
            <w:gridSpan w:val="2"/>
          </w:tcPr>
          <w:p>
            <w:pPr>
              <w:jc w:val="center"/>
              <w:ind w:right="80"/>
              <w:spacing w:after="0" w:line="122"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8.00%</w:t>
            </w:r>
          </w:p>
        </w:tc>
        <w:tc>
          <w:tcPr>
            <w:tcW w:w="640" w:type="dxa"/>
            <w:vAlign w:val="bottom"/>
          </w:tcPr>
          <w:p>
            <w:pPr>
              <w:ind w:left="240"/>
              <w:spacing w:after="0" w:line="122" w:lineRule="exact"/>
              <w:rPr>
                <w:sz w:val="20"/>
                <w:szCs w:val="20"/>
                <w:color w:val="auto"/>
              </w:rPr>
            </w:pPr>
            <w:r>
              <w:rPr>
                <w:rFonts w:ascii="Arial" w:cs="Arial" w:eastAsia="Arial" w:hAnsi="Arial"/>
                <w:sz w:val="14"/>
                <w:szCs w:val="14"/>
                <w:color w:val="auto"/>
                <w:w w:val="96"/>
              </w:rPr>
              <w:t>L+600</w:t>
            </w:r>
          </w:p>
        </w:tc>
        <w:tc>
          <w:tcPr>
            <w:tcW w:w="240" w:type="dxa"/>
            <w:vAlign w:val="bottom"/>
            <w:vMerge w:val="continue"/>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4"/>
                <w:szCs w:val="14"/>
                <w:color w:val="auto"/>
                <w:w w:val="89"/>
              </w:rPr>
              <w:t>5,870,416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5,870,416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rPr>
              <w:t>5,870,416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620" w:type="dxa"/>
            <w:vAlign w:val="bottom"/>
          </w:tcPr>
          <w:p>
            <w:pPr>
              <w:spacing w:after="0"/>
              <w:rPr>
                <w:sz w:val="20"/>
                <w:szCs w:val="20"/>
                <w:color w:val="auto"/>
              </w:rPr>
            </w:pPr>
            <w:r>
              <w:rPr>
                <w:rFonts w:ascii="Arial" w:cs="Arial" w:eastAsia="Arial" w:hAnsi="Arial"/>
                <w:sz w:val="14"/>
                <w:szCs w:val="14"/>
                <w:color w:val="auto"/>
                <w:w w:val="85"/>
              </w:rPr>
              <w:t>01/16/2015</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Leisure, Amusement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7.25%</w:t>
            </w:r>
          </w:p>
        </w:tc>
        <w:tc>
          <w:tcPr>
            <w:tcW w:w="640" w:type="dxa"/>
            <w:vAlign w:val="bottom"/>
          </w:tcPr>
          <w:p>
            <w:pPr>
              <w:ind w:left="240"/>
              <w:spacing w:after="0"/>
              <w:rPr>
                <w:sz w:val="20"/>
                <w:szCs w:val="20"/>
                <w:color w:val="auto"/>
              </w:rPr>
            </w:pPr>
            <w:r>
              <w:rPr>
                <w:rFonts w:ascii="Arial" w:cs="Arial" w:eastAsia="Arial" w:hAnsi="Arial"/>
                <w:sz w:val="14"/>
                <w:szCs w:val="14"/>
                <w:color w:val="auto"/>
                <w:w w:val="96"/>
              </w:rPr>
              <w:t>L+625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8,000,000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7,336,000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Motion Pictures</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96"/>
              </w:rPr>
              <w:t>13,206,416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07/16/2015</w:t>
            </w: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Leisure, Amusement,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6,775,991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6,617,860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6,403,311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291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jc w:val="center"/>
        <w:ind w:left="920"/>
        <w:spacing w:after="0"/>
        <w:rPr>
          <w:sz w:val="20"/>
          <w:szCs w:val="20"/>
          <w:color w:val="auto"/>
        </w:rPr>
      </w:pPr>
      <w:r>
        <w:rPr>
          <w:rFonts w:ascii="Arial" w:cs="Arial" w:eastAsia="Arial" w:hAnsi="Arial"/>
          <w:sz w:val="14"/>
          <w:szCs w:val="14"/>
          <w:color w:val="auto"/>
        </w:rPr>
        <w:t>Motion Pictures and</w:t>
      </w:r>
    </w:p>
    <w:p>
      <w:pPr>
        <w:jc w:val="center"/>
        <w:ind w:left="920"/>
        <w:spacing w:after="0"/>
        <w:rPr>
          <w:sz w:val="20"/>
          <w:szCs w:val="20"/>
          <w:color w:val="auto"/>
        </w:rPr>
      </w:pPr>
      <w:r>
        <w:rPr>
          <w:rFonts w:ascii="Arial" w:cs="Arial" w:eastAsia="Arial" w:hAnsi="Arial"/>
          <w:sz w:val="14"/>
          <w:szCs w:val="14"/>
          <w:color w:val="auto"/>
        </w:rPr>
        <w:t>Entertainment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80" w:type="dxa"/>
            <w:vAlign w:val="bottom"/>
          </w:tcPr>
          <w:p>
            <w:pPr>
              <w:ind w:left="66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8"/>
              </w:rPr>
              <w:t>Fair Value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4"/>
                <w:szCs w:val="14"/>
                <w:b w:val="1"/>
                <w:bCs w:val="1"/>
                <w:color w:val="auto"/>
              </w:rPr>
              <w:t xml:space="preserve">Common Equity/Partnership Interest—3.1% </w:t>
            </w:r>
            <w:r>
              <w:rPr>
                <w:rFonts w:ascii="Arial" w:cs="Arial" w:eastAsia="Arial" w:hAnsi="Arial"/>
                <w:sz w:val="22"/>
                <w:szCs w:val="22"/>
                <w:b w:val="1"/>
                <w:bCs w:val="1"/>
                <w:color w:val="auto"/>
                <w:vertAlign w:val="superscript"/>
              </w:rPr>
              <w:t>(7)</w:t>
            </w:r>
          </w:p>
        </w:tc>
        <w:tc>
          <w:tcPr>
            <w:tcW w:w="1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tcPr>
          <w:p>
            <w:pPr>
              <w:spacing w:after="0" w:line="138" w:lineRule="exact"/>
              <w:rPr>
                <w:sz w:val="20"/>
                <w:szCs w:val="20"/>
                <w:color w:val="auto"/>
              </w:rPr>
            </w:pPr>
            <w:r>
              <w:rPr>
                <w:rFonts w:ascii="Arial" w:cs="Arial" w:eastAsia="Arial" w:hAnsi="Arial"/>
                <w:sz w:val="14"/>
                <w:szCs w:val="14"/>
                <w:color w:val="auto"/>
              </w:rPr>
              <w:t>EnviroSolutions, Inc.</w:t>
            </w:r>
          </w:p>
        </w:tc>
        <w:tc>
          <w:tcPr>
            <w:tcW w:w="1280" w:type="dxa"/>
            <w:vAlign w:val="bottom"/>
          </w:tcPr>
          <w:p>
            <w:pPr>
              <w:ind w:left="82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1"/>
              </w:rPr>
              <w:t>Environmental</w:t>
            </w:r>
          </w:p>
        </w:tc>
        <w:tc>
          <w:tcPr>
            <w:tcW w:w="8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37,382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2,710,036</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EnviroSolutions, Inc. (Warrants)</w:t>
            </w:r>
          </w:p>
        </w:tc>
        <w:tc>
          <w:tcPr>
            <w:tcW w:w="1280" w:type="dxa"/>
            <w:vAlign w:val="bottom"/>
            <w:shd w:val="clear" w:color="auto" w:fill="CCEEFF"/>
          </w:tcPr>
          <w:p>
            <w:pPr>
              <w:ind w:left="82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91"/>
              </w:rPr>
              <w:t>Environmental</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3,129,447</w:t>
            </w: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1280" w:type="dxa"/>
            <w:vAlign w:val="bottom"/>
          </w:tcPr>
          <w:p>
            <w:pPr>
              <w:ind w:left="82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4"/>
              </w:rPr>
              <w:t>Leisure,</w:t>
            </w:r>
          </w:p>
        </w:tc>
        <w:tc>
          <w:tcPr>
            <w:tcW w:w="8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375,000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3,750,000</w:t>
            </w:r>
          </w:p>
        </w:tc>
        <w:tc>
          <w:tcPr>
            <w:tcW w:w="14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Amusement,</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Motion</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4"/>
              </w:rPr>
              <w:t>Pictures and</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36,744,425</w:t>
            </w: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Companies—2.9% </w:t>
            </w:r>
            <w:r>
              <w:rPr>
                <w:rFonts w:ascii="Arial" w:cs="Arial" w:eastAsia="Arial" w:hAnsi="Arial"/>
                <w:sz w:val="17"/>
                <w:szCs w:val="17"/>
                <w:b w:val="1"/>
                <w:bCs w:val="1"/>
                <w:color w:val="auto"/>
                <w:vertAlign w:val="superscript"/>
              </w:rPr>
              <w:t>(1),(2)</w:t>
            </w: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SuttonPark Holdings, Inc.</w:t>
            </w:r>
          </w:p>
        </w:tc>
        <w:tc>
          <w:tcPr>
            <w:tcW w:w="1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Business</w:t>
            </w:r>
          </w:p>
        </w:tc>
        <w:tc>
          <w:tcPr>
            <w:tcW w:w="8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w w:val="95"/>
              </w:rPr>
              <w:t xml:space="preserve">14.00% </w:t>
            </w:r>
            <w:r>
              <w:rPr>
                <w:rFonts w:ascii="Arial" w:cs="Arial" w:eastAsia="Arial" w:hAnsi="Arial"/>
                <w:sz w:val="22"/>
                <w:szCs w:val="22"/>
                <w:color w:val="auto"/>
                <w:w w:val="95"/>
                <w:vertAlign w:val="superscript"/>
              </w:rPr>
              <w:t>(6)</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28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91"/>
              </w:rPr>
              <w:t>06/30/2020</w:t>
            </w:r>
          </w:p>
        </w:tc>
        <w:tc>
          <w:tcPr>
            <w:tcW w:w="94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860" w:type="dxa"/>
            <w:vAlign w:val="bottom"/>
            <w:gridSpan w:val="2"/>
            <w:vMerge w:val="continue"/>
            <w:shd w:val="clear" w:color="auto" w:fill="CCEEFF"/>
          </w:tcPr>
          <w:p>
            <w:pPr>
              <w:spacing w:after="0"/>
              <w:rPr>
                <w:sz w:val="13"/>
                <w:szCs w:val="13"/>
                <w:color w:val="auto"/>
              </w:rPr>
            </w:pPr>
          </w:p>
        </w:tc>
        <w:tc>
          <w:tcPr>
            <w:tcW w:w="9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89"/>
              </w:rPr>
              <w:t>9,200,000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9,200,000</w:t>
            </w:r>
          </w:p>
        </w:tc>
        <w:tc>
          <w:tcPr>
            <w:tcW w:w="1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SuttonPark Holdings, Inc.</w:t>
            </w:r>
          </w:p>
        </w:tc>
        <w:tc>
          <w:tcPr>
            <w:tcW w:w="1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Business</w:t>
            </w:r>
          </w:p>
        </w:tc>
        <w:tc>
          <w:tcPr>
            <w:tcW w:w="8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w w:val="95"/>
              </w:rPr>
              <w:t xml:space="preserve">14.00% </w:t>
            </w:r>
            <w:r>
              <w:rPr>
                <w:rFonts w:ascii="Arial" w:cs="Arial" w:eastAsia="Arial" w:hAnsi="Arial"/>
                <w:sz w:val="22"/>
                <w:szCs w:val="22"/>
                <w:color w:val="auto"/>
                <w:w w:val="95"/>
                <w:vertAlign w:val="superscript"/>
              </w:rPr>
              <w:t>(6)</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28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91"/>
              </w:rPr>
              <w:t>06/30/2020</w:t>
            </w:r>
          </w:p>
        </w:tc>
        <w:tc>
          <w:tcPr>
            <w:tcW w:w="94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860" w:type="dxa"/>
            <w:vAlign w:val="bottom"/>
            <w:gridSpan w:val="2"/>
            <w:vMerge w:val="continue"/>
            <w:shd w:val="clear" w:color="auto" w:fill="CCEEFF"/>
          </w:tcPr>
          <w:p>
            <w:pPr>
              <w:spacing w:after="0"/>
              <w:rPr>
                <w:sz w:val="13"/>
                <w:szCs w:val="13"/>
                <w:color w:val="auto"/>
              </w:rPr>
            </w:pPr>
          </w:p>
        </w:tc>
        <w:tc>
          <w:tcPr>
            <w:tcW w:w="9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89"/>
              </w:rPr>
              <w:t>2,300,000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2,300,000</w:t>
            </w:r>
          </w:p>
        </w:tc>
        <w:tc>
          <w:tcPr>
            <w:tcW w:w="1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18"/>
                <w:szCs w:val="18"/>
                <w:b w:val="1"/>
                <w:bCs w:val="1"/>
                <w:color w:val="auto"/>
                <w:vertAlign w:val="superscript"/>
              </w:rPr>
              <w:t>(7)</w:t>
            </w: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SuttonPark Holdings, Inc.</w:t>
            </w:r>
          </w:p>
        </w:tc>
        <w:tc>
          <w:tcPr>
            <w:tcW w:w="1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Business</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28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8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2,000,000</w:t>
            </w:r>
          </w:p>
        </w:tc>
        <w:tc>
          <w:tcPr>
            <w:tcW w:w="1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18"/>
                <w:szCs w:val="18"/>
                <w:b w:val="1"/>
                <w:bCs w:val="1"/>
                <w:color w:val="auto"/>
                <w:vertAlign w:val="superscript"/>
              </w:rPr>
              <w:t>(7)</w:t>
            </w: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SuttonPark Holdings, Inc.</w:t>
            </w:r>
          </w:p>
        </w:tc>
        <w:tc>
          <w:tcPr>
            <w:tcW w:w="1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Business</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28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Services</w:t>
            </w:r>
          </w:p>
        </w:tc>
        <w:tc>
          <w:tcPr>
            <w:tcW w:w="8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866,322,836</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Equivalents—15.5%</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71,604,519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937,927,355</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7"/>
              </w:rPr>
              <w:t>(436,495,838)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3926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77" w:lineRule="exact"/>
        <w:rPr>
          <w:sz w:val="20"/>
          <w:szCs w:val="20"/>
          <w:color w:val="auto"/>
        </w:rPr>
      </w:pPr>
    </w:p>
    <w:p>
      <w:pPr>
        <w:ind w:left="460" w:right="580" w:hanging="452"/>
        <w:spacing w:after="0" w:line="268" w:lineRule="auto"/>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hanging="452"/>
        <w:spacing w:after="0" w:line="258" w:lineRule="auto"/>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w:t>
      </w:r>
    </w:p>
    <w:p>
      <w:pPr>
        <w:ind w:left="460" w:right="62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65" w:lineRule="exact"/>
        <w:rPr>
          <w:sz w:val="20"/>
          <w:szCs w:val="20"/>
          <w:color w:val="auto"/>
        </w:rPr>
      </w:pPr>
    </w:p>
    <w:p>
      <w:pPr>
        <w:ind w:right="740" w:firstLine="571"/>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refers to our wholly owned, consolidated small business investment company, or SBIC, PennantPark SBIC 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as amended, or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11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43.6 million shares of common stock through follow-on public offerings, resulting in net proceeds of $441.4 million. During the fiscal year September 30, 2012, we sold 19.4 million shares in follow-on public offerings, resulting in net proceeds of $198.9 million, after estimated offering costs. On September 28, 2012, we completed an offering of 9.0 million shares of common stock at a public offering price of $10.82 per share for gross proceeds of $97.4 million and net proceeds of $93.6 million after underwriting discounts and offering expenses. See Note 14.</w:t>
      </w:r>
    </w:p>
    <w:p>
      <w:pPr>
        <w:spacing w:after="0" w:line="93"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are externally managed by PennantPark Investment Advisers. PennantPark Investment Administration provides the administrative services necessary for us to operate. 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86"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8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satisfy the requirements of regulated investment companies, or RICs, under the Internal Revenue Code of 1986, as amended, or the Code.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571"/>
        <w:spacing w:after="0" w:line="318" w:lineRule="auto"/>
        <w:rPr>
          <w:sz w:val="20"/>
          <w:szCs w:val="20"/>
          <w:color w:val="auto"/>
        </w:rPr>
      </w:pPr>
      <w:r>
        <w:rPr>
          <w:rFonts w:ascii="Arial" w:cs="Arial" w:eastAsia="Arial" w:hAnsi="Arial"/>
          <w:sz w:val="15"/>
          <w:szCs w:val="15"/>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7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we have provided a Consolidated Statement of Changes in Net Assets in lieu of a Consolidated Statement of Changes in Stockholders’ Equity.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420" w:firstLine="571"/>
        <w:spacing w:after="0" w:line="332"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8" w:lineRule="exact"/>
        <w:rPr>
          <w:sz w:val="20"/>
          <w:szCs w:val="20"/>
          <w:color w:val="auto"/>
        </w:rPr>
      </w:pPr>
    </w:p>
    <w:p>
      <w:pPr>
        <w:ind w:left="1020" w:right="340" w:hanging="566"/>
        <w:spacing w:after="0" w:line="268"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1020" w:hanging="566"/>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1020" w:right="60" w:hanging="566"/>
        <w:spacing w:after="0" w:line="256"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1020" w:right="60" w:hanging="566"/>
        <w:spacing w:after="0" w:line="332" w:lineRule="auto"/>
        <w:tabs>
          <w:tab w:leader="none" w:pos="10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71" w:lineRule="exact"/>
        <w:rPr>
          <w:rFonts w:ascii="Arial" w:cs="Arial" w:eastAsia="Arial" w:hAnsi="Arial"/>
          <w:sz w:val="16"/>
          <w:szCs w:val="16"/>
          <w:color w:val="auto"/>
        </w:rPr>
      </w:pPr>
    </w:p>
    <w:p>
      <w:pPr>
        <w:ind w:left="1020" w:right="120" w:hanging="566"/>
        <w:spacing w:after="0" w:line="268"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58" w:lineRule="exact"/>
        <w:rPr>
          <w:rFonts w:ascii="Arial" w:cs="Arial" w:eastAsia="Arial" w:hAnsi="Arial"/>
          <w:sz w:val="18"/>
          <w:szCs w:val="18"/>
          <w:color w:val="auto"/>
        </w:rPr>
      </w:pPr>
    </w:p>
    <w:p>
      <w:pPr>
        <w:ind w:left="480" w:hanging="244"/>
        <w:spacing w:after="0"/>
        <w:tabs>
          <w:tab w:leader="none" w:pos="48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44"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89" w:lineRule="exact"/>
        <w:rPr>
          <w:sz w:val="20"/>
          <w:szCs w:val="20"/>
          <w:color w:val="auto"/>
        </w:rPr>
      </w:pPr>
    </w:p>
    <w:p>
      <w:pPr>
        <w:jc w:val="both"/>
        <w:ind w:right="100" w:firstLine="571"/>
        <w:spacing w:after="0" w:line="302"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record prepayment penalties on loans and debt investments as income. Dividend income, if any, is recognized on an accrual basis on the ex-dividend date to the extent that we expect to collect such amounts.</w:t>
      </w:r>
    </w:p>
    <w:p>
      <w:pPr>
        <w:spacing w:after="0" w:line="111" w:lineRule="exact"/>
        <w:rPr>
          <w:sz w:val="20"/>
          <w:szCs w:val="20"/>
          <w:color w:val="auto"/>
        </w:rPr>
      </w:pPr>
    </w:p>
    <w:p>
      <w:pPr>
        <w:jc w:val="both"/>
        <w:ind w:right="420" w:firstLine="571"/>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4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$0.3 million, $0.2 million and $0.1 million for the fiscal years ended September 30, 2012, 2011 and 2010, respectively.</w:t>
      </w:r>
    </w:p>
    <w:p>
      <w:pPr>
        <w:spacing w:after="0" w:line="93"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1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144"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44"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5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PennantPark Investment’s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w:t>
      </w:r>
    </w:p>
    <w:p>
      <w:pPr>
        <w:spacing w:after="0" w:line="117"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temporary draws under our Credit Facility and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the fiscal years ended September 30, 2012, 2011 and 2010, the Investment Adviser earned base management fees of $17.5 million, $14.9 million and $11.6 million, respectively, from us.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44"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fiscal years ended September 30, 2012, 2011 and 2010, the Investment Adviser received an incentive fee of $14.2 million, $13.2 million and $8.0 million, respectively, from us.</w:t>
      </w:r>
    </w:p>
    <w:p>
      <w:pPr>
        <w:spacing w:after="0" w:line="94"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fiscal years ended September 30, 2012, 2011 and 2010, resulted in no accrual.</w:t>
      </w:r>
    </w:p>
    <w:p>
      <w:pPr>
        <w:spacing w:after="0" w:line="8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2012, 2011 and 2010, our unrealized and realized capital gains did not exceed our cumulative realized and unrealized losses and resulted in no accrual under GAAP.</w:t>
      </w:r>
    </w:p>
    <w:p>
      <w:pPr>
        <w:spacing w:after="0" w:line="93"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2012, 2011 and 2010, the Investment Adviser and Administrator, collectively, were reimbursed $3.6 million, $2.6 million and $2.1 million, respectively, from us, including expenses it incurred on behalf of the Administrator, for services described above.</w:t>
      </w:r>
    </w:p>
    <w:p>
      <w:pPr>
        <w:spacing w:after="0" w:line="10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fiscal years ended September 30, 2012, 2011 and 2010, PennantPark Investment was reimbursed $0.7 million, $0.5 million and $0.1 million, respectively,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5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2012, 2011 and 2010 totaled $337.3 million, $490.6 million and $315.8 million, respectively. Sales and repayments of long-term investments for the fiscal years ended September 30, 2012, 2011 and 2010 totaled $201.7 million, $304.0 million and $145.2 million, respectively.</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ind w:left="68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6"/>
          </w:tcPr>
          <w:p>
            <w:pPr>
              <w:ind w:left="60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291,677,553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305,608,989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296,488,131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Second lien</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208,454,615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191,339,241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189,962,828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165,272,201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404,507,916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400,682,637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325,318,958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309,329,169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Preferred equity</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49,222,034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19,634,989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12,268,187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9,762,932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33,163,874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46,696,082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1,008,611,862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990,479,710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866,322,836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827,548,515</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71,604,519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71,604,519</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investments and 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1,016,171,315</w:t>
            </w:r>
          </w:p>
        </w:tc>
        <w:tc>
          <w:tcPr>
            <w:tcW w:w="20" w:type="dxa"/>
            <w:vAlign w:val="bottom"/>
          </w:tcPr>
          <w:p>
            <w:pPr>
              <w:spacing w:after="0"/>
              <w:rPr>
                <w:sz w:val="19"/>
                <w:szCs w:val="19"/>
                <w:color w:val="auto"/>
              </w:rPr>
            </w:pPr>
          </w:p>
        </w:tc>
        <w:tc>
          <w:tcPr>
            <w:tcW w:w="5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998,039,163</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937,927,355</w:t>
            </w:r>
          </w:p>
        </w:tc>
        <w:tc>
          <w:tcPr>
            <w:tcW w:w="4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899,153,034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3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Healthcare, Education and Childcare</w:t>
            </w:r>
          </w:p>
        </w:tc>
        <w:tc>
          <w:tcPr>
            <w:tcW w:w="3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0"/>
              <w:spacing w:after="0" w:line="203" w:lineRule="exact"/>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w w:val="92"/>
              </w:rPr>
              <w:t>Diversified Natural Resources, Precious Metals and Minerals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3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Personal Transportation</w:t>
            </w:r>
          </w:p>
        </w:tc>
        <w:tc>
          <w:tcPr>
            <w:tcW w:w="3120" w:type="dxa"/>
            <w:vAlign w:val="bottom"/>
          </w:tcPr>
          <w:p>
            <w:pPr>
              <w:spacing w:after="0"/>
              <w:rPr>
                <w:sz w:val="18"/>
                <w:szCs w:val="18"/>
                <w:color w:val="auto"/>
              </w:rPr>
            </w:pPr>
          </w:p>
        </w:tc>
        <w:tc>
          <w:tcPr>
            <w:tcW w:w="14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20" w:type="dxa"/>
            <w:vAlign w:val="bottom"/>
          </w:tcPr>
          <w:p>
            <w:pPr>
              <w:spacing w:after="0"/>
              <w:rPr>
                <w:sz w:val="19"/>
                <w:szCs w:val="19"/>
                <w:color w:val="auto"/>
              </w:rPr>
            </w:pPr>
          </w:p>
        </w:tc>
        <w:tc>
          <w:tcPr>
            <w:tcW w:w="1460" w:type="dxa"/>
            <w:vAlign w:val="bottom"/>
            <w:gridSpan w:val="2"/>
          </w:tcPr>
          <w:p>
            <w:pPr>
              <w:jc w:val="right"/>
              <w:ind w:right="1000"/>
              <w:spacing w:after="0"/>
              <w:rPr>
                <w:sz w:val="20"/>
                <w:szCs w:val="20"/>
                <w:color w:val="auto"/>
              </w:rPr>
            </w:pPr>
            <w:r>
              <w:rPr>
                <w:rFonts w:ascii="Arial" w:cs="Arial" w:eastAsia="Arial" w:hAnsi="Arial"/>
                <w:sz w:val="18"/>
                <w:szCs w:val="18"/>
                <w:color w:val="auto"/>
                <w:w w:val="95"/>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580" w:type="dxa"/>
            <w:vAlign w:val="bottom"/>
            <w:gridSpan w:val="3"/>
          </w:tcPr>
          <w:p>
            <w:pPr>
              <w:jc w:val="right"/>
              <w:ind w:right="4100"/>
              <w:spacing w:after="0"/>
              <w:rPr>
                <w:sz w:val="20"/>
                <w:szCs w:val="20"/>
                <w:color w:val="auto"/>
              </w:rPr>
            </w:pPr>
            <w:r>
              <w:rPr>
                <w:rFonts w:ascii="Arial" w:cs="Arial" w:eastAsia="Arial" w:hAnsi="Arial"/>
                <w:sz w:val="18"/>
                <w:szCs w:val="18"/>
                <w:color w:val="auto"/>
              </w:rPr>
              <w:t>F-27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5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85" w:lineRule="exact"/>
        <w:rPr>
          <w:sz w:val="20"/>
          <w:szCs w:val="20"/>
          <w:color w:val="auto"/>
        </w:rPr>
      </w:pPr>
    </w:p>
    <w:p>
      <w:pPr>
        <w:ind w:left="1320" w:right="680" w:hanging="850"/>
        <w:spacing w:after="0" w:line="259" w:lineRule="auto"/>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4" w:lineRule="exact"/>
        <w:rPr>
          <w:sz w:val="20"/>
          <w:szCs w:val="20"/>
          <w:color w:val="auto"/>
        </w:rPr>
      </w:pPr>
    </w:p>
    <w:p>
      <w:pPr>
        <w:ind w:left="1320" w:right="900" w:hanging="850"/>
        <w:spacing w:after="0" w:line="268" w:lineRule="auto"/>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89"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our ability to observe valuation inputs has resulted in no reclassification of assets between Levels 1, 2 and 3. During the fiscal year ended December 31, 2011 there was a transfer out of Level 3 to Level 2.</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3"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firstLine="571"/>
        <w:spacing w:after="0" w:line="309" w:lineRule="auto"/>
        <w:rPr>
          <w:sz w:val="20"/>
          <w:szCs w:val="20"/>
          <w:color w:val="auto"/>
        </w:rPr>
      </w:pPr>
      <w:r>
        <w:rPr>
          <w:rFonts w:ascii="Arial" w:cs="Arial" w:eastAsia="Arial" w:hAnsi="Arial"/>
          <w:sz w:val="15"/>
          <w:szCs w:val="15"/>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 at</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September 30, 2012</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Valuation Technique</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Unobservable Input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201"/>
        </w:trPr>
        <w:tc>
          <w:tcPr>
            <w:tcW w:w="3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First lien, second lien, subordinated debt/corporate</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258,617,082</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Broker/Dealer bid quotes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w:t>
            </w: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w w:val="95"/>
              </w:rPr>
              <w:t>First lien, second lien, subordinated debt/corporate</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notes</w:t>
            </w:r>
          </w:p>
        </w:tc>
        <w:tc>
          <w:tcPr>
            <w:tcW w:w="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589,806,989</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Market Yield</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8.4% - 19.0% (14.1%)</w:t>
            </w: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101,323,123</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Enterprise Market Value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4.3x - 15.5x (8.5x)</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Level 3 investments</w:t>
            </w: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949,747,194</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144,452,500</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cash equivalents, investments and our Credit Facility were categorized as follows in the fair value hierarchy for ASC 820 purposes: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at September 30, 2012</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883,669,431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35,275,360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848,424,071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106,780,279</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5,425,378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101,323,123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990,449,710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5,425,378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35,307,138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949,747,194</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Cash equivalents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5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998,009,163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12,984,831</w:t>
            </w: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35,307,138</w:t>
            </w:r>
          </w:p>
        </w:tc>
        <w:tc>
          <w:tcPr>
            <w:tcW w:w="5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949,747,194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Credit Facility</w:t>
            </w: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15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144,452,500</w:t>
            </w:r>
          </w:p>
        </w:tc>
        <w:tc>
          <w:tcPr>
            <w:tcW w:w="3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144,452,500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at September 30, 2011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771,089,501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38,395,050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732,694,451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4,044,595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827,548,515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38,456,141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785,047,779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Cash equivalents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71,604,519</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5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75,649,114</w:t>
            </w: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38,456,141</w:t>
            </w:r>
          </w:p>
        </w:tc>
        <w:tc>
          <w:tcPr>
            <w:tcW w:w="5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785,047,779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Credit Facility</w:t>
            </w: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15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238,792,125</w:t>
            </w:r>
          </w:p>
        </w:tc>
        <w:tc>
          <w:tcPr>
            <w:tcW w:w="3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238,792,125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F-29</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ind w:right="103"/>
              <w:spacing w:after="0"/>
              <w:rPr>
                <w:sz w:val="20"/>
                <w:szCs w:val="20"/>
                <w:color w:val="auto"/>
              </w:rPr>
            </w:pPr>
            <w:r>
              <w:rPr>
                <w:rFonts w:ascii="Arial" w:cs="Arial" w:eastAsia="Arial" w:hAnsi="Arial"/>
                <w:sz w:val="14"/>
                <w:szCs w:val="14"/>
                <w:b w:val="1"/>
                <w:bCs w:val="1"/>
                <w:color w:val="auto"/>
                <w:w w:val="85"/>
              </w:rPr>
              <w:t>Year ended September 30, 2012</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1"/>
                <w:szCs w:val="11"/>
                <w:color w:val="auto"/>
              </w:rPr>
            </w:pPr>
          </w:p>
        </w:tc>
        <w:tc>
          <w:tcPr>
            <w:tcW w:w="138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w w:val="91"/>
              </w:rPr>
              <w:t>Loan and debt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5"/>
              </w:rPr>
              <w:t>investments</w:t>
            </w: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Equity investments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 September 30, 2011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732,694,451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52,353,328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(1,893,297)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(865,772)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23,034,558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(11,283,219)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11,751,339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288,868,017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66,892,499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355,760,516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(194,279,658)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(5,773,713)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848,424,071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101,323,123</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4"/>
            <w:vMerge w:val="restart"/>
          </w:tcPr>
          <w:p>
            <w:pPr>
              <w:spacing w:after="0"/>
              <w:rPr>
                <w:sz w:val="20"/>
                <w:szCs w:val="20"/>
                <w:color w:val="auto"/>
              </w:rPr>
            </w:pPr>
            <w:r>
              <w:rPr>
                <w:rFonts w:ascii="Arial" w:cs="Arial" w:eastAsia="Arial" w:hAnsi="Arial"/>
                <w:sz w:val="18"/>
                <w:szCs w:val="18"/>
                <w:color w:val="auto"/>
                <w:w w:val="96"/>
              </w:rPr>
              <w:t>Net change in unrealized appreciation (depreciation) for the fiscal year reported within the net</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w w:val="91"/>
              </w:rPr>
              <w:t>change in unrealized appreciation (depreciation) on investments in our Consolidated Statement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rPr>
              <w:t>of Operations 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25,864,375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(9,858,219)</w:t>
            </w:r>
          </w:p>
        </w:tc>
        <w:tc>
          <w:tcPr>
            <w:tcW w:w="18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16,006,156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5"/>
              </w:rPr>
              <w:t>Year ended September 30, 2011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right"/>
              <w:ind w:right="380"/>
              <w:spacing w:after="0" w:line="129" w:lineRule="exact"/>
              <w:rPr>
                <w:sz w:val="20"/>
                <w:szCs w:val="20"/>
                <w:color w:val="auto"/>
              </w:rPr>
            </w:pPr>
            <w:r>
              <w:rPr>
                <w:rFonts w:ascii="Arial" w:cs="Arial" w:eastAsia="Arial" w:hAnsi="Arial"/>
                <w:sz w:val="14"/>
                <w:szCs w:val="14"/>
                <w:b w:val="1"/>
                <w:bCs w:val="1"/>
                <w:color w:val="auto"/>
                <w:w w:val="91"/>
              </w:rPr>
              <w:t>Loan and debt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Equity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7"/>
              </w:rPr>
              <w:t>investments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investments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615,236,138</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45,137,828</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6,065,196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(48,568,848)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2,904,075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(45,664,773)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486,512,694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9,969,861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(292,284,905)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(11,723,632)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(304,008,537)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(38,395,050)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(38,395,050)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732,694,451</w:t>
            </w:r>
          </w:p>
        </w:tc>
        <w:tc>
          <w:tcPr>
            <w:tcW w:w="2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52,353,328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gridSpan w:val="4"/>
          </w:tcPr>
          <w:p>
            <w:pPr>
              <w:spacing w:after="0"/>
              <w:rPr>
                <w:sz w:val="20"/>
                <w:szCs w:val="20"/>
                <w:color w:val="auto"/>
              </w:rPr>
            </w:pPr>
            <w:r>
              <w:rPr>
                <w:rFonts w:ascii="Arial" w:cs="Arial" w:eastAsia="Arial" w:hAnsi="Arial"/>
                <w:sz w:val="18"/>
                <w:szCs w:val="18"/>
                <w:color w:val="auto"/>
                <w:w w:val="96"/>
              </w:rPr>
              <w:t>Net change in unrealized appreciation (depreciation) for the fiscal year reported within the net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w w:val="91"/>
              </w:rPr>
              <w:t>change in unrealized appreciation (depreciation) on investments in our Consolidated Statement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rPr>
              <w:t>of Operations attributable to our Level 3 assets still held at the reporting date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(24,916,057)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2,186,601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(22,729,456)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60" w:firstLine="571"/>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29"/>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September 30, 2011</w:t>
            </w:r>
          </w:p>
        </w:tc>
        <w:tc>
          <w:tcPr>
            <w:tcW w:w="0" w:type="dxa"/>
            <w:vAlign w:val="bottom"/>
          </w:tcPr>
          <w:p>
            <w:pPr>
              <w:spacing w:after="0"/>
              <w:rPr>
                <w:sz w:val="1"/>
                <w:szCs w:val="1"/>
                <w:color w:val="auto"/>
              </w:rPr>
            </w:pPr>
          </w:p>
        </w:tc>
      </w:tr>
      <w:tr>
        <w:trPr>
          <w:trHeight w:val="210"/>
        </w:trPr>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 (Cost – $240,900,000 and $227,900,000, respectively)</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238,792,125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213,941,125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556,800,000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(688,200,000)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(394,500,000)</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760" w:type="dxa"/>
            <w:vAlign w:val="bottom"/>
            <w:gridSpan w:val="2"/>
          </w:tcPr>
          <w:p>
            <w:pPr>
              <w:spacing w:after="0"/>
              <w:rPr>
                <w:sz w:val="20"/>
                <w:szCs w:val="20"/>
                <w:color w:val="auto"/>
              </w:rPr>
            </w:pPr>
            <w:r>
              <w:rPr>
                <w:rFonts w:ascii="Arial" w:cs="Arial" w:eastAsia="Arial" w:hAnsi="Arial"/>
                <w:sz w:val="18"/>
                <w:szCs w:val="18"/>
                <w:color w:val="auto"/>
              </w:rPr>
              <w:t>Ending Balance (Cost – $109,500,000 and $240,900,000, respectively)</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108,952,500</w:t>
            </w:r>
          </w:p>
        </w:tc>
        <w:tc>
          <w:tcPr>
            <w:tcW w:w="2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238,792,125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60" w:type="dxa"/>
            <w:vAlign w:val="bottom"/>
            <w:gridSpan w:val="2"/>
          </w:tcPr>
          <w:p>
            <w:pPr>
              <w:spacing w:after="0"/>
              <w:rPr>
                <w:sz w:val="20"/>
                <w:szCs w:val="20"/>
                <w:color w:val="auto"/>
              </w:rPr>
            </w:pPr>
            <w:r>
              <w:rPr>
                <w:rFonts w:ascii="Arial" w:cs="Arial" w:eastAsia="Arial" w:hAnsi="Arial"/>
                <w:sz w:val="18"/>
                <w:szCs w:val="18"/>
                <w:color w:val="auto"/>
              </w:rPr>
              <w:t>Ending Balance (Cost – $145,000,000 and 240,900,000, respectively)</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144,452,500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238,792,125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Excludes temporary draws.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and expensed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5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An affiliated company is a company in which the PennantPark Investment has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purchases and sales. Transactions with affiliates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Purchase of /</w:t>
            </w: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Sales of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98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40" w:type="dxa"/>
            <w:vAlign w:val="bottom"/>
            <w:gridSpan w:val="3"/>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4"/>
              </w:rPr>
              <w:t>September 30, 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from Affiliates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Received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Capital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040" w:type="dxa"/>
            <w:vAlign w:val="bottom"/>
            <w:gridSpan w:val="3"/>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2,078,611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13,175,000</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24,173,984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24,456,708</w:t>
            </w: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25,740,212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6,815,433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13,657,543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366,936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18,425,519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82"/>
        </w:trPr>
        <w:tc>
          <w:tcPr>
            <w:tcW w:w="4040" w:type="dxa"/>
            <w:vAlign w:val="bottom"/>
            <w:gridSpan w:val="3"/>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863,771</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18,028,080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758,333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44,501,658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Total Controlled and Non-Controlled Affiliates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78,347,118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39,975,433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17,157,543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4,067,651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118,586,965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Became a controlled affiliate on September 30,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63,353,100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10,263,474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16,535,491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52,969,278</w:t>
            </w:r>
            <w:r>
              <w:rPr>
                <w:rFonts w:ascii="Arial" w:cs="Arial" w:eastAsia="Arial" w:hAnsi="Arial"/>
                <w:sz w:val="11"/>
                <w:szCs w:val="11"/>
                <w:color w:val="auto"/>
                <w:w w:val="97"/>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42,196,076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29,546,772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540" w:right="5540" w:hanging="5539"/>
        <w:spacing w:after="0" w:line="510" w:lineRule="auto"/>
        <w:rPr>
          <w:sz w:val="20"/>
          <w:szCs w:val="20"/>
          <w:color w:val="auto"/>
        </w:rPr>
      </w:pPr>
      <w:r>
        <w:rPr>
          <w:rFonts w:ascii="Arial" w:cs="Arial" w:eastAsia="Arial" w:hAnsi="Arial"/>
          <w:sz w:val="12"/>
          <w:szCs w:val="12"/>
          <w:color w:val="auto"/>
        </w:rPr>
        <w:t>* The denominator for diluted weighted average shares was 52,975,015 shares. F-31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50"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2012, 2011 and 2010:</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paid-in capital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2,176,918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(2,453,820)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228,824</w:t>
            </w:r>
          </w:p>
        </w:tc>
        <w:tc>
          <w:tcPr>
            <w:tcW w:w="4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98,294</w:t>
            </w:r>
          </w:p>
        </w:tc>
      </w:tr>
    </w:tbl>
    <w:p>
      <w:pPr>
        <w:spacing w:after="0" w:line="12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As of September 30, 2012 and 2011, the cost of investments for federal income tax purposes was $1,006.8 million and $865.8 million, respectively, resulting in a gross unrealized appreciation of $59.9 million and $31.3 million, respectively, and gross unrealized depreciation of $76.3 million and $69.6 million, respectively.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4"/>
              </w:rPr>
              <w:t>Years ended September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63,353,100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10,263,474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16,535,491</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realized loss (gain) on investments not taxable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12,798,035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(16,259,622)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15,417,097</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 and Credit Facility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(19,081,794)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58,641,223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122,029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2,444,817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(3,178,194)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(321,805)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59,822,148</w:t>
            </w: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49,695,705</w:t>
            </w:r>
          </w:p>
        </w:tc>
        <w:tc>
          <w:tcPr>
            <w:tcW w:w="2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31,752,812</w:t>
            </w:r>
          </w:p>
        </w:tc>
      </w:tr>
      <w:tr>
        <w:trPr>
          <w:trHeight w:val="20"/>
        </w:trPr>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18,634,553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17,639,482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18,634,553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17,639,482</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 (3)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(56,786,282)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(47,030,821)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(54,591,911)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(21,086,425)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(12,477,778)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(15,815,138)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(36,122,397)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19,300,499</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80" w:type="dxa"/>
            <w:vAlign w:val="bottom"/>
            <w:gridSpan w:val="2"/>
          </w:tcPr>
          <w:p>
            <w:pPr>
              <w:jc w:val="right"/>
              <w:ind w:right="51"/>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(75,053,292)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(77,991,514)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(42,136,121)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line="230"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September 30, 2012, the capital loss carry forward of $56.8 million expires, if not utilized against future capital gains, as follows: $1.5 million in 2017, $43.3 million in 2018 and $12.0 million has no expiration date.</w:t>
      </w:r>
    </w:p>
    <w:p>
      <w:pPr>
        <w:ind w:left="340" w:hanging="332"/>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federal tax law, capital losses realized after October 31 may be deferred and treated as having arisen on the first day of the following fiscal year.</w:t>
      </w:r>
    </w:p>
    <w:p>
      <w:pPr>
        <w:ind w:left="340" w:right="240" w:hanging="332"/>
        <w:spacing w:after="0" w:line="230"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14"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2012 and 2011 were solely from ordinary income and totaled $60.1 million, or $1.13 per share, and $46.3 million, or $1.10 per share,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5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$7.6 million and $71.6 million, respectively, including amounts in money market funds.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are the financial highlights for the respective years then ended September 30,: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asset value, beginning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year</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7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7"/>
              </w:rPr>
              <w:t>Accretive (Dilutive) effect of common stock issuance</w:t>
            </w:r>
            <w:r>
              <w:rPr>
                <w:rFonts w:ascii="Arial" w:cs="Arial" w:eastAsia="Arial" w:hAnsi="Arial"/>
                <w:sz w:val="11"/>
                <w:szCs w:val="11"/>
                <w:color w:val="auto"/>
                <w:w w:val="97"/>
              </w:rPr>
              <w:t>(2)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year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Per share market value, end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Shares outstanding at end of year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65,514,503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45,689,781</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36,158,772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25,368,772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 Supplemental Data: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5"/>
              </w:rPr>
              <w:t>Ratio of Credit Facility related expenses to average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(7)</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11"/>
                <w:szCs w:val="11"/>
                <w:color w:val="auto"/>
              </w:rPr>
              <w:t>(6),(7)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net investment income to average net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assets at end of year</w:t>
            </w:r>
            <w:r>
              <w:rPr>
                <w:rFonts w:ascii="Arial" w:cs="Arial" w:eastAsia="Arial" w:hAnsi="Arial"/>
                <w:sz w:val="11"/>
                <w:szCs w:val="11"/>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669,717,047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462,657,196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386,575,223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300,580,268</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210,728,260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340,868,033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278,294,433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246,216,548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182,490,685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119,472,732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F-33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8097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left="460" w:right="340" w:hanging="452"/>
        <w:spacing w:after="0" w:line="230"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and may differ from amounts determined under GAAP.</w:t>
      </w:r>
    </w:p>
    <w:p>
      <w:pPr>
        <w:ind w:left="460" w:hanging="452"/>
        <w:spacing w:after="0"/>
        <w:tabs>
          <w:tab w:leader="none" w:pos="4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dividends and distributions, if any, reinvested in accordance with our dividend reinvestment plan.</w:t>
      </w:r>
    </w:p>
    <w:p>
      <w:pPr>
        <w:spacing w:after="0" w:line="10"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2012, 2011, 2010, 2009 and 2008, the ratios were 7.11%, 7.38%, 7.95%, 9.32% and 6.47%, respectively.</w:t>
      </w:r>
    </w:p>
    <w:p>
      <w:pPr>
        <w:ind w:left="460" w:hanging="452"/>
        <w:spacing w:after="0"/>
        <w:tabs>
          <w:tab w:leader="none" w:pos="4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Before adoption of ASC 825 for the fiscal years ended September 30, 2012, 2011, 2010, 2009 and 2008, the ratios were 10.20%, 8.55%, 9.15%, (1.75%) and 9.13%, respectively.</w:t>
      </w:r>
    </w:p>
    <w:p>
      <w:pPr>
        <w:spacing w:after="0" w:line="10" w:lineRule="exact"/>
        <w:rPr>
          <w:rFonts w:ascii="Arial" w:cs="Arial" w:eastAsia="Arial" w:hAnsi="Arial"/>
          <w:sz w:val="12"/>
          <w:szCs w:val="12"/>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the SBA debentures outstanding.</w:t>
      </w:r>
    </w:p>
    <w:p>
      <w:pPr>
        <w:spacing w:after="0" w:line="161" w:lineRule="exact"/>
        <w:rPr>
          <w:sz w:val="20"/>
          <w:szCs w:val="20"/>
          <w:color w:val="auto"/>
        </w:rPr>
      </w:pPr>
    </w:p>
    <w:p>
      <w:pPr>
        <w:ind w:left="240" w:right="7500" w:hanging="232"/>
        <w:spacing w:after="0" w:line="347" w:lineRule="auto"/>
        <w:tabs>
          <w:tab w:leader="none" w:pos="26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2" w:lineRule="exact"/>
        <w:rPr>
          <w:sz w:val="20"/>
          <w:szCs w:val="20"/>
          <w:color w:val="auto"/>
        </w:rPr>
      </w:pPr>
    </w:p>
    <w:p>
      <w:pPr>
        <w:ind w:right="140" w:firstLine="571"/>
        <w:spacing w:after="0" w:line="283"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to $380 million, with certain lenders and SunTrust Bank, acting as administrative agent and JPMorgan Chase Bank, N.A., as syndication agent for the lenders. As of September 30, 2012 and September 30, 2011, there was $145.0 million (including a temporary draw of $35.5 million) and $240.9 million, respectively, in outstanding borrowings under the Credit Facility, with a weighted average interest rate at the time of 3.49% and 1.27%, exclusive of the fee on undrawn commitments of</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0.50% and 0.20%, respectively.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w:t>
      </w:r>
    </w:p>
    <w:p>
      <w:pPr>
        <w:spacing w:after="0" w:line="117"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 exemptive relief, received in June 2011,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2012.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93" w:lineRule="exact"/>
        <w:rPr>
          <w:sz w:val="20"/>
          <w:szCs w:val="20"/>
          <w:color w:val="auto"/>
        </w:rPr>
      </w:pPr>
    </w:p>
    <w:p>
      <w:pPr>
        <w:jc w:val="both"/>
        <w:ind w:right="100" w:firstLine="571"/>
        <w:spacing w:after="0" w:line="332" w:lineRule="auto"/>
        <w:rPr>
          <w:sz w:val="20"/>
          <w:szCs w:val="20"/>
          <w:color w:val="auto"/>
        </w:rPr>
      </w:pPr>
      <w:r>
        <w:rPr>
          <w:rFonts w:ascii="Arial" w:cs="Arial" w:eastAsia="Arial" w:hAnsi="Arial"/>
          <w:sz w:val="16"/>
          <w:szCs w:val="16"/>
          <w:color w:val="auto"/>
        </w:rPr>
        <w:t>As of September 30, 2012, $150.0 million in debt commitments were fully drawn with a weighted average interest rate of 3.70% exclusive of the 3.43% in upfront fees which are amortized over the life of the loan (4.04% after upfront fees). Our fixed rate SBA debentures as of September 30, 2012 are as follows:</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Fixed All-</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4"/>
        </w:trPr>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6"/>
              </w:rPr>
              <w:t>Coupon</w:t>
            </w:r>
          </w:p>
        </w:tc>
        <w:tc>
          <w:tcPr>
            <w:tcW w:w="8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Principal</w:t>
            </w:r>
          </w:p>
        </w:tc>
      </w:tr>
      <w:tr>
        <w:trPr>
          <w:trHeight w:val="176"/>
        </w:trPr>
        <w:tc>
          <w:tcPr>
            <w:tcW w:w="340" w:type="dxa"/>
            <w:vAlign w:val="bottom"/>
          </w:tcPr>
          <w:p>
            <w:pPr>
              <w:spacing w:after="0"/>
              <w:rPr>
                <w:sz w:val="15"/>
                <w:szCs w:val="15"/>
                <w:color w:val="auto"/>
              </w:rPr>
            </w:pPr>
          </w:p>
        </w:tc>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Issuance Dates</w:t>
            </w:r>
          </w:p>
        </w:tc>
        <w:tc>
          <w:tcPr>
            <w:tcW w:w="3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Maturity</w:t>
            </w:r>
          </w:p>
        </w:tc>
        <w:tc>
          <w:tcPr>
            <w:tcW w:w="3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Rate</w:t>
            </w:r>
            <w:r>
              <w:rPr>
                <w:rFonts w:ascii="Arial" w:cs="Arial" w:eastAsia="Arial" w:hAnsi="Arial"/>
                <w:sz w:val="20"/>
                <w:szCs w:val="20"/>
                <w:b w:val="1"/>
                <w:bCs w:val="1"/>
                <w:color w:val="auto"/>
                <w:w w:val="89"/>
                <w:vertAlign w:val="superscript"/>
              </w:rPr>
              <w:t>(1)</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Balance</w:t>
            </w:r>
          </w:p>
        </w:tc>
        <w:tc>
          <w:tcPr>
            <w:tcW w:w="80" w:type="dxa"/>
            <w:vAlign w:val="bottom"/>
            <w:tcBorders>
              <w:bottom w:val="single" w:sz="8" w:color="CCEEFF"/>
            </w:tcBorders>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84"/>
              </w:rPr>
              <w:t>September 1, 2020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March 29, 2011</w:t>
            </w:r>
          </w:p>
        </w:tc>
        <w:tc>
          <w:tcPr>
            <w:tcW w:w="16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560" w:type="dxa"/>
            <w:vAlign w:val="bottom"/>
          </w:tcPr>
          <w:p>
            <w:pPr>
              <w:ind w:left="260"/>
              <w:spacing w:after="0"/>
              <w:rPr>
                <w:sz w:val="20"/>
                <w:szCs w:val="20"/>
                <w:color w:val="auto"/>
              </w:rPr>
            </w:pPr>
            <w:r>
              <w:rPr>
                <w:rFonts w:ascii="Arial" w:cs="Arial" w:eastAsia="Arial" w:hAnsi="Arial"/>
                <w:sz w:val="18"/>
                <w:szCs w:val="18"/>
                <w:color w:val="auto"/>
                <w:w w:val="79"/>
              </w:rPr>
              <w:t>4.46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w:t>
            </w: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3.38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80" w:type="dxa"/>
            <w:vAlign w:val="bottom"/>
            <w:shd w:val="clear" w:color="auto" w:fill="CCEEFF"/>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Weighted average rate/total</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3.70%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80" w:type="dxa"/>
            <w:vAlign w:val="bottom"/>
          </w:tcPr>
          <w:p>
            <w:pPr>
              <w:spacing w:after="0"/>
              <w:rPr>
                <w:sz w:val="19"/>
                <w:szCs w:val="19"/>
                <w:color w:val="auto"/>
              </w:rPr>
            </w:pPr>
          </w:p>
        </w:tc>
      </w:tr>
      <w:tr>
        <w:trPr>
          <w:trHeight w:val="20"/>
        </w:trPr>
        <w:tc>
          <w:tcPr>
            <w:tcW w:w="6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640" w:type="dxa"/>
            <w:vAlign w:val="bottom"/>
            <w:tcBorders>
              <w:bottom w:val="single" w:sz="8" w:color="auto"/>
            </w:tcBorders>
            <w:gridSpan w:val="2"/>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6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82"/>
        </w:trPr>
        <w:tc>
          <w:tcPr>
            <w:tcW w:w="640" w:type="dxa"/>
            <w:vAlign w:val="bottom"/>
            <w:gridSpan w:val="2"/>
          </w:tcPr>
          <w:p>
            <w:pPr>
              <w:ind w:left="320"/>
              <w:spacing w:after="0"/>
              <w:rPr>
                <w:sz w:val="20"/>
                <w:szCs w:val="20"/>
                <w:color w:val="auto"/>
              </w:rPr>
            </w:pPr>
            <w:r>
              <w:rPr>
                <w:rFonts w:ascii="Arial" w:cs="Arial" w:eastAsia="Arial" w:hAnsi="Arial"/>
                <w:sz w:val="14"/>
                <w:szCs w:val="14"/>
                <w:color w:val="auto"/>
              </w:rPr>
              <w:t>(1)</w:t>
            </w:r>
          </w:p>
        </w:tc>
        <w:tc>
          <w:tcPr>
            <w:tcW w:w="2960" w:type="dxa"/>
            <w:vAlign w:val="bottom"/>
            <w:gridSpan w:val="3"/>
          </w:tcPr>
          <w:p>
            <w:pPr>
              <w:ind w:left="140"/>
              <w:spacing w:after="0"/>
              <w:rPr>
                <w:sz w:val="20"/>
                <w:szCs w:val="20"/>
                <w:color w:val="auto"/>
              </w:rPr>
            </w:pPr>
            <w:r>
              <w:rPr>
                <w:rFonts w:ascii="Arial" w:cs="Arial" w:eastAsia="Arial" w:hAnsi="Arial"/>
                <w:sz w:val="14"/>
                <w:szCs w:val="14"/>
                <w:color w:val="auto"/>
              </w:rPr>
              <w:t>Excluding 3.43% of upfront fees.</w:t>
            </w: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5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F-34</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 of investments, as of December 31, 2012, and the consolidated statements of operations, changes in net assets, and cash flows for the three months ended December 31, 2012 and 2011. These consolidated financial statements are the responsibility of the Company’s management.</w:t>
      </w:r>
    </w:p>
    <w:p>
      <w:pPr>
        <w:spacing w:after="0" w:line="143"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statement of assets and liabilities of PennantPark Investment Corporation and Subsidiaries, including the consolidated schedule of investments,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and the related consolidated statement of operations, changes in net assets, and cash flows for the year then ended (not presented herein);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02945"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2945" cy="1803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(cost—$902,897,172 and $871,867,953,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931,419,104</w:t>
            </w:r>
          </w:p>
        </w:tc>
        <w:tc>
          <w:tcPr>
            <w:tcW w:w="2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871,892,745</w:t>
            </w:r>
          </w:p>
        </w:tc>
        <w:tc>
          <w:tcPr>
            <w:tcW w:w="0" w:type="dxa"/>
            <w:vAlign w:val="bottom"/>
          </w:tcPr>
          <w:p>
            <w:pPr>
              <w:spacing w:after="0"/>
              <w:rPr>
                <w:sz w:val="1"/>
                <w:szCs w:val="1"/>
                <w:color w:val="auto"/>
              </w:rPr>
            </w:pPr>
          </w:p>
        </w:tc>
      </w:tr>
      <w:tr>
        <w:trPr>
          <w:trHeight w:val="208"/>
        </w:trPr>
        <w:tc>
          <w:tcPr>
            <w:tcW w:w="862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660"/>
              <w:spacing w:after="0"/>
              <w:rPr>
                <w:sz w:val="20"/>
                <w:szCs w:val="20"/>
                <w:color w:val="auto"/>
              </w:rPr>
            </w:pPr>
            <w:r>
              <w:rPr>
                <w:rFonts w:ascii="Arial" w:cs="Arial" w:eastAsia="Arial" w:hAnsi="Arial"/>
                <w:sz w:val="18"/>
                <w:szCs w:val="18"/>
                <w:color w:val="auto"/>
              </w:rPr>
              <w:t>(cost—$105,925,644 and $72,576,858, respectively)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93,671,686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(cost—$63,680,393 and $64,167,051, respectively)</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39,316,805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20" w:type="dxa"/>
            <w:vAlign w:val="bottom"/>
          </w:tcPr>
          <w:p>
            <w:pPr>
              <w:ind w:left="440"/>
              <w:spacing w:after="0"/>
              <w:rPr>
                <w:sz w:val="20"/>
                <w:szCs w:val="20"/>
                <w:color w:val="auto"/>
              </w:rPr>
            </w:pPr>
            <w:r>
              <w:rPr>
                <w:rFonts w:ascii="Arial" w:cs="Arial" w:eastAsia="Arial" w:hAnsi="Arial"/>
                <w:sz w:val="18"/>
                <w:szCs w:val="18"/>
                <w:color w:val="auto"/>
              </w:rPr>
              <w:t>Total of investments, at fair value (cost—$1,072,503,209 and $1,008,611,862, respectively)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1,064,407,595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990,479,710</w:t>
            </w: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31,291,517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7,559,453</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10,815,263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5,635,205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1,112,149,580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1,018,967,531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18,579,935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26,801,667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(cost—$211,500,000 and $145,000,000, respectively)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(See Notes 5 and 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211,500,000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144,452,500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150,000,000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854,725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5,128,611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4,791,913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4,206,989</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3,282,743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423,647,159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349,250,484</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66,356,911 and 65,514,503 shares issued and outstanding, respectively.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753,528,106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744,704,825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2,804,397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(59,401,905)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(8,095,614)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688,502,421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669,717,047</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1,112,149,580</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1,018,967,531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25,768,617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24,020,424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Other income and dividends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4,366,274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1,870,514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1,392,503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1,202,707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32,957,901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26,838,758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5,128,611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4,545,254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Interest and expenses on Credit Facility and SBA debentures (See Note 10)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3,094,865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1,172,322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760,532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excise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14,701,584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11,807,230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14,776,885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11,842,230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18,181,016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14,996,528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871,132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(8,029,555)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6,062,321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8,064,782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and controlled, affiliated investments (See Note 6)</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3,974,217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Credit Facility (appreciation) (See Notes 5 and 10)</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(547,500)</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9,489,038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10,360,170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28,541,186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15,845,524</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basic and diluted</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(See Note 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18,181,016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14,996,528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(8,029,555)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10,036,538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10,026,426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(1,147,875)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28,541,186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15,845,524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to stockholders:</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(18,579,935)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(12,793,138)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1,515,213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from capital transactions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8,824,123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18,785,374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3,052,386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669,717,047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462,657,196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688,502,421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465,709,582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420"/>
              <w:spacing w:after="0"/>
              <w:rPr>
                <w:sz w:val="20"/>
                <w:szCs w:val="20"/>
                <w:color w:val="auto"/>
              </w:rPr>
            </w:pPr>
            <w:r>
              <w:rPr>
                <w:rFonts w:ascii="Arial" w:cs="Arial" w:eastAsia="Arial" w:hAnsi="Arial"/>
                <w:sz w:val="18"/>
                <w:szCs w:val="18"/>
                <w:color w:val="auto"/>
              </w:rPr>
              <w:t>Undistributed net investment income, at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2,405,478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10,530,244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Shares issued from public offering</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28,541,186</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15,845,524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increase in net assets resulting from operations to net cash (used for) provided by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on investments</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(10,036,538)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(10,026,426)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(871,132)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8,029,555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(1,451,536)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(168,396,168)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(43,003,570)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(4,138,861)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110,832,747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69,280,225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Decrease in interest receivable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4,113,599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1,357,840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(18,184,827)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unfunded investments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1,596,384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fees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Increase (decrease) in performance-based incentive fees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338,265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(used for) provided by operating activities</w:t>
            </w:r>
          </w:p>
        </w:tc>
        <w:tc>
          <w:tcPr>
            <w:tcW w:w="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(35,767,998)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31,707,490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Public offerings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(265,090)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Distributions paid, net of dividends reinvested</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(14,308,848)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(12,336,241)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376,300,000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(309,800,000)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(344,200,000)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(61,236,241)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23,732,064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(29,528,751)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31,291,517</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42,075,768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70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1,378,858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966,095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reinvested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1,515,213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40"/>
              <w:spacing w:after="0"/>
              <w:rPr>
                <w:sz w:val="20"/>
                <w:szCs w:val="20"/>
                <w:color w:val="auto"/>
              </w:rPr>
            </w:pPr>
            <w:r>
              <w:rPr>
                <w:rFonts w:ascii="Arial" w:cs="Arial" w:eastAsia="Arial" w:hAnsi="Arial"/>
                <w:sz w:val="18"/>
                <w:szCs w:val="18"/>
                <w:color w:val="auto"/>
              </w:rPr>
              <w:t>Conversion and non-cash exchanges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41,353,789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980" w:type="dxa"/>
            <w:vAlign w:val="bottom"/>
            <w:vMerge w:val="restart"/>
          </w:tcPr>
          <w:p>
            <w:pPr>
              <w:jc w:val="center"/>
              <w:ind w:left="1112"/>
              <w:spacing w:after="0"/>
              <w:rPr>
                <w:sz w:val="20"/>
                <w:szCs w:val="20"/>
                <w:color w:val="auto"/>
              </w:rPr>
            </w:pPr>
            <w:r>
              <w:rPr>
                <w:rFonts w:ascii="Arial" w:cs="Arial" w:eastAsia="Arial" w:hAnsi="Arial"/>
                <w:sz w:val="14"/>
                <w:szCs w:val="14"/>
                <w:b w:val="1"/>
                <w:bCs w:val="1"/>
                <w:color w:val="auto"/>
                <w:w w:val="95"/>
              </w:rPr>
              <w:t>Maturity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Current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Par /</w:t>
            </w: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48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Coupon</w:t>
            </w:r>
          </w:p>
        </w:tc>
        <w:tc>
          <w:tcPr>
            <w:tcW w:w="7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Companies—135.3% </w:t>
            </w:r>
            <w:r>
              <w:rPr>
                <w:rFonts w:ascii="Arial" w:cs="Arial" w:eastAsia="Arial" w:hAnsi="Arial"/>
                <w:sz w:val="21"/>
                <w:szCs w:val="21"/>
                <w:b w:val="1"/>
                <w:bCs w:val="1"/>
                <w:color w:val="auto"/>
                <w:vertAlign w:val="superscript"/>
              </w:rPr>
              <w:t>(1),(2)</w:t>
            </w:r>
          </w:p>
        </w:tc>
        <w:tc>
          <w:tcPr>
            <w:tcW w:w="1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Debt—43.6%</w:t>
            </w: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line="122" w:lineRule="exact"/>
              <w:rPr>
                <w:sz w:val="20"/>
                <w:szCs w:val="20"/>
                <w:color w:val="auto"/>
              </w:rPr>
            </w:pPr>
            <w:r>
              <w:rPr>
                <w:rFonts w:ascii="Arial" w:cs="Arial" w:eastAsia="Arial" w:hAnsi="Arial"/>
                <w:sz w:val="14"/>
                <w:szCs w:val="14"/>
                <w:color w:val="auto"/>
              </w:rPr>
              <w:t>Aircell Business Aviation Services LLC</w:t>
            </w:r>
          </w:p>
        </w:tc>
        <w:tc>
          <w:tcPr>
            <w:tcW w:w="1980" w:type="dxa"/>
            <w:vAlign w:val="bottom"/>
          </w:tcPr>
          <w:p>
            <w:pPr>
              <w:jc w:val="center"/>
              <w:ind w:left="1112"/>
              <w:spacing w:after="0" w:line="122" w:lineRule="exact"/>
              <w:rPr>
                <w:sz w:val="20"/>
                <w:szCs w:val="20"/>
                <w:color w:val="auto"/>
              </w:rPr>
            </w:pPr>
            <w:r>
              <w:rPr>
                <w:rFonts w:ascii="Arial" w:cs="Arial" w:eastAsia="Arial" w:hAnsi="Arial"/>
                <w:sz w:val="14"/>
                <w:szCs w:val="14"/>
                <w:color w:val="auto"/>
                <w:w w:val="85"/>
              </w:rPr>
              <w:t>06/21/2017</w:t>
            </w:r>
          </w:p>
        </w:tc>
        <w:tc>
          <w:tcPr>
            <w:tcW w:w="1300" w:type="dxa"/>
            <w:vAlign w:val="bottom"/>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880" w:type="dxa"/>
            <w:vAlign w:val="bottom"/>
          </w:tcPr>
          <w:p>
            <w:pPr>
              <w:jc w:val="right"/>
              <w:ind w:right="52"/>
              <w:spacing w:after="0" w:line="122" w:lineRule="exact"/>
              <w:rPr>
                <w:sz w:val="20"/>
                <w:szCs w:val="20"/>
                <w:color w:val="auto"/>
              </w:rPr>
            </w:pPr>
            <w:r>
              <w:rPr>
                <w:rFonts w:ascii="Arial" w:cs="Arial" w:eastAsia="Arial" w:hAnsi="Arial"/>
                <w:sz w:val="14"/>
                <w:szCs w:val="14"/>
                <w:color w:val="auto"/>
              </w:rPr>
              <w:t>11.25%</w:t>
            </w: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L+975</w:t>
            </w:r>
          </w:p>
        </w:tc>
        <w:tc>
          <w:tcPr>
            <w:tcW w:w="280" w:type="dxa"/>
            <w:vAlign w:val="bottom"/>
            <w:vMerge w:val="continue"/>
          </w:tcPr>
          <w:p>
            <w:pPr>
              <w:spacing w:after="0"/>
              <w:rPr>
                <w:sz w:val="10"/>
                <w:szCs w:val="10"/>
                <w:color w:val="auto"/>
              </w:rPr>
            </w:pPr>
          </w:p>
        </w:tc>
        <w:tc>
          <w:tcPr>
            <w:tcW w:w="1120" w:type="dxa"/>
            <w:vAlign w:val="bottom"/>
            <w:gridSpan w:val="2"/>
          </w:tcPr>
          <w:p>
            <w:pPr>
              <w:jc w:val="right"/>
              <w:ind w:right="380"/>
              <w:spacing w:after="0" w:line="122" w:lineRule="exact"/>
              <w:rPr>
                <w:sz w:val="20"/>
                <w:szCs w:val="20"/>
                <w:color w:val="auto"/>
              </w:rPr>
            </w:pPr>
            <w:r>
              <w:rPr>
                <w:rFonts w:ascii="Arial" w:cs="Arial" w:eastAsia="Arial" w:hAnsi="Arial"/>
                <w:sz w:val="14"/>
                <w:szCs w:val="14"/>
                <w:color w:val="auto"/>
              </w:rPr>
              <w:t>14,812,500</w:t>
            </w: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w w:val="82"/>
              </w:rPr>
              <w:t>$14,268,960</w:t>
            </w: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w w:val="84"/>
              </w:rPr>
              <w:t>$14,886,563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line="176" w:lineRule="exact"/>
              <w:rPr>
                <w:sz w:val="20"/>
                <w:szCs w:val="20"/>
                <w:color w:val="auto"/>
              </w:rPr>
            </w:pPr>
            <w:r>
              <w:rPr>
                <w:rFonts w:ascii="Arial" w:cs="Arial" w:eastAsia="Arial" w:hAnsi="Arial"/>
                <w:sz w:val="13"/>
                <w:szCs w:val="13"/>
                <w:color w:val="auto"/>
              </w:rPr>
              <w:t xml:space="preserve">CEVA Group PLC </w:t>
            </w:r>
            <w:r>
              <w:rPr>
                <w:rFonts w:ascii="Arial" w:cs="Arial" w:eastAsia="Arial" w:hAnsi="Arial"/>
                <w:sz w:val="20"/>
                <w:szCs w:val="20"/>
                <w:color w:val="auto"/>
                <w:vertAlign w:val="superscript"/>
              </w:rPr>
              <w:t>(5),(10)</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5"/>
              </w:rPr>
              <w:t>10/01/2016</w:t>
            </w:r>
          </w:p>
        </w:tc>
        <w:tc>
          <w:tcPr>
            <w:tcW w:w="1300" w:type="dxa"/>
            <w:vAlign w:val="bottom"/>
          </w:tcPr>
          <w:p>
            <w:pPr>
              <w:jc w:val="center"/>
              <w:spacing w:after="0"/>
              <w:rPr>
                <w:sz w:val="20"/>
                <w:szCs w:val="20"/>
                <w:color w:val="auto"/>
              </w:rPr>
            </w:pPr>
            <w:r>
              <w:rPr>
                <w:rFonts w:ascii="Arial" w:cs="Arial" w:eastAsia="Arial" w:hAnsi="Arial"/>
                <w:sz w:val="14"/>
                <w:szCs w:val="14"/>
                <w:color w:val="auto"/>
                <w:w w:val="86"/>
              </w:rPr>
              <w:t>Cargo Transport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11.63%</w:t>
            </w: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7,500,000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7,362,597</w:t>
            </w:r>
          </w:p>
        </w:tc>
        <w:tc>
          <w:tcPr>
            <w:tcW w:w="680" w:type="dxa"/>
            <w:vAlign w:val="bottom"/>
          </w:tcPr>
          <w:p>
            <w:pPr>
              <w:jc w:val="right"/>
              <w:spacing w:after="0"/>
              <w:rPr>
                <w:sz w:val="20"/>
                <w:szCs w:val="20"/>
                <w:color w:val="auto"/>
              </w:rPr>
            </w:pPr>
            <w:r>
              <w:rPr>
                <w:rFonts w:ascii="Arial" w:cs="Arial" w:eastAsia="Arial" w:hAnsi="Arial"/>
                <w:sz w:val="14"/>
                <w:szCs w:val="14"/>
                <w:color w:val="auto"/>
              </w:rPr>
              <w:t>7,706,250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5"/>
              </w:rPr>
              <w:t>04/01/2018</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990,426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5"/>
              </w:rPr>
              <w:t>11/20/2014</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10,000,000</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5"/>
              </w:rPr>
              <w:t>12/01/2016</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12,000,000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11,805,148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12,840,000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Hanley-Wood, L.L.C.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5"/>
              </w:rPr>
              <w:t>01/13/2017</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(8)</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1,748,481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1,748,481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1,748,481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5"/>
              </w:rPr>
              <w:t>04/01/2017</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11,500,000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11,297,475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12,391,250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Infusystems Holdings, Inc.</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11/30/2016</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13.90%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P+625</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(8)</w:t>
            </w: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11,600,000</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11,600,000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11,628,250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Education and</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Instant Web, Inc.</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08/07/2014</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90"/>
              </w:rPr>
              <w:t>Printing and</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14.50%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L+950</w:t>
            </w:r>
          </w:p>
        </w:tc>
        <w:tc>
          <w:tcPr>
            <w:tcW w:w="280" w:type="dxa"/>
            <w:vAlign w:val="bottom"/>
            <w:vMerge w:val="continue"/>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24,115,645</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23,864,998</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23,633,332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10/04/2016</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L+950</w:t>
            </w:r>
          </w:p>
        </w:tc>
        <w:tc>
          <w:tcPr>
            <w:tcW w:w="280" w:type="dxa"/>
            <w:vAlign w:val="bottom"/>
            <w:vMerge w:val="continue"/>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18,406,250</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18,051,726</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18,443,063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Education and</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Jacuzzi Brands Corp.</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02/07/2014</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2.56%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L+225</w:t>
            </w:r>
          </w:p>
        </w:tc>
        <w:tc>
          <w:tcPr>
            <w:tcW w:w="280" w:type="dxa"/>
            <w:vAlign w:val="bottom"/>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9,580,405</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9,580,405</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6,430,847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K2 Pure Solutions NoCal, L.P.</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09/10/2015</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5"/>
              </w:rPr>
              <w:t>Chemicals, Plastics</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10.00%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P+675</w:t>
            </w:r>
          </w:p>
        </w:tc>
        <w:tc>
          <w:tcPr>
            <w:tcW w:w="280" w:type="dxa"/>
            <w:vAlign w:val="bottom"/>
            <w:vMerge w:val="continue"/>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18,947,387</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18,266,234</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18,757,913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Rubber</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Kadmon Pharmaceuticals, LLC</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04/30/2013</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15.00%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L+1,300</w:t>
            </w:r>
          </w:p>
        </w:tc>
        <w:tc>
          <w:tcPr>
            <w:tcW w:w="280" w:type="dxa"/>
            <w:vAlign w:val="bottom"/>
            <w:vMerge w:val="continue"/>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4,931,494</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5,060,413</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5,227,384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Education and</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Learning Care Group,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5"/>
              </w:rPr>
              <w:t>04/27/2016</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12.00%</w:t>
            </w:r>
          </w:p>
        </w:tc>
        <w:tc>
          <w:tcPr>
            <w:tcW w:w="7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26,052,632</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25,668,999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26,052,632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08/01/2014</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L+400</w:t>
            </w:r>
          </w:p>
        </w:tc>
        <w:tc>
          <w:tcPr>
            <w:tcW w:w="280" w:type="dxa"/>
            <w:vAlign w:val="bottom"/>
            <w:vMerge w:val="continue"/>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37,774,372</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34,457,793</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33,209,982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w w:val="97"/>
              </w:rPr>
              <w:t>(PIK 1.00%)</w:t>
            </w:r>
          </w:p>
        </w:tc>
        <w:tc>
          <w:tcPr>
            <w:tcW w:w="740" w:type="dxa"/>
            <w:vAlign w:val="bottom"/>
          </w:tcPr>
          <w:p>
            <w:pPr>
              <w:spacing w:after="0"/>
              <w:rPr>
                <w:sz w:val="14"/>
                <w:szCs w:val="14"/>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1980" w:type="dxa"/>
            <w:vAlign w:val="bottom"/>
          </w:tcPr>
          <w:p>
            <w:pPr>
              <w:jc w:val="center"/>
              <w:ind w:left="1112"/>
              <w:spacing w:after="0" w:line="139" w:lineRule="exact"/>
              <w:rPr>
                <w:sz w:val="20"/>
                <w:szCs w:val="20"/>
                <w:color w:val="auto"/>
              </w:rPr>
            </w:pPr>
            <w:r>
              <w:rPr>
                <w:rFonts w:ascii="Arial" w:cs="Arial" w:eastAsia="Arial" w:hAnsi="Arial"/>
                <w:sz w:val="14"/>
                <w:szCs w:val="14"/>
                <w:color w:val="auto"/>
                <w:w w:val="85"/>
              </w:rPr>
              <w:t>12/30/2016</w:t>
            </w:r>
          </w:p>
        </w:tc>
        <w:tc>
          <w:tcPr>
            <w:tcW w:w="1300" w:type="dxa"/>
            <w:vAlign w:val="bottom"/>
          </w:tcPr>
          <w:p>
            <w:pPr>
              <w:jc w:val="center"/>
              <w:spacing w:after="0" w:line="139" w:lineRule="exact"/>
              <w:rPr>
                <w:sz w:val="20"/>
                <w:szCs w:val="20"/>
                <w:color w:val="auto"/>
              </w:rPr>
            </w:pPr>
            <w:r>
              <w:rPr>
                <w:rFonts w:ascii="Arial" w:cs="Arial" w:eastAsia="Arial" w:hAnsi="Arial"/>
                <w:sz w:val="14"/>
                <w:szCs w:val="14"/>
                <w:color w:val="auto"/>
                <w:w w:val="85"/>
              </w:rPr>
              <w:t>Personal, Food and</w:t>
            </w:r>
          </w:p>
        </w:tc>
        <w:tc>
          <w:tcPr>
            <w:tcW w:w="880" w:type="dxa"/>
            <w:vAlign w:val="bottom"/>
          </w:tcPr>
          <w:p>
            <w:pPr>
              <w:jc w:val="right"/>
              <w:ind w:right="52"/>
              <w:spacing w:after="0" w:line="139" w:lineRule="exact"/>
              <w:rPr>
                <w:sz w:val="20"/>
                <w:szCs w:val="20"/>
                <w:color w:val="auto"/>
              </w:rPr>
            </w:pPr>
            <w:r>
              <w:rPr>
                <w:rFonts w:ascii="Arial" w:cs="Arial" w:eastAsia="Arial" w:hAnsi="Arial"/>
                <w:sz w:val="14"/>
                <w:szCs w:val="14"/>
                <w:color w:val="auto"/>
              </w:rPr>
              <w:t>11.00%</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L+950</w:t>
            </w:r>
          </w:p>
        </w:tc>
        <w:tc>
          <w:tcPr>
            <w:tcW w:w="280" w:type="dxa"/>
            <w:vAlign w:val="bottom"/>
            <w:vMerge w:val="continue"/>
          </w:tcPr>
          <w:p>
            <w:pPr>
              <w:spacing w:after="0"/>
              <w:rPr>
                <w:sz w:val="12"/>
                <w:szCs w:val="12"/>
                <w:color w:val="auto"/>
              </w:rPr>
            </w:pPr>
          </w:p>
        </w:tc>
        <w:tc>
          <w:tcPr>
            <w:tcW w:w="1120" w:type="dxa"/>
            <w:vAlign w:val="bottom"/>
            <w:gridSpan w:val="2"/>
          </w:tcPr>
          <w:p>
            <w:pPr>
              <w:jc w:val="right"/>
              <w:ind w:right="380"/>
              <w:spacing w:after="0" w:line="139" w:lineRule="exact"/>
              <w:rPr>
                <w:sz w:val="20"/>
                <w:szCs w:val="20"/>
                <w:color w:val="auto"/>
              </w:rPr>
            </w:pPr>
            <w:r>
              <w:rPr>
                <w:rFonts w:ascii="Arial" w:cs="Arial" w:eastAsia="Arial" w:hAnsi="Arial"/>
                <w:sz w:val="14"/>
                <w:szCs w:val="14"/>
                <w:color w:val="auto"/>
              </w:rPr>
              <w:t>40,000,000</w:t>
            </w:r>
          </w:p>
        </w:tc>
        <w:tc>
          <w:tcPr>
            <w:tcW w:w="90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w w:val="91"/>
              </w:rPr>
              <w:t>39,125,698</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40,400,000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7"/>
              </w:rPr>
              <w:t>Miscellaneous</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vMerge w:val="restart"/>
          </w:tcPr>
          <w:p>
            <w:pPr>
              <w:spacing w:after="0"/>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22"/>
                <w:szCs w:val="22"/>
                <w:color w:val="auto"/>
                <w:vertAlign w:val="superscript"/>
              </w:rPr>
              <w:t>(5)</w:t>
            </w: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1"/>
              </w:rPr>
              <w:t>Services</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vMerge w:val="continue"/>
          </w:tcPr>
          <w:p>
            <w:pPr>
              <w:spacing w:after="0"/>
              <w:rPr>
                <w:sz w:val="11"/>
                <w:szCs w:val="11"/>
                <w:color w:val="auto"/>
              </w:rPr>
            </w:pPr>
          </w:p>
        </w:tc>
        <w:tc>
          <w:tcPr>
            <w:tcW w:w="1980" w:type="dxa"/>
            <w:vAlign w:val="bottom"/>
          </w:tcPr>
          <w:p>
            <w:pPr>
              <w:jc w:val="center"/>
              <w:ind w:left="1112"/>
              <w:spacing w:after="0" w:line="138" w:lineRule="exact"/>
              <w:rPr>
                <w:sz w:val="20"/>
                <w:szCs w:val="20"/>
                <w:color w:val="auto"/>
              </w:rPr>
            </w:pPr>
            <w:r>
              <w:rPr>
                <w:rFonts w:ascii="Arial" w:cs="Arial" w:eastAsia="Arial" w:hAnsi="Arial"/>
                <w:sz w:val="14"/>
                <w:szCs w:val="14"/>
                <w:color w:val="auto"/>
                <w:w w:val="85"/>
              </w:rPr>
              <w:t>12/15/2019</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92"/>
              </w:rPr>
              <w:t>Mining, Steel, Iron</w:t>
            </w:r>
          </w:p>
        </w:tc>
        <w:tc>
          <w:tcPr>
            <w:tcW w:w="8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740" w:type="dxa"/>
            <w:vAlign w:val="bottom"/>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12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14,250,000</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14,083,839</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14,748,750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Non-Precious</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7"/>
              </w:rPr>
              <w:t>Metals</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Tekelec Global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5"/>
              </w:rPr>
              <w:t>01/29/2018</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L+1,200</w:t>
            </w:r>
          </w:p>
        </w:tc>
        <w:tc>
          <w:tcPr>
            <w:tcW w:w="280" w:type="dxa"/>
            <w:vAlign w:val="bottom"/>
            <w:vMerge w:val="continue"/>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10,625,000</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10,347,723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10,837,500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5"/>
              </w:rPr>
              <w:t>07/06/2017</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L+1,100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(8)</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14,796,000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14,796,000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14,722,020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-3404235</wp:posOffset>
            </wp:positionV>
            <wp:extent cx="724662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4718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283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1974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283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Maturity</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100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3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Par /</w:t>
            </w:r>
          </w:p>
        </w:tc>
        <w:tc>
          <w:tcPr>
            <w:tcW w:w="12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50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right"/>
              <w:ind w:right="398"/>
              <w:spacing w:after="0" w:line="149" w:lineRule="exact"/>
              <w:rPr>
                <w:sz w:val="20"/>
                <w:szCs w:val="20"/>
                <w:color w:val="auto"/>
              </w:rPr>
            </w:pPr>
            <w:r>
              <w:rPr>
                <w:rFonts w:ascii="Arial" w:cs="Arial" w:eastAsia="Arial" w:hAnsi="Arial"/>
                <w:sz w:val="14"/>
                <w:szCs w:val="14"/>
                <w:b w:val="1"/>
                <w:bCs w:val="1"/>
                <w:color w:val="auto"/>
                <w:w w:val="98"/>
              </w:rPr>
              <w:t>Coupon</w:t>
            </w:r>
          </w:p>
        </w:tc>
        <w:tc>
          <w:tcPr>
            <w:tcW w:w="6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3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Z Wireless</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rPr>
              <w:t>12/21/2016</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rPr>
              <w:t>Retail</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12.50</w:t>
            </w:r>
          </w:p>
        </w:tc>
        <w:tc>
          <w:tcPr>
            <w:tcW w:w="360" w:type="dxa"/>
            <w:vAlign w:val="bottom"/>
            <w:tcBorders>
              <w:top w:val="single" w:sz="8" w:color="CCEEFF"/>
            </w:tcBorders>
            <w:shd w:val="clear" w:color="auto" w:fill="CCEEFF"/>
          </w:tcPr>
          <w:p>
            <w:pPr>
              <w:jc w:val="right"/>
              <w:ind w:right="178"/>
              <w:spacing w:after="0" w:line="118" w:lineRule="exact"/>
              <w:rPr>
                <w:sz w:val="20"/>
                <w:szCs w:val="20"/>
                <w:color w:val="auto"/>
              </w:rPr>
            </w:pPr>
            <w:r>
              <w:rPr>
                <w:rFonts w:ascii="Arial" w:cs="Arial" w:eastAsia="Arial" w:hAnsi="Arial"/>
                <w:sz w:val="12"/>
                <w:szCs w:val="12"/>
                <w:color w:val="auto"/>
                <w:w w:val="93"/>
              </w:rPr>
              <w:t>%</w:t>
            </w: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L+1,225</w:t>
            </w:r>
          </w:p>
        </w:tc>
        <w:tc>
          <w:tcPr>
            <w:tcW w:w="3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14,400,000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$ 14,112,442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$ 14,400,000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 1.50%)</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296,489,357</w:t>
            </w:r>
          </w:p>
        </w:tc>
        <w:tc>
          <w:tcPr>
            <w:tcW w:w="120" w:type="dxa"/>
            <w:vAlign w:val="bottom"/>
          </w:tcPr>
          <w:p>
            <w:pPr>
              <w:spacing w:after="0"/>
              <w:rPr>
                <w:sz w:val="14"/>
                <w:szCs w:val="14"/>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299,999,217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Debt—27.6%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09/01/2017</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91"/>
              </w:rPr>
              <w:t>Diversified</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11.50%</w:t>
            </w:r>
          </w:p>
        </w:tc>
        <w:tc>
          <w:tcPr>
            <w:tcW w:w="66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25,400,000</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25,400,000</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26,162,000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Natural</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Resources,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Precious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Metals and</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0"/>
              </w:rPr>
              <w:t>Minerals</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10/23/2019</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4"/>
              </w:rPr>
              <w:t>Energy /</w:t>
            </w:r>
          </w:p>
        </w:tc>
        <w:tc>
          <w:tcPr>
            <w:tcW w:w="100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11.00%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L+975</w:t>
            </w:r>
          </w:p>
        </w:tc>
        <w:tc>
          <w:tcPr>
            <w:tcW w:w="3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8"/>
              </w:rPr>
              <w:t>23,750,000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23,282,130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23,275,000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97"/>
              </w:rPr>
              <w:t>Utilities</w:t>
            </w: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Eureka Hunter Pipeline, LLC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08/16/2018</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4"/>
              </w:rPr>
              <w:t>Energy /</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12.50%</w:t>
            </w:r>
          </w:p>
        </w:tc>
        <w:tc>
          <w:tcPr>
            <w:tcW w:w="66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45,000,000</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44,564,415</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45,450,000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7"/>
              </w:rPr>
              <w:t>Utilities</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Greatwide Logistics Services,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03/01/2014</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3"/>
              </w:rPr>
              <w:t>Cargo</w:t>
            </w:r>
          </w:p>
        </w:tc>
        <w:tc>
          <w:tcPr>
            <w:tcW w:w="100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11.00%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L+700</w:t>
            </w:r>
          </w:p>
        </w:tc>
        <w:tc>
          <w:tcPr>
            <w:tcW w:w="3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3,184,219</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3,184,222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1,751,320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6"/>
              </w:rPr>
              <w:t>Transport</w:t>
            </w:r>
          </w:p>
        </w:tc>
        <w:tc>
          <w:tcPr>
            <w:tcW w:w="100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w w:val="93"/>
              </w:rPr>
              <w:t>(PIK 11.00%)</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Jacobs Entertainment,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10/29/2019</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91"/>
              </w:rPr>
              <w:t>Hotels,</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13.00%</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L+1,175</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38,950,000</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38,187,667</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38,171,000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Motels,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Inns and</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Gaming</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 xml:space="preserve">Linc USA GP and Linc Energy Finance (USA), Inc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10/31/2017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10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12.50%</w:t>
            </w:r>
          </w:p>
        </w:tc>
        <w:tc>
          <w:tcPr>
            <w:tcW w:w="66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11,875,000</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11,462,542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Paradigm Management Services, LLC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07/31/2017</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3"/>
              </w:rPr>
              <w:t>Healthcare,</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12.50%</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L+1,100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20,512,821</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20,078,694</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20,512,821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Education and</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Childcare</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L+650</w:t>
            </w:r>
          </w:p>
        </w:tc>
        <w:tc>
          <w:tcPr>
            <w:tcW w:w="3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2,744,557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2,744,557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2,579,883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Questex Media Group LLC, Term Loan B</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12/15/2015</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2"/>
          </w:tcPr>
          <w:p>
            <w:pPr>
              <w:jc w:val="right"/>
              <w:ind w:right="178"/>
              <w:spacing w:after="0" w:line="138" w:lineRule="exact"/>
              <w:rPr>
                <w:sz w:val="20"/>
                <w:szCs w:val="20"/>
                <w:color w:val="auto"/>
              </w:rPr>
            </w:pPr>
            <w:r>
              <w:rPr>
                <w:rFonts w:ascii="Arial" w:cs="Arial" w:eastAsia="Arial" w:hAnsi="Arial"/>
                <w:sz w:val="14"/>
                <w:szCs w:val="14"/>
                <w:color w:val="auto"/>
              </w:rPr>
              <w:t>11.50%</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L+850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(8)</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2,297,037</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2,297,037</w:t>
            </w:r>
          </w:p>
        </w:tc>
        <w:tc>
          <w:tcPr>
            <w:tcW w:w="1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2,067,333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4"/>
                <w:szCs w:val="14"/>
                <w:color w:val="auto"/>
                <w:w w:val="93"/>
              </w:rPr>
              <w:t>(PIK 11.50%)</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ROC Finance LLC and ROC Finance 1 Corp.</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09/01/2018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line="139" w:lineRule="exact"/>
              <w:rPr>
                <w:sz w:val="20"/>
                <w:szCs w:val="20"/>
                <w:color w:val="auto"/>
              </w:rPr>
            </w:pPr>
            <w:r>
              <w:rPr>
                <w:rFonts w:ascii="Arial" w:cs="Arial" w:eastAsia="Arial" w:hAnsi="Arial"/>
                <w:sz w:val="14"/>
                <w:szCs w:val="14"/>
                <w:color w:val="auto"/>
                <w:w w:val="91"/>
              </w:rPr>
              <w:t>Hotels,</w:t>
            </w:r>
          </w:p>
        </w:tc>
        <w:tc>
          <w:tcPr>
            <w:tcW w:w="1000" w:type="dxa"/>
            <w:vAlign w:val="bottom"/>
            <w:gridSpan w:val="2"/>
            <w:shd w:val="clear" w:color="auto" w:fill="CCEEFF"/>
          </w:tcPr>
          <w:p>
            <w:pPr>
              <w:jc w:val="right"/>
              <w:ind w:right="178"/>
              <w:spacing w:after="0" w:line="139" w:lineRule="exact"/>
              <w:rPr>
                <w:sz w:val="20"/>
                <w:szCs w:val="20"/>
                <w:color w:val="auto"/>
              </w:rPr>
            </w:pPr>
            <w:r>
              <w:rPr>
                <w:rFonts w:ascii="Arial" w:cs="Arial" w:eastAsia="Arial" w:hAnsi="Arial"/>
                <w:sz w:val="14"/>
                <w:szCs w:val="14"/>
                <w:color w:val="auto"/>
              </w:rPr>
              <w:t>12.13%</w:t>
            </w:r>
          </w:p>
        </w:tc>
        <w:tc>
          <w:tcPr>
            <w:tcW w:w="660" w:type="dxa"/>
            <w:vAlign w:val="bottom"/>
            <w:shd w:val="clear" w:color="auto" w:fill="CCEEFF"/>
          </w:tcPr>
          <w:p>
            <w:pPr>
              <w:jc w:val="right"/>
              <w:ind w:right="14"/>
              <w:spacing w:after="0" w:line="13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8"/>
              </w:rPr>
              <w:t>16,000,000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15,765,416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18,480,000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Motels,</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Inns and</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Gaming</w:t>
            </w: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186,966,680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190,205,607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Par/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(3)</w:t>
            </w:r>
          </w:p>
        </w:tc>
        <w:tc>
          <w:tcPr>
            <w:tcW w:w="0" w:type="dxa"/>
            <w:vAlign w:val="bottom"/>
          </w:tcPr>
          <w:p>
            <w:pPr>
              <w:spacing w:after="0"/>
              <w:rPr>
                <w:sz w:val="1"/>
                <w:szCs w:val="1"/>
                <w:color w:val="auto"/>
              </w:rPr>
            </w:pPr>
          </w:p>
        </w:tc>
      </w:tr>
      <w:tr>
        <w:trPr>
          <w:trHeight w:val="176"/>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60" w:type="dxa"/>
            <w:vAlign w:val="bottom"/>
          </w:tcPr>
          <w:p>
            <w:pPr>
              <w:jc w:val="center"/>
              <w:ind w:left="592"/>
              <w:spacing w:after="0"/>
              <w:rPr>
                <w:sz w:val="20"/>
                <w:szCs w:val="20"/>
                <w:color w:val="auto"/>
              </w:rPr>
            </w:pPr>
            <w:r>
              <w:rPr>
                <w:rFonts w:ascii="Arial" w:cs="Arial" w:eastAsia="Arial" w:hAnsi="Arial"/>
                <w:sz w:val="14"/>
                <w:szCs w:val="14"/>
                <w:b w:val="1"/>
                <w:bCs w:val="1"/>
                <w:color w:val="auto"/>
                <w:w w:val="95"/>
              </w:rPr>
              <w:t>Maturity</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Coupon</w:t>
            </w:r>
          </w:p>
        </w:tc>
        <w:tc>
          <w:tcPr>
            <w:tcW w:w="360" w:type="dxa"/>
            <w:vAlign w:val="bottom"/>
          </w:tcPr>
          <w:p>
            <w:pPr>
              <w:spacing w:after="0"/>
              <w:rPr>
                <w:sz w:val="15"/>
                <w:szCs w:val="15"/>
                <w:color w:val="auto"/>
              </w:rPr>
            </w:pPr>
          </w:p>
        </w:tc>
        <w:tc>
          <w:tcPr>
            <w:tcW w:w="92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Notes—50.9%</w:t>
            </w:r>
          </w:p>
        </w:tc>
        <w:tc>
          <w:tcPr>
            <w:tcW w:w="14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460" w:type="dxa"/>
            <w:vAlign w:val="bottom"/>
          </w:tcPr>
          <w:p>
            <w:pPr>
              <w:jc w:val="center"/>
              <w:ind w:left="572"/>
              <w:spacing w:after="0" w:line="149" w:lineRule="exact"/>
              <w:rPr>
                <w:sz w:val="20"/>
                <w:szCs w:val="20"/>
                <w:color w:val="auto"/>
              </w:rPr>
            </w:pPr>
            <w:r>
              <w:rPr>
                <w:rFonts w:ascii="Arial" w:cs="Arial" w:eastAsia="Arial" w:hAnsi="Arial"/>
                <w:sz w:val="14"/>
                <w:szCs w:val="14"/>
                <w:color w:val="auto"/>
                <w:w w:val="88"/>
              </w:rPr>
              <w:t>10/02/2017</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Electronics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60" w:type="dxa"/>
            <w:vAlign w:val="bottom"/>
          </w:tcPr>
          <w:p>
            <w:pPr>
              <w:spacing w:after="0"/>
              <w:rPr>
                <w:sz w:val="12"/>
                <w:szCs w:val="12"/>
                <w:color w:val="auto"/>
              </w:rPr>
            </w:pP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19,000,000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$ 18,565,089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18,970,545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460" w:type="dxa"/>
            <w:vAlign w:val="bottom"/>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w w:val="88"/>
              </w:rPr>
              <w:t>11/15/2015</w:t>
            </w:r>
          </w:p>
        </w:tc>
        <w:tc>
          <w:tcPr>
            <w:tcW w:w="14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35,552,000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34,243,502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22,931,040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1460" w:type="dxa"/>
            <w:vAlign w:val="bottom"/>
          </w:tcPr>
          <w:p>
            <w:pPr>
              <w:jc w:val="center"/>
              <w:ind w:left="572"/>
              <w:spacing w:after="0" w:line="149" w:lineRule="exact"/>
              <w:rPr>
                <w:sz w:val="20"/>
                <w:szCs w:val="20"/>
                <w:color w:val="auto"/>
              </w:rPr>
            </w:pPr>
            <w:r>
              <w:rPr>
                <w:rFonts w:ascii="Arial" w:cs="Arial" w:eastAsia="Arial" w:hAnsi="Arial"/>
                <w:sz w:val="14"/>
                <w:szCs w:val="14"/>
                <w:color w:val="auto"/>
                <w:w w:val="88"/>
              </w:rPr>
              <w:t>02/15/2019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Financial Services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60" w:type="dxa"/>
            <w:vAlign w:val="bottom"/>
          </w:tcPr>
          <w:p>
            <w:pPr>
              <w:spacing w:after="0"/>
              <w:rPr>
                <w:sz w:val="12"/>
                <w:szCs w:val="12"/>
                <w:color w:val="auto"/>
              </w:rPr>
            </w:pP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8,760,960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9,023,409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LLC</w:t>
            </w:r>
          </w:p>
        </w:tc>
        <w:tc>
          <w:tcPr>
            <w:tcW w:w="1460" w:type="dxa"/>
            <w:vAlign w:val="bottom"/>
            <w:shd w:val="clear" w:color="auto" w:fill="CCEEFF"/>
          </w:tcPr>
          <w:p>
            <w:pPr>
              <w:jc w:val="center"/>
              <w:ind w:left="572"/>
              <w:spacing w:after="0" w:line="138" w:lineRule="exact"/>
              <w:rPr>
                <w:sz w:val="20"/>
                <w:szCs w:val="20"/>
                <w:color w:val="auto"/>
              </w:rPr>
            </w:pPr>
            <w:r>
              <w:rPr>
                <w:rFonts w:ascii="Arial" w:cs="Arial" w:eastAsia="Arial" w:hAnsi="Arial"/>
                <w:sz w:val="14"/>
                <w:szCs w:val="14"/>
                <w:color w:val="auto"/>
                <w:w w:val="88"/>
              </w:rPr>
              <w:t>03/26/2018</w:t>
            </w:r>
          </w:p>
        </w:tc>
        <w:tc>
          <w:tcPr>
            <w:tcW w:w="14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1"/>
              </w:rPr>
              <w:t>23,337,073.</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22,887,488</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23,510,830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4"/>
                <w:szCs w:val="14"/>
                <w:color w:val="auto"/>
              </w:rPr>
              <w:t>(PIK 1.00%)</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Escort, Inc.</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06/01/2016</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Electronics</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14.75%</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6"/>
              </w:rPr>
              <w:t>25,431,515</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24,957,852</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25,431,515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4"/>
                <w:szCs w:val="14"/>
                <w:color w:val="auto"/>
              </w:rPr>
              <w:t>(PIK 2.75%)</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Galls, LLC; Quartermaster Inc.</w:t>
            </w:r>
          </w:p>
        </w:tc>
        <w:tc>
          <w:tcPr>
            <w:tcW w:w="1460" w:type="dxa"/>
            <w:vAlign w:val="bottom"/>
            <w:shd w:val="clear" w:color="auto" w:fill="CCEEFF"/>
          </w:tcPr>
          <w:p>
            <w:pPr>
              <w:jc w:val="center"/>
              <w:ind w:left="572"/>
              <w:spacing w:after="0" w:line="139" w:lineRule="exact"/>
              <w:rPr>
                <w:sz w:val="20"/>
                <w:szCs w:val="20"/>
                <w:color w:val="auto"/>
              </w:rPr>
            </w:pPr>
            <w:r>
              <w:rPr>
                <w:rFonts w:ascii="Arial" w:cs="Arial" w:eastAsia="Arial" w:hAnsi="Arial"/>
                <w:sz w:val="14"/>
                <w:szCs w:val="14"/>
                <w:color w:val="auto"/>
                <w:w w:val="88"/>
              </w:rPr>
              <w:t>03/31/2017</w:t>
            </w:r>
          </w:p>
        </w:tc>
        <w:tc>
          <w:tcPr>
            <w:tcW w:w="14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1"/>
              </w:rPr>
              <w:t>Distribution</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13.00%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w w:val="96"/>
              </w:rPr>
              <w:t>21,906,249</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21,525,345</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21,906,249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JF Acquisition, LLC</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06/30/2017</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Distribution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14.00%</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6"/>
              </w:rPr>
              <w:t>17,257,231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16,849,863</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17,429,803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Last Mile Funding Corp.</w:t>
            </w:r>
          </w:p>
        </w:tc>
        <w:tc>
          <w:tcPr>
            <w:tcW w:w="1460" w:type="dxa"/>
            <w:vAlign w:val="bottom"/>
            <w:shd w:val="clear" w:color="auto" w:fill="CCEEFF"/>
          </w:tcPr>
          <w:p>
            <w:pPr>
              <w:jc w:val="center"/>
              <w:ind w:left="572"/>
              <w:spacing w:after="0" w:line="139" w:lineRule="exact"/>
              <w:rPr>
                <w:sz w:val="20"/>
                <w:szCs w:val="20"/>
                <w:color w:val="auto"/>
              </w:rPr>
            </w:pPr>
            <w:r>
              <w:rPr>
                <w:rFonts w:ascii="Arial" w:cs="Arial" w:eastAsia="Arial" w:hAnsi="Arial"/>
                <w:sz w:val="14"/>
                <w:szCs w:val="14"/>
                <w:color w:val="auto"/>
                <w:w w:val="88"/>
              </w:rPr>
              <w:t>06/30/2016</w:t>
            </w:r>
          </w:p>
        </w:tc>
        <w:tc>
          <w:tcPr>
            <w:tcW w:w="14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6"/>
              </w:rPr>
              <w:t>Cargo Transport</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14.50%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w w:val="96"/>
              </w:rPr>
              <w:t>45,888,454</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45,027,785</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45,888,454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4"/>
                <w:szCs w:val="14"/>
                <w:color w:val="auto"/>
              </w:rPr>
              <w:t>(PIK 2.50%)</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Learning Care Group (US) Inc.</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06/30/2016</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15.00%</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5,673,547</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5,120,749</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5,233,847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4"/>
                <w:szCs w:val="14"/>
                <w:color w:val="auto"/>
                <w:w w:val="93"/>
              </w:rPr>
              <w:t>(PIK 15.00%)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LTI Flexible Products, Inc.</w:t>
            </w:r>
          </w:p>
        </w:tc>
        <w:tc>
          <w:tcPr>
            <w:tcW w:w="1460" w:type="dxa"/>
            <w:vAlign w:val="bottom"/>
            <w:shd w:val="clear" w:color="auto" w:fill="CCEEFF"/>
          </w:tcPr>
          <w:p>
            <w:pPr>
              <w:jc w:val="center"/>
              <w:ind w:left="572"/>
              <w:spacing w:after="0" w:line="139" w:lineRule="exact"/>
              <w:rPr>
                <w:sz w:val="20"/>
                <w:szCs w:val="20"/>
                <w:color w:val="auto"/>
              </w:rPr>
            </w:pPr>
            <w:r>
              <w:rPr>
                <w:rFonts w:ascii="Arial" w:cs="Arial" w:eastAsia="Arial" w:hAnsi="Arial"/>
                <w:sz w:val="14"/>
                <w:szCs w:val="14"/>
                <w:color w:val="auto"/>
                <w:w w:val="88"/>
              </w:rPr>
              <w:t>01/19/2019</w:t>
            </w:r>
          </w:p>
        </w:tc>
        <w:tc>
          <w:tcPr>
            <w:tcW w:w="14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6"/>
              </w:rPr>
              <w:t>Chemical, Plastic and</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12.50%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w w:val="96"/>
              </w:rPr>
              <w:t>30,000,000</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30,000,000</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Rubber</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0"/>
                <w:szCs w:val="10"/>
                <w:color w:val="auto"/>
              </w:rPr>
              <w:t>LTI Flexible Products, Inc.</w:t>
            </w:r>
            <w:r>
              <w:rPr>
                <w:rFonts w:ascii="Arial" w:cs="Arial" w:eastAsia="Arial" w:hAnsi="Arial"/>
                <w:sz w:val="15"/>
                <w:szCs w:val="15"/>
                <w:color w:val="auto"/>
                <w:vertAlign w:val="superscript"/>
              </w:rPr>
              <w:t>(9)</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01/11/2014</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Chemical, Plastic and</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5,000,000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4,825,000</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Rubber</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1460" w:type="dxa"/>
            <w:vAlign w:val="bottom"/>
            <w:shd w:val="clear" w:color="auto" w:fill="CCEEFF"/>
          </w:tcPr>
          <w:p>
            <w:pPr>
              <w:jc w:val="center"/>
              <w:ind w:left="572"/>
              <w:spacing w:after="0" w:line="138" w:lineRule="exact"/>
              <w:rPr>
                <w:sz w:val="20"/>
                <w:szCs w:val="20"/>
                <w:color w:val="auto"/>
              </w:rPr>
            </w:pPr>
            <w:r>
              <w:rPr>
                <w:rFonts w:ascii="Arial" w:cs="Arial" w:eastAsia="Arial" w:hAnsi="Arial"/>
                <w:sz w:val="14"/>
                <w:szCs w:val="14"/>
                <w:color w:val="auto"/>
                <w:w w:val="88"/>
              </w:rPr>
              <w:t>06/15/2017</w:t>
            </w:r>
          </w:p>
        </w:tc>
        <w:tc>
          <w:tcPr>
            <w:tcW w:w="14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2"/>
              </w:rPr>
              <w:t>Printing</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14.50%</w:t>
            </w:r>
          </w:p>
        </w:tc>
        <w:tc>
          <w:tcPr>
            <w:tcW w:w="3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6"/>
              </w:rPr>
              <w:t>15,000,000</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14,647,038</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and Publishing</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PAS Technologies, Inc.</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05/12/2017</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15.02%</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6"/>
              </w:rPr>
              <w:t>17,577,649</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17,248,456</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16,347,214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and Defense</w:t>
            </w:r>
          </w:p>
        </w:tc>
        <w:tc>
          <w:tcPr>
            <w:tcW w:w="1140" w:type="dxa"/>
            <w:vAlign w:val="bottom"/>
            <w:gridSpan w:val="3"/>
          </w:tcPr>
          <w:p>
            <w:pPr>
              <w:jc w:val="right"/>
              <w:ind w:right="284"/>
              <w:spacing w:after="0"/>
              <w:rPr>
                <w:sz w:val="20"/>
                <w:szCs w:val="20"/>
                <w:color w:val="auto"/>
              </w:rPr>
            </w:pPr>
            <w:r>
              <w:rPr>
                <w:rFonts w:ascii="Arial" w:cs="Arial" w:eastAsia="Arial" w:hAnsi="Arial"/>
                <w:sz w:val="14"/>
                <w:szCs w:val="14"/>
                <w:color w:val="auto"/>
              </w:rPr>
              <w:t>(PIK 3.02%)</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460" w:type="dxa"/>
            <w:vAlign w:val="bottom"/>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w w:val="88"/>
              </w:rPr>
              <w:t>12/29/2015</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(7)</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12,020,950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11,702,105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12,020,950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460" w:type="dxa"/>
            <w:vAlign w:val="bottom"/>
          </w:tcPr>
          <w:p>
            <w:pPr>
              <w:jc w:val="center"/>
              <w:ind w:left="572"/>
              <w:spacing w:after="0" w:line="138" w:lineRule="exact"/>
              <w:rPr>
                <w:sz w:val="20"/>
                <w:szCs w:val="20"/>
                <w:color w:val="auto"/>
              </w:rPr>
            </w:pPr>
            <w:r>
              <w:rPr>
                <w:rFonts w:ascii="Arial" w:cs="Arial" w:eastAsia="Arial" w:hAnsi="Arial"/>
                <w:sz w:val="14"/>
                <w:szCs w:val="14"/>
                <w:color w:val="auto"/>
                <w:w w:val="88"/>
              </w:rPr>
              <w:t>06/03/2019</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14.25%</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6"/>
              </w:rPr>
              <w:t>14,947,163</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14,703,631</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14,947,163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1"/>
              </w:rPr>
              <w:t>Tobacco</w:t>
            </w:r>
          </w:p>
        </w:tc>
        <w:tc>
          <w:tcPr>
            <w:tcW w:w="1140" w:type="dxa"/>
            <w:vAlign w:val="bottom"/>
            <w:gridSpan w:val="3"/>
          </w:tcPr>
          <w:p>
            <w:pPr>
              <w:jc w:val="right"/>
              <w:ind w:right="284"/>
              <w:spacing w:after="0"/>
              <w:rPr>
                <w:sz w:val="20"/>
                <w:szCs w:val="20"/>
                <w:color w:val="auto"/>
              </w:rPr>
            </w:pPr>
            <w:r>
              <w:rPr>
                <w:rFonts w:ascii="Arial" w:cs="Arial" w:eastAsia="Arial" w:hAnsi="Arial"/>
                <w:sz w:val="14"/>
                <w:szCs w:val="14"/>
                <w:color w:val="auto"/>
              </w:rPr>
              <w:t>(PIK 2.25%)</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6"/>
                <w:szCs w:val="16"/>
                <w:color w:val="auto"/>
                <w:vertAlign w:val="superscript"/>
              </w:rPr>
              <w:t>(9)</w:t>
            </w:r>
          </w:p>
        </w:tc>
        <w:tc>
          <w:tcPr>
            <w:tcW w:w="1460" w:type="dxa"/>
            <w:vAlign w:val="bottom"/>
            <w:shd w:val="clear" w:color="auto" w:fill="CCEEFF"/>
          </w:tcPr>
          <w:p>
            <w:pPr>
              <w:jc w:val="center"/>
              <w:ind w:left="572"/>
              <w:spacing w:after="0" w:line="139" w:lineRule="exact"/>
              <w:rPr>
                <w:sz w:val="20"/>
                <w:szCs w:val="20"/>
                <w:color w:val="auto"/>
              </w:rPr>
            </w:pPr>
            <w:r>
              <w:rPr>
                <w:rFonts w:ascii="Arial" w:cs="Arial" w:eastAsia="Arial" w:hAnsi="Arial"/>
                <w:sz w:val="14"/>
                <w:szCs w:val="14"/>
                <w:color w:val="auto"/>
                <w:w w:val="88"/>
              </w:rPr>
              <w:t>06/02/2014</w:t>
            </w:r>
          </w:p>
        </w:tc>
        <w:tc>
          <w:tcPr>
            <w:tcW w:w="14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5"/>
              </w:rPr>
              <w:t>Beverage, Food, and</w:t>
            </w: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4,000,000</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3,920,000</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1"/>
              </w:rPr>
              <w:t>Tobacco</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Veritext Corp.</w:t>
            </w:r>
          </w:p>
        </w:tc>
        <w:tc>
          <w:tcPr>
            <w:tcW w:w="1460" w:type="dxa"/>
            <w:vAlign w:val="bottom"/>
          </w:tcPr>
          <w:p>
            <w:pPr>
              <w:jc w:val="center"/>
              <w:ind w:left="572"/>
              <w:spacing w:after="0" w:line="149" w:lineRule="exact"/>
              <w:rPr>
                <w:sz w:val="20"/>
                <w:szCs w:val="20"/>
                <w:color w:val="auto"/>
              </w:rPr>
            </w:pPr>
            <w:r>
              <w:rPr>
                <w:rFonts w:ascii="Arial" w:cs="Arial" w:eastAsia="Arial" w:hAnsi="Arial"/>
                <w:sz w:val="14"/>
                <w:szCs w:val="14"/>
                <w:color w:val="auto"/>
                <w:w w:val="88"/>
              </w:rPr>
              <w:t>12/31/2015</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60" w:type="dxa"/>
            <w:vAlign w:val="bottom"/>
          </w:tcPr>
          <w:p>
            <w:pPr>
              <w:spacing w:after="0"/>
              <w:rPr>
                <w:sz w:val="12"/>
                <w:szCs w:val="12"/>
                <w:color w:val="auto"/>
              </w:rPr>
            </w:pP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16,200,000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15,934,353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1460" w:type="dxa"/>
            <w:vAlign w:val="bottom"/>
            <w:shd w:val="clear" w:color="auto" w:fill="CCEEFF"/>
          </w:tcPr>
          <w:p>
            <w:pPr>
              <w:jc w:val="center"/>
              <w:ind w:left="572"/>
              <w:spacing w:after="0" w:line="138" w:lineRule="exact"/>
              <w:rPr>
                <w:sz w:val="20"/>
                <w:szCs w:val="20"/>
                <w:color w:val="auto"/>
              </w:rPr>
            </w:pPr>
            <w:r>
              <w:rPr>
                <w:rFonts w:ascii="Arial" w:cs="Arial" w:eastAsia="Arial" w:hAnsi="Arial"/>
                <w:sz w:val="14"/>
                <w:szCs w:val="14"/>
                <w:color w:val="auto"/>
                <w:w w:val="88"/>
              </w:rPr>
              <w:t>06/27/2019</w:t>
            </w:r>
          </w:p>
        </w:tc>
        <w:tc>
          <w:tcPr>
            <w:tcW w:w="14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Printing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6"/>
              </w:rPr>
              <w:t>46,511,091</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45,582,215</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46,511,091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356,501,431</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350,352,110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 —1.7% </w:t>
            </w:r>
            <w:r>
              <w:rPr>
                <w:rFonts w:ascii="Arial" w:cs="Arial" w:eastAsia="Arial" w:hAnsi="Arial"/>
                <w:sz w:val="17"/>
                <w:szCs w:val="17"/>
                <w:b w:val="1"/>
                <w:bCs w:val="1"/>
                <w:color w:val="auto"/>
                <w:vertAlign w:val="superscript"/>
              </w:rPr>
              <w:t>(6)</w:t>
            </w:r>
          </w:p>
        </w:tc>
        <w:tc>
          <w:tcPr>
            <w:tcW w:w="14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AH Holdings, Inc.</w:t>
            </w:r>
          </w:p>
        </w:tc>
        <w:tc>
          <w:tcPr>
            <w:tcW w:w="1460" w:type="dxa"/>
            <w:vAlign w:val="bottom"/>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211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649,174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146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Alegeus Technologies Holdings Corp., Series A</w:t>
            </w:r>
          </w:p>
        </w:tc>
        <w:tc>
          <w:tcPr>
            <w:tcW w:w="1460" w:type="dxa"/>
            <w:vAlign w:val="bottom"/>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Financial Services</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949</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949,050</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1,077,842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460" w:type="dxa"/>
            <w:vAlign w:val="bottom"/>
            <w:shd w:val="clear" w:color="auto" w:fill="CCEEFF"/>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76,357</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765,307</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1,036,350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1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460" w:type="dxa"/>
            <w:vAlign w:val="bottom"/>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38,179</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382,654</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518,175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(Interactive Health Solutions, Inc.)</w:t>
            </w:r>
          </w:p>
        </w:tc>
        <w:tc>
          <w:tcPr>
            <w:tcW w:w="14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46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Electronics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2,333,216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460" w:type="dxa"/>
            <w:vAlign w:val="bottom"/>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60" w:type="dxa"/>
            <w:vAlign w:val="bottom"/>
          </w:tcPr>
          <w:p>
            <w:pPr>
              <w:spacing w:after="0"/>
              <w:rPr>
                <w:sz w:val="12"/>
                <w:szCs w:val="12"/>
                <w:color w:val="auto"/>
              </w:rPr>
            </w:pP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326,215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46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24,177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60" w:type="dxa"/>
            <w:vAlign w:val="bottom"/>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4"/>
              </w:rPr>
              <w:t>Aerospace and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20,000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1,980,000</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297,063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(PAS Technologies, Inc.)</w:t>
            </w:r>
          </w:p>
        </w:tc>
        <w:tc>
          <w:tcPr>
            <w:tcW w:w="14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Defense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TrustHouse Services Holdings, LLC</w:t>
            </w:r>
          </w:p>
        </w:tc>
        <w:tc>
          <w:tcPr>
            <w:tcW w:w="1460" w:type="dxa"/>
            <w:vAlign w:val="bottom"/>
            <w:shd w:val="clear" w:color="auto" w:fill="CCEEFF"/>
          </w:tcPr>
          <w:p>
            <w:pPr>
              <w:ind w:left="960"/>
              <w:spacing w:after="0" w:line="13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4"/>
              </w:rPr>
              <w:t>Beverage, Food,</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12.00%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1,099</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984,344</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1,138,903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and Tobacco</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TZ Holdings, L.P., Series A</w:t>
            </w:r>
          </w:p>
        </w:tc>
        <w:tc>
          <w:tcPr>
            <w:tcW w:w="1460" w:type="dxa"/>
            <w:vAlign w:val="bottom"/>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685,820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146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1,688,174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tcPr>
          <w:p>
            <w:pPr>
              <w:spacing w:after="0" w:line="138" w:lineRule="exact"/>
              <w:rPr>
                <w:sz w:val="20"/>
                <w:szCs w:val="20"/>
                <w:color w:val="auto"/>
              </w:rPr>
            </w:pPr>
            <w:r>
              <w:rPr>
                <w:rFonts w:ascii="Arial" w:cs="Arial" w:eastAsia="Arial" w:hAnsi="Arial"/>
                <w:sz w:val="14"/>
                <w:szCs w:val="14"/>
                <w:color w:val="auto"/>
              </w:rPr>
              <w:t>Verde Parent Holdings, Inc.</w:t>
            </w:r>
          </w:p>
        </w:tc>
        <w:tc>
          <w:tcPr>
            <w:tcW w:w="1460" w:type="dxa"/>
            <w:vAlign w:val="bottom"/>
          </w:tcPr>
          <w:p>
            <w:pPr>
              <w:ind w:left="9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Personal</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60" w:type="dxa"/>
            <w:vAlign w:val="bottom"/>
          </w:tcPr>
          <w:p>
            <w:pPr>
              <w:spacing w:after="0"/>
              <w:rPr>
                <w:sz w:val="11"/>
                <w:szCs w:val="11"/>
                <w:color w:val="auto"/>
              </w:rPr>
            </w:pPr>
          </w:p>
        </w:tc>
        <w:tc>
          <w:tcPr>
            <w:tcW w:w="9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1,824,167</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1,824,167</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1,694,025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Transportation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4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12,427,636</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11,472,011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Maturity</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Above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Coupon</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Common Equity/Warrants/Partnership Interests—11.5%</w:t>
            </w:r>
            <w:r>
              <w:rPr>
                <w:rFonts w:ascii="Arial" w:cs="Arial" w:eastAsia="Arial" w:hAnsi="Arial"/>
                <w:sz w:val="21"/>
                <w:szCs w:val="21"/>
                <w:b w:val="1"/>
                <w:bCs w:val="1"/>
                <w:color w:val="auto"/>
                <w:vertAlign w:val="superscript"/>
              </w:rPr>
              <w:t>(6)</w:t>
            </w:r>
          </w:p>
        </w:tc>
        <w:tc>
          <w:tcPr>
            <w:tcW w:w="15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50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Electronics</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$2,000,000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9"/>
              </w:rPr>
              <w:t>$ 1,447,194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 Holdings, Inc. (Warrants)</w:t>
            </w:r>
          </w:p>
        </w:tc>
        <w:tc>
          <w:tcPr>
            <w:tcW w:w="1500" w:type="dxa"/>
            <w:vAlign w:val="bottom"/>
            <w:shd w:val="clear" w:color="auto" w:fill="CCEEFF"/>
          </w:tcPr>
          <w:p>
            <w:pPr>
              <w:ind w:left="780"/>
              <w:spacing w:after="0" w:line="138" w:lineRule="exact"/>
              <w:rPr>
                <w:sz w:val="20"/>
                <w:szCs w:val="20"/>
                <w:color w:val="auto"/>
              </w:rPr>
            </w:pPr>
            <w:r>
              <w:rPr>
                <w:rFonts w:ascii="Arial" w:cs="Arial" w:eastAsia="Arial" w:hAnsi="Arial"/>
                <w:sz w:val="14"/>
                <w:szCs w:val="14"/>
                <w:color w:val="auto"/>
                <w:w w:val="99"/>
              </w:rPr>
              <w:t>03/23/2021</w:t>
            </w:r>
          </w:p>
        </w:tc>
        <w:tc>
          <w:tcPr>
            <w:tcW w:w="1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753</w:t>
            </w:r>
          </w:p>
        </w:tc>
        <w:tc>
          <w:tcPr>
            <w:tcW w:w="2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1,999,384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Class A,</w:t>
            </w:r>
          </w:p>
        </w:tc>
        <w:tc>
          <w:tcPr>
            <w:tcW w:w="1500" w:type="dxa"/>
            <w:vAlign w:val="bottom"/>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Financial Services</w:t>
            </w:r>
          </w:p>
        </w:tc>
        <w:tc>
          <w:tcPr>
            <w:tcW w:w="7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950</w:t>
            </w:r>
          </w:p>
        </w:tc>
        <w:tc>
          <w:tcPr>
            <w:tcW w:w="2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tcPr>
          <w:p>
            <w:pPr>
              <w:ind w:left="220"/>
              <w:spacing w:after="0" w:line="159" w:lineRule="exact"/>
              <w:rPr>
                <w:sz w:val="20"/>
                <w:szCs w:val="20"/>
                <w:color w:val="auto"/>
              </w:rPr>
            </w:pPr>
            <w:r>
              <w:rPr>
                <w:rFonts w:ascii="Arial" w:cs="Arial" w:eastAsia="Arial" w:hAnsi="Arial"/>
                <w:sz w:val="14"/>
                <w:szCs w:val="14"/>
                <w:color w:val="auto"/>
              </w:rPr>
              <w:t>(Alegeus Technologies, LLC)</w:t>
            </w: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Autumn Games, LLC</w:t>
            </w:r>
          </w:p>
        </w:tc>
        <w:tc>
          <w:tcPr>
            <w:tcW w:w="1500" w:type="dxa"/>
            <w:vAlign w:val="bottom"/>
            <w:shd w:val="clear" w:color="auto" w:fill="CCEEFF"/>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6"/>
              </w:rPr>
              <w:t>Broadcasting and</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1,333,330</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3,000,000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Entertainment</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280" w:type="dxa"/>
            <w:vAlign w:val="bottom"/>
          </w:tcPr>
          <w:p>
            <w:pPr>
              <w:spacing w:after="0" w:line="122" w:lineRule="exact"/>
              <w:rPr>
                <w:sz w:val="20"/>
                <w:szCs w:val="20"/>
                <w:color w:val="auto"/>
              </w:rPr>
            </w:pPr>
            <w:r>
              <w:rPr>
                <w:rFonts w:ascii="Arial" w:cs="Arial" w:eastAsia="Arial" w:hAnsi="Arial"/>
                <w:sz w:val="14"/>
                <w:szCs w:val="14"/>
                <w:color w:val="auto"/>
              </w:rPr>
              <w:t>CI (Galls) Prime Investment Holdings, LLC</w:t>
            </w:r>
          </w:p>
        </w:tc>
        <w:tc>
          <w:tcPr>
            <w:tcW w:w="1500" w:type="dxa"/>
            <w:vAlign w:val="bottom"/>
          </w:tcPr>
          <w:p>
            <w:pPr>
              <w:ind w:left="980"/>
              <w:spacing w:after="0" w:line="122"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80"/>
              <w:spacing w:after="0" w:line="122" w:lineRule="exact"/>
              <w:rPr>
                <w:sz w:val="20"/>
                <w:szCs w:val="20"/>
                <w:color w:val="auto"/>
              </w:rPr>
            </w:pPr>
            <w:r>
              <w:rPr>
                <w:rFonts w:ascii="Arial" w:cs="Arial" w:eastAsia="Arial" w:hAnsi="Arial"/>
                <w:sz w:val="14"/>
                <w:szCs w:val="14"/>
                <w:color w:val="auto"/>
                <w:w w:val="94"/>
              </w:rPr>
              <w:t>Distribution</w:t>
            </w:r>
          </w:p>
        </w:tc>
        <w:tc>
          <w:tcPr>
            <w:tcW w:w="760" w:type="dxa"/>
            <w:vAlign w:val="bottom"/>
            <w:gridSpan w:val="2"/>
          </w:tcPr>
          <w:p>
            <w:pPr>
              <w:ind w:left="280"/>
              <w:spacing w:after="0" w:line="122"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2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4"/>
                <w:szCs w:val="14"/>
                <w:color w:val="auto"/>
                <w:w w:val="89"/>
              </w:rPr>
              <w:t>1,505,000</w:t>
            </w:r>
          </w:p>
        </w:tc>
        <w:tc>
          <w:tcPr>
            <w:tcW w:w="2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4"/>
                <w:szCs w:val="14"/>
                <w:color w:val="auto"/>
                <w:w w:val="93"/>
              </w:rPr>
              <w:t>1,505,000</w:t>
            </w:r>
          </w:p>
        </w:tc>
        <w:tc>
          <w:tcPr>
            <w:tcW w:w="2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rPr>
              <w:t>1,716,728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20"/>
              <w:spacing w:after="0" w:line="176" w:lineRule="exact"/>
              <w:rPr>
                <w:sz w:val="20"/>
                <w:szCs w:val="20"/>
                <w:color w:val="auto"/>
              </w:rPr>
            </w:pPr>
            <w:r>
              <w:rPr>
                <w:rFonts w:ascii="Arial" w:cs="Arial" w:eastAsia="Arial" w:hAnsi="Arial"/>
                <w:sz w:val="13"/>
                <w:szCs w:val="13"/>
                <w:color w:val="auto"/>
              </w:rPr>
              <w:t xml:space="preserve">(Galls, LLC; Quartermaster Inc.) </w:t>
            </w:r>
            <w:r>
              <w:rPr>
                <w:rFonts w:ascii="Arial" w:cs="Arial" w:eastAsia="Arial" w:hAnsi="Arial"/>
                <w:sz w:val="20"/>
                <w:szCs w:val="20"/>
                <w:color w:val="auto"/>
                <w:vertAlign w:val="superscript"/>
              </w:rPr>
              <w:t>(11)</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500" w:type="dxa"/>
            <w:vAlign w:val="bottom"/>
            <w:shd w:val="clear" w:color="auto" w:fill="CCEEFF"/>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23,416</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234,693</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317,829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(Interactive Health Solutions, Inc.)</w:t>
            </w:r>
          </w:p>
        </w:tc>
        <w:tc>
          <w:tcPr>
            <w:tcW w:w="15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500" w:type="dxa"/>
            <w:vAlign w:val="bottom"/>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11,708</w:t>
            </w:r>
          </w:p>
        </w:tc>
        <w:tc>
          <w:tcPr>
            <w:tcW w:w="280" w:type="dxa"/>
            <w:vAlign w:val="bottom"/>
          </w:tcPr>
          <w:p>
            <w:pPr>
              <w:spacing w:after="0"/>
              <w:rPr>
                <w:sz w:val="11"/>
                <w:szCs w:val="11"/>
                <w:color w:val="auto"/>
              </w:rPr>
            </w:pPr>
          </w:p>
        </w:tc>
        <w:tc>
          <w:tcPr>
            <w:tcW w:w="8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117,346</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158,915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20"/>
              <w:spacing w:after="0"/>
              <w:rPr>
                <w:sz w:val="20"/>
                <w:szCs w:val="20"/>
                <w:color w:val="auto"/>
              </w:rPr>
            </w:pPr>
            <w:r>
              <w:rPr>
                <w:rFonts w:ascii="Arial" w:cs="Arial" w:eastAsia="Arial" w:hAnsi="Arial"/>
                <w:sz w:val="14"/>
                <w:szCs w:val="14"/>
                <w:color w:val="auto"/>
              </w:rPr>
              <w:t>(Interactive Health Solutions, Inc.)</w:t>
            </w:r>
          </w:p>
        </w:tc>
        <w:tc>
          <w:tcPr>
            <w:tcW w:w="15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50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Electronics</w:t>
            </w: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w:t>
            </w:r>
          </w:p>
        </w:tc>
        <w:tc>
          <w:tcPr>
            <w:tcW w:w="2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50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5,556</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1,904,036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6,735,771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50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348,912</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2,443,050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2,628,634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4"/>
                <w:szCs w:val="14"/>
                <w:color w:val="auto"/>
              </w:rPr>
              <w:t>Kadmon Holdings, LLC, Class A</w:t>
            </w:r>
          </w:p>
        </w:tc>
        <w:tc>
          <w:tcPr>
            <w:tcW w:w="1500" w:type="dxa"/>
            <w:vAlign w:val="bottom"/>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1,079,920</w:t>
            </w:r>
          </w:p>
        </w:tc>
        <w:tc>
          <w:tcPr>
            <w:tcW w:w="2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1,236,832</w:t>
            </w:r>
          </w:p>
        </w:tc>
        <w:tc>
          <w:tcPr>
            <w:tcW w:w="2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11,859,821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20"/>
              <w:spacing w:after="0"/>
              <w:rPr>
                <w:sz w:val="20"/>
                <w:szCs w:val="20"/>
                <w:color w:val="auto"/>
              </w:rPr>
            </w:pPr>
            <w:r>
              <w:rPr>
                <w:rFonts w:ascii="Arial" w:cs="Arial" w:eastAsia="Arial" w:hAnsi="Arial"/>
                <w:sz w:val="14"/>
                <w:szCs w:val="14"/>
                <w:color w:val="auto"/>
              </w:rPr>
              <w:t>(Kadmon Pharmaceuticals, LLC)</w:t>
            </w:r>
          </w:p>
        </w:tc>
        <w:tc>
          <w:tcPr>
            <w:tcW w:w="15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Kadmon Holdings, LLC, Class D</w:t>
            </w:r>
          </w:p>
        </w:tc>
        <w:tc>
          <w:tcPr>
            <w:tcW w:w="1500" w:type="dxa"/>
            <w:vAlign w:val="bottom"/>
            <w:shd w:val="clear" w:color="auto" w:fill="CCEEFF"/>
          </w:tcPr>
          <w:p>
            <w:pPr>
              <w:ind w:left="980"/>
              <w:spacing w:after="0" w:line="13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1,079,920</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1,028,807</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1,028,807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(Kadmon Pharmaceuticals, LLC)</w:t>
            </w:r>
          </w:p>
        </w:tc>
        <w:tc>
          <w:tcPr>
            <w:tcW w:w="15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500" w:type="dxa"/>
            <w:vAlign w:val="bottom"/>
          </w:tcPr>
          <w:p>
            <w:pPr>
              <w:ind w:left="780"/>
              <w:spacing w:after="0" w:line="149" w:lineRule="exact"/>
              <w:rPr>
                <w:sz w:val="20"/>
                <w:szCs w:val="20"/>
                <w:color w:val="auto"/>
              </w:rPr>
            </w:pPr>
            <w:r>
              <w:rPr>
                <w:rFonts w:ascii="Arial" w:cs="Arial" w:eastAsia="Arial" w:hAnsi="Arial"/>
                <w:sz w:val="14"/>
                <w:szCs w:val="14"/>
                <w:color w:val="auto"/>
                <w:w w:val="99"/>
              </w:rPr>
              <w:t>04/27/2020</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Education</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1,267</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779,920</w:t>
            </w:r>
          </w:p>
        </w:tc>
        <w:tc>
          <w:tcPr>
            <w:tcW w:w="28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1500" w:type="dxa"/>
            <w:vAlign w:val="bottom"/>
            <w:shd w:val="clear" w:color="auto" w:fill="CCEEFF"/>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Oil and Gas</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1,221,932</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3,239,999</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4,875,509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(Eureka Hunter Pipeline, LLC)</w:t>
            </w: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4"/>
                <w:szCs w:val="14"/>
                <w:color w:val="auto"/>
              </w:rPr>
              <w:t>Magnum Hunter Resources Corporation (Warrants)</w:t>
            </w:r>
          </w:p>
        </w:tc>
        <w:tc>
          <w:tcPr>
            <w:tcW w:w="1500" w:type="dxa"/>
            <w:vAlign w:val="bottom"/>
          </w:tcPr>
          <w:p>
            <w:pPr>
              <w:ind w:left="780"/>
              <w:spacing w:after="0" w:line="138" w:lineRule="exact"/>
              <w:rPr>
                <w:sz w:val="20"/>
                <w:szCs w:val="20"/>
                <w:color w:val="auto"/>
              </w:rPr>
            </w:pPr>
            <w:r>
              <w:rPr>
                <w:rFonts w:ascii="Arial" w:cs="Arial" w:eastAsia="Arial" w:hAnsi="Arial"/>
                <w:sz w:val="14"/>
                <w:szCs w:val="14"/>
                <w:color w:val="auto"/>
                <w:w w:val="99"/>
              </w:rPr>
              <w:t>10/14/2013</w:t>
            </w:r>
          </w:p>
        </w:tc>
        <w:tc>
          <w:tcPr>
            <w:tcW w:w="1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Oil and Gas</w:t>
            </w:r>
          </w:p>
        </w:tc>
        <w:tc>
          <w:tcPr>
            <w:tcW w:w="7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122,193</w:t>
            </w:r>
          </w:p>
        </w:tc>
        <w:tc>
          <w:tcPr>
            <w:tcW w:w="2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105,697</w:t>
            </w:r>
          </w:p>
        </w:tc>
        <w:tc>
          <w:tcPr>
            <w:tcW w:w="2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8,572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tcPr>
          <w:p>
            <w:pPr>
              <w:ind w:left="220"/>
              <w:spacing w:after="0" w:line="159" w:lineRule="exact"/>
              <w:rPr>
                <w:sz w:val="20"/>
                <w:szCs w:val="20"/>
                <w:color w:val="auto"/>
              </w:rPr>
            </w:pPr>
            <w:r>
              <w:rPr>
                <w:rFonts w:ascii="Arial" w:cs="Arial" w:eastAsia="Arial" w:hAnsi="Arial"/>
                <w:sz w:val="14"/>
                <w:szCs w:val="14"/>
                <w:color w:val="auto"/>
              </w:rPr>
              <w:t>(Eureka Hunter Pipeline, LLC)</w:t>
            </w: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MidOcean JF Holdings Corp.</w:t>
            </w:r>
          </w:p>
        </w:tc>
        <w:tc>
          <w:tcPr>
            <w:tcW w:w="1500" w:type="dxa"/>
            <w:vAlign w:val="bottom"/>
            <w:shd w:val="clear" w:color="auto" w:fill="CCEEFF"/>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4"/>
              </w:rPr>
              <w:t>Distribution</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1,850</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1,850,294</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1,939,841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(JF Acquisition, LLC)</w:t>
            </w: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4"/>
                <w:szCs w:val="14"/>
                <w:color w:val="auto"/>
              </w:rPr>
              <w:t>MidOcean PPL Holdings, Inc.</w:t>
            </w:r>
          </w:p>
        </w:tc>
        <w:tc>
          <w:tcPr>
            <w:tcW w:w="1500" w:type="dxa"/>
            <w:vAlign w:val="bottom"/>
          </w:tcPr>
          <w:p>
            <w:pPr>
              <w:ind w:left="98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Personal, Food and</w:t>
            </w:r>
          </w:p>
        </w:tc>
        <w:tc>
          <w:tcPr>
            <w:tcW w:w="7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2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3,000,000</w:t>
            </w:r>
          </w:p>
        </w:tc>
        <w:tc>
          <w:tcPr>
            <w:tcW w:w="2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3,262,232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ind w:left="220"/>
              <w:spacing w:after="0" w:line="149" w:lineRule="exact"/>
              <w:rPr>
                <w:sz w:val="20"/>
                <w:szCs w:val="20"/>
                <w:color w:val="auto"/>
              </w:rPr>
            </w:pPr>
            <w:r>
              <w:rPr>
                <w:rFonts w:ascii="Arial" w:cs="Arial" w:eastAsia="Arial" w:hAnsi="Arial"/>
                <w:sz w:val="14"/>
                <w:szCs w:val="14"/>
                <w:color w:val="auto"/>
              </w:rPr>
              <w:t>(Pre-Paid Legal Services, Inc.)</w:t>
            </w:r>
          </w:p>
        </w:tc>
        <w:tc>
          <w:tcPr>
            <w:tcW w:w="15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Miscellaneous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Services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w w:val="99"/>
              </w:rPr>
              <w:t>Maturity</w:t>
            </w:r>
          </w:p>
        </w:tc>
      </w:tr>
      <w:tr>
        <w:trPr>
          <w:trHeight w:val="131"/>
        </w:trPr>
        <w:tc>
          <w:tcPr>
            <w:tcW w:w="20" w:type="dxa"/>
            <w:vAlign w:val="bottom"/>
          </w:tcPr>
          <w:p>
            <w:pPr>
              <w:spacing w:after="0"/>
              <w:rPr>
                <w:sz w:val="11"/>
                <w:szCs w:val="11"/>
                <w:color w:val="auto"/>
              </w:rPr>
            </w:pPr>
          </w:p>
        </w:tc>
        <w:tc>
          <w:tcPr>
            <w:tcW w:w="44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Paradigm Acquisition Corp.</w:t>
            </w:r>
          </w:p>
        </w:tc>
        <w:tc>
          <w:tcPr>
            <w:tcW w:w="200" w:type="dxa"/>
            <w:vAlign w:val="bottom"/>
          </w:tcPr>
          <w:p>
            <w:pPr>
              <w:spacing w:after="0"/>
              <w:rPr>
                <w:sz w:val="11"/>
                <w:szCs w:val="11"/>
                <w:color w:val="auto"/>
              </w:rPr>
            </w:pPr>
          </w:p>
        </w:tc>
        <w:tc>
          <w:tcPr>
            <w:tcW w:w="620" w:type="dxa"/>
            <w:vAlign w:val="bottom"/>
            <w:tcBorders>
              <w:top w:val="single" w:sz="8" w:color="auto"/>
            </w:tcBorders>
          </w:tcPr>
          <w:p>
            <w:pPr>
              <w:ind w:left="220"/>
              <w:spacing w:after="0" w:line="131" w:lineRule="exact"/>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640" w:type="dxa"/>
            <w:vAlign w:val="bottom"/>
            <w:gridSpan w:val="2"/>
          </w:tcPr>
          <w:p>
            <w:pPr>
              <w:ind w:left="200"/>
              <w:spacing w:after="0"/>
              <w:rPr>
                <w:sz w:val="20"/>
                <w:szCs w:val="20"/>
                <w:color w:val="auto"/>
              </w:rPr>
            </w:pPr>
            <w:r>
              <w:rPr>
                <w:rFonts w:ascii="Arial" w:cs="Arial" w:eastAsia="Arial" w:hAnsi="Arial"/>
                <w:sz w:val="14"/>
                <w:szCs w:val="14"/>
                <w:color w:val="auto"/>
              </w:rPr>
              <w:t>(Paradigm Management Services, LLC)</w:t>
            </w:r>
          </w:p>
        </w:tc>
        <w:tc>
          <w:tcPr>
            <w:tcW w:w="620" w:type="dxa"/>
            <w:vAlign w:val="bottom"/>
          </w:tcPr>
          <w:p>
            <w:pPr>
              <w:spacing w:after="0"/>
              <w:rPr>
                <w:sz w:val="14"/>
                <w:szCs w:val="14"/>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PAS Tech Holdings, Inc.</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(PAS Technologies, Inc.)</w:t>
            </w:r>
          </w:p>
        </w:tc>
        <w:tc>
          <w:tcPr>
            <w:tcW w:w="620" w:type="dxa"/>
            <w:vAlign w:val="bottom"/>
          </w:tcPr>
          <w:p>
            <w:pPr>
              <w:spacing w:after="0"/>
              <w:rPr>
                <w:sz w:val="12"/>
                <w:szCs w:val="12"/>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A</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spacing w:after="0"/>
              <w:rPr>
                <w:sz w:val="12"/>
                <w:szCs w:val="12"/>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B</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spacing w:after="0"/>
              <w:rPr>
                <w:sz w:val="12"/>
                <w:szCs w:val="12"/>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Realogy Holdings Corp.</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(f/k/a Realogy Corp.)</w:t>
            </w:r>
          </w:p>
        </w:tc>
        <w:tc>
          <w:tcPr>
            <w:tcW w:w="620" w:type="dxa"/>
            <w:vAlign w:val="bottom"/>
          </w:tcPr>
          <w:p>
            <w:pPr>
              <w:spacing w:after="0"/>
              <w:rPr>
                <w:sz w:val="12"/>
                <w:szCs w:val="12"/>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SPG Boyd Holdings Corp.</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640" w:type="dxa"/>
            <w:vAlign w:val="bottom"/>
            <w:gridSpan w:val="2"/>
          </w:tcPr>
          <w:p>
            <w:pPr>
              <w:ind w:left="200"/>
              <w:spacing w:after="0"/>
              <w:rPr>
                <w:sz w:val="20"/>
                <w:szCs w:val="20"/>
                <w:color w:val="auto"/>
              </w:rPr>
            </w:pPr>
            <w:r>
              <w:rPr>
                <w:rFonts w:ascii="Arial" w:cs="Arial" w:eastAsia="Arial" w:hAnsi="Arial"/>
                <w:sz w:val="14"/>
                <w:szCs w:val="14"/>
                <w:color w:val="auto"/>
              </w:rPr>
              <w:t>(LTI Flexible Products, Inc.)</w:t>
            </w:r>
          </w:p>
        </w:tc>
        <w:tc>
          <w:tcPr>
            <w:tcW w:w="620" w:type="dxa"/>
            <w:vAlign w:val="bottom"/>
          </w:tcPr>
          <w:p>
            <w:pPr>
              <w:spacing w:after="0"/>
              <w:rPr>
                <w:sz w:val="14"/>
                <w:szCs w:val="14"/>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Titan Private Holdings I, LLC – Class A</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(Tekelec Global, Inc.)</w:t>
            </w:r>
          </w:p>
        </w:tc>
        <w:tc>
          <w:tcPr>
            <w:tcW w:w="620" w:type="dxa"/>
            <w:vAlign w:val="bottom"/>
          </w:tcPr>
          <w:p>
            <w:pPr>
              <w:spacing w:after="0"/>
              <w:rPr>
                <w:sz w:val="12"/>
                <w:szCs w:val="12"/>
                <w:color w:val="auto"/>
              </w:rPr>
            </w:pPr>
          </w:p>
        </w:tc>
      </w:tr>
      <w:tr>
        <w:trPr>
          <w:trHeight w:val="132"/>
        </w:trPr>
        <w:tc>
          <w:tcPr>
            <w:tcW w:w="4660" w:type="dxa"/>
            <w:vAlign w:val="bottom"/>
            <w:gridSpan w:val="3"/>
          </w:tcPr>
          <w:p>
            <w:pPr>
              <w:spacing w:after="0" w:line="133" w:lineRule="exact"/>
              <w:rPr>
                <w:sz w:val="20"/>
                <w:szCs w:val="20"/>
                <w:color w:val="auto"/>
              </w:rPr>
            </w:pPr>
            <w:r>
              <w:rPr>
                <w:rFonts w:ascii="Arial" w:cs="Arial" w:eastAsia="Arial" w:hAnsi="Arial"/>
                <w:sz w:val="14"/>
                <w:szCs w:val="14"/>
                <w:color w:val="auto"/>
              </w:rPr>
              <w:t>TRAK Acquisition Corp. (Warrants)</w:t>
            </w:r>
          </w:p>
        </w:tc>
        <w:tc>
          <w:tcPr>
            <w:tcW w:w="620" w:type="dxa"/>
            <w:vAlign w:val="bottom"/>
          </w:tcPr>
          <w:p>
            <w:pPr>
              <w:ind w:left="20"/>
              <w:spacing w:after="0" w:line="133" w:lineRule="exact"/>
              <w:rPr>
                <w:sz w:val="20"/>
                <w:szCs w:val="20"/>
                <w:color w:val="auto"/>
              </w:rPr>
            </w:pPr>
            <w:r>
              <w:rPr>
                <w:rFonts w:ascii="Arial" w:cs="Arial" w:eastAsia="Arial" w:hAnsi="Arial"/>
                <w:sz w:val="14"/>
                <w:szCs w:val="14"/>
                <w:color w:val="auto"/>
                <w:w w:val="82"/>
              </w:rPr>
              <w:t>12/29/2019</w:t>
            </w:r>
          </w:p>
        </w:tc>
      </w:tr>
      <w:tr>
        <w:trPr>
          <w:trHeight w:val="165"/>
        </w:trPr>
        <w:tc>
          <w:tcPr>
            <w:tcW w:w="4660" w:type="dxa"/>
            <w:vAlign w:val="bottom"/>
            <w:gridSpan w:val="3"/>
          </w:tcPr>
          <w:p>
            <w:pPr>
              <w:spacing w:after="0" w:line="165"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(13)</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spacing w:after="0"/>
              <w:rPr>
                <w:sz w:val="12"/>
                <w:szCs w:val="12"/>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r>
      <w:tr>
        <w:trPr>
          <w:trHeight w:val="172"/>
        </w:trPr>
        <w:tc>
          <w:tcPr>
            <w:tcW w:w="4660" w:type="dxa"/>
            <w:vAlign w:val="bottom"/>
            <w:gridSpan w:val="3"/>
          </w:tcPr>
          <w:p>
            <w:pPr>
              <w:spacing w:after="0"/>
              <w:rPr>
                <w:sz w:val="20"/>
                <w:szCs w:val="20"/>
                <w:color w:val="auto"/>
              </w:rPr>
            </w:pPr>
            <w:r>
              <w:rPr>
                <w:rFonts w:ascii="Arial" w:cs="Arial" w:eastAsia="Arial" w:hAnsi="Arial"/>
                <w:sz w:val="14"/>
                <w:szCs w:val="14"/>
                <w:color w:val="auto"/>
              </w:rPr>
              <w:t>Verde Parent Holdings, Inc.</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r>
      <w:tr>
        <w:trPr>
          <w:trHeight w:val="273"/>
        </w:trPr>
        <w:tc>
          <w:tcPr>
            <w:tcW w:w="4660" w:type="dxa"/>
            <w:vAlign w:val="bottom"/>
            <w:gridSpan w:val="3"/>
          </w:tcPr>
          <w:p>
            <w:pPr>
              <w:spacing w:after="0"/>
              <w:rPr>
                <w:sz w:val="20"/>
                <w:szCs w:val="20"/>
                <w:color w:val="auto"/>
              </w:rPr>
            </w:pPr>
            <w:r>
              <w:rPr>
                <w:rFonts w:ascii="Arial" w:cs="Arial" w:eastAsia="Arial" w:hAnsi="Arial"/>
                <w:sz w:val="14"/>
                <w:szCs w:val="14"/>
                <w:color w:val="auto"/>
              </w:rPr>
              <w:t>Vestcom Parent Holdings, Inc.</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(Vestcom International, Inc.)</w:t>
            </w:r>
          </w:p>
        </w:tc>
        <w:tc>
          <w:tcPr>
            <w:tcW w:w="620" w:type="dxa"/>
            <w:vAlign w:val="bottom"/>
          </w:tcPr>
          <w:p>
            <w:pPr>
              <w:spacing w:after="0"/>
              <w:rPr>
                <w:sz w:val="12"/>
                <w:szCs w:val="12"/>
                <w:color w:val="auto"/>
              </w:rPr>
            </w:pPr>
          </w:p>
        </w:tc>
      </w:tr>
      <w:tr>
        <w:trPr>
          <w:trHeight w:val="159"/>
        </w:trPr>
        <w:tc>
          <w:tcPr>
            <w:tcW w:w="4660" w:type="dxa"/>
            <w:vAlign w:val="bottom"/>
            <w:gridSpan w:val="3"/>
          </w:tcPr>
          <w:p>
            <w:pPr>
              <w:spacing w:after="0" w:line="159" w:lineRule="exact"/>
              <w:rPr>
                <w:sz w:val="20"/>
                <w:szCs w:val="20"/>
                <w:color w:val="auto"/>
              </w:rPr>
            </w:pPr>
            <w:r>
              <w:rPr>
                <w:rFonts w:ascii="Arial" w:cs="Arial" w:eastAsia="Arial" w:hAnsi="Arial"/>
                <w:sz w:val="14"/>
                <w:szCs w:val="14"/>
                <w:color w:val="auto"/>
              </w:rPr>
              <w:t>VText Holdings, Inc. (Veritext Corp.)</w:t>
            </w:r>
          </w:p>
        </w:tc>
        <w:tc>
          <w:tcPr>
            <w:tcW w:w="6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r>
      <w:tr>
        <w:trPr>
          <w:trHeight w:val="149"/>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r>
      <w:tr>
        <w:trPr>
          <w:trHeight w:val="134"/>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r>
      <w:tr>
        <w:trPr>
          <w:trHeight w:val="176"/>
        </w:trPr>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r>
      <w:tr>
        <w:trPr>
          <w:trHeight w:val="131"/>
        </w:trPr>
        <w:tc>
          <w:tcPr>
            <w:tcW w:w="12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7"/>
              </w:rPr>
              <w:t>Healthcare, Education</w:t>
            </w:r>
          </w:p>
        </w:tc>
        <w:tc>
          <w:tcPr>
            <w:tcW w:w="220" w:type="dxa"/>
            <w:vAlign w:val="bottom"/>
          </w:tcPr>
          <w:p>
            <w:pPr>
              <w:spacing w:after="0"/>
              <w:rPr>
                <w:sz w:val="11"/>
                <w:szCs w:val="11"/>
                <w:color w:val="auto"/>
              </w:rPr>
            </w:pPr>
          </w:p>
        </w:tc>
        <w:tc>
          <w:tcPr>
            <w:tcW w:w="4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640" w:type="dxa"/>
            <w:vAlign w:val="bottom"/>
            <w:tcBorders>
              <w:top w:val="single" w:sz="8" w:color="auto"/>
            </w:tcBorders>
          </w:tcPr>
          <w:p>
            <w:pPr>
              <w:ind w:left="440"/>
              <w:spacing w:after="0" w:line="131" w:lineRule="exact"/>
              <w:rPr>
                <w:sz w:val="20"/>
                <w:szCs w:val="20"/>
                <w:color w:val="auto"/>
              </w:rPr>
            </w:pPr>
            <w:r>
              <w:rPr>
                <w:rFonts w:ascii="Arial" w:cs="Arial" w:eastAsia="Arial" w:hAnsi="Arial"/>
                <w:sz w:val="14"/>
                <w:szCs w:val="14"/>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4"/>
              </w:rPr>
              <w:t>Aerospace and</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Other Media</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Other Media</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Buildings and Real</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Estate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Chemical, Plastic</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62"/>
        </w:trPr>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and Rubber</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Telecommunications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Business Services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Cargo Transport</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Insurance</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Personal</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Transportation</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Printing and</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14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Business Services</w:t>
            </w:r>
          </w:p>
        </w:tc>
        <w:tc>
          <w:tcPr>
            <w:tcW w:w="7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-2194560</wp:posOffset>
            </wp:positionV>
            <wp:extent cx="7246620"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-1800225</wp:posOffset>
            </wp:positionV>
            <wp:extent cx="724662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-1423035</wp:posOffset>
            </wp:positionV>
            <wp:extent cx="724662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-1036955</wp:posOffset>
            </wp:positionV>
            <wp:extent cx="724662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-753745</wp:posOffset>
            </wp:positionV>
            <wp:extent cx="724662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-471170</wp:posOffset>
            </wp:positionV>
            <wp:extent cx="724662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-93980</wp:posOffset>
            </wp:positionV>
            <wp:extent cx="724662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Par/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(3)</w:t>
            </w:r>
          </w:p>
        </w:tc>
        <w:tc>
          <w:tcPr>
            <w:tcW w:w="0" w:type="dxa"/>
            <w:vAlign w:val="bottom"/>
          </w:tcPr>
          <w:p>
            <w:pPr>
              <w:spacing w:after="0"/>
              <w:rPr>
                <w:sz w:val="1"/>
                <w:szCs w:val="1"/>
                <w:color w:val="auto"/>
              </w:rPr>
            </w:pPr>
          </w:p>
        </w:tc>
      </w:tr>
      <w:tr>
        <w:trPr>
          <w:trHeight w:val="161"/>
        </w:trPr>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  2,000,000</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2,236,480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4,325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1,306,167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1,032,393</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24"/>
                <w:szCs w:val="24"/>
                <w:color w:val="auto"/>
              </w:rPr>
            </w:pPr>
          </w:p>
        </w:tc>
        <w:tc>
          <w:tcPr>
            <w:tcW w:w="10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126,752</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417,054</w:t>
            </w:r>
          </w:p>
        </w:tc>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auto"/>
              </w:rPr>
              <w:t>10,929,118</w:t>
            </w: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17,499,586</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3,466,167</w:t>
            </w:r>
          </w:p>
        </w:tc>
        <w:tc>
          <w:tcPr>
            <w:tcW w:w="0" w:type="dxa"/>
            <w:vAlign w:val="bottom"/>
          </w:tcPr>
          <w:p>
            <w:pPr>
              <w:spacing w:after="0"/>
              <w:rPr>
                <w:sz w:val="1"/>
                <w:szCs w:val="1"/>
                <w:color w:val="auto"/>
              </w:rPr>
            </w:pPr>
          </w:p>
        </w:tc>
      </w:tr>
      <w:tr>
        <w:trPr>
          <w:trHeight w:val="311"/>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2,276,847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2,274,883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6,697,628</w:t>
            </w:r>
          </w:p>
        </w:tc>
        <w:tc>
          <w:tcPr>
            <w:tcW w:w="0" w:type="dxa"/>
            <w:vAlign w:val="bottom"/>
          </w:tcPr>
          <w:p>
            <w:pPr>
              <w:spacing w:after="0"/>
              <w:rPr>
                <w:sz w:val="1"/>
                <w:szCs w:val="1"/>
                <w:color w:val="auto"/>
              </w:rPr>
            </w:pPr>
          </w:p>
        </w:tc>
      </w:tr>
      <w:tr>
        <w:trPr>
          <w:trHeight w:val="273"/>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3,500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29,400</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1,116,199</w:t>
            </w:r>
          </w:p>
        </w:tc>
        <w:tc>
          <w:tcPr>
            <w:tcW w:w="0" w:type="dxa"/>
            <w:vAlign w:val="bottom"/>
          </w:tcPr>
          <w:p>
            <w:pPr>
              <w:spacing w:after="0"/>
              <w:rPr>
                <w:sz w:val="1"/>
                <w:szCs w:val="1"/>
                <w:color w:val="auto"/>
              </w:rPr>
            </w:pPr>
          </w:p>
        </w:tc>
      </w:tr>
      <w:tr>
        <w:trPr>
          <w:trHeight w:val="172"/>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137,923</w:t>
            </w:r>
          </w:p>
        </w:tc>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auto"/>
              </w:rPr>
              <w:t>2,111,588</w:t>
            </w:r>
          </w:p>
        </w:tc>
        <w:tc>
          <w:tcPr>
            <w:tcW w:w="140" w:type="dxa"/>
            <w:vAlign w:val="bottom"/>
          </w:tcPr>
          <w:p>
            <w:pPr>
              <w:spacing w:after="0"/>
              <w:rPr>
                <w:sz w:val="14"/>
                <w:szCs w:val="14"/>
                <w:color w:val="auto"/>
              </w:rPr>
            </w:pPr>
          </w:p>
        </w:tc>
        <w:tc>
          <w:tcPr>
            <w:tcW w:w="7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9,567</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129,673</w:t>
            </w:r>
          </w:p>
        </w:tc>
        <w:tc>
          <w:tcPr>
            <w:tcW w:w="0" w:type="dxa"/>
            <w:vAlign w:val="bottom"/>
          </w:tcPr>
          <w:p>
            <w:pPr>
              <w:spacing w:after="0"/>
              <w:rPr>
                <w:sz w:val="1"/>
                <w:szCs w:val="1"/>
                <w:color w:val="auto"/>
              </w:rPr>
            </w:pPr>
          </w:p>
        </w:tc>
      </w:tr>
      <w:tr>
        <w:trPr>
          <w:trHeight w:val="172"/>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9,166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9,166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211,797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2,325,555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2,325,555</w:t>
            </w:r>
          </w:p>
        </w:tc>
        <w:tc>
          <w:tcPr>
            <w:tcW w:w="0" w:type="dxa"/>
            <w:vAlign w:val="bottom"/>
          </w:tcPr>
          <w:p>
            <w:pPr>
              <w:spacing w:after="0"/>
              <w:rPr>
                <w:sz w:val="1"/>
                <w:szCs w:val="1"/>
                <w:color w:val="auto"/>
              </w:rPr>
            </w:pPr>
          </w:p>
        </w:tc>
      </w:tr>
      <w:tr>
        <w:trPr>
          <w:trHeight w:val="284"/>
        </w:trPr>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35,526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4,050,000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6,668,990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5280" w:space="220"/>
            <w:col w:w="2820" w:space="300"/>
            <w:col w:w="28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9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50,512,068</w:t>
            </w:r>
          </w:p>
        </w:tc>
        <w:tc>
          <w:tcPr>
            <w:tcW w:w="2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79,390,159</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902,897,172</w:t>
            </w:r>
          </w:p>
        </w:tc>
        <w:tc>
          <w:tcPr>
            <w:tcW w:w="2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931,419,104</w:t>
            </w:r>
          </w:p>
        </w:tc>
        <w:tc>
          <w:tcPr>
            <w:tcW w:w="8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Above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Par /</w:t>
            </w: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5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4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14"/>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5"/>
              </w:rPr>
              <w:t xml:space="preserve">Investments in Non-Controlled, Affiliated Portfolio Companies—13.6% </w:t>
            </w:r>
            <w:r>
              <w:rPr>
                <w:rFonts w:ascii="Arial" w:cs="Arial" w:eastAsia="Arial" w:hAnsi="Arial"/>
                <w:sz w:val="21"/>
                <w:szCs w:val="21"/>
                <w:b w:val="1"/>
                <w:bCs w:val="1"/>
                <w:color w:val="auto"/>
                <w:w w:val="95"/>
                <w:vertAlign w:val="superscript"/>
              </w:rPr>
              <w:t>(1),(2)</w:t>
            </w:r>
          </w:p>
        </w:tc>
        <w:tc>
          <w:tcPr>
            <w:tcW w:w="7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01/16/2015</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040" w:type="dxa"/>
            <w:vAlign w:val="bottom"/>
            <w:shd w:val="clear" w:color="auto" w:fill="CCEEFF"/>
          </w:tcPr>
          <w:p>
            <w:pPr>
              <w:jc w:val="right"/>
              <w:ind w:right="195"/>
              <w:spacing w:after="0" w:line="138" w:lineRule="exact"/>
              <w:rPr>
                <w:sz w:val="20"/>
                <w:szCs w:val="20"/>
                <w:color w:val="auto"/>
              </w:rPr>
            </w:pPr>
            <w:r>
              <w:rPr>
                <w:rFonts w:ascii="Arial" w:cs="Arial" w:eastAsia="Arial" w:hAnsi="Arial"/>
                <w:sz w:val="14"/>
                <w:szCs w:val="14"/>
                <w:color w:val="auto"/>
              </w:rPr>
              <w:t>7.25%</w:t>
            </w:r>
          </w:p>
        </w:tc>
        <w:tc>
          <w:tcPr>
            <w:tcW w:w="960" w:type="dxa"/>
            <w:vAlign w:val="bottom"/>
            <w:shd w:val="clear" w:color="auto" w:fill="CCEEFF"/>
          </w:tcPr>
          <w:p>
            <w:pPr>
              <w:ind w:left="360"/>
              <w:spacing w:after="0" w:line="138" w:lineRule="exact"/>
              <w:rPr>
                <w:sz w:val="20"/>
                <w:szCs w:val="20"/>
                <w:color w:val="auto"/>
              </w:rPr>
            </w:pPr>
            <w:r>
              <w:rPr>
                <w:rFonts w:ascii="Arial" w:cs="Arial" w:eastAsia="Arial" w:hAnsi="Arial"/>
                <w:sz w:val="10"/>
                <w:szCs w:val="10"/>
                <w:color w:val="auto"/>
              </w:rPr>
              <w:t xml:space="preserve">L+625 </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8,000,000</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2"/>
              </w:rPr>
              <w:t>$  8,000,000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$ 7,780,000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Entertainment</w:t>
            </w: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Notes—8.5%</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11/05/2019</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Consumer Products</w:t>
            </w:r>
          </w:p>
        </w:tc>
        <w:tc>
          <w:tcPr>
            <w:tcW w:w="1040" w:type="dxa"/>
            <w:vAlign w:val="bottom"/>
            <w:shd w:val="clear" w:color="auto" w:fill="CCEEFF"/>
          </w:tcPr>
          <w:p>
            <w:pPr>
              <w:jc w:val="right"/>
              <w:ind w:right="195"/>
              <w:spacing w:after="0" w:line="138" w:lineRule="exact"/>
              <w:rPr>
                <w:sz w:val="20"/>
                <w:szCs w:val="20"/>
                <w:color w:val="auto"/>
              </w:rPr>
            </w:pPr>
            <w:r>
              <w:rPr>
                <w:rFonts w:ascii="Arial" w:cs="Arial" w:eastAsia="Arial" w:hAnsi="Arial"/>
                <w:sz w:val="14"/>
                <w:szCs w:val="14"/>
                <w:color w:val="auto"/>
              </w:rPr>
              <w:t>12.00%</w:t>
            </w:r>
          </w:p>
        </w:tc>
        <w:tc>
          <w:tcPr>
            <w:tcW w:w="96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10,472,000</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10,472,000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10,472,000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w w:val="96"/>
              </w:rPr>
              <w:t>(PIK 12.00%)</w:t>
            </w: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5"/>
              </w:rPr>
              <w:t>07/16/2015</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040" w:type="dxa"/>
            <w:vAlign w:val="bottom"/>
          </w:tcPr>
          <w:p>
            <w:pPr>
              <w:jc w:val="right"/>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96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7,567,234</w:t>
            </w:r>
          </w:p>
        </w:tc>
        <w:tc>
          <w:tcPr>
            <w:tcW w:w="3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7,442,664</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7,567,234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Entertainment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10/02/2017</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040" w:type="dxa"/>
            <w:vAlign w:val="bottom"/>
            <w:shd w:val="clear" w:color="auto" w:fill="CCEEFF"/>
          </w:tcPr>
          <w:p>
            <w:pPr>
              <w:jc w:val="right"/>
              <w:ind w:right="195"/>
              <w:spacing w:after="0" w:line="149" w:lineRule="exact"/>
              <w:rPr>
                <w:sz w:val="20"/>
                <w:szCs w:val="20"/>
                <w:color w:val="auto"/>
              </w:rPr>
            </w:pPr>
            <w:r>
              <w:rPr>
                <w:rFonts w:ascii="Arial" w:cs="Arial" w:eastAsia="Arial" w:hAnsi="Arial"/>
                <w:sz w:val="14"/>
                <w:szCs w:val="14"/>
                <w:color w:val="auto"/>
              </w:rPr>
              <w:t>12.50%</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24,000,000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23,514,474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24,190,344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10/02/2013</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040" w:type="dxa"/>
            <w:vAlign w:val="bottom"/>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3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15,640,000</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16,126,896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57,069,138</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58,356,474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Interest—4.0% </w:t>
            </w:r>
            <w:r>
              <w:rPr>
                <w:rFonts w:ascii="Arial" w:cs="Arial" w:eastAsia="Arial" w:hAnsi="Arial"/>
                <w:sz w:val="18"/>
                <w:szCs w:val="18"/>
                <w:b w:val="1"/>
                <w:bCs w:val="1"/>
                <w:color w:val="auto"/>
                <w:vertAlign w:val="superscript"/>
              </w:rPr>
              <w:t>(6)</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104,719</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11/05/2022</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15,486</w:t>
            </w:r>
          </w:p>
        </w:tc>
        <w:tc>
          <w:tcPr>
            <w:tcW w:w="32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040" w:type="dxa"/>
            <w:vAlign w:val="bottom"/>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137,450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11,413,684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19,971,112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040" w:type="dxa"/>
            <w:vAlign w:val="bottom"/>
          </w:tcPr>
          <w:p>
            <w:pPr>
              <w:jc w:val="right"/>
              <w:ind w:right="375"/>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375,000</w:t>
            </w:r>
          </w:p>
        </w:tc>
        <w:tc>
          <w:tcPr>
            <w:tcW w:w="3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2,779,601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(Performance Holdings, Inc.)</w:t>
            </w:r>
          </w:p>
        </w:tc>
        <w:tc>
          <w:tcPr>
            <w:tcW w:w="7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Entertainment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New Service Champ Holdings, Inc.</w:t>
            </w:r>
          </w:p>
        </w:tc>
        <w:tc>
          <w:tcPr>
            <w:tcW w:w="78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Auto Sector</w:t>
            </w:r>
          </w:p>
        </w:tc>
        <w:tc>
          <w:tcPr>
            <w:tcW w:w="1040" w:type="dxa"/>
            <w:vAlign w:val="bottom"/>
            <w:shd w:val="clear" w:color="auto" w:fill="CCEEFF"/>
          </w:tcPr>
          <w:p>
            <w:pPr>
              <w:jc w:val="right"/>
              <w:ind w:right="375"/>
              <w:spacing w:after="0" w:line="13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16,800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4,200,000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4,784,499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 Champ, Inc.)</w:t>
            </w:r>
          </w:p>
        </w:tc>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40,856,506</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27,535,212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105,925,644</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93,671,686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Investments in Controlled, Affiliated Portfolio Companies—5.7% </w:t>
            </w:r>
            <w:r>
              <w:rPr>
                <w:rFonts w:ascii="Arial" w:cs="Arial" w:eastAsia="Arial" w:hAnsi="Arial"/>
                <w:sz w:val="18"/>
                <w:szCs w:val="18"/>
                <w:b w:val="1"/>
                <w:bCs w:val="1"/>
                <w:color w:val="auto"/>
                <w:vertAlign w:val="superscript"/>
              </w:rPr>
              <w:t>(1),(2)</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Debt—1.8%</w:t>
            </w: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06/30/2020</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3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10,400,000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10,767,224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12/31/2015</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040" w:type="dxa"/>
            <w:vAlign w:val="bottom"/>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1,916,666</w:t>
            </w:r>
          </w:p>
        </w:tc>
        <w:tc>
          <w:tcPr>
            <w:tcW w:w="3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1,749,448</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1,916,666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12,149,448</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12,683,890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Debt—2.2%</w:t>
            </w: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tcPr>
          <w:p>
            <w:pPr>
              <w:spacing w:after="0" w:line="138" w:lineRule="exact"/>
              <w:rPr>
                <w:sz w:val="20"/>
                <w:szCs w:val="20"/>
                <w:color w:val="auto"/>
              </w:rPr>
            </w:pPr>
            <w:r>
              <w:rPr>
                <w:rFonts w:ascii="Arial" w:cs="Arial" w:eastAsia="Arial" w:hAnsi="Arial"/>
                <w:sz w:val="14"/>
                <w:szCs w:val="14"/>
                <w:color w:val="auto"/>
              </w:rPr>
              <w:t>UP Support Services, Inc.</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5"/>
              </w:rPr>
              <w:t>12/31/2015</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040" w:type="dxa"/>
            <w:vAlign w:val="bottom"/>
          </w:tcPr>
          <w:p>
            <w:pPr>
              <w:jc w:val="right"/>
              <w:ind w:right="195"/>
              <w:spacing w:after="0" w:line="138" w:lineRule="exact"/>
              <w:rPr>
                <w:sz w:val="20"/>
                <w:szCs w:val="20"/>
                <w:color w:val="auto"/>
              </w:rPr>
            </w:pPr>
            <w:r>
              <w:rPr>
                <w:rFonts w:ascii="Arial" w:cs="Arial" w:eastAsia="Arial" w:hAnsi="Arial"/>
                <w:sz w:val="14"/>
                <w:szCs w:val="14"/>
                <w:color w:val="auto"/>
              </w:rPr>
              <w:t>15.00%</w:t>
            </w:r>
          </w:p>
        </w:tc>
        <w:tc>
          <w:tcPr>
            <w:tcW w:w="96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14,860,377</w:t>
            </w:r>
          </w:p>
        </w:tc>
        <w:tc>
          <w:tcPr>
            <w:tcW w:w="3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12,510,232</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14,860,377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jc w:val="right"/>
              <w:ind w:right="155"/>
              <w:spacing w:after="0"/>
              <w:rPr>
                <w:sz w:val="20"/>
                <w:szCs w:val="20"/>
                <w:color w:val="auto"/>
              </w:rPr>
            </w:pPr>
            <w:r>
              <w:rPr>
                <w:rFonts w:ascii="Arial" w:cs="Arial" w:eastAsia="Arial" w:hAnsi="Arial"/>
                <w:sz w:val="14"/>
                <w:szCs w:val="14"/>
                <w:color w:val="auto"/>
                <w:w w:val="96"/>
              </w:rPr>
              <w:t>(PIK 15.00%)</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06/30/2020</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3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3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2,600,000</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2,248,176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Basis Point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6"/>
              </w:rPr>
              <w:t>Current</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(3)</w:t>
            </w:r>
          </w:p>
        </w:tc>
        <w:tc>
          <w:tcPr>
            <w:tcW w:w="0" w:type="dxa"/>
            <w:vAlign w:val="bottom"/>
          </w:tcPr>
          <w:p>
            <w:pPr>
              <w:spacing w:after="0"/>
              <w:rPr>
                <w:sz w:val="1"/>
                <w:szCs w:val="1"/>
                <w:color w:val="auto"/>
              </w:rPr>
            </w:pPr>
          </w:p>
        </w:tc>
      </w:tr>
      <w:tr>
        <w:trPr>
          <w:trHeight w:val="176"/>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Coupon</w:t>
            </w:r>
          </w:p>
        </w:tc>
        <w:tc>
          <w:tcPr>
            <w:tcW w:w="8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(4)</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Preferred Equity—1.4%</w:t>
            </w:r>
            <w:r>
              <w:rPr>
                <w:rFonts w:ascii="Arial" w:cs="Arial" w:eastAsia="Arial" w:hAnsi="Arial"/>
                <w:sz w:val="21"/>
                <w:szCs w:val="21"/>
                <w:b w:val="1"/>
                <w:bCs w:val="1"/>
                <w:color w:val="auto"/>
                <w:vertAlign w:val="superscript"/>
              </w:rPr>
              <w:t>(6)</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14.00%</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1,984,603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Holdings, Inc.</w:t>
            </w:r>
          </w:p>
        </w:tc>
        <w:tc>
          <w:tcPr>
            <w:tcW w:w="6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Oil and Gas</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90"/>
              </w:rPr>
              <w:t>376,988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34,420,613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7,539,759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36,420,613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9,524,362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63,680,393</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39,316,805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Investments—154.6%</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84"/>
              </w:rPr>
              <w:t>1,072,503,209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84"/>
              </w:rPr>
              <w:t>1,064,407,595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Equivalents—4.5%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31,291,517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31,291,517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Equivalents—159.1%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84"/>
              </w:rPr>
              <w:t>1,103,794,726</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84"/>
              </w:rPr>
              <w:t>1,095,699,112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Assets—(59.1%)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1"/>
              </w:rPr>
              <w:t>(407,196,691)</w:t>
            </w:r>
          </w:p>
        </w:tc>
        <w:tc>
          <w:tcPr>
            <w:tcW w:w="0" w:type="dxa"/>
            <w:vAlign w:val="bottom"/>
          </w:tcPr>
          <w:p>
            <w:pPr>
              <w:spacing w:after="0"/>
              <w:rPr>
                <w:sz w:val="1"/>
                <w:szCs w:val="1"/>
                <w:color w:val="auto"/>
              </w:rPr>
            </w:pPr>
          </w:p>
        </w:tc>
      </w:tr>
      <w:tr>
        <w:trPr>
          <w:trHeight w:val="156"/>
        </w:trPr>
        <w:tc>
          <w:tcPr>
            <w:tcW w:w="5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688,502,421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7" w:lineRule="exact"/>
        <w:rPr>
          <w:sz w:val="20"/>
          <w:szCs w:val="20"/>
          <w:color w:val="auto"/>
        </w:rPr>
      </w:pPr>
    </w:p>
    <w:p>
      <w:pPr>
        <w:ind w:left="460" w:hanging="452"/>
        <w:spacing w:after="0" w:line="268" w:lineRule="auto"/>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provisions of the Investment Company Act of 1940,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20" w:hanging="452"/>
        <w:spacing w:after="0" w:line="258" w:lineRule="auto"/>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460" w:hanging="452"/>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w:t>
      </w:r>
    </w:p>
    <w:p>
      <w:pPr>
        <w:spacing w:after="0" w:line="10" w:lineRule="exact"/>
        <w:rPr>
          <w:rFonts w:ascii="Arial" w:cs="Arial" w:eastAsia="Arial" w:hAnsi="Arial"/>
          <w:sz w:val="12"/>
          <w:szCs w:val="12"/>
          <w:color w:val="auto"/>
        </w:rPr>
      </w:pPr>
    </w:p>
    <w:p>
      <w:pPr>
        <w:ind w:left="460" w:right="1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Coupon is payable in cash and/or in-kind or PIK.</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460" w:hanging="452"/>
        <w:spacing w:after="0"/>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jc w:val="center"/>
              <w:ind w:left="13"/>
              <w:spacing w:after="0"/>
              <w:rPr>
                <w:sz w:val="20"/>
                <w:szCs w:val="20"/>
                <w:color w:val="auto"/>
              </w:rPr>
            </w:pPr>
            <w:r>
              <w:rPr>
                <w:rFonts w:ascii="Arial" w:cs="Arial" w:eastAsia="Arial" w:hAnsi="Arial"/>
                <w:sz w:val="14"/>
                <w:szCs w:val="14"/>
                <w:b w:val="1"/>
                <w:bCs w:val="1"/>
                <w:color w:val="auto"/>
                <w:w w:val="83"/>
              </w:rPr>
              <w:t>Basis Point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Maturity</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Current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4"/>
                <w:szCs w:val="14"/>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6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8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7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Companies—130.3% </w:t>
            </w:r>
            <w:r>
              <w:rPr>
                <w:rFonts w:ascii="Arial" w:cs="Arial" w:eastAsia="Arial" w:hAnsi="Arial"/>
                <w:sz w:val="21"/>
                <w:szCs w:val="21"/>
                <w:b w:val="1"/>
                <w:bCs w:val="1"/>
                <w:color w:val="auto"/>
                <w:vertAlign w:val="superscript"/>
              </w:rPr>
              <w:t>(1),(2)</w:t>
            </w:r>
          </w:p>
        </w:tc>
        <w:tc>
          <w:tcPr>
            <w:tcW w:w="1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1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06/21/2017</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14,906,250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$ 14,332,682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$ 14,906,250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American Surgical Holdings, Inc.</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03/23/2015</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14.00%</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L+1,000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6"/>
              </w:rPr>
              <w:t>17,811,828</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17,441,366</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17,811,828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02/07/2014</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L+325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1,757,029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1,973,334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10/01/2016</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11.63%</w:t>
            </w: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7,355,237</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04/01/2018</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40" w:type="dxa"/>
            <w:vAlign w:val="bottom"/>
          </w:tcPr>
          <w:p>
            <w:pPr>
              <w:spacing w:after="0" w:line="122" w:lineRule="exact"/>
              <w:rPr>
                <w:sz w:val="20"/>
                <w:szCs w:val="20"/>
                <w:color w:val="auto"/>
              </w:rPr>
            </w:pPr>
            <w:r>
              <w:rPr>
                <w:rFonts w:ascii="Arial" w:cs="Arial" w:eastAsia="Arial" w:hAnsi="Arial"/>
                <w:sz w:val="10"/>
                <w:szCs w:val="10"/>
                <w:color w:val="auto"/>
              </w:rPr>
              <w:t>Columbus International, Inc.</w:t>
            </w:r>
            <w:r>
              <w:rPr>
                <w:rFonts w:ascii="Arial" w:cs="Arial" w:eastAsia="Arial" w:hAnsi="Arial"/>
                <w:sz w:val="14"/>
                <w:szCs w:val="14"/>
                <w:color w:val="auto"/>
                <w:vertAlign w:val="superscript"/>
              </w:rPr>
              <w:t>(5), (10)</w:t>
            </w:r>
          </w:p>
        </w:tc>
        <w:tc>
          <w:tcPr>
            <w:tcW w:w="18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11/20/2014</w:t>
            </w:r>
          </w:p>
        </w:tc>
        <w:tc>
          <w:tcPr>
            <w:tcW w:w="1420" w:type="dxa"/>
            <w:vAlign w:val="bottom"/>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840" w:type="dxa"/>
            <w:vAlign w:val="bottom"/>
          </w:tcPr>
          <w:p>
            <w:pPr>
              <w:jc w:val="right"/>
              <w:ind w:right="52"/>
              <w:spacing w:after="0" w:line="122" w:lineRule="exact"/>
              <w:rPr>
                <w:sz w:val="20"/>
                <w:szCs w:val="20"/>
                <w:color w:val="auto"/>
              </w:rPr>
            </w:pPr>
            <w:r>
              <w:rPr>
                <w:rFonts w:ascii="Arial" w:cs="Arial" w:eastAsia="Arial" w:hAnsi="Arial"/>
                <w:sz w:val="14"/>
                <w:szCs w:val="14"/>
                <w:color w:val="auto"/>
              </w:rPr>
              <w:t>11.50%</w:t>
            </w:r>
          </w:p>
        </w:tc>
        <w:tc>
          <w:tcPr>
            <w:tcW w:w="720" w:type="dxa"/>
            <w:vAlign w:val="bottom"/>
          </w:tcPr>
          <w:p>
            <w:pPr>
              <w:jc w:val="right"/>
              <w:ind w:right="13"/>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w w:val="96"/>
              </w:rPr>
              <w:t>10,000,000</w:t>
            </w:r>
          </w:p>
        </w:tc>
        <w:tc>
          <w:tcPr>
            <w:tcW w:w="16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11,100,000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3"/>
                <w:szCs w:val="13"/>
                <w:color w:val="auto"/>
              </w:rPr>
              <w:t>Good Sam Enterprises, LLC</w:t>
            </w:r>
            <w:r>
              <w:rPr>
                <w:rFonts w:ascii="Arial" w:cs="Arial" w:eastAsia="Arial" w:hAnsi="Arial"/>
                <w:sz w:val="20"/>
                <w:szCs w:val="20"/>
                <w:color w:val="auto"/>
                <w:vertAlign w:val="superscript"/>
              </w:rPr>
              <w:t>(5)</w:t>
            </w:r>
          </w:p>
        </w:tc>
        <w:tc>
          <w:tcPr>
            <w:tcW w:w="1820" w:type="dxa"/>
            <w:vAlign w:val="bottom"/>
          </w:tcPr>
          <w:p>
            <w:pPr>
              <w:jc w:val="right"/>
              <w:ind w:right="32"/>
              <w:spacing w:after="0"/>
              <w:rPr>
                <w:sz w:val="20"/>
                <w:szCs w:val="20"/>
                <w:color w:val="auto"/>
              </w:rPr>
            </w:pPr>
            <w:r>
              <w:rPr>
                <w:rFonts w:ascii="Arial" w:cs="Arial" w:eastAsia="Arial" w:hAnsi="Arial"/>
                <w:sz w:val="14"/>
                <w:szCs w:val="14"/>
                <w:color w:val="auto"/>
              </w:rPr>
              <w:t>12/01/2016</w:t>
            </w:r>
          </w:p>
        </w:tc>
        <w:tc>
          <w:tcPr>
            <w:tcW w:w="1420" w:type="dxa"/>
            <w:vAlign w:val="bottom"/>
          </w:tcPr>
          <w:p>
            <w:pPr>
              <w:jc w:val="center"/>
              <w:spacing w:after="0"/>
              <w:rPr>
                <w:sz w:val="20"/>
                <w:szCs w:val="20"/>
                <w:color w:val="auto"/>
              </w:rPr>
            </w:pPr>
            <w:r>
              <w:rPr>
                <w:rFonts w:ascii="Arial" w:cs="Arial" w:eastAsia="Arial" w:hAnsi="Arial"/>
                <w:sz w:val="14"/>
                <w:szCs w:val="14"/>
                <w:color w:val="auto"/>
                <w:w w:val="85"/>
              </w:rPr>
              <w:t>Consumer Products</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11.50%</w:t>
            </w: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12,000,000</w:t>
            </w:r>
          </w:p>
        </w:tc>
        <w:tc>
          <w:tcPr>
            <w:tcW w:w="160" w:type="dxa"/>
            <w:vAlign w:val="bottom"/>
          </w:tcPr>
          <w:p>
            <w:pPr>
              <w:spacing w:after="0"/>
              <w:rPr>
                <w:sz w:val="15"/>
                <w:szCs w:val="15"/>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11,795,443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12,720,000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Hanley-Wood, L.L.C.</w:t>
            </w:r>
          </w:p>
        </w:tc>
        <w:tc>
          <w:tcPr>
            <w:tcW w:w="1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01/13/2017</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240" w:type="dxa"/>
            <w:vAlign w:val="bottom"/>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1,752,896</w:t>
            </w: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1,752,896</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04/01/2017</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11,288,165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12,218,750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Instant Web, Inc.</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08/07/2014</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14.50%</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L+950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6"/>
              </w:rPr>
              <w:t>24,115,645</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23,829,738</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23,802,142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1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10/04/2016</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8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18,525,000</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18,165,492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18,571,313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Jacuzzi Brands Corp.</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02/07/2014</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2.28%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L+225</w:t>
            </w:r>
          </w:p>
        </w:tc>
        <w:tc>
          <w:tcPr>
            <w:tcW w:w="2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9,598,649</w:t>
            </w:r>
          </w:p>
        </w:tc>
        <w:tc>
          <w:tcPr>
            <w:tcW w:w="160" w:type="dxa"/>
            <w:vAlign w:val="bottom"/>
          </w:tcPr>
          <w:p>
            <w:pPr>
              <w:spacing w:after="0"/>
              <w:rPr>
                <w:sz w:val="11"/>
                <w:szCs w:val="11"/>
                <w:color w:val="auto"/>
              </w:rPr>
            </w:pP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9,598,649</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5"/>
              </w:rPr>
              <w:t>Consumer Products</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K2 Pure Solutions NoCal, L.P.</w:t>
            </w:r>
          </w:p>
        </w:tc>
        <w:tc>
          <w:tcPr>
            <w:tcW w:w="1820" w:type="dxa"/>
            <w:vAlign w:val="bottom"/>
            <w:shd w:val="clear" w:color="auto" w:fill="CCEEFF"/>
          </w:tcPr>
          <w:p>
            <w:pPr>
              <w:jc w:val="right"/>
              <w:ind w:right="32"/>
              <w:spacing w:after="0" w:line="139" w:lineRule="exact"/>
              <w:rPr>
                <w:sz w:val="20"/>
                <w:szCs w:val="20"/>
                <w:color w:val="auto"/>
              </w:rPr>
            </w:pPr>
            <w:r>
              <w:rPr>
                <w:rFonts w:ascii="Arial" w:cs="Arial" w:eastAsia="Arial" w:hAnsi="Arial"/>
                <w:sz w:val="14"/>
                <w:szCs w:val="14"/>
                <w:color w:val="auto"/>
              </w:rPr>
              <w:t>09/10/2015</w:t>
            </w:r>
          </w:p>
        </w:tc>
        <w:tc>
          <w:tcPr>
            <w:tcW w:w="14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Chemicals, Plastics</w:t>
            </w:r>
          </w:p>
        </w:tc>
        <w:tc>
          <w:tcPr>
            <w:tcW w:w="84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L+775</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18,952,500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18,216,865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19,236,788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and Rubber</w:t>
            </w: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Kadmon Pharmaceuticals, LLC</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10/31/2012</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15.00%</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L+1,300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4,931,494</w:t>
            </w:r>
          </w:p>
        </w:tc>
        <w:tc>
          <w:tcPr>
            <w:tcW w:w="160" w:type="dxa"/>
            <w:vAlign w:val="bottom"/>
          </w:tcPr>
          <w:p>
            <w:pPr>
              <w:spacing w:after="0"/>
              <w:rPr>
                <w:sz w:val="11"/>
                <w:szCs w:val="11"/>
                <w:color w:val="auto"/>
              </w:rPr>
            </w:pP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4,992,740</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5,110,409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04/27/2016</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26,052,632</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25,640,832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25,857,237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08/01/2014</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5.00%</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L+400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37,775,294</w:t>
            </w:r>
          </w:p>
        </w:tc>
        <w:tc>
          <w:tcPr>
            <w:tcW w:w="160" w:type="dxa"/>
            <w:vAlign w:val="bottom"/>
          </w:tcPr>
          <w:p>
            <w:pPr>
              <w:spacing w:after="0"/>
              <w:rPr>
                <w:sz w:val="11"/>
                <w:szCs w:val="11"/>
                <w:color w:val="auto"/>
              </w:rPr>
            </w:pP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33,971,917</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30,503,550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w w:val="97"/>
              </w:rPr>
              <w:t>(PIK 1.00%)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Pre-Paid Legal Services, Inc., Tranche A</w:t>
            </w:r>
          </w:p>
        </w:tc>
        <w:tc>
          <w:tcPr>
            <w:tcW w:w="1820" w:type="dxa"/>
            <w:vAlign w:val="bottom"/>
            <w:shd w:val="clear" w:color="auto" w:fill="CCEEFF"/>
          </w:tcPr>
          <w:p>
            <w:pPr>
              <w:jc w:val="right"/>
              <w:ind w:right="32"/>
              <w:spacing w:after="0" w:line="139" w:lineRule="exact"/>
              <w:rPr>
                <w:sz w:val="20"/>
                <w:szCs w:val="20"/>
                <w:color w:val="auto"/>
              </w:rPr>
            </w:pPr>
            <w:r>
              <w:rPr>
                <w:rFonts w:ascii="Arial" w:cs="Arial" w:eastAsia="Arial" w:hAnsi="Arial"/>
                <w:sz w:val="14"/>
                <w:szCs w:val="14"/>
                <w:color w:val="auto"/>
              </w:rPr>
              <w:t>12/30/2016</w:t>
            </w:r>
          </w:p>
        </w:tc>
        <w:tc>
          <w:tcPr>
            <w:tcW w:w="14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5"/>
              </w:rPr>
              <w:t>Personal, Food and</w:t>
            </w:r>
          </w:p>
        </w:tc>
        <w:tc>
          <w:tcPr>
            <w:tcW w:w="84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7.50%</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L+600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1,552,846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1,533,687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1,556,728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Miscellaneous Services</w:t>
            </w:r>
          </w:p>
        </w:tc>
        <w:tc>
          <w:tcPr>
            <w:tcW w:w="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Pre-Paid Legal Services, Inc., Tranche B</w:t>
            </w:r>
          </w:p>
        </w:tc>
        <w:tc>
          <w:tcPr>
            <w:tcW w:w="1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12/30/2016</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11.00%</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L+950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35,000,000</w:t>
            </w:r>
          </w:p>
        </w:tc>
        <w:tc>
          <w:tcPr>
            <w:tcW w:w="160" w:type="dxa"/>
            <w:vAlign w:val="bottom"/>
          </w:tcPr>
          <w:p>
            <w:pPr>
              <w:spacing w:after="0"/>
              <w:rPr>
                <w:sz w:val="11"/>
                <w:szCs w:val="11"/>
                <w:color w:val="auto"/>
              </w:rPr>
            </w:pPr>
          </w:p>
        </w:tc>
        <w:tc>
          <w:tcPr>
            <w:tcW w:w="9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34,118,800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35,350,000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86"/>
              </w:rPr>
              <w:t>Miscellaneous Services</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12/16/2012</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1.36%</w:t>
            </w:r>
          </w:p>
        </w:tc>
        <w:tc>
          <w:tcPr>
            <w:tcW w:w="7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40" w:type="dxa"/>
            <w:vAlign w:val="bottom"/>
          </w:tcPr>
          <w:p>
            <w:pPr>
              <w:spacing w:after="0" w:line="122" w:lineRule="exact"/>
              <w:rPr>
                <w:sz w:val="20"/>
                <w:szCs w:val="20"/>
                <w:color w:val="auto"/>
              </w:rPr>
            </w:pPr>
            <w:r>
              <w:rPr>
                <w:rFonts w:ascii="Arial" w:cs="Arial" w:eastAsia="Arial" w:hAnsi="Arial"/>
                <w:sz w:val="14"/>
                <w:szCs w:val="14"/>
                <w:color w:val="auto"/>
              </w:rPr>
              <w:t>Tekelec Global Inc. (First Out)</w:t>
            </w:r>
          </w:p>
        </w:tc>
        <w:tc>
          <w:tcPr>
            <w:tcW w:w="18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01/29/2018</w:t>
            </w:r>
          </w:p>
        </w:tc>
        <w:tc>
          <w:tcPr>
            <w:tcW w:w="1420" w:type="dxa"/>
            <w:vAlign w:val="bottom"/>
          </w:tcPr>
          <w:p>
            <w:pPr>
              <w:jc w:val="center"/>
              <w:spacing w:after="0" w:line="122" w:lineRule="exact"/>
              <w:rPr>
                <w:sz w:val="20"/>
                <w:szCs w:val="20"/>
                <w:color w:val="auto"/>
              </w:rPr>
            </w:pPr>
            <w:r>
              <w:rPr>
                <w:rFonts w:ascii="Arial" w:cs="Arial" w:eastAsia="Arial" w:hAnsi="Arial"/>
                <w:sz w:val="14"/>
                <w:szCs w:val="14"/>
                <w:color w:val="auto"/>
                <w:w w:val="87"/>
              </w:rPr>
              <w:t>Telecommunications</w:t>
            </w:r>
          </w:p>
        </w:tc>
        <w:tc>
          <w:tcPr>
            <w:tcW w:w="840" w:type="dxa"/>
            <w:vAlign w:val="bottom"/>
          </w:tcPr>
          <w:p>
            <w:pPr>
              <w:jc w:val="right"/>
              <w:ind w:right="52"/>
              <w:spacing w:after="0" w:line="122" w:lineRule="exact"/>
              <w:rPr>
                <w:sz w:val="20"/>
                <w:szCs w:val="20"/>
                <w:color w:val="auto"/>
              </w:rPr>
            </w:pPr>
            <w:r>
              <w:rPr>
                <w:rFonts w:ascii="Arial" w:cs="Arial" w:eastAsia="Arial" w:hAnsi="Arial"/>
                <w:sz w:val="14"/>
                <w:szCs w:val="14"/>
                <w:color w:val="auto"/>
              </w:rPr>
              <w:t>9.00%</w:t>
            </w:r>
          </w:p>
        </w:tc>
        <w:tc>
          <w:tcPr>
            <w:tcW w:w="720" w:type="dxa"/>
            <w:vAlign w:val="bottom"/>
          </w:tcPr>
          <w:p>
            <w:pPr>
              <w:jc w:val="right"/>
              <w:spacing w:after="0" w:line="122" w:lineRule="exact"/>
              <w:rPr>
                <w:sz w:val="20"/>
                <w:szCs w:val="20"/>
                <w:color w:val="auto"/>
              </w:rPr>
            </w:pPr>
            <w:r>
              <w:rPr>
                <w:rFonts w:ascii="Arial" w:cs="Arial" w:eastAsia="Arial" w:hAnsi="Arial"/>
                <w:sz w:val="14"/>
                <w:szCs w:val="14"/>
                <w:color w:val="auto"/>
              </w:rPr>
              <w:t>L+750</w:t>
            </w:r>
          </w:p>
        </w:tc>
        <w:tc>
          <w:tcPr>
            <w:tcW w:w="240" w:type="dxa"/>
            <w:vAlign w:val="bottom"/>
          </w:tcPr>
          <w:p>
            <w:pPr>
              <w:jc w:val="right"/>
              <w:ind w:right="24"/>
              <w:spacing w:after="0" w:line="122" w:lineRule="exact"/>
              <w:rPr>
                <w:sz w:val="20"/>
                <w:szCs w:val="20"/>
                <w:color w:val="auto"/>
              </w:rPr>
            </w:pPr>
            <w:r>
              <w:rPr>
                <w:rFonts w:ascii="Arial" w:cs="Arial" w:eastAsia="Arial" w:hAnsi="Arial"/>
                <w:sz w:val="11"/>
                <w:szCs w:val="11"/>
                <w:color w:val="auto"/>
              </w:rPr>
              <w:t>(8)</w:t>
            </w: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rPr>
              <w:t>850,000</w:t>
            </w:r>
          </w:p>
        </w:tc>
        <w:tc>
          <w:tcPr>
            <w:tcW w:w="16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838,369</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850,000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01/29/2018</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L+1,200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10,625,000</w:t>
            </w: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10,338,450</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10,848,126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Worley Claims Services, LLC</w:t>
            </w:r>
          </w:p>
        </w:tc>
        <w:tc>
          <w:tcPr>
            <w:tcW w:w="1820" w:type="dxa"/>
            <w:vAlign w:val="bottom"/>
          </w:tcPr>
          <w:p>
            <w:pPr>
              <w:jc w:val="right"/>
              <w:ind w:right="32"/>
              <w:spacing w:after="0"/>
              <w:rPr>
                <w:sz w:val="20"/>
                <w:szCs w:val="20"/>
                <w:color w:val="auto"/>
              </w:rPr>
            </w:pPr>
            <w:r>
              <w:rPr>
                <w:rFonts w:ascii="Arial" w:cs="Arial" w:eastAsia="Arial" w:hAnsi="Arial"/>
                <w:sz w:val="14"/>
                <w:szCs w:val="14"/>
                <w:color w:val="auto"/>
              </w:rPr>
              <w:t>07/06/2017</w:t>
            </w:r>
          </w:p>
        </w:tc>
        <w:tc>
          <w:tcPr>
            <w:tcW w:w="1420" w:type="dxa"/>
            <w:vAlign w:val="bottom"/>
          </w:tcPr>
          <w:p>
            <w:pPr>
              <w:jc w:val="center"/>
              <w:spacing w:after="0"/>
              <w:rPr>
                <w:sz w:val="20"/>
                <w:szCs w:val="20"/>
                <w:color w:val="auto"/>
              </w:rPr>
            </w:pPr>
            <w:r>
              <w:rPr>
                <w:rFonts w:ascii="Arial" w:cs="Arial" w:eastAsia="Arial" w:hAnsi="Arial"/>
                <w:sz w:val="14"/>
                <w:szCs w:val="14"/>
                <w:color w:val="auto"/>
                <w:w w:val="84"/>
              </w:rPr>
              <w:t>Insurance</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12.50%</w:t>
            </w:r>
          </w:p>
        </w:tc>
        <w:tc>
          <w:tcPr>
            <w:tcW w:w="720" w:type="dxa"/>
            <w:vAlign w:val="bottom"/>
          </w:tcPr>
          <w:p>
            <w:pPr>
              <w:jc w:val="right"/>
              <w:spacing w:after="0"/>
              <w:rPr>
                <w:sz w:val="20"/>
                <w:szCs w:val="20"/>
                <w:color w:val="auto"/>
              </w:rPr>
            </w:pPr>
            <w:r>
              <w:rPr>
                <w:rFonts w:ascii="Arial" w:cs="Arial" w:eastAsia="Arial" w:hAnsi="Arial"/>
                <w:sz w:val="14"/>
                <w:szCs w:val="14"/>
                <w:color w:val="auto"/>
              </w:rPr>
              <w:t>L+1,100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14,934,000</w:t>
            </w: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14,934,000</w:t>
            </w: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14,859,330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1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07/15/2016</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Hotels, Motels, Inns</w:t>
            </w:r>
          </w:p>
        </w:tc>
        <w:tc>
          <w:tcPr>
            <w:tcW w:w="8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11.38%</w:t>
            </w: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4,500,000</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4,401,515</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and Gaming</w:t>
            </w: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277,427,564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278,960,887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Maturity</w:t>
            </w:r>
          </w:p>
        </w:tc>
        <w:tc>
          <w:tcPr>
            <w:tcW w:w="1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5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Coupon</w:t>
            </w:r>
          </w:p>
        </w:tc>
        <w:tc>
          <w:tcPr>
            <w:tcW w:w="6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3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vMerge w:val="continue"/>
          </w:tcPr>
          <w:p>
            <w:pPr>
              <w:spacing w:after="0"/>
              <w:rPr>
                <w:sz w:val="12"/>
                <w:szCs w:val="12"/>
                <w:color w:val="auto"/>
              </w:rPr>
            </w:pPr>
          </w:p>
        </w:tc>
        <w:tc>
          <w:tcPr>
            <w:tcW w:w="680" w:type="dxa"/>
            <w:vAlign w:val="bottom"/>
          </w:tcPr>
          <w:p>
            <w:pPr>
              <w:jc w:val="right"/>
              <w:ind w:right="214"/>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Debt—25.3%</w:t>
            </w:r>
          </w:p>
        </w:tc>
        <w:tc>
          <w:tcPr>
            <w:tcW w:w="170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09/01/2017</w:t>
            </w:r>
          </w:p>
        </w:tc>
        <w:tc>
          <w:tcPr>
            <w:tcW w:w="186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88"/>
              </w:rPr>
              <w:t>Diversified Natural Resources,</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66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25,400,000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84"/>
              </w:rPr>
              <w:t>$25,400,000</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84"/>
              </w:rPr>
              <w:t>$26,098,500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4"/>
                <w:szCs w:val="14"/>
                <w:color w:val="auto"/>
                <w:w w:val="87"/>
              </w:rPr>
              <w:t>Precious Metals and Minerals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02/07/2015</w:t>
            </w:r>
          </w:p>
        </w:tc>
        <w:tc>
          <w:tcPr>
            <w:tcW w:w="18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13,600,000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13,378,432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02/07/2015</w:t>
            </w:r>
          </w:p>
        </w:tc>
        <w:tc>
          <w:tcPr>
            <w:tcW w:w="1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11,866,485</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11,232,000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1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02/01/2017</w:t>
            </w:r>
          </w:p>
        </w:tc>
        <w:tc>
          <w:tcPr>
            <w:tcW w:w="186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Consumer Products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34,000,000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31,964,822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Eureka Hunter Pipeline, LLC</w:t>
            </w:r>
          </w:p>
        </w:tc>
        <w:tc>
          <w:tcPr>
            <w:tcW w:w="1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08/16/2018</w:t>
            </w:r>
          </w:p>
        </w:tc>
        <w:tc>
          <w:tcPr>
            <w:tcW w:w="1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4"/>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45,000,000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44,543,688</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line="138" w:lineRule="exact"/>
              <w:rPr>
                <w:sz w:val="20"/>
                <w:szCs w:val="20"/>
                <w:color w:val="auto"/>
              </w:rPr>
            </w:pPr>
            <w:r>
              <w:rPr>
                <w:rFonts w:ascii="Arial" w:cs="Arial" w:eastAsia="Arial" w:hAnsi="Arial"/>
                <w:sz w:val="14"/>
                <w:szCs w:val="14"/>
                <w:color w:val="auto"/>
              </w:rPr>
              <w:t>Greatwide Logistics Services, L.L.C.</w:t>
            </w:r>
          </w:p>
        </w:tc>
        <w:tc>
          <w:tcPr>
            <w:tcW w:w="1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03/01/2014</w:t>
            </w:r>
          </w:p>
        </w:tc>
        <w:tc>
          <w:tcPr>
            <w:tcW w:w="186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L+700</w:t>
            </w:r>
          </w:p>
        </w:tc>
        <w:tc>
          <w:tcPr>
            <w:tcW w:w="300" w:type="dxa"/>
            <w:vAlign w:val="bottom"/>
            <w:vMerge w:val="continue"/>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3,184,219</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3,184,222</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2,292,640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(PIK 11.00%)</w:t>
            </w:r>
          </w:p>
        </w:tc>
        <w:tc>
          <w:tcPr>
            <w:tcW w:w="960" w:type="dxa"/>
            <w:vAlign w:val="bottom"/>
            <w:gridSpan w:val="2"/>
            <w:vMerge w:val="restart"/>
          </w:tcPr>
          <w:p>
            <w:pPr>
              <w:jc w:val="right"/>
              <w:ind w:right="84"/>
              <w:spacing w:after="0"/>
              <w:rPr>
                <w:sz w:val="20"/>
                <w:szCs w:val="20"/>
                <w:color w:val="auto"/>
              </w:rPr>
            </w:pPr>
            <w:r>
              <w:rPr>
                <w:rFonts w:ascii="Arial" w:cs="Arial" w:eastAsia="Arial" w:hAnsi="Arial"/>
                <w:sz w:val="14"/>
                <w:szCs w:val="14"/>
                <w:color w:val="auto"/>
              </w:rPr>
              <w:t xml:space="preserve">L+1,100 </w:t>
            </w:r>
            <w:r>
              <w:rPr>
                <w:rFonts w:ascii="Arial" w:cs="Arial" w:eastAsia="Arial" w:hAnsi="Arial"/>
                <w:sz w:val="22"/>
                <w:szCs w:val="22"/>
                <w:color w:val="auto"/>
                <w:vertAlign w:val="superscript"/>
              </w:rPr>
              <w:t>(8)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line="139" w:lineRule="exact"/>
              <w:rPr>
                <w:sz w:val="20"/>
                <w:szCs w:val="20"/>
                <w:color w:val="auto"/>
              </w:rPr>
            </w:pPr>
            <w:r>
              <w:rPr>
                <w:rFonts w:ascii="Arial" w:cs="Arial" w:eastAsia="Arial" w:hAnsi="Arial"/>
                <w:sz w:val="14"/>
                <w:szCs w:val="14"/>
                <w:color w:val="auto"/>
              </w:rPr>
              <w:t>Paradigm Management Services, LLC</w:t>
            </w:r>
          </w:p>
        </w:tc>
        <w:tc>
          <w:tcPr>
            <w:tcW w:w="1700" w:type="dxa"/>
            <w:vAlign w:val="bottom"/>
          </w:tcPr>
          <w:p>
            <w:pPr>
              <w:jc w:val="right"/>
              <w:ind w:right="32"/>
              <w:spacing w:after="0" w:line="139" w:lineRule="exact"/>
              <w:rPr>
                <w:sz w:val="20"/>
                <w:szCs w:val="20"/>
                <w:color w:val="auto"/>
              </w:rPr>
            </w:pPr>
            <w:r>
              <w:rPr>
                <w:rFonts w:ascii="Arial" w:cs="Arial" w:eastAsia="Arial" w:hAnsi="Arial"/>
                <w:sz w:val="14"/>
                <w:szCs w:val="14"/>
                <w:color w:val="auto"/>
              </w:rPr>
              <w:t>07/31/2017</w:t>
            </w:r>
          </w:p>
        </w:tc>
        <w:tc>
          <w:tcPr>
            <w:tcW w:w="1860" w:type="dxa"/>
            <w:vAlign w:val="bottom"/>
            <w:gridSpan w:val="2"/>
          </w:tcPr>
          <w:p>
            <w:pPr>
              <w:jc w:val="center"/>
              <w:ind w:right="20"/>
              <w:spacing w:after="0" w:line="139" w:lineRule="exact"/>
              <w:rPr>
                <w:sz w:val="20"/>
                <w:szCs w:val="20"/>
                <w:color w:val="auto"/>
              </w:rPr>
            </w:pPr>
            <w:r>
              <w:rPr>
                <w:rFonts w:ascii="Arial" w:cs="Arial" w:eastAsia="Arial" w:hAnsi="Arial"/>
                <w:sz w:val="14"/>
                <w:szCs w:val="14"/>
                <w:color w:val="auto"/>
                <w:w w:val="87"/>
              </w:rPr>
              <w:t>Healthcare, Education and</w:t>
            </w:r>
          </w:p>
        </w:tc>
        <w:tc>
          <w:tcPr>
            <w:tcW w:w="960" w:type="dxa"/>
            <w:vAlign w:val="bottom"/>
            <w:gridSpan w:val="2"/>
          </w:tcPr>
          <w:p>
            <w:pPr>
              <w:jc w:val="right"/>
              <w:ind w:right="200"/>
              <w:spacing w:after="0" w:line="139" w:lineRule="exact"/>
              <w:rPr>
                <w:sz w:val="20"/>
                <w:szCs w:val="20"/>
                <w:color w:val="auto"/>
              </w:rPr>
            </w:pPr>
            <w:r>
              <w:rPr>
                <w:rFonts w:ascii="Arial" w:cs="Arial" w:eastAsia="Arial" w:hAnsi="Arial"/>
                <w:sz w:val="14"/>
                <w:szCs w:val="14"/>
                <w:color w:val="auto"/>
              </w:rPr>
              <w:t>12.50%</w:t>
            </w:r>
          </w:p>
        </w:tc>
        <w:tc>
          <w:tcPr>
            <w:tcW w:w="960" w:type="dxa"/>
            <w:vAlign w:val="bottom"/>
            <w:gridSpan w:val="2"/>
            <w:vMerge w:val="continue"/>
          </w:tcPr>
          <w:p>
            <w:pPr>
              <w:spacing w:after="0"/>
              <w:rPr>
                <w:sz w:val="12"/>
                <w:szCs w:val="12"/>
                <w:color w:val="auto"/>
              </w:rPr>
            </w:pPr>
          </w:p>
        </w:tc>
        <w:tc>
          <w:tcPr>
            <w:tcW w:w="8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w w:val="91"/>
              </w:rPr>
              <w:t>20,512,821</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20,059,979</w:t>
            </w: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4"/>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4"/>
                <w:szCs w:val="14"/>
                <w:color w:val="auto"/>
                <w:w w:val="87"/>
              </w:rPr>
              <w:t>Childcare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974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Par/</w:t>
            </w:r>
          </w:p>
        </w:tc>
        <w:tc>
          <w:tcPr>
            <w:tcW w:w="7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580" w:type="dxa"/>
            <w:vAlign w:val="bottom"/>
            <w:gridSpan w:val="3"/>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Coupon</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700" w:type="dxa"/>
            <w:vAlign w:val="bottom"/>
            <w:vMerge w:val="continue"/>
          </w:tcPr>
          <w:p>
            <w:pPr>
              <w:spacing w:after="0"/>
              <w:rPr>
                <w:sz w:val="12"/>
                <w:szCs w:val="12"/>
                <w:color w:val="auto"/>
              </w:rPr>
            </w:pPr>
          </w:p>
        </w:tc>
        <w:tc>
          <w:tcPr>
            <w:tcW w:w="1060" w:type="dxa"/>
            <w:vAlign w:val="bottom"/>
            <w:gridSpan w:val="2"/>
          </w:tcPr>
          <w:p>
            <w:pPr>
              <w:jc w:val="right"/>
              <w:ind w:right="212"/>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Questex Media Group LLC, Term Loan A</w:t>
            </w:r>
          </w:p>
        </w:tc>
        <w:tc>
          <w:tcPr>
            <w:tcW w:w="3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88"/>
              </w:rPr>
              <w:t>12/15/2014</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Other Media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line="223" w:lineRule="exact"/>
              <w:rPr>
                <w:sz w:val="20"/>
                <w:szCs w:val="20"/>
                <w:color w:val="auto"/>
              </w:rPr>
            </w:pPr>
            <w:r>
              <w:rPr>
                <w:rFonts w:ascii="Arial" w:cs="Arial" w:eastAsia="Arial" w:hAnsi="Arial"/>
                <w:sz w:val="14"/>
                <w:szCs w:val="14"/>
                <w:color w:val="auto"/>
                <w:w w:val="84"/>
              </w:rPr>
              <w:t xml:space="preserve">L+650 </w:t>
            </w:r>
            <w:r>
              <w:rPr>
                <w:rFonts w:ascii="Arial" w:cs="Arial" w:eastAsia="Arial" w:hAnsi="Arial"/>
                <w:sz w:val="22"/>
                <w:szCs w:val="22"/>
                <w:color w:val="auto"/>
                <w:w w:val="84"/>
                <w:vertAlign w:val="superscript"/>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2,752,666</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$ 2,752,666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$ 2,584,753</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Questex Media Group LLC, Term Loan B</w:t>
            </w:r>
          </w:p>
        </w:tc>
        <w:tc>
          <w:tcPr>
            <w:tcW w:w="660" w:type="dxa"/>
            <w:vAlign w:val="bottom"/>
          </w:tcPr>
          <w:p>
            <w:pPr>
              <w:spacing w:after="0" w:line="138" w:lineRule="exact"/>
              <w:rPr>
                <w:sz w:val="20"/>
                <w:szCs w:val="20"/>
                <w:color w:val="auto"/>
              </w:rPr>
            </w:pPr>
            <w:r>
              <w:rPr>
                <w:rFonts w:ascii="Arial" w:cs="Arial" w:eastAsia="Arial" w:hAnsi="Arial"/>
                <w:sz w:val="14"/>
                <w:szCs w:val="14"/>
                <w:color w:val="auto"/>
                <w:w w:val="88"/>
              </w:rPr>
              <w:t>12/15/2015</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24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2,230,508</w:t>
            </w:r>
          </w:p>
        </w:tc>
        <w:tc>
          <w:tcPr>
            <w:tcW w:w="3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2,230,508</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2,002,996</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gridSpan w:val="3"/>
          </w:tcPr>
          <w:p>
            <w:pPr>
              <w:jc w:val="right"/>
              <w:ind w:right="164"/>
              <w:spacing w:after="0"/>
              <w:rPr>
                <w:sz w:val="20"/>
                <w:szCs w:val="20"/>
                <w:color w:val="auto"/>
              </w:rPr>
            </w:pPr>
            <w:r>
              <w:rPr>
                <w:rFonts w:ascii="Arial" w:cs="Arial" w:eastAsia="Arial" w:hAnsi="Arial"/>
                <w:sz w:val="14"/>
                <w:szCs w:val="14"/>
                <w:color w:val="auto"/>
                <w:w w:val="93"/>
              </w:rPr>
              <w:t>(PIK 11.50%)</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Realogy Corp.</w:t>
            </w:r>
          </w:p>
        </w:tc>
        <w:tc>
          <w:tcPr>
            <w:tcW w:w="1760" w:type="dxa"/>
            <w:vAlign w:val="bottom"/>
            <w:tcBorders>
              <w:right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w w:val="90"/>
              </w:rPr>
              <w:t>10/15/2017 Buildings and Real</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13.50%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1"/>
              </w:rPr>
              <w:t>10,000,000</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10,000,000</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10,062,500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Estate</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660" w:type="dxa"/>
            <w:vAlign w:val="bottom"/>
          </w:tcPr>
          <w:p>
            <w:pPr>
              <w:spacing w:after="0" w:line="138" w:lineRule="exact"/>
              <w:rPr>
                <w:sz w:val="20"/>
                <w:szCs w:val="20"/>
                <w:color w:val="auto"/>
              </w:rPr>
            </w:pPr>
            <w:r>
              <w:rPr>
                <w:rFonts w:ascii="Arial" w:cs="Arial" w:eastAsia="Arial" w:hAnsi="Arial"/>
                <w:sz w:val="14"/>
                <w:szCs w:val="14"/>
                <w:color w:val="auto"/>
                <w:w w:val="88"/>
              </w:rPr>
              <w:t>09/01/2018</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8"/>
              </w:rPr>
              <w:t>Hotels, Motels,</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12.13%</w:t>
            </w:r>
          </w:p>
        </w:tc>
        <w:tc>
          <w:tcPr>
            <w:tcW w:w="24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16,000,000</w:t>
            </w:r>
          </w:p>
        </w:tc>
        <w:tc>
          <w:tcPr>
            <w:tcW w:w="3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15,752,822</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18,560,000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Inns and Gaming</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6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88"/>
              </w:rPr>
              <w:t>06/15/2015</w:t>
            </w:r>
          </w:p>
        </w:tc>
        <w:tc>
          <w:tcPr>
            <w:tcW w:w="11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7,811,488</w:t>
            </w:r>
          </w:p>
        </w:tc>
        <w:tc>
          <w:tcPr>
            <w:tcW w:w="34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7,511,344</w:t>
            </w:r>
          </w:p>
        </w:tc>
        <w:tc>
          <w:tcPr>
            <w:tcW w:w="3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7,411,149</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188,644,968</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169,366,959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Notes—52.4%</w:t>
            </w:r>
          </w:p>
        </w:tc>
        <w:tc>
          <w:tcPr>
            <w:tcW w:w="66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88"/>
              </w:rPr>
              <w:t>10/02/2017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0"/>
              </w:rPr>
              <w:t>Electronics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2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19,000,000</w:t>
            </w:r>
          </w:p>
        </w:tc>
        <w:tc>
          <w:tcPr>
            <w:tcW w:w="3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18,563,943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7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w w:val="86"/>
              </w:rPr>
              <w:t>11/15/2015 Consumer Products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35,552,000</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34,172,451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24,175,360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Alegeus Technologies, LLC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88"/>
              </w:rPr>
              <w:t>02/15/2019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2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8,930,000</w:t>
            </w:r>
          </w:p>
        </w:tc>
        <w:tc>
          <w:tcPr>
            <w:tcW w:w="3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8,754,461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8,930,000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LLC</w:t>
            </w:r>
          </w:p>
        </w:tc>
        <w:tc>
          <w:tcPr>
            <w:tcW w:w="6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88"/>
              </w:rPr>
              <w:t>03/26/2018</w:t>
            </w:r>
          </w:p>
        </w:tc>
        <w:tc>
          <w:tcPr>
            <w:tcW w:w="1100" w:type="dxa"/>
            <w:vAlign w:val="bottom"/>
            <w:tcBorders>
              <w:right w:val="single" w:sz="8" w:color="CCEEFF"/>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23,277,586</w:t>
            </w: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22,812,086</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22,812,034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020" w:type="dxa"/>
            <w:vAlign w:val="bottom"/>
            <w:gridSpan w:val="3"/>
            <w:shd w:val="clear" w:color="auto" w:fill="CCEEFF"/>
          </w:tcPr>
          <w:p>
            <w:pPr>
              <w:jc w:val="right"/>
              <w:ind w:right="164"/>
              <w:spacing w:after="0"/>
              <w:rPr>
                <w:sz w:val="20"/>
                <w:szCs w:val="20"/>
                <w:color w:val="auto"/>
              </w:rPr>
            </w:pPr>
            <w:r>
              <w:rPr>
                <w:rFonts w:ascii="Arial" w:cs="Arial" w:eastAsia="Arial" w:hAnsi="Arial"/>
                <w:sz w:val="14"/>
                <w:szCs w:val="14"/>
                <w:color w:val="auto"/>
              </w:rPr>
              <w:t>(PIK 1.00%)</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Diversitech Corporation</w:t>
            </w:r>
          </w:p>
        </w:tc>
        <w:tc>
          <w:tcPr>
            <w:tcW w:w="660" w:type="dxa"/>
            <w:vAlign w:val="bottom"/>
          </w:tcPr>
          <w:p>
            <w:pPr>
              <w:spacing w:after="0" w:line="138" w:lineRule="exact"/>
              <w:rPr>
                <w:sz w:val="20"/>
                <w:szCs w:val="20"/>
                <w:color w:val="auto"/>
              </w:rPr>
            </w:pPr>
            <w:r>
              <w:rPr>
                <w:rFonts w:ascii="Arial" w:cs="Arial" w:eastAsia="Arial" w:hAnsi="Arial"/>
                <w:sz w:val="14"/>
                <w:szCs w:val="14"/>
                <w:color w:val="auto"/>
                <w:w w:val="88"/>
              </w:rPr>
              <w:t>01/29/2017</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90"/>
              </w:rPr>
              <w:t>Manufacturing/</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13.50%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(7)</w:t>
            </w:r>
          </w:p>
        </w:tc>
        <w:tc>
          <w:tcPr>
            <w:tcW w:w="100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11,000,000</w:t>
            </w:r>
          </w:p>
        </w:tc>
        <w:tc>
          <w:tcPr>
            <w:tcW w:w="3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10,836,901</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11,275,000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Basic Industry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Escort, Inc.</w:t>
            </w:r>
          </w:p>
        </w:tc>
        <w:tc>
          <w:tcPr>
            <w:tcW w:w="66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w w:val="88"/>
              </w:rPr>
              <w:t>06/01/2016</w:t>
            </w:r>
          </w:p>
        </w:tc>
        <w:tc>
          <w:tcPr>
            <w:tcW w:w="1100" w:type="dxa"/>
            <w:vAlign w:val="bottom"/>
            <w:tcBorders>
              <w:right w:val="single" w:sz="8" w:color="CCEEFF"/>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Electronics</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14.75%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1"/>
              </w:rPr>
              <w:t>25,254,035</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24,751,548</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25,254,035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020" w:type="dxa"/>
            <w:vAlign w:val="bottom"/>
            <w:gridSpan w:val="3"/>
            <w:shd w:val="clear" w:color="auto" w:fill="CCEEFF"/>
          </w:tcPr>
          <w:p>
            <w:pPr>
              <w:jc w:val="right"/>
              <w:ind w:right="164"/>
              <w:spacing w:after="0"/>
              <w:rPr>
                <w:sz w:val="20"/>
                <w:szCs w:val="20"/>
                <w:color w:val="auto"/>
              </w:rPr>
            </w:pPr>
            <w:r>
              <w:rPr>
                <w:rFonts w:ascii="Arial" w:cs="Arial" w:eastAsia="Arial" w:hAnsi="Arial"/>
                <w:sz w:val="14"/>
                <w:szCs w:val="14"/>
                <w:color w:val="auto"/>
              </w:rPr>
              <w:t>(PIK 2.75%)</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Galls, LLC; Quartermaster Inc.</w:t>
            </w:r>
          </w:p>
        </w:tc>
        <w:tc>
          <w:tcPr>
            <w:tcW w:w="660" w:type="dxa"/>
            <w:vAlign w:val="bottom"/>
          </w:tcPr>
          <w:p>
            <w:pPr>
              <w:spacing w:after="0" w:line="138" w:lineRule="exact"/>
              <w:rPr>
                <w:sz w:val="20"/>
                <w:szCs w:val="20"/>
                <w:color w:val="auto"/>
              </w:rPr>
            </w:pPr>
            <w:r>
              <w:rPr>
                <w:rFonts w:ascii="Arial" w:cs="Arial" w:eastAsia="Arial" w:hAnsi="Arial"/>
                <w:sz w:val="14"/>
                <w:szCs w:val="14"/>
                <w:color w:val="auto"/>
                <w:w w:val="88"/>
              </w:rPr>
              <w:t>03/31/2017</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13.00%</w:t>
            </w:r>
          </w:p>
        </w:tc>
        <w:tc>
          <w:tcPr>
            <w:tcW w:w="24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21,797,263</w:t>
            </w:r>
          </w:p>
        </w:tc>
        <w:tc>
          <w:tcPr>
            <w:tcW w:w="3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21,399,764</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21,906,249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gridSpan w:val="3"/>
          </w:tcPr>
          <w:p>
            <w:pPr>
              <w:jc w:val="right"/>
              <w:ind w:right="164"/>
              <w:spacing w:after="0"/>
              <w:rPr>
                <w:sz w:val="20"/>
                <w:szCs w:val="20"/>
                <w:color w:val="auto"/>
              </w:rPr>
            </w:pPr>
            <w:r>
              <w:rPr>
                <w:rFonts w:ascii="Arial" w:cs="Arial" w:eastAsia="Arial" w:hAnsi="Arial"/>
                <w:sz w:val="14"/>
                <w:szCs w:val="14"/>
                <w:color w:val="auto"/>
              </w:rPr>
              <w:t>(PIK 2.00%)</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JF Acquisition, LLC</w:t>
            </w:r>
          </w:p>
        </w:tc>
        <w:tc>
          <w:tcPr>
            <w:tcW w:w="66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w w:val="88"/>
              </w:rPr>
              <w:t>06/30/2017</w:t>
            </w:r>
          </w:p>
        </w:tc>
        <w:tc>
          <w:tcPr>
            <w:tcW w:w="1100" w:type="dxa"/>
            <w:vAlign w:val="bottom"/>
            <w:tcBorders>
              <w:right w:val="single" w:sz="8" w:color="CCEEFF"/>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14.00%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1"/>
              </w:rPr>
              <w:t>17,171,374</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16,748,220</w:t>
            </w:r>
          </w:p>
        </w:tc>
        <w:tc>
          <w:tcPr>
            <w:tcW w:w="10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17,377,430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020" w:type="dxa"/>
            <w:vAlign w:val="bottom"/>
            <w:gridSpan w:val="3"/>
            <w:shd w:val="clear" w:color="auto" w:fill="CCEEFF"/>
          </w:tcPr>
          <w:p>
            <w:pPr>
              <w:jc w:val="right"/>
              <w:ind w:right="164"/>
              <w:spacing w:after="0"/>
              <w:rPr>
                <w:sz w:val="20"/>
                <w:szCs w:val="20"/>
                <w:color w:val="auto"/>
              </w:rPr>
            </w:pPr>
            <w:r>
              <w:rPr>
                <w:rFonts w:ascii="Arial" w:cs="Arial" w:eastAsia="Arial" w:hAnsi="Arial"/>
                <w:sz w:val="14"/>
                <w:szCs w:val="14"/>
                <w:color w:val="auto"/>
              </w:rPr>
              <w:t>(PIK 2.00%)</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6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Current</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Above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50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Coupon</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960" w:type="dxa"/>
            <w:vAlign w:val="bottom"/>
            <w:gridSpan w:val="2"/>
            <w:vMerge w:val="continue"/>
          </w:tcPr>
          <w:p>
            <w:pPr>
              <w:spacing w:after="0"/>
              <w:rPr>
                <w:sz w:val="12"/>
                <w:szCs w:val="12"/>
                <w:color w:val="auto"/>
              </w:rPr>
            </w:pPr>
          </w:p>
        </w:tc>
        <w:tc>
          <w:tcPr>
            <w:tcW w:w="720" w:type="dxa"/>
            <w:vAlign w:val="bottom"/>
          </w:tcPr>
          <w:p>
            <w:pPr>
              <w:jc w:val="right"/>
              <w:ind w:right="234"/>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Last Mile Funding Corp.</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w w:val="99"/>
              </w:rPr>
              <w:t>06/30/2016</w:t>
            </w:r>
          </w:p>
        </w:tc>
        <w:tc>
          <w:tcPr>
            <w:tcW w:w="4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rPr>
              <w:t>Cargo Transport</w:t>
            </w: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340"/>
              <w:spacing w:after="0" w:line="118" w:lineRule="exact"/>
              <w:rPr>
                <w:sz w:val="20"/>
                <w:szCs w:val="20"/>
                <w:color w:val="auto"/>
              </w:rPr>
            </w:pPr>
            <w:r>
              <w:rPr>
                <w:rFonts w:ascii="Arial" w:cs="Arial" w:eastAsia="Arial" w:hAnsi="Arial"/>
                <w:sz w:val="12"/>
                <w:szCs w:val="12"/>
                <w:color w:val="auto"/>
                <w:w w:val="93"/>
              </w:rPr>
              <w:t>14.50</w:t>
            </w:r>
          </w:p>
        </w:tc>
        <w:tc>
          <w:tcPr>
            <w:tcW w:w="360" w:type="dxa"/>
            <w:vAlign w:val="bottom"/>
            <w:tcBorders>
              <w:top w:val="single" w:sz="8" w:color="CCEEFF"/>
            </w:tcBorders>
            <w:shd w:val="clear" w:color="auto" w:fill="CCEEFF"/>
          </w:tcPr>
          <w:p>
            <w:pPr>
              <w:jc w:val="right"/>
              <w:ind w:right="178"/>
              <w:spacing w:after="0" w:line="118" w:lineRule="exact"/>
              <w:rPr>
                <w:sz w:val="20"/>
                <w:szCs w:val="20"/>
                <w:color w:val="auto"/>
              </w:rPr>
            </w:pPr>
            <w:r>
              <w:rPr>
                <w:rFonts w:ascii="Arial" w:cs="Arial" w:eastAsia="Arial" w:hAnsi="Arial"/>
                <w:sz w:val="12"/>
                <w:szCs w:val="12"/>
                <w:color w:val="auto"/>
                <w:w w:val="93"/>
              </w:rPr>
              <w:t>%</w:t>
            </w:r>
          </w:p>
        </w:tc>
        <w:tc>
          <w:tcPr>
            <w:tcW w:w="640" w:type="dxa"/>
            <w:vAlign w:val="bottom"/>
            <w:tcBorders>
              <w:top w:val="single" w:sz="8" w:color="auto"/>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45,597,139</w:t>
            </w: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$44,677,474</w:t>
            </w: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$45,095,570</w:t>
            </w: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 2.50%)</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Learning Care Group (US)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06/30/2016</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6"/>
              </w:rPr>
              <w:t>Education</w:t>
            </w:r>
          </w:p>
        </w:tc>
        <w:tc>
          <w:tcPr>
            <w:tcW w:w="100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15.00%</w:t>
            </w:r>
          </w:p>
        </w:tc>
        <w:tc>
          <w:tcPr>
            <w:tcW w:w="88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9"/>
              </w:rPr>
              <w:t>5,277,718</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4,696,436</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4,815,918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4"/>
                <w:szCs w:val="14"/>
                <w:color w:val="auto"/>
                <w:w w:val="93"/>
              </w:rPr>
              <w:t>(PIK 15.00%)</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23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89"/>
              </w:rPr>
              <w:t>01/19/2019 Chemical, Plastic and Rubber</w:t>
            </w:r>
          </w:p>
        </w:tc>
        <w:tc>
          <w:tcPr>
            <w:tcW w:w="10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12.50%</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30,000,000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30,000,000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23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88"/>
              </w:rPr>
              <w:t>01/11/2014 Chemical, Plastic and Rubber</w:t>
            </w:r>
          </w:p>
        </w:tc>
        <w:tc>
          <w:tcPr>
            <w:tcW w:w="10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5,000,000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06/15/2017</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Printing and Publishing</w:t>
            </w:r>
          </w:p>
        </w:tc>
        <w:tc>
          <w:tcPr>
            <w:tcW w:w="100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14.50%</w:t>
            </w:r>
          </w:p>
        </w:tc>
        <w:tc>
          <w:tcPr>
            <w:tcW w:w="88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88"/>
              </w:rPr>
              <w:t>15,000,000</w:t>
            </w:r>
          </w:p>
        </w:tc>
        <w:tc>
          <w:tcPr>
            <w:tcW w:w="9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w w:val="99"/>
              </w:rPr>
              <w:t>14,632,413</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15,210,000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 2.00%)</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05/12/2017</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6"/>
              </w:rPr>
              <w:t>Aerospace</w:t>
            </w:r>
          </w:p>
        </w:tc>
        <w:tc>
          <w:tcPr>
            <w:tcW w:w="100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15.02%</w:t>
            </w:r>
          </w:p>
        </w:tc>
        <w:tc>
          <w:tcPr>
            <w:tcW w:w="88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8"/>
              </w:rPr>
              <w:t>17,123,218</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9"/>
              </w:rPr>
              <w:t>16,783,033</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w w:val="99"/>
              </w:rPr>
              <w:t>17,123,218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4"/>
                <w:szCs w:val="14"/>
                <w:color w:val="auto"/>
                <w:w w:val="83"/>
              </w:rPr>
              <w:t>and Defense</w:t>
            </w:r>
          </w:p>
        </w:tc>
        <w:tc>
          <w:tcPr>
            <w:tcW w:w="1000" w:type="dxa"/>
            <w:vAlign w:val="bottom"/>
            <w:gridSpan w:val="2"/>
          </w:tcPr>
          <w:p>
            <w:pPr>
              <w:jc w:val="right"/>
              <w:ind w:right="138"/>
              <w:spacing w:after="0"/>
              <w:rPr>
                <w:sz w:val="20"/>
                <w:szCs w:val="20"/>
                <w:color w:val="auto"/>
              </w:rPr>
            </w:pPr>
            <w:r>
              <w:rPr>
                <w:rFonts w:ascii="Arial" w:cs="Arial" w:eastAsia="Arial" w:hAnsi="Arial"/>
                <w:sz w:val="14"/>
                <w:szCs w:val="14"/>
                <w:color w:val="auto"/>
              </w:rPr>
              <w:t>(PIK 3.02%)</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85"/>
              </w:rPr>
              <w:t>12/03/2016</w:t>
            </w:r>
          </w:p>
        </w:tc>
        <w:tc>
          <w:tcPr>
            <w:tcW w:w="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40"/>
              <w:spacing w:after="0" w:line="139" w:lineRule="exact"/>
              <w:rPr>
                <w:sz w:val="20"/>
                <w:szCs w:val="20"/>
                <w:color w:val="auto"/>
              </w:rPr>
            </w:pPr>
            <w:r>
              <w:rPr>
                <w:rFonts w:ascii="Arial" w:cs="Arial" w:eastAsia="Arial" w:hAnsi="Arial"/>
                <w:sz w:val="14"/>
                <w:szCs w:val="14"/>
                <w:color w:val="auto"/>
                <w:w w:val="90"/>
              </w:rPr>
              <w:t>Mining, Steel, Iron</w:t>
            </w:r>
          </w:p>
        </w:tc>
        <w:tc>
          <w:tcPr>
            <w:tcW w:w="100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13.50%</w:t>
            </w:r>
          </w:p>
        </w:tc>
        <w:tc>
          <w:tcPr>
            <w:tcW w:w="88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w w:val="88"/>
              </w:rPr>
              <w:t>26,696,517</w:t>
            </w:r>
          </w:p>
        </w:tc>
        <w:tc>
          <w:tcPr>
            <w:tcW w:w="96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w w:val="99"/>
              </w:rPr>
              <w:t>26,263,685</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26,696,517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7"/>
              </w:rPr>
              <w:t>and Non-Precious Metals</w:t>
            </w:r>
          </w:p>
        </w:tc>
        <w:tc>
          <w:tcPr>
            <w:tcW w:w="100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 2.00%)</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2320" w:type="dxa"/>
            <w:vAlign w:val="bottom"/>
            <w:gridSpan w:val="4"/>
          </w:tcPr>
          <w:p>
            <w:pPr>
              <w:spacing w:after="0" w:line="149" w:lineRule="exact"/>
              <w:rPr>
                <w:sz w:val="20"/>
                <w:szCs w:val="20"/>
                <w:color w:val="auto"/>
              </w:rPr>
            </w:pPr>
            <w:r>
              <w:rPr>
                <w:rFonts w:ascii="Arial" w:cs="Arial" w:eastAsia="Arial" w:hAnsi="Arial"/>
                <w:sz w:val="14"/>
                <w:szCs w:val="14"/>
                <w:color w:val="auto"/>
                <w:w w:val="96"/>
              </w:rPr>
              <w:t>04/15/2018  Buildings and Real Estate</w:t>
            </w:r>
          </w:p>
        </w:tc>
        <w:tc>
          <w:tcPr>
            <w:tcW w:w="10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11.00%</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10,000,000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9,247,298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12/29/2015</w:t>
            </w:r>
          </w:p>
        </w:tc>
        <w:tc>
          <w:tcPr>
            <w:tcW w:w="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1"/>
                <w:szCs w:val="11"/>
                <w:color w:val="auto"/>
              </w:rPr>
              <w:t xml:space="preserve">15.00% </w:t>
            </w:r>
            <w:r>
              <w:rPr>
                <w:rFonts w:ascii="Arial" w:cs="Arial" w:eastAsia="Arial" w:hAnsi="Arial"/>
                <w:sz w:val="17"/>
                <w:szCs w:val="17"/>
                <w:color w:val="auto"/>
                <w:vertAlign w:val="superscript"/>
              </w:rPr>
              <w:t>(7)</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12,020,950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11,708,199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12,020,950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320" w:type="dxa"/>
            <w:vAlign w:val="bottom"/>
            <w:gridSpan w:val="4"/>
          </w:tcPr>
          <w:p>
            <w:pPr>
              <w:spacing w:after="0" w:line="138" w:lineRule="exact"/>
              <w:rPr>
                <w:sz w:val="20"/>
                <w:szCs w:val="20"/>
                <w:color w:val="auto"/>
              </w:rPr>
            </w:pPr>
            <w:r>
              <w:rPr>
                <w:rFonts w:ascii="Arial" w:cs="Arial" w:eastAsia="Arial" w:hAnsi="Arial"/>
                <w:sz w:val="14"/>
                <w:szCs w:val="14"/>
                <w:color w:val="auto"/>
                <w:w w:val="87"/>
              </w:rPr>
              <w:t>06/03/2019 Beverage, Food, and Tobacco</w:t>
            </w:r>
          </w:p>
        </w:tc>
        <w:tc>
          <w:tcPr>
            <w:tcW w:w="100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14.25%</w:t>
            </w:r>
          </w:p>
        </w:tc>
        <w:tc>
          <w:tcPr>
            <w:tcW w:w="88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8"/>
              </w:rPr>
              <w:t>14,778,578</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9"/>
              </w:rPr>
              <w:t>14,527,411</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w w:val="99"/>
              </w:rPr>
              <w:t>14,778,578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4"/>
                <w:szCs w:val="14"/>
                <w:color w:val="auto"/>
              </w:rPr>
              <w:t>(PIK 2.25%)</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(9)</w:t>
            </w:r>
          </w:p>
        </w:tc>
        <w:tc>
          <w:tcPr>
            <w:tcW w:w="23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87"/>
              </w:rPr>
              <w:t>06/02/2014 Beverage, Food, and Tobacco</w:t>
            </w:r>
          </w:p>
        </w:tc>
        <w:tc>
          <w:tcPr>
            <w:tcW w:w="10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4,000,000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3,920,000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12/31/2015</w:t>
            </w:r>
          </w:p>
        </w:tc>
        <w:tc>
          <w:tcPr>
            <w:tcW w:w="40" w:type="dxa"/>
            <w:vAlign w:val="bottom"/>
          </w:tcPr>
          <w:p>
            <w:pPr>
              <w:spacing w:after="0"/>
              <w:rPr>
                <w:sz w:val="12"/>
                <w:szCs w:val="12"/>
                <w:color w:val="auto"/>
              </w:rPr>
            </w:pPr>
          </w:p>
        </w:tc>
        <w:tc>
          <w:tcPr>
            <w:tcW w:w="1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13.00%</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16,200,000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15,916,579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16,200,000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355,236,902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351,070,859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Basis Point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0"/>
              </w:rPr>
              <w:t>Current</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66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80" w:type="dxa"/>
            <w:vAlign w:val="bottom"/>
          </w:tcPr>
          <w:p>
            <w:pPr>
              <w:ind w:left="860"/>
              <w:spacing w:after="0"/>
              <w:rPr>
                <w:sz w:val="20"/>
                <w:szCs w:val="20"/>
                <w:color w:val="auto"/>
              </w:rPr>
            </w:pPr>
            <w:r>
              <w:rPr>
                <w:rFonts w:ascii="Arial" w:cs="Arial" w:eastAsia="Arial" w:hAnsi="Arial"/>
                <w:sz w:val="14"/>
                <w:szCs w:val="14"/>
                <w:b w:val="1"/>
                <w:bCs w:val="1"/>
                <w:color w:val="auto"/>
              </w:rPr>
              <w:t>Maturity</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Coupon</w:t>
            </w:r>
          </w:p>
        </w:tc>
        <w:tc>
          <w:tcPr>
            <w:tcW w:w="8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 xml:space="preserve">Preferred Equity/Partnership Interests— 1.7% </w:t>
            </w:r>
            <w:r>
              <w:rPr>
                <w:rFonts w:ascii="Arial" w:cs="Arial" w:eastAsia="Arial" w:hAnsi="Arial"/>
                <w:sz w:val="21"/>
                <w:szCs w:val="21"/>
                <w:b w:val="1"/>
                <w:bCs w:val="1"/>
                <w:color w:val="auto"/>
                <w:vertAlign w:val="superscript"/>
              </w:rPr>
              <w:t>(6)</w:t>
            </w:r>
          </w:p>
        </w:tc>
        <w:tc>
          <w:tcPr>
            <w:tcW w:w="148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AH Holdings, Inc.</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6.00%</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211</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   500,000</w:t>
            </w:r>
          </w:p>
        </w:tc>
        <w:tc>
          <w:tcPr>
            <w:tcW w:w="14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624,081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00"/>
              <w:spacing w:after="0"/>
              <w:rPr>
                <w:sz w:val="20"/>
                <w:szCs w:val="20"/>
                <w:color w:val="auto"/>
              </w:rPr>
            </w:pPr>
            <w:r>
              <w:rPr>
                <w:rFonts w:ascii="Arial" w:cs="Arial" w:eastAsia="Arial" w:hAnsi="Arial"/>
                <w:sz w:val="14"/>
                <w:szCs w:val="14"/>
                <w:color w:val="auto"/>
              </w:rPr>
              <w:t>(American Surgical Holdings, Inc.)</w:t>
            </w:r>
          </w:p>
        </w:tc>
        <w:tc>
          <w:tcPr>
            <w:tcW w:w="148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148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7,505</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Series A</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7"/>
              </w:rPr>
              <w:t>Financial Services</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949</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1,031,820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480" w:type="dxa"/>
            <w:vAlign w:val="bottom"/>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76,357</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881,885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14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38,179</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7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00"/>
              <w:spacing w:after="0"/>
              <w:rPr>
                <w:sz w:val="20"/>
                <w:szCs w:val="20"/>
                <w:color w:val="auto"/>
              </w:rPr>
            </w:pPr>
            <w:r>
              <w:rPr>
                <w:rFonts w:ascii="Arial" w:cs="Arial" w:eastAsia="Arial" w:hAnsi="Arial"/>
                <w:sz w:val="14"/>
                <w:szCs w:val="14"/>
                <w:color w:val="auto"/>
              </w:rPr>
              <w:t>(Interactive Health Solutions, Inc.)</w:t>
            </w:r>
          </w:p>
        </w:tc>
        <w:tc>
          <w:tcPr>
            <w:tcW w:w="148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48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Electronics</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2,375</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HW Topco, Inc.</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8.00%</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3,591</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24,177</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27,916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ind w:left="200"/>
              <w:spacing w:after="0" w:line="159" w:lineRule="exact"/>
              <w:rPr>
                <w:sz w:val="20"/>
                <w:szCs w:val="20"/>
                <w:color w:val="auto"/>
              </w:rPr>
            </w:pPr>
            <w:r>
              <w:rPr>
                <w:rFonts w:ascii="Arial" w:cs="Arial" w:eastAsia="Arial" w:hAnsi="Arial"/>
                <w:sz w:val="14"/>
                <w:szCs w:val="14"/>
                <w:color w:val="auto"/>
              </w:rPr>
              <w:t>(Hanley-Wood, LLC)</w:t>
            </w: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80" w:type="dxa"/>
            <w:vAlign w:val="bottom"/>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Aerospace and Defense</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20,000</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1,980,000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823,710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14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480" w:type="dxa"/>
            <w:vAlign w:val="bottom"/>
          </w:tcPr>
          <w:p>
            <w:pPr>
              <w:spacing w:after="0"/>
              <w:rPr>
                <w:sz w:val="12"/>
                <w:szCs w:val="12"/>
                <w:color w:val="auto"/>
              </w:rPr>
            </w:pPr>
          </w:p>
        </w:tc>
        <w:tc>
          <w:tcPr>
            <w:tcW w:w="1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12.00%</w:t>
            </w: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1,099</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984,344</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80" w:type="dxa"/>
            <w:vAlign w:val="bottom"/>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4"/>
              </w:rPr>
              <w:t>Insurance</w:t>
            </w:r>
          </w:p>
        </w:tc>
        <w:tc>
          <w:tcPr>
            <w:tcW w:w="7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686</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TZ Holdings, L.P., Series B</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4"/>
              </w:rPr>
              <w:t>Insurance</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6.50%</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1,312</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1,666,679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148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Personal Transportation</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1,824,167</w:t>
            </w: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1,949,629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12,101,421</w:t>
            </w:r>
          </w:p>
        </w:tc>
        <w:tc>
          <w:tcPr>
            <w:tcW w:w="1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11,178,282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 9.2%</w:t>
            </w:r>
            <w:r>
              <w:rPr>
                <w:rFonts w:ascii="Arial" w:cs="Arial" w:eastAsia="Arial" w:hAnsi="Arial"/>
                <w:sz w:val="17"/>
                <w:szCs w:val="17"/>
                <w:b w:val="1"/>
                <w:bCs w:val="1"/>
                <w:color w:val="auto"/>
                <w:vertAlign w:val="superscript"/>
              </w:rPr>
              <w:t>(6)</w:t>
            </w:r>
          </w:p>
        </w:tc>
        <w:tc>
          <w:tcPr>
            <w:tcW w:w="14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480" w:type="dxa"/>
            <w:vAlign w:val="bottom"/>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Electronics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1,737,396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 Holdings, Inc. (Warrants)</w:t>
            </w:r>
          </w:p>
        </w:tc>
        <w:tc>
          <w:tcPr>
            <w:tcW w:w="1480" w:type="dxa"/>
            <w:vAlign w:val="bottom"/>
            <w:shd w:val="clear" w:color="auto" w:fill="CCEEFF"/>
          </w:tcPr>
          <w:p>
            <w:pPr>
              <w:ind w:left="820"/>
              <w:spacing w:after="0" w:line="138" w:lineRule="exact"/>
              <w:rPr>
                <w:sz w:val="20"/>
                <w:szCs w:val="20"/>
                <w:color w:val="auto"/>
              </w:rPr>
            </w:pPr>
            <w:r>
              <w:rPr>
                <w:rFonts w:ascii="Arial" w:cs="Arial" w:eastAsia="Arial" w:hAnsi="Arial"/>
                <w:sz w:val="14"/>
                <w:szCs w:val="14"/>
                <w:color w:val="auto"/>
                <w:w w:val="91"/>
              </w:rPr>
              <w:t>03/23/2021</w:t>
            </w:r>
          </w:p>
        </w:tc>
        <w:tc>
          <w:tcPr>
            <w:tcW w:w="17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Class A</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7"/>
              </w:rPr>
              <w:t>Financial Services</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950</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Autumn Games, LLC</w:t>
            </w:r>
          </w:p>
        </w:tc>
        <w:tc>
          <w:tcPr>
            <w:tcW w:w="1480" w:type="dxa"/>
            <w:vAlign w:val="bottom"/>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Broadcasting and</w:t>
            </w:r>
          </w:p>
        </w:tc>
        <w:tc>
          <w:tcPr>
            <w:tcW w:w="7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9"/>
              </w:rPr>
              <w:t>1,333,330</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7"/>
              </w:rPr>
              <w:t>Entertainment</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4"/>
              </w:rPr>
              <w:t>Distribution</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9"/>
              </w:rPr>
              <w:t>1,505,000</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1,505,000</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ind w:left="200"/>
              <w:spacing w:after="0" w:line="159" w:lineRule="exact"/>
              <w:rPr>
                <w:sz w:val="20"/>
                <w:szCs w:val="20"/>
                <w:color w:val="auto"/>
              </w:rPr>
            </w:pPr>
            <w:r>
              <w:rPr>
                <w:rFonts w:ascii="Arial" w:cs="Arial" w:eastAsia="Arial" w:hAnsi="Arial"/>
                <w:sz w:val="14"/>
                <w:szCs w:val="14"/>
                <w:color w:val="auto"/>
              </w:rPr>
              <w:t>(Galls, LLC; Quartermaster Inc.)</w:t>
            </w: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480" w:type="dxa"/>
            <w:vAlign w:val="bottom"/>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23,416</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234,693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270,457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14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0"/>
                <w:szCs w:val="10"/>
                <w:color w:val="auto"/>
              </w:rPr>
              <w:t>CI (IHS) Investment Holdings, LLC</w:t>
            </w:r>
            <w:r>
              <w:rPr>
                <w:rFonts w:ascii="Arial" w:cs="Arial" w:eastAsia="Arial" w:hAnsi="Arial"/>
                <w:sz w:val="15"/>
                <w:szCs w:val="15"/>
                <w:color w:val="auto"/>
                <w:vertAlign w:val="superscript"/>
              </w:rPr>
              <w:t>(9)</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11,708</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117,346</w:t>
            </w:r>
          </w:p>
        </w:tc>
        <w:tc>
          <w:tcPr>
            <w:tcW w:w="140" w:type="dxa"/>
            <w:vAlign w:val="bottom"/>
          </w:tcPr>
          <w:p>
            <w:pPr>
              <w:spacing w:after="0"/>
              <w:rPr>
                <w:sz w:val="11"/>
                <w:szCs w:val="11"/>
                <w:color w:val="auto"/>
              </w:rPr>
            </w:pPr>
          </w:p>
        </w:tc>
        <w:tc>
          <w:tcPr>
            <w:tcW w:w="7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00"/>
              <w:spacing w:after="0"/>
              <w:rPr>
                <w:sz w:val="20"/>
                <w:szCs w:val="20"/>
                <w:color w:val="auto"/>
              </w:rPr>
            </w:pPr>
            <w:r>
              <w:rPr>
                <w:rFonts w:ascii="Arial" w:cs="Arial" w:eastAsia="Arial" w:hAnsi="Arial"/>
                <w:sz w:val="14"/>
                <w:szCs w:val="14"/>
                <w:color w:val="auto"/>
              </w:rPr>
              <w:t>(Interactive Health Solutions, Inc.)</w:t>
            </w:r>
          </w:p>
        </w:tc>
        <w:tc>
          <w:tcPr>
            <w:tcW w:w="148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Convergint Technologies Holdings, LLC</w:t>
            </w:r>
          </w:p>
        </w:tc>
        <w:tc>
          <w:tcPr>
            <w:tcW w:w="1480" w:type="dxa"/>
            <w:vAlign w:val="bottom"/>
            <w:shd w:val="clear" w:color="auto" w:fill="CCEEFF"/>
          </w:tcPr>
          <w:p>
            <w:pPr>
              <w:ind w:left="1020"/>
              <w:spacing w:after="0" w:line="13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40"/>
              <w:spacing w:after="0" w:line="139" w:lineRule="exact"/>
              <w:rPr>
                <w:sz w:val="20"/>
                <w:szCs w:val="20"/>
                <w:color w:val="auto"/>
              </w:rPr>
            </w:pPr>
            <w:r>
              <w:rPr>
                <w:rFonts w:ascii="Arial" w:cs="Arial" w:eastAsia="Arial" w:hAnsi="Arial"/>
                <w:sz w:val="14"/>
                <w:szCs w:val="14"/>
                <w:color w:val="auto"/>
                <w:w w:val="87"/>
              </w:rPr>
              <w:t>Electronics</w:t>
            </w:r>
          </w:p>
        </w:tc>
        <w:tc>
          <w:tcPr>
            <w:tcW w:w="72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(Convergint Technologies) LLC</w:t>
            </w:r>
          </w:p>
        </w:tc>
        <w:tc>
          <w:tcPr>
            <w:tcW w:w="14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480" w:type="dxa"/>
            <w:vAlign w:val="bottom"/>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5,556</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1,904,033</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48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1,350,000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tcPr>
          <w:p>
            <w:pPr>
              <w:spacing w:after="0" w:line="138" w:lineRule="exact"/>
              <w:rPr>
                <w:sz w:val="20"/>
                <w:szCs w:val="20"/>
                <w:color w:val="auto"/>
              </w:rPr>
            </w:pPr>
            <w:r>
              <w:rPr>
                <w:rFonts w:ascii="Arial" w:cs="Arial" w:eastAsia="Arial" w:hAnsi="Arial"/>
                <w:sz w:val="14"/>
                <w:szCs w:val="14"/>
                <w:color w:val="auto"/>
              </w:rPr>
              <w:t>HW Topco, Inc.</w:t>
            </w:r>
          </w:p>
        </w:tc>
        <w:tc>
          <w:tcPr>
            <w:tcW w:w="1480" w:type="dxa"/>
            <w:vAlign w:val="bottom"/>
          </w:tcPr>
          <w:p>
            <w:pPr>
              <w:ind w:left="1020"/>
              <w:spacing w:after="0" w:line="138"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348,912</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2,443,050</w:t>
            </w: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2,642,438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00"/>
              <w:spacing w:after="0"/>
              <w:rPr>
                <w:sz w:val="20"/>
                <w:szCs w:val="20"/>
                <w:color w:val="auto"/>
              </w:rPr>
            </w:pPr>
            <w:r>
              <w:rPr>
                <w:rFonts w:ascii="Arial" w:cs="Arial" w:eastAsia="Arial" w:hAnsi="Arial"/>
                <w:sz w:val="14"/>
                <w:szCs w:val="14"/>
                <w:color w:val="auto"/>
              </w:rPr>
              <w:t>(Hanley-Wood, LLC)</w:t>
            </w: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2012</w:t>
      </w:r>
    </w:p>
    <w:p>
      <w:pPr>
        <w:sectPr>
          <w:pgSz w:w="11900" w:h="16838" w:orient="portrait"/>
          <w:cols w:equalWidth="0" w:num="1">
            <w:col w:w="11360"/>
          </w:cols>
          <w:pgMar w:left="240" w:top="460" w:right="29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Maturity</w:t>
            </w:r>
          </w:p>
        </w:tc>
      </w:tr>
      <w:tr>
        <w:trPr>
          <w:trHeight w:val="131"/>
        </w:trPr>
        <w:tc>
          <w:tcPr>
            <w:tcW w:w="20" w:type="dxa"/>
            <w:vAlign w:val="bottom"/>
          </w:tcPr>
          <w:p>
            <w:pPr>
              <w:spacing w:after="0"/>
              <w:rPr>
                <w:sz w:val="11"/>
                <w:szCs w:val="11"/>
                <w:color w:val="auto"/>
              </w:rPr>
            </w:pPr>
          </w:p>
        </w:tc>
        <w:tc>
          <w:tcPr>
            <w:tcW w:w="47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Kadmon Holdings, LLC, Class A</w:t>
            </w:r>
          </w:p>
        </w:tc>
        <w:tc>
          <w:tcPr>
            <w:tcW w:w="200" w:type="dxa"/>
            <w:vAlign w:val="bottom"/>
          </w:tcPr>
          <w:p>
            <w:pPr>
              <w:spacing w:after="0"/>
              <w:rPr>
                <w:sz w:val="11"/>
                <w:szCs w:val="11"/>
                <w:color w:val="auto"/>
              </w:rPr>
            </w:pPr>
          </w:p>
        </w:tc>
        <w:tc>
          <w:tcPr>
            <w:tcW w:w="620" w:type="dxa"/>
            <w:vAlign w:val="bottom"/>
            <w:tcBorders>
              <w:top w:val="single" w:sz="8" w:color="auto"/>
            </w:tcBorders>
          </w:tcPr>
          <w:p>
            <w:pPr>
              <w:ind w:left="200"/>
              <w:spacing w:after="0" w:line="131"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(Kadmon Pharmaceuticals,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Kadmon Holdings, LLC, Class D</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(Kadmon Pharmaceuticals,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04/27/2020</w:t>
            </w: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(Eureka Hunter Pipeline,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10/14/2013</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(Warrants) (Eureka Hunter Pipeline,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MidOcean JF Holdings Corp.</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(JF Acquisition,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MidOcean PPL Holdings,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(Pre-Paid Legal Services, Inc.)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Paradigm Acquisition Corp.</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960" w:type="dxa"/>
            <w:vAlign w:val="bottom"/>
            <w:gridSpan w:val="2"/>
          </w:tcPr>
          <w:p>
            <w:pPr>
              <w:ind w:left="200"/>
              <w:spacing w:after="0"/>
              <w:rPr>
                <w:sz w:val="20"/>
                <w:szCs w:val="20"/>
                <w:color w:val="auto"/>
              </w:rPr>
            </w:pPr>
            <w:r>
              <w:rPr>
                <w:rFonts w:ascii="Arial" w:cs="Arial" w:eastAsia="Arial" w:hAnsi="Arial"/>
                <w:sz w:val="14"/>
                <w:szCs w:val="14"/>
                <w:color w:val="auto"/>
              </w:rPr>
              <w:t>(Paradigm Management Services, LLC)</w:t>
            </w:r>
          </w:p>
        </w:tc>
        <w:tc>
          <w:tcPr>
            <w:tcW w:w="620" w:type="dxa"/>
            <w:vAlign w:val="bottom"/>
          </w:tcPr>
          <w:p>
            <w:pPr>
              <w:spacing w:after="0"/>
              <w:rPr>
                <w:sz w:val="14"/>
                <w:szCs w:val="14"/>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PAS Tech Holdings,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(PAS Technologies, Inc.)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A</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QMG HoldCo, LLC, Class B</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SPG Boyd Holdings Corp.</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960" w:type="dxa"/>
            <w:vAlign w:val="bottom"/>
            <w:gridSpan w:val="2"/>
          </w:tcPr>
          <w:p>
            <w:pPr>
              <w:ind w:left="200"/>
              <w:spacing w:after="0"/>
              <w:rPr>
                <w:sz w:val="20"/>
                <w:szCs w:val="20"/>
                <w:color w:val="auto"/>
              </w:rPr>
            </w:pPr>
            <w:r>
              <w:rPr>
                <w:rFonts w:ascii="Arial" w:cs="Arial" w:eastAsia="Arial" w:hAnsi="Arial"/>
                <w:sz w:val="14"/>
                <w:szCs w:val="14"/>
                <w:color w:val="auto"/>
              </w:rPr>
              <w:t>(LTI Flexible Products, Inc.)</w:t>
            </w:r>
          </w:p>
        </w:tc>
        <w:tc>
          <w:tcPr>
            <w:tcW w:w="620" w:type="dxa"/>
            <w:vAlign w:val="bottom"/>
          </w:tcPr>
          <w:p>
            <w:pPr>
              <w:spacing w:after="0"/>
              <w:rPr>
                <w:sz w:val="14"/>
                <w:szCs w:val="14"/>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Titan Private Holdings I, LLC – Class A</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(Tekelec Global, Inc.)</w:t>
            </w:r>
          </w:p>
        </w:tc>
        <w:tc>
          <w:tcPr>
            <w:tcW w:w="620" w:type="dxa"/>
            <w:vAlign w:val="bottom"/>
          </w:tcPr>
          <w:p>
            <w:pPr>
              <w:spacing w:after="0"/>
              <w:rPr>
                <w:sz w:val="12"/>
                <w:szCs w:val="12"/>
                <w:color w:val="auto"/>
              </w:rPr>
            </w:pPr>
          </w:p>
        </w:tc>
      </w:tr>
      <w:tr>
        <w:trPr>
          <w:trHeight w:val="132"/>
        </w:trPr>
        <w:tc>
          <w:tcPr>
            <w:tcW w:w="4980" w:type="dxa"/>
            <w:vAlign w:val="bottom"/>
            <w:gridSpan w:val="3"/>
          </w:tcPr>
          <w:p>
            <w:pPr>
              <w:spacing w:after="0" w:line="133" w:lineRule="exact"/>
              <w:rPr>
                <w:sz w:val="20"/>
                <w:szCs w:val="20"/>
                <w:color w:val="auto"/>
              </w:rPr>
            </w:pPr>
            <w:r>
              <w:rPr>
                <w:rFonts w:ascii="Arial" w:cs="Arial" w:eastAsia="Arial" w:hAnsi="Arial"/>
                <w:sz w:val="14"/>
                <w:szCs w:val="14"/>
                <w:color w:val="auto"/>
              </w:rPr>
              <w:t>TRAK Acquisition Corp. (Warrants)</w:t>
            </w:r>
          </w:p>
        </w:tc>
        <w:tc>
          <w:tcPr>
            <w:tcW w:w="620" w:type="dxa"/>
            <w:vAlign w:val="bottom"/>
          </w:tcPr>
          <w:p>
            <w:pPr>
              <w:spacing w:after="0" w:line="133" w:lineRule="exact"/>
              <w:rPr>
                <w:sz w:val="20"/>
                <w:szCs w:val="20"/>
                <w:color w:val="auto"/>
              </w:rPr>
            </w:pPr>
            <w:r>
              <w:rPr>
                <w:rFonts w:ascii="Arial" w:cs="Arial" w:eastAsia="Arial" w:hAnsi="Arial"/>
                <w:sz w:val="14"/>
                <w:szCs w:val="14"/>
                <w:color w:val="auto"/>
                <w:w w:val="85"/>
              </w:rPr>
              <w:t>12/29/2019</w:t>
            </w:r>
          </w:p>
        </w:tc>
      </w:tr>
      <w:tr>
        <w:trPr>
          <w:trHeight w:val="165"/>
        </w:trPr>
        <w:tc>
          <w:tcPr>
            <w:tcW w:w="4980" w:type="dxa"/>
            <w:vAlign w:val="bottom"/>
            <w:gridSpan w:val="3"/>
          </w:tcPr>
          <w:p>
            <w:pPr>
              <w:spacing w:after="0" w:line="165"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(13)</w:t>
            </w:r>
          </w:p>
        </w:tc>
        <w:tc>
          <w:tcPr>
            <w:tcW w:w="620" w:type="dxa"/>
            <w:vAlign w:val="bottom"/>
          </w:tcPr>
          <w:p>
            <w:pPr>
              <w:ind w:left="20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spacing w:after="0"/>
              <w:rPr>
                <w:sz w:val="12"/>
                <w:szCs w:val="12"/>
                <w:color w:val="auto"/>
              </w:rPr>
            </w:pPr>
          </w:p>
        </w:tc>
      </w:tr>
      <w:tr>
        <w:trPr>
          <w:trHeight w:val="149"/>
        </w:trPr>
        <w:tc>
          <w:tcPr>
            <w:tcW w:w="498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2"/>
                <w:szCs w:val="12"/>
                <w:color w:val="auto"/>
              </w:rPr>
            </w:pPr>
          </w:p>
        </w:tc>
      </w:tr>
      <w:tr>
        <w:trPr>
          <w:trHeight w:val="172"/>
        </w:trPr>
        <w:tc>
          <w:tcPr>
            <w:tcW w:w="4980" w:type="dxa"/>
            <w:vAlign w:val="bottom"/>
            <w:gridSpan w:val="3"/>
          </w:tcPr>
          <w:p>
            <w:pPr>
              <w:spacing w:after="0"/>
              <w:rPr>
                <w:sz w:val="20"/>
                <w:szCs w:val="20"/>
                <w:color w:val="auto"/>
              </w:rPr>
            </w:pPr>
            <w:r>
              <w:rPr>
                <w:rFonts w:ascii="Arial" w:cs="Arial" w:eastAsia="Arial" w:hAnsi="Arial"/>
                <w:sz w:val="14"/>
                <w:szCs w:val="14"/>
                <w:color w:val="auto"/>
              </w:rPr>
              <w:t>Verde Parent Holdings, Inc.</w:t>
            </w:r>
          </w:p>
        </w:tc>
        <w:tc>
          <w:tcPr>
            <w:tcW w:w="620" w:type="dxa"/>
            <w:vAlign w:val="bottom"/>
          </w:tcPr>
          <w:p>
            <w:pPr>
              <w:ind w:left="2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r>
      <w:tr>
        <w:trPr>
          <w:trHeight w:val="134"/>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r>
      <w:tr>
        <w:trPr>
          <w:trHeight w:val="176"/>
        </w:trPr>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(4)</w:t>
            </w:r>
          </w:p>
        </w:tc>
      </w:tr>
      <w:tr>
        <w:trPr>
          <w:trHeight w:val="131"/>
        </w:trPr>
        <w:tc>
          <w:tcPr>
            <w:tcW w:w="12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7"/>
              </w:rPr>
              <w:t>Healthcare, Education</w:t>
            </w:r>
          </w:p>
        </w:tc>
        <w:tc>
          <w:tcPr>
            <w:tcW w:w="200" w:type="dxa"/>
            <w:vAlign w:val="bottom"/>
          </w:tcPr>
          <w:p>
            <w:pPr>
              <w:spacing w:after="0"/>
              <w:rPr>
                <w:sz w:val="11"/>
                <w:szCs w:val="11"/>
                <w:color w:val="auto"/>
              </w:rPr>
            </w:pPr>
          </w:p>
        </w:tc>
        <w:tc>
          <w:tcPr>
            <w:tcW w:w="4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640" w:type="dxa"/>
            <w:vAlign w:val="bottom"/>
            <w:tcBorders>
              <w:top w:val="single" w:sz="8" w:color="auto"/>
            </w:tcBorders>
          </w:tcPr>
          <w:p>
            <w:pPr>
              <w:ind w:left="440"/>
              <w:spacing w:after="0" w:line="131" w:lineRule="exact"/>
              <w:rPr>
                <w:sz w:val="20"/>
                <w:szCs w:val="20"/>
                <w:color w:val="auto"/>
              </w:rPr>
            </w:pPr>
            <w:r>
              <w:rPr>
                <w:rFonts w:ascii="Arial" w:cs="Arial" w:eastAsia="Arial" w:hAnsi="Arial"/>
                <w:sz w:val="14"/>
                <w:szCs w:val="14"/>
                <w:color w:val="auto"/>
              </w:rPr>
              <w:t>—</w:t>
            </w: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Education</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7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Oil and Gas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Oil and Gas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Distribution</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Personal, Food and</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Healthcare, Education</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r>
      <w:tr>
        <w:trPr>
          <w:trHeight w:val="16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Other Media</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Other Media</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Chemical, Plastic</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62"/>
        </w:trPr>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84"/>
              </w:rPr>
              <w:t>and Rubber</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Telecommunications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7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Insurance</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3"/>
        </w:trPr>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83"/>
              </w:rPr>
              <w:t>Personal</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72"/>
        </w:trPr>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Transportation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-3051810</wp:posOffset>
            </wp:positionV>
            <wp:extent cx="7246620" cy="1974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-2666365</wp:posOffset>
            </wp:positionV>
            <wp:extent cx="724662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-2383155</wp:posOffset>
            </wp:positionV>
            <wp:extent cx="724662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-2005965</wp:posOffset>
            </wp:positionV>
            <wp:extent cx="724662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-1619885</wp:posOffset>
            </wp:positionV>
            <wp:extent cx="724662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-1242695</wp:posOffset>
            </wp:positionV>
            <wp:extent cx="724662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-856615</wp:posOffset>
            </wp:positionV>
            <wp:extent cx="724662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-573405</wp:posOffset>
            </wp:positionV>
            <wp:extent cx="724662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-196215</wp:posOffset>
            </wp:positionV>
            <wp:extent cx="724662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continue"/>
          </w:tcPr>
          <w:p>
            <w:pPr>
              <w:spacing w:after="0"/>
              <w:rPr>
                <w:sz w:val="12"/>
                <w:szCs w:val="12"/>
                <w:color w:val="auto"/>
              </w:rPr>
            </w:pPr>
          </w:p>
        </w:tc>
        <w:tc>
          <w:tcPr>
            <w:tcW w:w="680" w:type="dxa"/>
            <w:vAlign w:val="bottom"/>
          </w:tcPr>
          <w:p>
            <w:pPr>
              <w:jc w:val="right"/>
              <w:ind w:right="213"/>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66"/>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1,079,920</w:t>
            </w:r>
          </w:p>
        </w:tc>
        <w:tc>
          <w:tcPr>
            <w:tcW w:w="2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2"/>
              </w:rPr>
              <w:t>$1,236,832</w:t>
            </w:r>
          </w:p>
        </w:tc>
        <w:tc>
          <w:tcPr>
            <w:tcW w:w="2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4"/>
              </w:rPr>
              <w:t>$12,013,688</w:t>
            </w:r>
          </w:p>
        </w:tc>
        <w:tc>
          <w:tcPr>
            <w:tcW w:w="0" w:type="dxa"/>
            <w:vAlign w:val="bottom"/>
          </w:tcPr>
          <w:p>
            <w:pPr>
              <w:spacing w:after="0"/>
              <w:rPr>
                <w:sz w:val="1"/>
                <w:szCs w:val="1"/>
                <w:color w:val="auto"/>
              </w:rPr>
            </w:pPr>
          </w:p>
        </w:tc>
      </w:tr>
      <w:tr>
        <w:trPr>
          <w:trHeight w:val="286"/>
        </w:trPr>
        <w:tc>
          <w:tcPr>
            <w:tcW w:w="580" w:type="dxa"/>
            <w:vAlign w:val="bottom"/>
          </w:tcPr>
          <w:p>
            <w:pPr>
              <w:jc w:val="right"/>
              <w:spacing w:after="0"/>
              <w:rPr>
                <w:sz w:val="20"/>
                <w:szCs w:val="20"/>
                <w:color w:val="auto"/>
              </w:rPr>
            </w:pPr>
            <w:r>
              <w:rPr>
                <w:rFonts w:ascii="Arial" w:cs="Arial" w:eastAsia="Arial" w:hAnsi="Arial"/>
                <w:sz w:val="14"/>
                <w:szCs w:val="14"/>
                <w:color w:val="auto"/>
                <w:w w:val="89"/>
              </w:rPr>
              <w:t>1,079,920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1,028,807</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Arial" w:cs="Arial" w:eastAsia="Arial" w:hAnsi="Arial"/>
                <w:sz w:val="14"/>
                <w:szCs w:val="14"/>
                <w:color w:val="auto"/>
              </w:rPr>
              <w:t>1,267</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779,920</w:t>
            </w:r>
          </w:p>
        </w:tc>
        <w:tc>
          <w:tcPr>
            <w:tcW w:w="28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4"/>
                <w:szCs w:val="14"/>
                <w:color w:val="auto"/>
                <w:w w:val="89"/>
              </w:rPr>
              <w:t>1,221,932</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3,239,999</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122,193</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105,697</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1,700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1,700,000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3,000,000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20,000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2,000,000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20,000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20,000</w:t>
            </w:r>
          </w:p>
        </w:tc>
        <w:tc>
          <w:tcPr>
            <w:tcW w:w="280" w:type="dxa"/>
            <w:vAlign w:val="bottom"/>
          </w:tcPr>
          <w:p>
            <w:pPr>
              <w:spacing w:after="0"/>
              <w:rPr>
                <w:sz w:val="24"/>
                <w:szCs w:val="24"/>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4,325</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1,306,166</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531</w:t>
            </w:r>
          </w:p>
        </w:tc>
        <w:tc>
          <w:tcPr>
            <w:tcW w:w="2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300,000</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3,000,000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w w:val="89"/>
              </w:rPr>
              <w:t>2,276,847</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2,274,883</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Arial" w:cs="Arial" w:eastAsia="Arial" w:hAnsi="Arial"/>
                <w:sz w:val="14"/>
                <w:szCs w:val="14"/>
                <w:color w:val="auto"/>
              </w:rPr>
              <w:t>3,500</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29,400</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4"/>
                <w:szCs w:val="14"/>
                <w:color w:val="auto"/>
              </w:rPr>
              <w:t>137,923</w:t>
            </w:r>
          </w:p>
        </w:tc>
        <w:tc>
          <w:tcPr>
            <w:tcW w:w="2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3"/>
              </w:rPr>
              <w:t>2,111,588</w:t>
            </w: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9,567</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9,166</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9,167</w:t>
            </w:r>
          </w:p>
        </w:tc>
        <w:tc>
          <w:tcPr>
            <w:tcW w:w="280" w:type="dxa"/>
            <w:vAlign w:val="bottom"/>
          </w:tcPr>
          <w:p>
            <w:pPr>
              <w:spacing w:after="0"/>
              <w:rPr>
                <w:sz w:val="24"/>
                <w:szCs w:val="24"/>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3">
            <w:col w:w="5600" w:space="200"/>
            <w:col w:w="2880" w:space="260"/>
            <w:col w:w="2420"/>
          </w:cols>
          <w:pgMar w:left="240" w:top="46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SEE NOTES TO CONSOLIDATED FINANCIAL STATEMENTS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60"/>
          </w:cols>
          <w:pgMar w:left="240" w:top="460" w:right="29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Spread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Above</w:t>
            </w: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4"/>
                <w:szCs w:val="14"/>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4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Coupon</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VText Holdings, Inc.</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00"/>
              <w:spacing w:after="0" w:line="131"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Business Services</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80"/>
              <w:spacing w:after="0" w:line="131"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60"/>
              <w:spacing w:after="0" w:line="13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35,526</w:t>
            </w:r>
          </w:p>
        </w:tc>
        <w:tc>
          <w:tcPr>
            <w:tcW w:w="2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92"/>
              </w:rPr>
              <w:t>$  4,050,000</w:t>
            </w:r>
          </w:p>
        </w:tc>
        <w:tc>
          <w:tcPr>
            <w:tcW w:w="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95"/>
              </w:rPr>
              <w:t>$  6,941,000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(Veritext Corp.)</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38,457,098</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61,315,758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871,867,953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871,892,745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gridSpan w:val="4"/>
          </w:tcPr>
          <w:p>
            <w:pPr>
              <w:spacing w:after="0" w:line="156" w:lineRule="exact"/>
              <w:rPr>
                <w:sz w:val="20"/>
                <w:szCs w:val="20"/>
                <w:color w:val="auto"/>
              </w:rPr>
            </w:pPr>
            <w:r>
              <w:rPr>
                <w:rFonts w:ascii="Arial" w:cs="Arial" w:eastAsia="Arial" w:hAnsi="Arial"/>
                <w:sz w:val="12"/>
                <w:szCs w:val="12"/>
                <w:b w:val="1"/>
                <w:bCs w:val="1"/>
                <w:color w:val="auto"/>
              </w:rPr>
              <w:t xml:space="preserve">Investments in Non-Controlled, Affiliated Portfolio Companies— 12.0% </w:t>
            </w:r>
            <w:r>
              <w:rPr>
                <w:rFonts w:ascii="Arial" w:cs="Arial" w:eastAsia="Arial" w:hAnsi="Arial"/>
                <w:sz w:val="18"/>
                <w:szCs w:val="18"/>
                <w:b w:val="1"/>
                <w:bCs w:val="1"/>
                <w:color w:val="auto"/>
                <w:vertAlign w:val="superscript"/>
              </w:rPr>
              <w:t>(1),(2)</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 1.1%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 xml:space="preserve">L+625 </w:t>
            </w:r>
            <w:r>
              <w:rPr>
                <w:rFonts w:ascii="Arial" w:cs="Arial" w:eastAsia="Arial" w:hAnsi="Arial"/>
                <w:sz w:val="22"/>
                <w:szCs w:val="22"/>
                <w:color w:val="auto"/>
                <w:vertAlign w:val="superscript"/>
              </w:rPr>
              <w:t>(8)</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5"/>
              </w:rPr>
              <w:t>01/16/2015</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5"/>
              </w:rPr>
              <w:t>Leisure, Amusement</w:t>
            </w:r>
          </w:p>
        </w:tc>
        <w:tc>
          <w:tcPr>
            <w:tcW w:w="9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7.25%</w:t>
            </w:r>
          </w:p>
        </w:tc>
        <w:tc>
          <w:tcPr>
            <w:tcW w:w="1080" w:type="dxa"/>
            <w:vAlign w:val="bottom"/>
            <w:gridSpan w:val="2"/>
            <w:vMerge w:val="continue"/>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8,000,000</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8,000,000</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7,672,000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Motion Pictures and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Notes—7.1%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5"/>
              </w:rPr>
              <w:t>07/16/2015</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Leisure, Amusement,</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10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7,567,234</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7,435,314</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7,453,725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Motion Pictures and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10/02/2017</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Auto Sector</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23,495,700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10/02/2013</w:t>
            </w: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Auto Sector</w:t>
            </w:r>
          </w:p>
        </w:tc>
        <w:tc>
          <w:tcPr>
            <w:tcW w:w="9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16,000,000</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15,640,000</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46,571,014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47,453,725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Interest—3.8% </w:t>
            </w:r>
            <w:r>
              <w:rPr>
                <w:rFonts w:ascii="Arial" w:cs="Arial" w:eastAsia="Arial" w:hAnsi="Arial"/>
                <w:sz w:val="18"/>
                <w:szCs w:val="18"/>
                <w:b w:val="1"/>
                <w:bCs w:val="1"/>
                <w:color w:val="auto"/>
                <w:vertAlign w:val="superscript"/>
              </w:rPr>
              <w:t>(6)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1"/>
              </w:rPr>
              <w:t>Environmental</w:t>
            </w:r>
          </w:p>
        </w:tc>
        <w:tc>
          <w:tcPr>
            <w:tcW w:w="9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125,106</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10,055,844</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18,425,519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8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Leisure, Amusement,</w:t>
            </w:r>
          </w:p>
        </w:tc>
        <w:tc>
          <w:tcPr>
            <w:tcW w:w="9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375,000</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3,750,000</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2,902,355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Motion Pictures and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New Service Champ Holdings, Inc.</w:t>
            </w:r>
          </w:p>
        </w:tc>
        <w:tc>
          <w:tcPr>
            <w:tcW w:w="8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90"/>
              </w:rPr>
              <w:t>Auto Sector</w:t>
            </w:r>
          </w:p>
        </w:tc>
        <w:tc>
          <w:tcPr>
            <w:tcW w:w="960" w:type="dxa"/>
            <w:vAlign w:val="bottom"/>
            <w:gridSpan w:val="2"/>
            <w:shd w:val="clear" w:color="auto" w:fill="CCEEFF"/>
          </w:tcPr>
          <w:p>
            <w:pPr>
              <w:ind w:left="280"/>
              <w:spacing w:after="0" w:line="13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16,800</w:t>
            </w:r>
          </w:p>
        </w:tc>
        <w:tc>
          <w:tcPr>
            <w:tcW w:w="10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4,200,000</w:t>
            </w:r>
          </w:p>
        </w:tc>
        <w:tc>
          <w:tcPr>
            <w:tcW w:w="10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4,501,658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 Champ,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18,005,844</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25,829,532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Total Investments in Non-Controlled, 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72,576,858</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80,955,257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246620" cy="946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Basis Point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Spread</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jc w:val="right"/>
              <w:ind w:right="415"/>
              <w:spacing w:after="0" w:line="135" w:lineRule="exact"/>
              <w:rPr>
                <w:sz w:val="20"/>
                <w:szCs w:val="20"/>
                <w:color w:val="auto"/>
              </w:rPr>
            </w:pPr>
            <w:r>
              <w:rPr>
                <w:rFonts w:ascii="Arial" w:cs="Arial" w:eastAsia="Arial" w:hAnsi="Arial"/>
                <w:sz w:val="14"/>
                <w:szCs w:val="14"/>
                <w:b w:val="1"/>
                <w:bCs w:val="1"/>
                <w:color w:val="auto"/>
              </w:rPr>
              <w:t>Current</w:t>
            </w: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Above</w:t>
            </w:r>
          </w:p>
        </w:tc>
        <w:tc>
          <w:tcPr>
            <w:tcW w:w="10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(3)</w:t>
            </w:r>
          </w:p>
        </w:tc>
        <w:tc>
          <w:tcPr>
            <w:tcW w:w="0" w:type="dxa"/>
            <w:vAlign w:val="bottom"/>
          </w:tcPr>
          <w:p>
            <w:pPr>
              <w:spacing w:after="0"/>
              <w:rPr>
                <w:sz w:val="1"/>
                <w:szCs w:val="1"/>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tcPr>
          <w:p>
            <w:pPr>
              <w:jc w:val="center"/>
              <w:ind w:left="12"/>
              <w:spacing w:after="0"/>
              <w:rPr>
                <w:sz w:val="20"/>
                <w:szCs w:val="20"/>
                <w:color w:val="auto"/>
              </w:rPr>
            </w:pPr>
            <w:r>
              <w:rPr>
                <w:rFonts w:ascii="Arial" w:cs="Arial" w:eastAsia="Arial" w:hAnsi="Arial"/>
                <w:sz w:val="14"/>
                <w:szCs w:val="14"/>
                <w:b w:val="1"/>
                <w:bCs w:val="1"/>
                <w:color w:val="auto"/>
                <w:w w:val="95"/>
              </w:rPr>
              <w:t>Maturity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Coupon</w:t>
            </w:r>
          </w:p>
        </w:tc>
        <w:tc>
          <w:tcPr>
            <w:tcW w:w="120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 xml:space="preserve">Investments in Controlled, Affiliated Portfolio Companies—5.6% </w:t>
            </w:r>
            <w:r>
              <w:rPr>
                <w:rFonts w:ascii="Arial" w:cs="Arial" w:eastAsia="Arial" w:hAnsi="Arial"/>
                <w:sz w:val="21"/>
                <w:szCs w:val="21"/>
                <w:b w:val="1"/>
                <w:bCs w:val="1"/>
                <w:color w:val="auto"/>
                <w:vertAlign w:val="superscript"/>
              </w:rPr>
              <w:t>(1),(2)</w:t>
            </w:r>
          </w:p>
        </w:tc>
        <w:tc>
          <w:tcPr>
            <w:tcW w:w="1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8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06/30/2020</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shd w:val="clear" w:color="auto" w:fill="CCEEFF"/>
          </w:tcPr>
          <w:p>
            <w:pPr>
              <w:jc w:val="right"/>
              <w:ind w:right="5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8"/>
              </w:rPr>
              <w:t>10,800,000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8"/>
              </w:rPr>
              <w:t>12/31/2015</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00" w:type="dxa"/>
            <w:vAlign w:val="bottom"/>
          </w:tcPr>
          <w:p>
            <w:pPr>
              <w:jc w:val="right"/>
              <w:ind w:right="395"/>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743,187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8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12/31/2015</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00" w:type="dxa"/>
            <w:vAlign w:val="bottom"/>
            <w:shd w:val="clear" w:color="auto" w:fill="CCEEFF"/>
          </w:tcPr>
          <w:p>
            <w:pPr>
              <w:jc w:val="right"/>
              <w:ind w:right="395"/>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9"/>
              </w:rPr>
              <w:t>1,173,479</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1,173,479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12,536,691</w:t>
            </w: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12,716,666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tcPr>
          <w:p>
            <w:pPr>
              <w:spacing w:after="0" w:line="138" w:lineRule="exact"/>
              <w:rPr>
                <w:sz w:val="20"/>
                <w:szCs w:val="20"/>
                <w:color w:val="auto"/>
              </w:rPr>
            </w:pPr>
            <w:r>
              <w:rPr>
                <w:rFonts w:ascii="Arial" w:cs="Arial" w:eastAsia="Arial" w:hAnsi="Arial"/>
                <w:sz w:val="14"/>
                <w:szCs w:val="14"/>
                <w:color w:val="auto"/>
              </w:rPr>
              <w:t>UP Support Services, Inc.</w:t>
            </w:r>
          </w:p>
        </w:tc>
        <w:tc>
          <w:tcPr>
            <w:tcW w:w="880" w:type="dxa"/>
            <w:vAlign w:val="bottom"/>
          </w:tcPr>
          <w:p>
            <w:pPr>
              <w:jc w:val="center"/>
              <w:ind w:left="32"/>
              <w:spacing w:after="0" w:line="138" w:lineRule="exact"/>
              <w:rPr>
                <w:sz w:val="20"/>
                <w:szCs w:val="20"/>
                <w:color w:val="auto"/>
              </w:rPr>
            </w:pPr>
            <w:r>
              <w:rPr>
                <w:rFonts w:ascii="Arial" w:cs="Arial" w:eastAsia="Arial" w:hAnsi="Arial"/>
                <w:sz w:val="14"/>
                <w:szCs w:val="14"/>
                <w:color w:val="auto"/>
                <w:w w:val="88"/>
              </w:rPr>
              <w:t>12/31/2015</w:t>
            </w:r>
          </w:p>
        </w:tc>
        <w:tc>
          <w:tcPr>
            <w:tcW w:w="120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100" w:type="dxa"/>
            <w:vAlign w:val="bottom"/>
          </w:tcPr>
          <w:p>
            <w:pPr>
              <w:jc w:val="right"/>
              <w:ind w:right="215"/>
              <w:spacing w:after="0" w:line="138" w:lineRule="exact"/>
              <w:rPr>
                <w:sz w:val="20"/>
                <w:szCs w:val="20"/>
                <w:color w:val="auto"/>
              </w:rPr>
            </w:pPr>
            <w:r>
              <w:rPr>
                <w:rFonts w:ascii="Arial" w:cs="Arial" w:eastAsia="Arial" w:hAnsi="Arial"/>
                <w:sz w:val="14"/>
                <w:szCs w:val="14"/>
                <w:color w:val="auto"/>
              </w:rPr>
              <w:t>15.00%</w:t>
            </w:r>
          </w:p>
        </w:tc>
        <w:tc>
          <w:tcPr>
            <w:tcW w:w="120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w w:val="88"/>
              </w:rPr>
              <w:t>14,300,282</w:t>
            </w:r>
          </w:p>
        </w:tc>
        <w:tc>
          <w:tcPr>
            <w:tcW w:w="80" w:type="dxa"/>
            <w:vAlign w:val="bottom"/>
          </w:tcPr>
          <w:p>
            <w:pPr>
              <w:spacing w:after="0"/>
              <w:rPr>
                <w:sz w:val="11"/>
                <w:szCs w:val="11"/>
                <w:color w:val="auto"/>
              </w:rPr>
            </w:pPr>
          </w:p>
        </w:tc>
        <w:tc>
          <w:tcPr>
            <w:tcW w:w="11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14,300,282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55"/>
              <w:spacing w:after="0"/>
              <w:rPr>
                <w:sz w:val="20"/>
                <w:szCs w:val="20"/>
                <w:color w:val="auto"/>
              </w:rPr>
            </w:pPr>
            <w:r>
              <w:rPr>
                <w:rFonts w:ascii="Arial" w:cs="Arial" w:eastAsia="Arial" w:hAnsi="Arial"/>
                <w:sz w:val="14"/>
                <w:szCs w:val="14"/>
                <w:color w:val="auto"/>
              </w:rPr>
              <w:t>(PIK 15.00%)</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8"/>
              </w:rPr>
              <w:t>06/30/2020</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tcPr>
          <w:p>
            <w:pPr>
              <w:jc w:val="right"/>
              <w:ind w:right="5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9"/>
              </w:rPr>
              <w:t>2,700,000</w:t>
            </w:r>
          </w:p>
        </w:tc>
        <w:tc>
          <w:tcPr>
            <w:tcW w:w="80" w:type="dxa"/>
            <w:vAlign w:val="bottom"/>
          </w:tcPr>
          <w:p>
            <w:pPr>
              <w:spacing w:after="0"/>
              <w:rPr>
                <w:sz w:val="13"/>
                <w:szCs w:val="13"/>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2,158,053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14.00%</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216,947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8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00" w:type="dxa"/>
            <w:vAlign w:val="bottom"/>
            <w:shd w:val="clear" w:color="auto" w:fill="CCEEFF"/>
          </w:tcPr>
          <w:p>
            <w:pPr>
              <w:jc w:val="right"/>
              <w:ind w:right="215"/>
              <w:spacing w:after="0" w:line="149" w:lineRule="exact"/>
              <w:rPr>
                <w:sz w:val="20"/>
                <w:szCs w:val="20"/>
                <w:color w:val="auto"/>
              </w:rPr>
            </w:pPr>
            <w:r>
              <w:rPr>
                <w:rFonts w:ascii="Arial" w:cs="Arial" w:eastAsia="Arial" w:hAnsi="Arial"/>
                <w:sz w:val="14"/>
                <w:szCs w:val="14"/>
                <w:color w:val="auto"/>
              </w:rPr>
              <w:t>8.00%</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411,988</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8,239,760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37,120,613</w:t>
            </w: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8,456,707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 0.0% </w:t>
            </w:r>
            <w:r>
              <w:rPr>
                <w:rFonts w:ascii="Arial" w:cs="Arial" w:eastAsia="Arial" w:hAnsi="Arial"/>
                <w:sz w:val="17"/>
                <w:szCs w:val="17"/>
                <w:b w:val="1"/>
                <w:bCs w:val="1"/>
                <w:color w:val="auto"/>
                <w:vertAlign w:val="superscript"/>
              </w:rPr>
              <w:t>(6)</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tcPr>
          <w:p>
            <w:pPr>
              <w:jc w:val="right"/>
              <w:ind w:right="395"/>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Total Investments in Controlled, Affiliated Portfolio Companies</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37,631,708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84"/>
              </w:rPr>
              <w:t>1,008,611,862</w:t>
            </w: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990,479,710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11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84"/>
              </w:rPr>
              <w:t>1,016,171,315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998,039,163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7"/>
              </w:rPr>
              <w:t>(328,322,116)</w:t>
            </w:r>
          </w:p>
        </w:tc>
        <w:tc>
          <w:tcPr>
            <w:tcW w:w="0" w:type="dxa"/>
            <w:vAlign w:val="bottom"/>
          </w:tcPr>
          <w:p>
            <w:pPr>
              <w:spacing w:after="0"/>
              <w:rPr>
                <w:sz w:val="1"/>
                <w:szCs w:val="1"/>
                <w:color w:val="auto"/>
              </w:rPr>
            </w:pPr>
          </w:p>
        </w:tc>
      </w:tr>
      <w:tr>
        <w:trPr>
          <w:trHeight w:val="156"/>
        </w:trPr>
        <w:tc>
          <w:tcPr>
            <w:tcW w:w="3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669,717,047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44.3 million shares of common stock through follow-on public offerings, resulting in net proceeds of $448.8 million. 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over-allotment option granted in connection with the offering.</w:t>
      </w:r>
    </w:p>
    <w:p>
      <w:pPr>
        <w:spacing w:after="0" w:line="14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20" w:lineRule="exact"/>
        <w:rPr>
          <w:sz w:val="20"/>
          <w:szCs w:val="20"/>
          <w:color w:val="auto"/>
        </w:rPr>
      </w:pPr>
    </w:p>
    <w:p>
      <w:pPr>
        <w:ind w:right="40" w:firstLine="571"/>
        <w:spacing w:after="0" w:line="314" w:lineRule="auto"/>
        <w:rPr>
          <w:sz w:val="20"/>
          <w:szCs w:val="20"/>
          <w:color w:val="auto"/>
        </w:rPr>
      </w:pPr>
      <w:r>
        <w:rPr>
          <w:rFonts w:ascii="Arial" w:cs="Arial" w:eastAsia="Arial" w:hAnsi="Arial"/>
          <w:sz w:val="15"/>
          <w:szCs w:val="15"/>
          <w:color w:val="auto"/>
        </w:rPr>
        <w:t>SBIC LP and its general partner, PennantPark SBIC GP, LLC, were organized in Delaware as a limited partnership and a limited liability company, respectively, in May 2010 and began operations in June 2010. SBIC II and its general partner, PennantPark SBIC GP II, LLC, were organized in Delaware as a limited partnership and a limited liability company, respectively, in July 2012 and began operations in December 2012. SBIC LP received a license from the SBA to operate as an SBIC effective July 30, 2010 under Section 301(c) of the Small Business Investment Act of 1958, as amended, or the 1958 Act. Our SBIC Funds are consolidated wholly owned subsidiaries of PennantPark Investment. Our SBIC Funds’ objectives are to generate both current income and capital appreciation through debt and equity investments generally, investing with us in SBA-eligible businesses that meet the investment criteria used by PennantPark Investment.</w:t>
      </w:r>
    </w:p>
    <w:p>
      <w:pPr>
        <w:spacing w:after="0" w:line="105" w:lineRule="exact"/>
        <w:rPr>
          <w:sz w:val="20"/>
          <w:szCs w:val="20"/>
          <w:color w:val="auto"/>
        </w:rPr>
      </w:pPr>
    </w:p>
    <w:p>
      <w:pPr>
        <w:ind w:right="120" w:firstLine="571"/>
        <w:spacing w:after="0" w:line="306" w:lineRule="auto"/>
        <w:rPr>
          <w:sz w:val="20"/>
          <w:szCs w:val="20"/>
          <w:color w:val="auto"/>
        </w:rPr>
      </w:pPr>
      <w:r>
        <w:rPr>
          <w:rFonts w:ascii="Arial" w:cs="Arial" w:eastAsia="Arial" w:hAnsi="Arial"/>
          <w:sz w:val="16"/>
          <w:szCs w:val="16"/>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regulated investment companies, or RICs, under the Internal Revenue Code of 1986, as amended, or the Code.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571"/>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18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454"/>
        <w:spacing w:after="0" w:line="268" w:lineRule="auto"/>
        <w:tabs>
          <w:tab w:leader="none" w:pos="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454"/>
        <w:spacing w:after="0"/>
        <w:tabs>
          <w:tab w:leader="none" w:pos="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454"/>
        <w:spacing w:after="0" w:line="256" w:lineRule="auto"/>
        <w:tabs>
          <w:tab w:leader="none" w:pos="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300" w:hanging="454"/>
        <w:spacing w:after="0" w:line="332"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800" w:right="160" w:hanging="454"/>
        <w:spacing w:after="0" w:line="268" w:lineRule="auto"/>
        <w:tabs>
          <w:tab w:leader="none" w:pos="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4"/>
        <w:spacing w:after="0"/>
        <w:tabs>
          <w:tab w:leader="none" w:pos="48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recorded an excise tax of $0.1 million for both the three months ended December 31, 2012 and 2011.</w:t>
      </w:r>
    </w:p>
    <w:p>
      <w:pPr>
        <w:spacing w:after="0" w:line="120"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directors who are not interested persons of PennantPark Investment, in February 2013. Under the Investment Management Agreement the Investment Adviser, subject to the overall supervision of PennantPark Investment’s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160" w:firstLine="571"/>
        <w:spacing w:after="0" w:line="289"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The base management fee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2012 and 2011, the Investment Adviser earned a base management fee of $5.1 million and $4.0 million, respectively, from us.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571"/>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months ended December 31, 2012 and 2011, the Investment Adviser earned a performance based incentive fee on net investment income, as calculated under the Investment Management Agreement, of $4.5 million and $3.7 million, respectively, from us.</w:t>
      </w:r>
    </w:p>
    <w:p>
      <w:pPr>
        <w:spacing w:after="0" w:line="124"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inception. For the three months ended December 31, 2012 and 2011, the Investment Adviser did not earn a performance based incentive fee on capital gains as calculated under the Investment Management Agreement.</w:t>
      </w:r>
    </w:p>
    <w:p>
      <w:pPr>
        <w:spacing w:after="0" w:line="11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did not earn a performance based incentive fee on capital gains as calculated under GAAP.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PennantPark Investment, in February 2013. Under this agreement, the Administrator provides administrative services to us. The Administrator provides similar services to our SBIC Funds under each of their administration agreements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months ended December 31, 2012 and 2011, the Investment Adviser and Administrator, collectively, were reimbursed $0.5 million and $0.7 million, respectively, from us, including expenses the Investment Adviser incurred on behalf of the Administrator, for the services described above.</w:t>
      </w:r>
    </w:p>
    <w:p>
      <w:pPr>
        <w:spacing w:after="0" w:line="12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months ended December 31, 2012 and 2011, PennantPark Investment was reimbursed $0.1 million and $0.2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2012 and 2011 totaled $172.5 million and $46.1 million, respectively. Sales and repayments of long-term investments for the three months ended December 31, 2012 and 2011 totaled $110.8 million and $69.3 million, respectively.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ind w:left="68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308,638,805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312,683,107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289,964,255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$291,677,553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Second lien</w:t>
            </w: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207,476,912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212,845,984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208,454,615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191,339,241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416,170,569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410,956,760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404,507,916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400,682,637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Preferred equity</w:t>
            </w: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48,848,249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20,996,373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49,222,034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19,634,989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91,368,674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106,925,371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56,463,042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1,072,503,209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1,064,407,595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1,008,611,862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990,479,710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31,291,517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31,291,517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7,559,453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Total investments and cash equivalents</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1,103,794,726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1,095,699,112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1,016,171,315</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998,039,163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F-61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4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 2012</w:t>
            </w:r>
          </w:p>
        </w:tc>
        <w:tc>
          <w:tcPr>
            <w:tcW w:w="1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2012</w:t>
            </w: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Printing and Publishing</w:t>
            </w:r>
          </w:p>
        </w:tc>
        <w:tc>
          <w:tcPr>
            <w:tcW w:w="6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Chemical, Plastic and Rubber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Diversified Natural Resources, Precious Metals and</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Minerals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320" w:right="660" w:hanging="850"/>
        <w:spacing w:after="0" w:line="259" w:lineRule="auto"/>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320" w:right="880" w:hanging="850"/>
        <w:spacing w:after="0" w:line="268" w:lineRule="auto"/>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6"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2012, our ability to observe valuation inputs resulted in one reclassification of assets between Level 3 to 2 with no other reclassification between levels. During the three months ended December 31, 2011, our ability to observe valuation inputs resulted in no reclassification of assets between levels.</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120" w:firstLine="571"/>
        <w:spacing w:after="0" w:line="309" w:lineRule="auto"/>
        <w:rPr>
          <w:sz w:val="20"/>
          <w:szCs w:val="20"/>
          <w:color w:val="auto"/>
        </w:rPr>
      </w:pPr>
      <w:r>
        <w:rPr>
          <w:rFonts w:ascii="Arial" w:cs="Arial" w:eastAsia="Arial" w:hAnsi="Arial"/>
          <w:sz w:val="15"/>
          <w:szCs w:val="15"/>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68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Fair Value at</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9"/>
              </w:rPr>
              <w:t>December 31, 2012</w:t>
            </w:r>
          </w:p>
        </w:tc>
        <w:tc>
          <w:tcPr>
            <w:tcW w:w="18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181"/>
        </w:trPr>
        <w:tc>
          <w:tcPr>
            <w:tcW w:w="36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w:t>
            </w:r>
          </w:p>
        </w:tc>
        <w:tc>
          <w:tcPr>
            <w:tcW w:w="1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301,182,943</w:t>
            </w: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 quotes</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4"/>
              </w:rPr>
              <w:t>1 – 4</w:t>
            </w:r>
          </w:p>
        </w:tc>
        <w:tc>
          <w:tcPr>
            <w:tcW w:w="0" w:type="dxa"/>
            <w:vAlign w:val="bottom"/>
          </w:tcPr>
          <w:p>
            <w:pPr>
              <w:spacing w:after="0"/>
              <w:rPr>
                <w:sz w:val="1"/>
                <w:szCs w:val="1"/>
                <w:color w:val="auto"/>
              </w:rPr>
            </w:pPr>
          </w:p>
        </w:tc>
      </w:tr>
      <w:tr>
        <w:trPr>
          <w:trHeight w:val="23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0" w:type="dxa"/>
            <w:vAlign w:val="bottom"/>
            <w:gridSpan w:val="2"/>
          </w:tcPr>
          <w:p>
            <w:pPr>
              <w:spacing w:after="0"/>
              <w:rPr>
                <w:sz w:val="20"/>
                <w:szCs w:val="20"/>
                <w:color w:val="auto"/>
              </w:rPr>
            </w:pPr>
            <w:r>
              <w:rPr>
                <w:rFonts w:ascii="Arial" w:cs="Arial" w:eastAsia="Arial" w:hAnsi="Arial"/>
                <w:sz w:val="18"/>
                <w:szCs w:val="18"/>
                <w:color w:val="auto"/>
              </w:rPr>
              <w:t>First lien, second lien,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588,431,868</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Market Yield</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8.4% – 18.9% (13.9%)</w:t>
            </w: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subordinated debt/corporate notes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105,538,077</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 – 15.9(8.8)</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Total Level 3 investments</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995,152,888</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211,500,000</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cash equivalents, investments and Credit Facility were categorized as follows in the fair value hierarchy for ASC 820 purposes: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44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Fair Value at December 31, 2012</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Level 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936,485,851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46,871,040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$889,614,811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127,921,744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22,375,095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8,572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105,538,077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1,064,407,595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22,375,095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46,879,612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995,152,888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31,291,517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31,291,517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1,095,699,112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53,666,612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46,879,612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995,152,888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vMerge w:val="continue"/>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440" w:type="dxa"/>
            <w:vAlign w:val="bottom"/>
            <w:vMerge w:val="restart"/>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Fair Value at September 30, 2012</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Level 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883,669,431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35,275,360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$848,424,071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106,780,279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5,425,378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31,778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101,323,123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990,449,710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5,425,378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35,307,138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7,559,453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7,559,453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998,009,163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12,984,831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35,307,138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144,452,500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F-64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600" w:right="252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2012</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3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6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85"/>
              </w:rPr>
              <w:t>Three months ended December 31, 2012</w:t>
            </w:r>
          </w:p>
        </w:tc>
        <w:tc>
          <w:tcPr>
            <w:tcW w:w="0" w:type="dxa"/>
            <w:vAlign w:val="bottom"/>
          </w:tcPr>
          <w:p>
            <w:pPr>
              <w:spacing w:after="0"/>
              <w:rPr>
                <w:sz w:val="1"/>
                <w:szCs w:val="1"/>
                <w:color w:val="auto"/>
              </w:rPr>
            </w:pPr>
          </w:p>
        </w:tc>
      </w:tr>
      <w:tr>
        <w:trPr>
          <w:trHeight w:val="129"/>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Borders>
              <w:top w:val="single" w:sz="8" w:color="auto"/>
            </w:tcBorders>
            <w:gridSpan w:val="4"/>
          </w:tcPr>
          <w:p>
            <w:pPr>
              <w:jc w:val="right"/>
              <w:ind w:right="580"/>
              <w:spacing w:after="0" w:line="129" w:lineRule="exact"/>
              <w:rPr>
                <w:sz w:val="20"/>
                <w:szCs w:val="20"/>
                <w:color w:val="auto"/>
              </w:rPr>
            </w:pPr>
            <w:r>
              <w:rPr>
                <w:rFonts w:ascii="Arial" w:cs="Arial" w:eastAsia="Arial" w:hAnsi="Arial"/>
                <w:sz w:val="14"/>
                <w:szCs w:val="14"/>
                <w:b w:val="1"/>
                <w:bCs w:val="1"/>
                <w:color w:val="auto"/>
                <w:w w:val="98"/>
              </w:rPr>
              <w:t>Loan and debt</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3"/>
            <w:vMerge w:val="continue"/>
          </w:tcPr>
          <w:p>
            <w:pPr>
              <w:spacing w:after="0"/>
              <w:rPr>
                <w:sz w:val="12"/>
                <w:szCs w:val="12"/>
                <w:color w:val="auto"/>
              </w:rPr>
            </w:pPr>
          </w:p>
        </w:tc>
        <w:tc>
          <w:tcPr>
            <w:tcW w:w="1540" w:type="dxa"/>
            <w:vAlign w:val="bottom"/>
            <w:gridSpan w:val="4"/>
          </w:tcPr>
          <w:p>
            <w:pPr>
              <w:jc w:val="right"/>
              <w:ind w:right="680"/>
              <w:spacing w:after="0" w:line="148" w:lineRule="exact"/>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2"/>
                <w:szCs w:val="12"/>
                <w:color w:val="auto"/>
              </w:rPr>
            </w:pPr>
          </w:p>
        </w:tc>
        <w:tc>
          <w:tcPr>
            <w:tcW w:w="11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$ 848,424,071</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$101,323,123</w:t>
            </w: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$ 949,747,194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2,221,132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(1,350,000)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24,742,287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(19,387,772)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168,081,857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25,652,726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193,734,583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non-cash exchanges</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6"/>
              </w:rPr>
              <w:t>(141,014,536)</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(700,000)</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(141,714,536)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Transfers out of Level 3</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(12,840,000)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$ 889,614,811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105,538,077</w:t>
            </w:r>
          </w:p>
        </w:tc>
        <w:tc>
          <w:tcPr>
            <w:tcW w:w="30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$ 995,152,888</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w w:val="95"/>
              </w:rPr>
              <w:t>Net change in unrealized appreciation (depreciation) reported within the net change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in unrealized appreciation on investments in our Consolidated Statement of</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3"/>
          </w:tcPr>
          <w:p>
            <w:pPr>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2"/>
              </w:rPr>
              <w:t>$  24,636,464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 (14,167,304)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10,469,160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5"/>
              </w:rPr>
              <w:t>Three months ended December 31, 2011</w:t>
            </w:r>
          </w:p>
        </w:tc>
        <w:tc>
          <w:tcPr>
            <w:tcW w:w="0" w:type="dxa"/>
            <w:vAlign w:val="bottom"/>
          </w:tcPr>
          <w:p>
            <w:pPr>
              <w:spacing w:after="0"/>
              <w:rPr>
                <w:sz w:val="1"/>
                <w:szCs w:val="1"/>
                <w:color w:val="auto"/>
              </w:rPr>
            </w:pPr>
          </w:p>
        </w:tc>
      </w:tr>
      <w:tr>
        <w:trPr>
          <w:trHeight w:val="129"/>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340" w:type="dxa"/>
            <w:vAlign w:val="bottom"/>
            <w:tcBorders>
              <w:top w:val="single" w:sz="8" w:color="auto"/>
            </w:tcBorders>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4"/>
              </w:rPr>
              <w:t>Loan and debt</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Equity</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$52,353,328</w:t>
            </w: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$785,047,779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138,156</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1,871,266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5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(12,316,045)</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7,291,199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(5,024,846)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38,620,573</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3,924,515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42,545,088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5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(58,077,328)</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(2,799,070)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(60,876,398)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Transfers out of Level 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701,059,807</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62,641,238</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763,701,045</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w w:val="92"/>
              </w:rPr>
              <w:t>Net change in unrealized (depreciation) appreciation reported within the net change in</w:t>
            </w: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w w:val="93"/>
              </w:rPr>
              <w:t>unrealized appreciation on investments in our Consolidated Statement of Operations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3"/>
          </w:tcPr>
          <w:p>
            <w:pPr>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(9,350,312)</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$ 9,135,928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vMerge w:val="restart"/>
          </w:tcPr>
          <w:p>
            <w:pPr>
              <w:ind w:left="4380"/>
              <w:spacing w:after="0"/>
              <w:rPr>
                <w:sz w:val="20"/>
                <w:szCs w:val="20"/>
                <w:color w:val="auto"/>
              </w:rPr>
            </w:pPr>
            <w:r>
              <w:rPr>
                <w:rFonts w:ascii="Arial" w:cs="Arial" w:eastAsia="Arial" w:hAnsi="Arial"/>
                <w:sz w:val="18"/>
                <w:szCs w:val="18"/>
                <w:color w:val="auto"/>
              </w:rPr>
              <w:t>F-65</w:t>
            </w: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60" w:right="5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There were no temporary draws outstanding at December 31, 2012 or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42"/>
        </w:trPr>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auto"/>
              <w:bottom w:val="single" w:sz="8" w:color="auto"/>
            </w:tcBorders>
          </w:tcPr>
          <w:p>
            <w:pPr>
              <w:spacing w:after="0"/>
              <w:rPr>
                <w:sz w:val="12"/>
                <w:szCs w:val="12"/>
                <w:color w:val="auto"/>
              </w:rPr>
            </w:pPr>
          </w:p>
        </w:tc>
        <w:tc>
          <w:tcPr>
            <w:tcW w:w="2760" w:type="dxa"/>
            <w:vAlign w:val="bottom"/>
            <w:tcBorders>
              <w:top w:val="single" w:sz="8" w:color="auto"/>
              <w:bottom w:val="single" w:sz="8" w:color="auto"/>
            </w:tcBorders>
            <w:gridSpan w:val="5"/>
          </w:tcPr>
          <w:p>
            <w:pPr>
              <w:jc w:val="right"/>
              <w:ind w:right="752"/>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2012</w:t>
            </w:r>
          </w:p>
        </w:tc>
        <w:tc>
          <w:tcPr>
            <w:tcW w:w="3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 (Cost – $109,500,000 and $240,900,000, respectively)</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108,952,500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547,500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1,147,875</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215,800,000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242,200,000</w:t>
            </w:r>
          </w:p>
        </w:tc>
        <w:tc>
          <w:tcPr>
            <w:tcW w:w="0" w:type="dxa"/>
            <w:vAlign w:val="bottom"/>
          </w:tcPr>
          <w:p>
            <w:pPr>
              <w:spacing w:after="0"/>
              <w:rPr>
                <w:sz w:val="1"/>
                <w:szCs w:val="1"/>
                <w:color w:val="auto"/>
              </w:rPr>
            </w:pPr>
          </w:p>
        </w:tc>
      </w:tr>
      <w:tr>
        <w:trPr>
          <w:trHeight w:val="216"/>
        </w:trPr>
        <w:tc>
          <w:tcPr>
            <w:tcW w:w="7520" w:type="dxa"/>
            <w:vAlign w:val="bottom"/>
            <w:gridSpan w:val="2"/>
          </w:tcPr>
          <w:p>
            <w:pPr>
              <w:ind w:left="44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(113,800,000)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(291,100,000)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Ending Balance (Cost – $211,500,000 and 192,000,000, respectively)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211,500,000</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191,040,000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920" w:hanging="453"/>
        <w:spacing w:after="0"/>
        <w:tabs>
          <w:tab w:leader="none" w:pos="920" w:val="left"/>
        </w:tabs>
        <w:numPr>
          <w:ilvl w:val="0"/>
          <w:numId w:val="100"/>
        </w:numPr>
        <w:rPr>
          <w:rFonts w:ascii="Arial" w:cs="Arial" w:eastAsia="Arial" w:hAnsi="Arial"/>
          <w:sz w:val="11"/>
          <w:szCs w:val="11"/>
          <w:color w:val="auto"/>
        </w:rPr>
      </w:pPr>
      <w:r>
        <w:rPr>
          <w:rFonts w:ascii="Arial" w:cs="Arial" w:eastAsia="Arial" w:hAnsi="Arial"/>
          <w:sz w:val="18"/>
          <w:szCs w:val="18"/>
          <w:color w:val="auto"/>
        </w:rPr>
        <w:t>Excludes temporary draws.</w:t>
      </w:r>
    </w:p>
    <w:p>
      <w:pPr>
        <w:spacing w:after="0" w:line="17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2012 and 2011, our Credit Facility had a net change in unrealized appreciation of $0.5 million and $1.1 million, respectively. As of December 31, 2012 and September 30, 2012, net unrealized depreciation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An affiliated company is a company in which we have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as purchases and sales. Transactions related to our investments with both controlled and non-controlled affiliates for the three months ended December 31,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Fair Value at</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 of /</w:t>
            </w:r>
          </w:p>
        </w:tc>
        <w:tc>
          <w:tcPr>
            <w:tcW w:w="3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Sales of /</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Fair Value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September</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Advances to</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0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December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8"/>
              </w:rPr>
              <w:t>30, 2012</w:t>
            </w:r>
          </w:p>
        </w:tc>
        <w:tc>
          <w:tcPr>
            <w:tcW w:w="32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Affiliates</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from Affiliates</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7"/>
              </w:rPr>
              <w:t>Received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8" w:lineRule="exact"/>
              <w:rPr>
                <w:sz w:val="20"/>
                <w:szCs w:val="20"/>
                <w:color w:val="auto"/>
              </w:rPr>
            </w:pPr>
            <w:r>
              <w:rPr>
                <w:rFonts w:ascii="Arial" w:cs="Arial" w:eastAsia="Arial" w:hAnsi="Arial"/>
                <w:sz w:val="14"/>
                <w:szCs w:val="14"/>
                <w:b w:val="1"/>
                <w:bCs w:val="1"/>
                <w:color w:val="auto"/>
                <w:w w:val="88"/>
              </w:rPr>
              <w:t>31, 2012</w:t>
            </w:r>
          </w:p>
        </w:tc>
        <w:tc>
          <w:tcPr>
            <w:tcW w:w="3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93"/>
              </w:rPr>
              <w:t>Capital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13,175,000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$ 1,500,000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484,167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15,000,003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24,456,708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24,316,802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10,880,000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10,472,000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18,425,519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1,357,840</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19,971,112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18,028,080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18,126,835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44,501,658</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741,667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45,101,739</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129,466,965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2,357,840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$ 2,200,000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1,671,431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132,988,491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Became a non-controlled affiliate during the period ended December 31, 2012.</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580" w:type="dxa"/>
            <w:vAlign w:val="bottom"/>
            <w:vMerge w:val="restart"/>
          </w:tcPr>
          <w:p>
            <w:pPr>
              <w:spacing w:after="0"/>
              <w:rPr>
                <w:sz w:val="14"/>
                <w:szCs w:val="14"/>
                <w:color w:val="auto"/>
              </w:rPr>
            </w:pPr>
          </w:p>
        </w:tc>
        <w:tc>
          <w:tcPr>
            <w:tcW w:w="3600" w:type="dxa"/>
            <w:vAlign w:val="bottom"/>
          </w:tcPr>
          <w:p>
            <w:pPr>
              <w:spacing w:after="0"/>
              <w:rPr>
                <w:sz w:val="14"/>
                <w:szCs w:val="14"/>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4580" w:type="dxa"/>
            <w:vAlign w:val="bottom"/>
            <w:vMerge w:val="continue"/>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Borders>
              <w:top w:val="single" w:sz="8" w:color="auto"/>
            </w:tcBorders>
          </w:tcPr>
          <w:p>
            <w:pPr>
              <w:jc w:val="right"/>
              <w:ind w:right="266"/>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3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$ 28,541,186</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$ 15,845,524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4840" w:type="dxa"/>
            <w:vAlign w:val="bottom"/>
            <w:gridSpan w:val="3"/>
          </w:tcPr>
          <w:p>
            <w:pPr>
              <w:jc w:val="right"/>
              <w:ind w:right="300"/>
              <w:spacing w:after="0"/>
              <w:rPr>
                <w:sz w:val="20"/>
                <w:szCs w:val="20"/>
                <w:color w:val="auto"/>
              </w:rPr>
            </w:pPr>
            <w:r>
              <w:rPr>
                <w:rFonts w:ascii="Arial" w:cs="Arial" w:eastAsia="Arial" w:hAnsi="Arial"/>
                <w:sz w:val="18"/>
                <w:szCs w:val="18"/>
                <w:color w:val="auto"/>
              </w:rPr>
              <w:t>66,174,302</w:t>
            </w:r>
          </w:p>
        </w:tc>
        <w:tc>
          <w:tcPr>
            <w:tcW w:w="960" w:type="dxa"/>
            <w:vAlign w:val="bottom"/>
          </w:tcPr>
          <w:p>
            <w:pPr>
              <w:jc w:val="right"/>
              <w:spacing w:after="0"/>
              <w:rPr>
                <w:sz w:val="20"/>
                <w:szCs w:val="20"/>
                <w:color w:val="auto"/>
              </w:rPr>
            </w:pPr>
            <w:r>
              <w:rPr>
                <w:rFonts w:ascii="Arial" w:cs="Arial" w:eastAsia="Arial" w:hAnsi="Arial"/>
                <w:sz w:val="18"/>
                <w:szCs w:val="18"/>
                <w:color w:val="auto"/>
              </w:rPr>
              <w:t>45,689,781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Basic and diluted net increase in net assets resulting from operations per share</w:t>
            </w:r>
          </w:p>
        </w:tc>
        <w:tc>
          <w:tcPr>
            <w:tcW w:w="4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840" w:type="dxa"/>
            <w:vAlign w:val="bottom"/>
            <w:gridSpan w:val="3"/>
          </w:tcPr>
          <w:p>
            <w:pPr>
              <w:ind w:left="20"/>
              <w:spacing w:after="0"/>
              <w:rPr>
                <w:sz w:val="20"/>
                <w:szCs w:val="20"/>
                <w:color w:val="auto"/>
              </w:rPr>
            </w:pPr>
            <w:r>
              <w:rPr>
                <w:rFonts w:ascii="Arial" w:cs="Arial" w:eastAsia="Arial" w:hAnsi="Arial"/>
                <w:sz w:val="18"/>
                <w:szCs w:val="18"/>
                <w:color w:val="auto"/>
              </w:rPr>
              <w:t>F-67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and includes money market funds. Our portfolio may consist of temporary investments in U.S. Treasury Bills (of varying maturities), repurchase agreements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2012 and September 30, 2012, cash equivalents consisted of $31.3 million and $7.6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c>
          <w:tcPr>
            <w:tcW w:w="5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66,356,911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45,689,781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6.79%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1"/>
              </w:rPr>
              <w:t>Ratio of Credit Facility and SBA debentures related expenses to average net assets to average net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8.59%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688,502,421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465,709,582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315,317,391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360,666,304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20" w:firstLine="8"/>
        <w:spacing w:after="0" w:line="286" w:lineRule="auto"/>
        <w:tabs>
          <w:tab w:leader="none" w:pos="44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Operating expenses exclude Credit Facility related costs.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520" w:hanging="232"/>
        <w:spacing w:after="0" w:line="347" w:lineRule="auto"/>
        <w:tabs>
          <w:tab w:leader="none" w:pos="27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2" w:lineRule="exact"/>
        <w:rPr>
          <w:sz w:val="20"/>
          <w:szCs w:val="20"/>
          <w:color w:val="auto"/>
        </w:rPr>
      </w:pPr>
    </w:p>
    <w:p>
      <w:pPr>
        <w:ind w:right="160" w:firstLine="571"/>
        <w:spacing w:after="0" w:line="253" w:lineRule="auto"/>
        <w:rPr>
          <w:sz w:val="20"/>
          <w:szCs w:val="20"/>
          <w:color w:val="auto"/>
        </w:rPr>
      </w:pPr>
      <w:r>
        <w:rPr>
          <w:rFonts w:ascii="Arial" w:cs="Arial" w:eastAsia="Arial" w:hAnsi="Arial"/>
          <w:sz w:val="18"/>
          <w:szCs w:val="18"/>
          <w:color w:val="auto"/>
        </w:rPr>
        <w:t>On February 21, 2012, we amended and restated our multi-currency Credit Facility, which increased the size of the Credit Facility to $380 million, with certain lenders and SunTrust Bank, acting as administrative agent, and JPMorgan Chase Bank, N.A., acting as syndication agent for the lenders. As of December 31, 2012 and September 30, 2012, there was $211.5 million and $145.0 million (including a temporary draw of $35.5 million), respectively, in outstanding borrowings under the Credit Facility, with a weighted average interest rate at the time of 3.00%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SBIC LP.</w:t>
      </w:r>
    </w:p>
    <w:p>
      <w:pPr>
        <w:spacing w:after="0" w:line="147"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regulatory requirements including an examination by the SBA. We have funded SBIC LP with $75.0 million of equity capital and had SBA debentures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outstanding of $150.0 million as of December 31, 2012. We have funded SBIC II with $2.5 million of seed capital. SBA debentures are non-recourse to us, have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10-year maturity, and may be prepaid at any time without penalty. The interest rate of SBA debentures is fixed at the time of issuance,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pooling, at a market-driven spread over 10-year U.S. Treasury Notes. SBA current regulations limit the amount that SBIC LP may borrow to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million, which is up to twice its potential regulatory capital, and may borrow to a maximum of $225 million as part of a group of SBICs under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 SBIC LP has accessed the maximum borrowing with its $75.0 million in regulatory capital.</w:t>
      </w:r>
    </w:p>
    <w:p>
      <w:pPr>
        <w:spacing w:after="0" w:line="16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of December 31, 2012, $150.0 million in debt commitments was fully drawn with a weighted average interest rate of 3.70%, exclusive of the 3.43% of upfront fees, which are amortized over the life of the loan (4.04% after upfront fees). Our fixed-rate SBA debentures as of both December 31, 2012 and September 30, 2012 were as follows: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Fixed All-in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Issuance Dates</w:t>
            </w: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Maturity</w:t>
            </w:r>
          </w:p>
        </w:tc>
        <w:tc>
          <w:tcPr>
            <w:tcW w:w="1760" w:type="dxa"/>
            <w:vAlign w:val="bottom"/>
            <w:gridSpan w:val="3"/>
          </w:tcPr>
          <w:p>
            <w:pPr>
              <w:jc w:val="center"/>
              <w:spacing w:after="0" w:line="162" w:lineRule="exact"/>
              <w:rPr>
                <w:sz w:val="20"/>
                <w:szCs w:val="20"/>
                <w:color w:val="auto"/>
              </w:rPr>
            </w:pPr>
            <w:r>
              <w:rPr>
                <w:rFonts w:ascii="Arial" w:cs="Arial" w:eastAsia="Arial" w:hAnsi="Arial"/>
                <w:sz w:val="12"/>
                <w:szCs w:val="12"/>
                <w:b w:val="1"/>
                <w:bCs w:val="1"/>
                <w:color w:val="auto"/>
              </w:rPr>
              <w:t xml:space="preserve">Coupon Rate </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0"/>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7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September 1, 2020</w:t>
            </w:r>
          </w:p>
        </w:tc>
        <w:tc>
          <w:tcPr>
            <w:tcW w:w="4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rPr>
              <w:t>3.50%</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rPr>
              <w:t>March 1, 2021</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w w:val="85"/>
              </w:rPr>
              <w:t>4.46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6"/>
              </w:rPr>
              <w:t>September 1, 2021</w:t>
            </w:r>
          </w:p>
        </w:tc>
        <w:tc>
          <w:tcPr>
            <w:tcW w:w="4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5"/>
              </w:rPr>
              <w:t>3.38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77470</wp:posOffset>
            </wp:positionV>
            <wp:extent cx="728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1" w:lineRule="exact"/>
        <w:rPr>
          <w:sz w:val="20"/>
          <w:szCs w:val="20"/>
          <w:color w:val="auto"/>
        </w:rPr>
      </w:pPr>
    </w:p>
    <w:p>
      <w:pPr>
        <w:ind w:left="2280" w:hanging="449"/>
        <w:spacing w:after="0"/>
        <w:tabs>
          <w:tab w:leader="none" w:pos="2280" w:val="left"/>
        </w:tabs>
        <w:numPr>
          <w:ilvl w:val="0"/>
          <w:numId w:val="104"/>
        </w:numPr>
        <w:rPr>
          <w:rFonts w:ascii="Arial" w:cs="Arial" w:eastAsia="Arial" w:hAnsi="Arial"/>
          <w:sz w:val="22"/>
          <w:szCs w:val="22"/>
          <w:color w:val="auto"/>
          <w:vertAlign w:val="superscript"/>
        </w:rPr>
      </w:pPr>
      <w:r>
        <w:rPr>
          <w:rFonts w:ascii="Arial" w:cs="Arial" w:eastAsia="Arial" w:hAnsi="Arial"/>
          <w:sz w:val="14"/>
          <w:szCs w:val="14"/>
          <w:color w:val="auto"/>
        </w:rPr>
        <w:t>Excluding 3.43% of upfront fees.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On January 22, 2013, we issued $67.5 million in aggregate principal amount of 6.25% senior notes due 2025 for net proceeds of $65.2 million (the “2025 Notes”) after underwriting discounts and offering costs. Interest on the 2025 Notes is paid quarterly on February 1, May 1, August 1 and November 1, at a rate of 6.25% per year, commencing on May 1, 2013. The 2025 Notes mature on February 1, 2025. We may redeem the Notes in whole or in part at any time or from time to time on or after February 1, 2016. The 2025 Notes are general, unsecured obligations and will rank equal in right of payment with all of our existing and future senior unsecured indebtedness. The proceeds from the sale of the 2025 Notes are being used to repay indebtedness owed under the Credit Facility, to invest in new or existing portfolio companies, or for other general corporate or strategic purposes.</w:t>
      </w:r>
    </w:p>
    <w:p>
      <w:pPr>
        <w:spacing w:after="0" w:line="12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Effective January 24, 2013, our wholly-owned subsidiary, PennantPark SBIC II LP, received a license from the SBA to operate as an SBIC under the 1958 Act. As an SBIC, PennantPark SBIC II LP will be subject to a variety of regulations and oversight by the SBA concerning, among other things, the size and nature of the companies in which it may invest as well as the structure of those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20" w:hanging="50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84"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85" w:lineRule="exact"/>
        <w:rPr>
          <w:sz w:val="20"/>
          <w:szCs w:val="20"/>
          <w:color w:val="auto"/>
        </w:rPr>
      </w:pPr>
    </w:p>
    <w:p>
      <w:pPr>
        <w:ind w:left="720" w:hanging="50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85" w:lineRule="exact"/>
        <w:rPr>
          <w:sz w:val="20"/>
          <w:szCs w:val="20"/>
          <w:color w:val="auto"/>
        </w:rPr>
      </w:pPr>
    </w:p>
    <w:p>
      <w:pPr>
        <w:ind w:left="720" w:right="600" w:hanging="560"/>
        <w:spacing w:after="0" w:line="268"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145" w:lineRule="exact"/>
        <w:rPr>
          <w:rFonts w:ascii="Arial" w:cs="Arial" w:eastAsia="Arial" w:hAnsi="Arial"/>
          <w:sz w:val="18"/>
          <w:szCs w:val="18"/>
          <w:color w:val="auto"/>
        </w:rPr>
      </w:pPr>
    </w:p>
    <w:p>
      <w:pPr>
        <w:ind w:left="720" w:right="220" w:hanging="564"/>
        <w:spacing w:after="0" w:line="268"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Form 10-K Exhibit 3.2 (File No. 814-00736), filed on November 16, 2011).</w:t>
      </w:r>
    </w:p>
    <w:p>
      <w:pPr>
        <w:spacing w:after="0" w:line="145" w:lineRule="exact"/>
        <w:rPr>
          <w:sz w:val="20"/>
          <w:szCs w:val="20"/>
          <w:color w:val="auto"/>
        </w:rPr>
      </w:pPr>
    </w:p>
    <w:p>
      <w:pPr>
        <w:ind w:left="720" w:right="440" w:hanging="659"/>
        <w:spacing w:after="0" w:line="268" w:lineRule="auto"/>
        <w:tabs>
          <w:tab w:leader="none" w:pos="700" w:val="left"/>
        </w:tabs>
        <w:rPr>
          <w:sz w:val="20"/>
          <w:szCs w:val="20"/>
          <w:color w:val="auto"/>
        </w:rPr>
      </w:pPr>
      <w:r>
        <w:rPr>
          <w:rFonts w:ascii="Arial" w:cs="Arial" w:eastAsia="Arial" w:hAnsi="Arial"/>
          <w:sz w:val="18"/>
          <w:szCs w:val="18"/>
          <w:color w:val="auto"/>
        </w:rPr>
        <w:t>(d)(1)</w:t>
        <w:tab/>
        <w:t>Specimen Stock Certificate (Incorporated by reference to Exhibit 99.(D)(1) to the Registrant’s Registration Statement on Form N-2 (File No. 333-150033), filed on April 2, 2008).</w:t>
      </w:r>
    </w:p>
    <w:p>
      <w:pPr>
        <w:spacing w:after="0" w:line="145" w:lineRule="exact"/>
        <w:rPr>
          <w:sz w:val="20"/>
          <w:szCs w:val="20"/>
          <w:color w:val="auto"/>
        </w:rPr>
      </w:pPr>
    </w:p>
    <w:p>
      <w:pPr>
        <w:ind w:left="720" w:right="500" w:hanging="659"/>
        <w:spacing w:after="0" w:line="268" w:lineRule="auto"/>
        <w:tabs>
          <w:tab w:leader="none" w:pos="7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145" w:lineRule="exact"/>
        <w:rPr>
          <w:sz w:val="20"/>
          <w:szCs w:val="20"/>
          <w:color w:val="auto"/>
        </w:rPr>
      </w:pPr>
    </w:p>
    <w:p>
      <w:pPr>
        <w:ind w:left="720" w:right="120" w:hanging="659"/>
        <w:spacing w:after="0" w:line="268" w:lineRule="auto"/>
        <w:tabs>
          <w:tab w:leader="none" w:pos="700" w:val="left"/>
        </w:tabs>
        <w:rPr>
          <w:sz w:val="20"/>
          <w:szCs w:val="20"/>
          <w:color w:val="auto"/>
        </w:rPr>
      </w:pPr>
      <w:r>
        <w:rPr>
          <w:rFonts w:ascii="Arial" w:cs="Arial" w:eastAsia="Arial" w:hAnsi="Arial"/>
          <w:sz w:val="18"/>
          <w:szCs w:val="18"/>
          <w:color w:val="auto"/>
        </w:rPr>
        <w:t>(d)(3)</w:t>
        <w:tab/>
        <w:t>Form of Indenture (Incorporated by reference to Exhibit 99.(D)(3) to the Registrant’s Pre-Effective Amendment to the Registration Statement on Form N-2/A (File No. 333-150033), filed on May 30, 2008).</w:t>
      </w:r>
    </w:p>
    <w:p>
      <w:pPr>
        <w:spacing w:after="0" w:line="145" w:lineRule="exact"/>
        <w:rPr>
          <w:sz w:val="20"/>
          <w:szCs w:val="20"/>
          <w:color w:val="auto"/>
        </w:rPr>
      </w:pPr>
    </w:p>
    <w:p>
      <w:pPr>
        <w:ind w:left="720" w:right="900" w:hanging="659"/>
        <w:spacing w:after="0" w:line="268" w:lineRule="auto"/>
        <w:tabs>
          <w:tab w:leader="none" w:pos="700" w:val="left"/>
        </w:tabs>
        <w:rPr>
          <w:sz w:val="20"/>
          <w:szCs w:val="20"/>
          <w:color w:val="auto"/>
        </w:rPr>
      </w:pPr>
      <w:r>
        <w:rPr>
          <w:rFonts w:ascii="Arial" w:cs="Arial" w:eastAsia="Arial" w:hAnsi="Arial"/>
          <w:sz w:val="18"/>
          <w:szCs w:val="18"/>
          <w:color w:val="auto"/>
        </w:rPr>
        <w:t>(d)(4)</w:t>
        <w:tab/>
        <w:t>Form of Subscription Agent Agreement (Incorporated by reference to Exhibit 99.(D)(4) to the Registrant’s Pre-Effective Amendment to the Registration Statement on Form N-2/A (File No. 333-150033), filed on May 30, 2008).</w:t>
      </w:r>
    </w:p>
    <w:p>
      <w:pPr>
        <w:spacing w:after="0" w:line="145"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Pre-Effective Amendment to the Registration Statement on Form N-2/A (File No. 333-150033), filed on May 30, 2008).</w:t>
      </w:r>
    </w:p>
    <w:p>
      <w:pPr>
        <w:spacing w:after="0" w:line="145" w:lineRule="exact"/>
        <w:rPr>
          <w:sz w:val="20"/>
          <w:szCs w:val="20"/>
          <w:color w:val="auto"/>
        </w:rPr>
      </w:pPr>
    </w:p>
    <w:p>
      <w:pPr>
        <w:ind w:left="720" w:right="200" w:hanging="659"/>
        <w:spacing w:after="0" w:line="268" w:lineRule="auto"/>
        <w:tabs>
          <w:tab w:leader="none" w:pos="70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145" w:lineRule="exact"/>
        <w:rPr>
          <w:sz w:val="20"/>
          <w:szCs w:val="20"/>
          <w:color w:val="auto"/>
        </w:rPr>
      </w:pPr>
    </w:p>
    <w:p>
      <w:pPr>
        <w:ind w:left="720" w:right="680" w:hanging="659"/>
        <w:spacing w:after="0" w:line="268" w:lineRule="auto"/>
        <w:tabs>
          <w:tab w:leader="none" w:pos="700" w:val="left"/>
        </w:tabs>
        <w:rPr>
          <w:sz w:val="20"/>
          <w:szCs w:val="20"/>
          <w:color w:val="auto"/>
        </w:rPr>
      </w:pPr>
      <w:r>
        <w:rPr>
          <w:rFonts w:ascii="Arial" w:cs="Arial" w:eastAsia="Arial" w:hAnsi="Arial"/>
          <w:sz w:val="18"/>
          <w:szCs w:val="18"/>
          <w:color w:val="auto"/>
        </w:rPr>
        <w:t>(d)(7)</w:t>
        <w:tab/>
        <w:t>Form of Articles Supplementary (Incorporated by reference to Exhibit 2(d)(7) to the Registrant’s Pre-Effective Amendment to the Registration Statement on Form N-2/A (File No. 333-172524), filed August 22, 2011).</w:t>
      </w:r>
    </w:p>
    <w:p>
      <w:pPr>
        <w:spacing w:after="0" w:line="145" w:lineRule="exact"/>
        <w:rPr>
          <w:sz w:val="20"/>
          <w:szCs w:val="20"/>
          <w:color w:val="auto"/>
        </w:rPr>
      </w:pPr>
    </w:p>
    <w:p>
      <w:pPr>
        <w:ind w:left="720" w:right="40" w:hanging="659"/>
        <w:spacing w:after="0" w:line="259" w:lineRule="auto"/>
        <w:tabs>
          <w:tab w:leader="none" w:pos="700" w:val="left"/>
        </w:tabs>
        <w:rPr>
          <w:sz w:val="20"/>
          <w:szCs w:val="20"/>
          <w:color w:val="auto"/>
        </w:rPr>
      </w:pPr>
      <w:r>
        <w:rPr>
          <w:rFonts w:ascii="Arial" w:cs="Arial" w:eastAsia="Arial" w:hAnsi="Arial"/>
          <w:sz w:val="18"/>
          <w:szCs w:val="18"/>
          <w:color w:val="auto"/>
        </w:rPr>
        <w:t>(d)(8)</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154" w:lineRule="exact"/>
        <w:rPr>
          <w:sz w:val="20"/>
          <w:szCs w:val="20"/>
          <w:color w:val="auto"/>
        </w:rPr>
      </w:pPr>
    </w:p>
    <w:p>
      <w:pPr>
        <w:jc w:val="both"/>
        <w:ind w:left="720" w:right="140" w:hanging="659"/>
        <w:spacing w:after="0" w:line="259" w:lineRule="auto"/>
        <w:tabs>
          <w:tab w:leader="none" w:pos="700" w:val="left"/>
        </w:tabs>
        <w:rPr>
          <w:sz w:val="20"/>
          <w:szCs w:val="20"/>
          <w:color w:val="auto"/>
        </w:rPr>
      </w:pPr>
      <w:r>
        <w:rPr>
          <w:rFonts w:ascii="Arial" w:cs="Arial" w:eastAsia="Arial" w:hAnsi="Arial"/>
          <w:sz w:val="18"/>
          <w:szCs w:val="18"/>
          <w:color w:val="auto"/>
        </w:rPr>
        <w:t>(d)(9)</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(d)(10)</w:t>
        <w:tab/>
        <w:t>Form of 6.25% Senior Notes due 2025 (included as part of Exhibit (d)(9)).</w:t>
      </w:r>
    </w:p>
    <w:p>
      <w:pPr>
        <w:spacing w:after="0" w:line="185" w:lineRule="exact"/>
        <w:rPr>
          <w:sz w:val="20"/>
          <w:szCs w:val="20"/>
          <w:color w:val="auto"/>
        </w:rPr>
      </w:pPr>
    </w:p>
    <w:p>
      <w:pPr>
        <w:ind w:left="720" w:right="580" w:hanging="560"/>
        <w:spacing w:after="0" w:line="268"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45" w:lineRule="exact"/>
        <w:rPr>
          <w:sz w:val="20"/>
          <w:szCs w:val="20"/>
          <w:color w:val="auto"/>
        </w:rPr>
      </w:pPr>
    </w:p>
    <w:p>
      <w:pPr>
        <w:ind w:left="720" w:hanging="564"/>
        <w:spacing w:after="0" w:line="268"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145" w:lineRule="exact"/>
        <w:rPr>
          <w:sz w:val="20"/>
          <w:szCs w:val="20"/>
          <w:color w:val="auto"/>
        </w:rPr>
      </w:pPr>
    </w:p>
    <w:p>
      <w:pPr>
        <w:ind w:left="720" w:right="580" w:hanging="659"/>
        <w:spacing w:after="0" w:line="268" w:lineRule="auto"/>
        <w:tabs>
          <w:tab w:leader="none" w:pos="7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Pre-Effective Amendment to the Registration Statement on Form N-2/A (File No. 333-150033), filed on May 30,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00" w:right="60" w:hanging="659"/>
        <w:spacing w:after="0" w:line="268" w:lineRule="auto"/>
        <w:tabs>
          <w:tab w:leader="none" w:pos="680" w:val="left"/>
        </w:tabs>
        <w:rPr>
          <w:sz w:val="20"/>
          <w:szCs w:val="20"/>
          <w:color w:val="auto"/>
        </w:rPr>
      </w:pPr>
      <w:r>
        <w:rPr>
          <w:rFonts w:ascii="Arial" w:cs="Arial" w:eastAsia="Arial" w:hAnsi="Arial"/>
          <w:sz w:val="18"/>
          <w:szCs w:val="18"/>
          <w:color w:val="auto"/>
        </w:rPr>
        <w:t>(h)(2)</w:t>
        <w:tab/>
        <w:t>Form of Underwriting Agreement for equity (Incorporated by reference to Exhibit 99.(H)(1) to the Registrant’s Post-Effective Amendment No. 4 to the Registration Statement on Form N-2/A (File No. 333-150033), filed on February 22, 2010).</w:t>
      </w:r>
    </w:p>
    <w:p>
      <w:pPr>
        <w:spacing w:after="0" w:line="145" w:lineRule="exact"/>
        <w:rPr>
          <w:sz w:val="20"/>
          <w:szCs w:val="20"/>
          <w:color w:val="auto"/>
        </w:rPr>
      </w:pPr>
    </w:p>
    <w:p>
      <w:pPr>
        <w:ind w:left="700" w:right="700" w:hanging="659"/>
        <w:spacing w:after="0" w:line="268" w:lineRule="auto"/>
        <w:tabs>
          <w:tab w:leader="none" w:pos="680" w:val="left"/>
        </w:tabs>
        <w:rPr>
          <w:sz w:val="20"/>
          <w:szCs w:val="20"/>
          <w:color w:val="auto"/>
        </w:rPr>
      </w:pPr>
      <w:r>
        <w:rPr>
          <w:rFonts w:ascii="Arial" w:cs="Arial" w:eastAsia="Arial" w:hAnsi="Arial"/>
          <w:sz w:val="18"/>
          <w:szCs w:val="18"/>
          <w:color w:val="auto"/>
        </w:rPr>
        <w:t>(h)(3)</w:t>
        <w:tab/>
        <w:t>Form of Underwriting Agreement for debt (Incorporated by reference to Exhibit 99.(H)(2) to the Registrant’s Pre-Effective Amendment to the Registration Statement on Form N-2/A (File No. 333-150033), filed on May 30, 2008).</w:t>
      </w:r>
    </w:p>
    <w:p>
      <w:pPr>
        <w:spacing w:after="0" w:line="145"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(h)(4)</w:t>
        <w:tab/>
        <w:t>Underwriting Agreement dated January 24, 2012 (Incorporated by reference to Exhibit 99.(H)(4) to the Registrant’s Post-Effective Amendment No. 2 to the Registration Statement on Form N-2/A (File No. 333-172524), filed on January 24, 2012).</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(h)(5)</w:t>
      </w:r>
      <w:r>
        <w:rPr>
          <w:sz w:val="20"/>
          <w:szCs w:val="20"/>
          <w:color w:val="auto"/>
        </w:rPr>
        <w:tab/>
      </w:r>
      <w:r>
        <w:rPr>
          <w:rFonts w:ascii="Arial" w:cs="Arial" w:eastAsia="Arial" w:hAnsi="Arial"/>
          <w:sz w:val="16"/>
          <w:szCs w:val="16"/>
          <w:color w:val="auto"/>
        </w:rPr>
        <w:t>Underwriting Agreement dated September 25, 2012 (Incorporated by reference to Exhibit 99.(H)(5) to the Registrant’s Post-Effective Amendment No.</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to the Registration Statement on Form N-2/A (File No. 333-172524), filed on September 26, 2012).</w:t>
      </w:r>
    </w:p>
    <w:p>
      <w:pPr>
        <w:spacing w:after="0" w:line="178"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(h)(6)</w:t>
        <w:tab/>
        <w:t>Underwriting Agreement dated January 16, 2013 (Incorporated by reference to Exhibit 99.(H)(6) to the Registrant’s Post-Effective Amendment No. 4 to the Registration Statement on Form N-2/A (File No. 333-172524), filed on January 22, 2013).</w:t>
      </w:r>
    </w:p>
    <w:p>
      <w:pPr>
        <w:spacing w:after="0" w:line="145" w:lineRule="exact"/>
        <w:rPr>
          <w:sz w:val="20"/>
          <w:szCs w:val="20"/>
          <w:color w:val="auto"/>
        </w:rPr>
      </w:pPr>
    </w:p>
    <w:p>
      <w:pPr>
        <w:ind w:left="700" w:right="100" w:hanging="545"/>
        <w:spacing w:after="0" w:line="268"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700" w:right="40" w:hanging="659"/>
        <w:spacing w:after="0" w:line="268" w:lineRule="auto"/>
        <w:tabs>
          <w:tab w:leader="none" w:pos="680" w:val="left"/>
        </w:tabs>
        <w:rPr>
          <w:sz w:val="20"/>
          <w:szCs w:val="20"/>
          <w:color w:val="auto"/>
        </w:rPr>
      </w:pPr>
      <w:r>
        <w:rPr>
          <w:rFonts w:ascii="Arial" w:cs="Arial" w:eastAsia="Arial" w:hAnsi="Arial"/>
          <w:sz w:val="18"/>
          <w:szCs w:val="18"/>
          <w:color w:val="auto"/>
        </w:rPr>
        <w:t>(k)(1)</w:t>
        <w:tab/>
        <w:t>Administration Agreement between the Registrant and PennantPark Investment Administration, LLC (Incorporated by reference to Exhibit 99.(K)(1) to the Registrant’s Registration Statement on Form N-2 (File No. 333-150033), filed on April 2, 2008).</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(K)(2) to the Registrant’s Registration Statement on Form N-2 (File No. 333-150033), filed on April 2, 2008).</w:t>
      </w:r>
    </w:p>
    <w:p>
      <w:pPr>
        <w:spacing w:after="0" w:line="178" w:lineRule="exact"/>
        <w:rPr>
          <w:sz w:val="20"/>
          <w:szCs w:val="20"/>
          <w:color w:val="auto"/>
        </w:rPr>
      </w:pPr>
    </w:p>
    <w:p>
      <w:pPr>
        <w:ind w:left="700" w:right="180" w:hanging="659"/>
        <w:spacing w:after="0" w:line="268" w:lineRule="auto"/>
        <w:tabs>
          <w:tab w:leader="none" w:pos="680" w:val="left"/>
        </w:tabs>
        <w:rPr>
          <w:sz w:val="20"/>
          <w:szCs w:val="20"/>
          <w:color w:val="auto"/>
        </w:rPr>
      </w:pPr>
      <w:r>
        <w:rPr>
          <w:rFonts w:ascii="Arial" w:cs="Arial" w:eastAsia="Arial" w:hAnsi="Arial"/>
          <w:sz w:val="18"/>
          <w:szCs w:val="18"/>
          <w:color w:val="auto"/>
        </w:rPr>
        <w:t>(k)(3)</w:t>
        <w:tab/>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ind w:left="700" w:hanging="659"/>
        <w:spacing w:after="0" w:line="259" w:lineRule="auto"/>
        <w:tabs>
          <w:tab w:leader="none" w:pos="680" w:val="left"/>
        </w:tabs>
        <w:rPr>
          <w:sz w:val="20"/>
          <w:szCs w:val="20"/>
          <w:color w:val="auto"/>
        </w:rPr>
      </w:pPr>
      <w:r>
        <w:rPr>
          <w:rFonts w:ascii="Arial" w:cs="Arial" w:eastAsia="Arial" w:hAnsi="Arial"/>
          <w:sz w:val="18"/>
          <w:szCs w:val="18"/>
          <w:color w:val="auto"/>
        </w:rPr>
        <w:t>(k)(4)</w:t>
        <w:tab/>
        <w:t>Amended and Restated Senior Secured Revolving Credit Agreement, among PennantPark Investment Corporation, as the borrower, the Lenders party hereto, SunTrust Bank, as administrative agent and JPMorgan Chase Bank, N.A., as syndication agent (Incorporated by reference to the Report on Form 10-Q Exhibit 10.1 (File No. 814-00736), filed on May 2, 2012).</w:t>
      </w:r>
    </w:p>
    <w:p>
      <w:pPr>
        <w:spacing w:after="0" w:line="154" w:lineRule="exact"/>
        <w:rPr>
          <w:sz w:val="20"/>
          <w:szCs w:val="20"/>
          <w:color w:val="auto"/>
        </w:rPr>
      </w:pPr>
    </w:p>
    <w:p>
      <w:pPr>
        <w:ind w:left="700" w:right="280" w:hanging="639"/>
        <w:spacing w:after="0" w:line="268" w:lineRule="auto"/>
        <w:tabs>
          <w:tab w:leader="none" w:pos="68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Venable LLP (Incorporated by reference to Exhibit 2.(s)(1) to the Registrant’s Pre-Effective Amendment to the Registration Statement on Form N-2/A (File No. 333-172524), filed on August 22, 2011).</w:t>
      </w:r>
    </w:p>
    <w:p>
      <w:pPr>
        <w:spacing w:after="0" w:line="145" w:lineRule="exact"/>
        <w:rPr>
          <w:sz w:val="20"/>
          <w:szCs w:val="20"/>
          <w:color w:val="auto"/>
        </w:rPr>
      </w:pPr>
    </w:p>
    <w:p>
      <w:pPr>
        <w:ind w:left="700" w:right="300" w:hanging="639"/>
        <w:spacing w:after="0" w:line="268" w:lineRule="auto"/>
        <w:tabs>
          <w:tab w:leader="none" w:pos="680" w:val="left"/>
        </w:tabs>
        <w:rPr>
          <w:sz w:val="20"/>
          <w:szCs w:val="20"/>
          <w:color w:val="auto"/>
        </w:rPr>
      </w:pPr>
      <w:r>
        <w:rPr>
          <w:rFonts w:ascii="Arial" w:cs="Arial" w:eastAsia="Arial" w:hAnsi="Arial"/>
          <w:sz w:val="18"/>
          <w:szCs w:val="18"/>
          <w:color w:val="auto"/>
        </w:rPr>
        <w:t>(l)(2)</w:t>
      </w:r>
      <w:r>
        <w:rPr>
          <w:sz w:val="20"/>
          <w:szCs w:val="20"/>
          <w:color w:val="auto"/>
        </w:rPr>
        <w:tab/>
      </w:r>
      <w:r>
        <w:rPr>
          <w:rFonts w:ascii="Arial" w:cs="Arial" w:eastAsia="Arial" w:hAnsi="Arial"/>
          <w:sz w:val="18"/>
          <w:szCs w:val="18"/>
          <w:color w:val="auto"/>
        </w:rPr>
        <w:t>Opinion and Consent of Dechert LLP (Incorporated by reference to Exhibit 2.(s)(1) to the Registrant’s Pre-Effective Amendment to the Registration Statement on Form N-2/A (File No. 333-172524), filed on August 22, 2011).</w:t>
      </w:r>
    </w:p>
    <w:p>
      <w:pPr>
        <w:spacing w:after="0" w:line="145" w:lineRule="exact"/>
        <w:rPr>
          <w:sz w:val="20"/>
          <w:szCs w:val="20"/>
          <w:color w:val="auto"/>
        </w:rPr>
      </w:pPr>
    </w:p>
    <w:p>
      <w:pPr>
        <w:ind w:left="700" w:right="520" w:hanging="639"/>
        <w:spacing w:after="0" w:line="268" w:lineRule="auto"/>
        <w:tabs>
          <w:tab w:leader="none" w:pos="680" w:val="left"/>
        </w:tabs>
        <w:rPr>
          <w:sz w:val="20"/>
          <w:szCs w:val="20"/>
          <w:color w:val="auto"/>
        </w:rPr>
      </w:pPr>
      <w:r>
        <w:rPr>
          <w:rFonts w:ascii="Arial" w:cs="Arial" w:eastAsia="Arial" w:hAnsi="Arial"/>
          <w:sz w:val="18"/>
          <w:szCs w:val="18"/>
          <w:color w:val="auto"/>
        </w:rPr>
        <w:t>(l)(3)</w:t>
      </w:r>
      <w:r>
        <w:rPr>
          <w:sz w:val="20"/>
          <w:szCs w:val="20"/>
          <w:color w:val="auto"/>
        </w:rPr>
        <w:tab/>
      </w:r>
      <w:r>
        <w:rPr>
          <w:rFonts w:ascii="Arial" w:cs="Arial" w:eastAsia="Arial" w:hAnsi="Arial"/>
          <w:sz w:val="18"/>
          <w:szCs w:val="18"/>
          <w:color w:val="auto"/>
        </w:rPr>
        <w:t>Opinion and Consent of Venable LLP (Incorporated by reference to Exhibit 99.2(l)(3) to the Registrant’s Post-Effective Amendment No. 2 to the Registration Statement on Form N-2/A (File No. 333-172524), filed on January 24, 2012).</w:t>
      </w:r>
    </w:p>
    <w:p>
      <w:pPr>
        <w:spacing w:after="0" w:line="145" w:lineRule="exact"/>
        <w:rPr>
          <w:sz w:val="20"/>
          <w:szCs w:val="20"/>
          <w:color w:val="auto"/>
        </w:rPr>
      </w:pPr>
    </w:p>
    <w:p>
      <w:pPr>
        <w:ind w:left="700" w:right="560" w:hanging="639"/>
        <w:spacing w:after="0" w:line="268" w:lineRule="auto"/>
        <w:tabs>
          <w:tab w:leader="none" w:pos="680" w:val="left"/>
        </w:tabs>
        <w:rPr>
          <w:sz w:val="20"/>
          <w:szCs w:val="20"/>
          <w:color w:val="auto"/>
        </w:rPr>
      </w:pPr>
      <w:r>
        <w:rPr>
          <w:rFonts w:ascii="Arial" w:cs="Arial" w:eastAsia="Arial" w:hAnsi="Arial"/>
          <w:sz w:val="18"/>
          <w:szCs w:val="18"/>
          <w:color w:val="auto"/>
        </w:rPr>
        <w:t>(l)(4)</w:t>
      </w:r>
      <w:r>
        <w:rPr>
          <w:sz w:val="20"/>
          <w:szCs w:val="20"/>
          <w:color w:val="auto"/>
        </w:rPr>
        <w:tab/>
      </w:r>
      <w:r>
        <w:rPr>
          <w:rFonts w:ascii="Arial" w:cs="Arial" w:eastAsia="Arial" w:hAnsi="Arial"/>
          <w:sz w:val="18"/>
          <w:szCs w:val="18"/>
          <w:color w:val="auto"/>
        </w:rPr>
        <w:t>Opinion and Consent of Venable LLP (Incorporated by reference to Exhibit 99.(L)(4) to the Registrant’s Post-Effective Amendment No. 3 to the Registration Statement on Form N-2/A (File No. 333-172524), filed on September 26,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571"/>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(l)(5)</w:t>
            </w:r>
          </w:p>
        </w:tc>
        <w:tc>
          <w:tcPr>
            <w:tcW w:w="10320" w:type="dxa"/>
            <w:vAlign w:val="bottom"/>
          </w:tcPr>
          <w:p>
            <w:pPr>
              <w:ind w:left="160"/>
              <w:spacing w:after="0"/>
              <w:rPr>
                <w:sz w:val="20"/>
                <w:szCs w:val="20"/>
                <w:color w:val="auto"/>
              </w:rPr>
            </w:pPr>
            <w:r>
              <w:rPr>
                <w:rFonts w:ascii="Arial" w:cs="Arial" w:eastAsia="Arial" w:hAnsi="Arial"/>
                <w:sz w:val="18"/>
                <w:szCs w:val="18"/>
                <w:color w:val="auto"/>
                <w:w w:val="89"/>
              </w:rPr>
              <w:t>Opinion and Consent of Venable LLP (Incorporated by reference to Exhibit 99.(L)(5) to the Registrant’s Post-Effective Amendment No. 4 to the</w:t>
            </w:r>
          </w:p>
        </w:tc>
      </w:tr>
      <w:tr>
        <w:trPr>
          <w:trHeight w:val="222"/>
        </w:trPr>
        <w:tc>
          <w:tcPr>
            <w:tcW w:w="740" w:type="dxa"/>
            <w:vAlign w:val="bottom"/>
          </w:tcPr>
          <w:p>
            <w:pPr>
              <w:spacing w:after="0"/>
              <w:rPr>
                <w:sz w:val="19"/>
                <w:szCs w:val="19"/>
                <w:color w:val="auto"/>
              </w:rPr>
            </w:pPr>
          </w:p>
        </w:tc>
        <w:tc>
          <w:tcPr>
            <w:tcW w:w="10320" w:type="dxa"/>
            <w:vAlign w:val="bottom"/>
          </w:tcPr>
          <w:p>
            <w:pPr>
              <w:ind w:left="160"/>
              <w:spacing w:after="0"/>
              <w:rPr>
                <w:sz w:val="20"/>
                <w:szCs w:val="20"/>
                <w:color w:val="auto"/>
              </w:rPr>
            </w:pPr>
            <w:r>
              <w:rPr>
                <w:rFonts w:ascii="Arial" w:cs="Arial" w:eastAsia="Arial" w:hAnsi="Arial"/>
                <w:sz w:val="18"/>
                <w:szCs w:val="18"/>
                <w:color w:val="auto"/>
              </w:rPr>
              <w:t>Registration Statement on Form N-2/A (File No. 333-172524), filed on January 22, 2013).</w:t>
            </w:r>
          </w:p>
        </w:tc>
      </w:tr>
      <w:tr>
        <w:trPr>
          <w:trHeight w:val="385"/>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(l)(6)</w:t>
            </w:r>
          </w:p>
        </w:tc>
        <w:tc>
          <w:tcPr>
            <w:tcW w:w="10320" w:type="dxa"/>
            <w:vAlign w:val="bottom"/>
          </w:tcPr>
          <w:p>
            <w:pPr>
              <w:ind w:left="160"/>
              <w:spacing w:after="0"/>
              <w:rPr>
                <w:sz w:val="20"/>
                <w:szCs w:val="20"/>
                <w:color w:val="auto"/>
              </w:rPr>
            </w:pPr>
            <w:r>
              <w:rPr>
                <w:rFonts w:ascii="Arial" w:cs="Arial" w:eastAsia="Arial" w:hAnsi="Arial"/>
                <w:sz w:val="18"/>
                <w:szCs w:val="18"/>
                <w:color w:val="auto"/>
                <w:w w:val="89"/>
              </w:rPr>
              <w:t>Opinion and Consent of Dechert LLP (Incorporated by reference to Exhibit 99.(L)(6) to the Registrant’s Post-Effective Amendment No. 4 to the</w:t>
            </w:r>
          </w:p>
        </w:tc>
      </w:tr>
      <w:tr>
        <w:trPr>
          <w:trHeight w:val="222"/>
        </w:trPr>
        <w:tc>
          <w:tcPr>
            <w:tcW w:w="740" w:type="dxa"/>
            <w:vAlign w:val="bottom"/>
          </w:tcPr>
          <w:p>
            <w:pPr>
              <w:spacing w:after="0"/>
              <w:rPr>
                <w:sz w:val="19"/>
                <w:szCs w:val="19"/>
                <w:color w:val="auto"/>
              </w:rPr>
            </w:pPr>
          </w:p>
        </w:tc>
        <w:tc>
          <w:tcPr>
            <w:tcW w:w="10320" w:type="dxa"/>
            <w:vAlign w:val="bottom"/>
          </w:tcPr>
          <w:p>
            <w:pPr>
              <w:ind w:left="160"/>
              <w:spacing w:after="0"/>
              <w:rPr>
                <w:sz w:val="20"/>
                <w:szCs w:val="20"/>
                <w:color w:val="auto"/>
              </w:rPr>
            </w:pPr>
            <w:r>
              <w:rPr>
                <w:rFonts w:ascii="Arial" w:cs="Arial" w:eastAsia="Arial" w:hAnsi="Arial"/>
                <w:sz w:val="18"/>
                <w:szCs w:val="18"/>
                <w:color w:val="auto"/>
              </w:rPr>
              <w:t>Registration Statement on Form N-2/A (File No. 333-172524), filed on January 22, 2013).</w:t>
            </w:r>
          </w:p>
        </w:tc>
      </w:tr>
      <w:tr>
        <w:trPr>
          <w:trHeight w:val="392"/>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(n)(1)**</w:t>
            </w:r>
          </w:p>
        </w:tc>
        <w:tc>
          <w:tcPr>
            <w:tcW w:w="10320" w:type="dxa"/>
            <w:vAlign w:val="bottom"/>
          </w:tcPr>
          <w:p>
            <w:pPr>
              <w:ind w:left="160"/>
              <w:spacing w:after="0"/>
              <w:rPr>
                <w:sz w:val="20"/>
                <w:szCs w:val="20"/>
                <w:color w:val="auto"/>
              </w:rPr>
            </w:pPr>
            <w:r>
              <w:rPr>
                <w:rFonts w:ascii="Arial" w:cs="Arial" w:eastAsia="Arial" w:hAnsi="Arial"/>
                <w:sz w:val="18"/>
                <w:szCs w:val="18"/>
                <w:color w:val="auto"/>
              </w:rPr>
              <w:t>Awareness Letter of Independent Registered Public Accounting Firm.</w:t>
            </w:r>
          </w:p>
        </w:tc>
      </w:tr>
      <w:tr>
        <w:trPr>
          <w:trHeight w:val="392"/>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(n)(2)**</w:t>
            </w:r>
          </w:p>
        </w:tc>
        <w:tc>
          <w:tcPr>
            <w:tcW w:w="10320" w:type="dxa"/>
            <w:vAlign w:val="bottom"/>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r>
    </w:tbl>
    <w:p>
      <w:pPr>
        <w:spacing w:after="0" w:line="169" w:lineRule="exact"/>
        <w:rPr>
          <w:sz w:val="20"/>
          <w:szCs w:val="20"/>
          <w:color w:val="auto"/>
        </w:rPr>
      </w:pPr>
    </w:p>
    <w:p>
      <w:pPr>
        <w:ind w:left="920" w:right="360" w:hanging="703"/>
        <w:spacing w:after="0" w:line="268"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November 14, 2012).</w:t>
      </w:r>
    </w:p>
    <w:p>
      <w:pPr>
        <w:spacing w:after="0" w:line="145"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2.(s)(1) to the Registrant’s Pre-Effective Amendment to the Registration Statement on Form N-2/A (File No. 333-172524), filed on August 22, 2011).</w:t>
      </w:r>
    </w:p>
    <w:p>
      <w:pPr>
        <w:spacing w:after="0" w:line="99"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2.(s)(2) to the Registrant’s Pre-Effective Amendment to the Registration Statement on Form N-2/A (File No. 333-172524), filed on August 22, 2011).</w:t>
      </w:r>
    </w:p>
    <w:p>
      <w:pPr>
        <w:spacing w:after="0" w:line="99" w:lineRule="exact"/>
        <w:rPr>
          <w:sz w:val="20"/>
          <w:szCs w:val="20"/>
          <w:color w:val="auto"/>
        </w:rPr>
      </w:pPr>
    </w:p>
    <w:p>
      <w:pPr>
        <w:ind w:left="920" w:right="220" w:hanging="799"/>
        <w:spacing w:after="0" w:line="268" w:lineRule="auto"/>
        <w:tabs>
          <w:tab w:leader="none" w:pos="90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2.(s)(3) to the Registrant’s Pre-Effective Amendment to the Registration Statement on Form N-2/A (File No. 333-172524), filed on August 22, 2011).</w:t>
      </w:r>
    </w:p>
    <w:p>
      <w:pPr>
        <w:spacing w:after="0" w:line="145" w:lineRule="exact"/>
        <w:rPr>
          <w:sz w:val="20"/>
          <w:szCs w:val="20"/>
          <w:color w:val="auto"/>
        </w:rPr>
      </w:pPr>
    </w:p>
    <w:p>
      <w:pPr>
        <w:ind w:left="920" w:right="100" w:hanging="799"/>
        <w:spacing w:after="0" w:line="268" w:lineRule="auto"/>
        <w:tabs>
          <w:tab w:leader="none" w:pos="9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2.(s)(4) to the Registrant’s Pre-Effective Amendment to the Registration Statement on Form N-2/A (File No. 333-172524), filed on August 22, 2011).</w:t>
      </w:r>
    </w:p>
    <w:p>
      <w:pPr>
        <w:spacing w:after="0" w:line="145" w:lineRule="exact"/>
        <w:rPr>
          <w:sz w:val="20"/>
          <w:szCs w:val="20"/>
          <w:color w:val="auto"/>
        </w:rPr>
      </w:pPr>
    </w:p>
    <w:p>
      <w:pPr>
        <w:ind w:left="920" w:hanging="799"/>
        <w:spacing w:after="0" w:line="268" w:lineRule="auto"/>
        <w:tabs>
          <w:tab w:leader="none" w:pos="9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2.(s)(5) to the Registrant’s Pre-Effective Amendment to the Registration Statement on Form N-2/A (File No. 333-172524), filed on August 22, 2011).</w:t>
      </w:r>
    </w:p>
    <w:p>
      <w:pPr>
        <w:spacing w:after="0" w:line="251"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listing fee</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The following lists sets forth each of the companies considered to be controlled by us as defined by the 1940 Act.</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Voting Securities</w:t>
            </w:r>
          </w:p>
        </w:tc>
        <w:tc>
          <w:tcPr>
            <w:tcW w:w="0" w:type="dxa"/>
            <w:vAlign w:val="bottom"/>
          </w:tcPr>
          <w:p>
            <w:pPr>
              <w:spacing w:after="0"/>
              <w:rPr>
                <w:sz w:val="1"/>
                <w:szCs w:val="1"/>
                <w:color w:val="auto"/>
              </w:rPr>
            </w:pPr>
          </w:p>
        </w:tc>
      </w:tr>
      <w:tr>
        <w:trPr>
          <w:trHeight w:val="161"/>
        </w:trPr>
        <w:tc>
          <w:tcPr>
            <w:tcW w:w="5480" w:type="dxa"/>
            <w:vAlign w:val="bottom"/>
            <w:gridSpan w:val="3"/>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PennantPark SBIC GP, LLC (Delaware)</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PennantPark SBIC LP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PennantPark SBIC II LP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PNNT Acentia, LLC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PNNT Transportation 100 Holdco, LLC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SuttonPark Holdings, Inc. (Delaware)</w:t>
            </w:r>
          </w:p>
        </w:tc>
        <w:tc>
          <w:tcPr>
            <w:tcW w:w="1620" w:type="dxa"/>
            <w:vAlign w:val="bottom"/>
          </w:tcPr>
          <w:p>
            <w:pPr>
              <w:jc w:val="center"/>
              <w:ind w:left="113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5480" w:type="dxa"/>
            <w:vAlign w:val="bottom"/>
            <w:gridSpan w:val="3"/>
          </w:tcPr>
          <w:p>
            <w:pPr>
              <w:spacing w:after="0"/>
              <w:rPr>
                <w:sz w:val="20"/>
                <w:szCs w:val="20"/>
                <w:color w:val="auto"/>
              </w:rPr>
            </w:pPr>
            <w:r>
              <w:rPr>
                <w:rFonts w:ascii="Arial" w:cs="Arial" w:eastAsia="Arial" w:hAnsi="Arial"/>
                <w:sz w:val="18"/>
                <w:szCs w:val="18"/>
                <w:color w:val="auto"/>
              </w:rPr>
              <w:t>SuttonPark Capital LLC (Delaware)</w:t>
            </w:r>
          </w:p>
        </w:tc>
        <w:tc>
          <w:tcPr>
            <w:tcW w:w="1620" w:type="dxa"/>
            <w:vAlign w:val="bottom"/>
          </w:tcPr>
          <w:p>
            <w:pPr>
              <w:jc w:val="center"/>
              <w:ind w:left="1156"/>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-1618615</wp:posOffset>
            </wp:positionV>
            <wp:extent cx="492252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22520" cy="17145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-1284605</wp:posOffset>
            </wp:positionV>
            <wp:extent cx="492252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6319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-958850</wp:posOffset>
            </wp:positionV>
            <wp:extent cx="4922520"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16319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-632460</wp:posOffset>
            </wp:positionV>
            <wp:extent cx="492252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16319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-306705</wp:posOffset>
            </wp:positionV>
            <wp:extent cx="492252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76" w:lineRule="exact"/>
        <w:rPr>
          <w:sz w:val="20"/>
          <w:szCs w:val="20"/>
          <w:color w:val="auto"/>
        </w:rPr>
      </w:pPr>
    </w:p>
    <w:p>
      <w:pPr>
        <w:sectPr>
          <w:pgSz w:w="11900" w:h="16838" w:orient="portrait"/>
          <w:cols w:equalWidth="0" w:num="2">
            <w:col w:w="8940" w:space="160"/>
            <w:col w:w="1119"/>
          </w:cols>
          <w:pgMar w:left="240" w:top="460" w:right="1440" w:bottom="1440" w:gutter="0" w:footer="0" w:header="0"/>
        </w:sectPr>
      </w:pPr>
    </w:p>
    <w:p>
      <w:pPr>
        <w:spacing w:after="0" w:line="277"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entity is directly owned 99% by us and 1% by PennantPark SBIC GP, LLC, which is indirectly wholly-owned by us.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entity is directly owned 99% by us and 1% by PennantPark SBIC GP II, LLC, which is indirectly wholly-owned by us.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entity is not operational.</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is a controlled affiliated investment.</w:t>
      </w: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entity is indirectly owned by us and directly owned by SuttonPark Holdings, Inc.</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60" w:right="1440"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00" w:type="dxa"/>
            <w:vAlign w:val="bottom"/>
            <w:gridSpan w:val="3"/>
          </w:tcPr>
          <w:p>
            <w:pPr>
              <w:jc w:val="right"/>
              <w:ind w:right="6320"/>
              <w:spacing w:after="0"/>
              <w:rPr>
                <w:sz w:val="20"/>
                <w:szCs w:val="20"/>
                <w:color w:val="auto"/>
              </w:rPr>
            </w:pPr>
            <w:r>
              <w:rPr>
                <w:rFonts w:ascii="Arial" w:cs="Arial" w:eastAsia="Arial" w:hAnsi="Arial"/>
                <w:sz w:val="18"/>
                <w:szCs w:val="18"/>
                <w:color w:val="auto"/>
              </w:rPr>
              <w:t>As of December 31, 2012</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right"/>
              <w:ind w:right="6300"/>
              <w:spacing w:after="0"/>
              <w:rPr>
                <w:sz w:val="20"/>
                <w:szCs w:val="20"/>
                <w:color w:val="auto"/>
              </w:rPr>
            </w:pPr>
            <w:r>
              <w:rPr>
                <w:rFonts w:ascii="Arial" w:cs="Arial" w:eastAsia="Arial" w:hAnsi="Arial"/>
                <w:sz w:val="14"/>
                <w:szCs w:val="14"/>
                <w:b w:val="1"/>
                <w:bCs w:val="1"/>
                <w:color w:val="auto"/>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2"/>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60" w:right="11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5580" w:right="2360" w:hanging="5001"/>
        <w:spacing w:after="0" w:line="440" w:lineRule="auto"/>
        <w:tabs>
          <w:tab w:leader="none" w:pos="8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 C-8</w:t>
      </w:r>
    </w:p>
    <w:p>
      <w:pPr>
        <w:sectPr>
          <w:pgSz w:w="11900" w:h="16838" w:orient="portrait"/>
          <w:cols w:equalWidth="0" w:num="1">
            <w:col w:w="10960"/>
          </w:cols>
          <w:pgMar w:left="240" w:top="460" w:right="6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80" w:firstLine="579"/>
        <w:spacing w:after="0" w:line="259" w:lineRule="auto"/>
        <w:tabs>
          <w:tab w:leader="none" w:pos="8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2"/>
          <w:numId w:val="11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420" w:firstLine="579"/>
        <w:spacing w:after="0" w:line="268" w:lineRule="auto"/>
        <w:tabs>
          <w:tab w:leader="none" w:pos="8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360" w:right="400" w:firstLine="410"/>
        <w:spacing w:after="0" w:line="259" w:lineRule="auto"/>
        <w:tabs>
          <w:tab w:leader="none" w:pos="10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right="100" w:firstLine="410"/>
        <w:spacing w:after="0" w:line="268" w:lineRule="auto"/>
        <w:tabs>
          <w:tab w:leader="none" w:pos="10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firstLine="410"/>
        <w:spacing w:after="0" w:line="290" w:lineRule="auto"/>
        <w:tabs>
          <w:tab w:leader="none" w:pos="101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360" w:right="100" w:firstLine="410"/>
        <w:spacing w:after="0" w:line="323" w:lineRule="auto"/>
        <w:tabs>
          <w:tab w:leader="none" w:pos="999"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360" w:right="140" w:firstLine="433"/>
        <w:spacing w:after="0" w:line="268" w:lineRule="auto"/>
        <w:tabs>
          <w:tab w:leader="none" w:pos="101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00" w:firstLine="433"/>
        <w:spacing w:after="0" w:line="268" w:lineRule="auto"/>
        <w:tabs>
          <w:tab w:leader="none" w:pos="106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360" w:right="100" w:firstLine="410"/>
        <w:spacing w:after="0" w:line="254" w:lineRule="auto"/>
        <w:tabs>
          <w:tab w:leader="none" w:pos="10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ind w:left="360" w:firstLine="410"/>
        <w:spacing w:after="0" w:line="259" w:lineRule="auto"/>
        <w:tabs>
          <w:tab w:leader="none" w:pos="102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80" w:firstLine="579"/>
        <w:spacing w:after="0" w:line="291" w:lineRule="auto"/>
        <w:tabs>
          <w:tab w:leader="none" w:pos="81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 effective Amendment No. 5 to the Registration Statement on Form N-2 to be signed on its behalf by the undersigned, thereunto duly authorized, in the City of New York, and State of New York, on the 15th day of February 2013.</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4"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Post effective Amendment No. 5 to the Registration Statement has been signed by the following persons in the capacities set forth below on the 15th day of February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5260" w:type="dxa"/>
            <w:vAlign w:val="bottom"/>
            <w:vMerge w:val="restart"/>
          </w:tcPr>
          <w:p>
            <w:pPr>
              <w:ind w:left="1560"/>
              <w:spacing w:after="0"/>
              <w:rPr>
                <w:sz w:val="20"/>
                <w:szCs w:val="20"/>
                <w:color w:val="auto"/>
              </w:rPr>
            </w:pPr>
            <w:r>
              <w:rPr>
                <w:rFonts w:ascii="Arial" w:cs="Arial" w:eastAsia="Arial" w:hAnsi="Arial"/>
                <w:sz w:val="18"/>
                <w:szCs w:val="18"/>
                <w:color w:val="auto"/>
              </w:rPr>
              <w:t>/S/  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c>
          <w:tcPr>
            <w:tcW w:w="0" w:type="dxa"/>
            <w:vAlign w:val="bottom"/>
          </w:tcPr>
          <w:p>
            <w:pPr>
              <w:spacing w:after="0"/>
              <w:rPr>
                <w:sz w:val="1"/>
                <w:szCs w:val="1"/>
                <w:color w:val="auto"/>
              </w:rPr>
            </w:pPr>
          </w:p>
        </w:tc>
      </w:tr>
      <w:tr>
        <w:trPr>
          <w:trHeight w:val="92"/>
        </w:trPr>
        <w:tc>
          <w:tcPr>
            <w:tcW w:w="5260" w:type="dxa"/>
            <w:vAlign w:val="bottom"/>
            <w:tcBorders>
              <w:bottom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15"/>
        </w:trPr>
        <w:tc>
          <w:tcPr>
            <w:tcW w:w="5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2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52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by each on February 28,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20"/>
          </w:cols>
          <w:pgMar w:left="240" w:top="459"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of 1933 Registration No. 333-172524 and Investment Company Act of 1940 File No. 814-00736</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the subject registration statement, we acknowledge our awareness of the use therein of our report dated February 6, 2013 related to our review of interim financial information.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ectPr>
          <w:pgSz w:w="11900" w:h="16838" w:orient="portrait"/>
          <w:cols w:equalWidth="0" w:num="1">
            <w:col w:w="11420"/>
          </w:cols>
          <w:pgMar w:left="240" w:top="12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consent to the use of our audit reports dated November 14, 2012 with respect to the consolidated financial statements of PennantPark Investment Corporation and subsidiaries (the “Company”) as of September 30, 2012 and 2011 and for each of the years in the three-year period ended September 30, 2012, and the effectiveness of internal control over financial reporting as of September 30, 2012, included herein and to the references to our firm under the headings “Selected Financial Data” “Senior Securities” and “Independent Registered Public Accounting Firm” in the Registration Statement on Form N-2.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1)"/>
      <w:numFmt w:val="decimal"/>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1)"/>
      <w:numFmt w:val="decimal"/>
      <w:start w:val="3"/>
    </w:lvl>
  </w:abstractNum>
  <w:abstractNum w:abstractNumId="21">
    <w:nsid w:val="42C296BD"/>
    <w:multiLevelType w:val="hybridMultilevel"/>
    <w:lvl w:ilvl="0">
      <w:lvlJc w:val="left"/>
      <w:lvlText w:val="(%1)"/>
      <w:numFmt w:val="decimal"/>
      <w:start w:val="1"/>
    </w:lvl>
  </w:abstractNum>
  <w:abstractNum w:abstractNumId="22">
    <w:nsid w:val="168E121F"/>
    <w:multiLevelType w:val="hybridMultilevel"/>
    <w:lvl w:ilvl="0">
      <w:lvlJc w:val="left"/>
      <w:lvlText w:val="(%1)"/>
      <w:numFmt w:val="decimal"/>
      <w:start w:val="1"/>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decimal"/>
      <w:start w:val="1"/>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1."/>
      <w:numFmt w:val="lowerLetter"/>
      <w:start w:val="1"/>
    </w:lvl>
  </w:abstractNum>
  <w:abstractNum w:abstractNumId="32">
    <w:nsid w:val="42963E5A"/>
    <w:multiLevelType w:val="hybridMultilevel"/>
    <w:lvl w:ilvl="0">
      <w:lvlJc w:val="left"/>
      <w:lvlText w:val="%1."/>
      <w:numFmt w:val="lowerLetter"/>
      <w:start w:val="2"/>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Letter"/>
      <w:start w:val="3"/>
    </w:lvl>
  </w:abstractNum>
  <w:abstractNum w:abstractNumId="35">
    <w:nsid w:val="1A32234B"/>
    <w:multiLevelType w:val="hybridMultilevel"/>
    <w:lvl w:ilvl="0">
      <w:lvlJc w:val="left"/>
      <w:lvlText w:val="%1."/>
      <w:numFmt w:val="lowerLetter"/>
      <w:start w:val="4"/>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Letter"/>
      <w:start w:val="2"/>
    </w:lvl>
  </w:abstractNum>
  <w:abstractNum w:abstractNumId="38">
    <w:nsid w:val="4962813B"/>
    <w:multiLevelType w:val="hybridMultilevel"/>
    <w:lvl w:ilvl="0">
      <w:lvlJc w:val="left"/>
      <w:lvlText w:val="%1."/>
      <w:numFmt w:val="lowerLetter"/>
      <w:start w:val="3"/>
    </w:lvl>
  </w:abstractNum>
  <w:abstractNum w:abstractNumId="39">
    <w:nsid w:val="60B6DF70"/>
    <w:multiLevelType w:val="hybridMultilevel"/>
    <w:lvl w:ilvl="0">
      <w:lvlJc w:val="left"/>
      <w:lvlText w:val="%1."/>
      <w:numFmt w:val="lowerLetter"/>
      <w:start w:val="4"/>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1)"/>
      <w:numFmt w:val="decimal"/>
    </w:lvl>
    <w:lvl w:ilvl="1">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lowerLetter"/>
      <w:start w:val="2"/>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
      <w:numFmt w:val="bullet"/>
      <w:start w:val="1"/>
    </w:lvl>
    <w:lvl w:ilvl="1">
      <w:lvlJc w:val="left"/>
      <w:lvlText w:val="%2)"/>
      <w:numFmt w:val="decimal"/>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1)"/>
      <w:numFmt w:val="decimal"/>
      <w:start w:val="1"/>
    </w:lvl>
  </w:abstractNum>
  <w:abstractNum w:abstractNumId="88">
    <w:nsid w:val="53299938"/>
    <w:multiLevelType w:val="hybridMultilevel"/>
    <w:lvl w:ilvl="0">
      <w:lvlJc w:val="left"/>
      <w:lvlText w:val="(%1)"/>
      <w:numFmt w:val="decimal"/>
      <w:start w:val="1"/>
    </w:lvl>
  </w:abstractNum>
  <w:abstractNum w:abstractNumId="89">
    <w:nsid w:val="1FBFE8E0"/>
    <w:multiLevelType w:val="hybridMultilevel"/>
    <w:lvl w:ilvl="0">
      <w:lvlJc w:val="left"/>
      <w:lvlText w:val="%1"/>
      <w:numFmt w:val="lowerLetter"/>
      <w:start w:val="1"/>
    </w:lvl>
    <w:lvl w:ilvl="1">
      <w:lvlJc w:val="left"/>
      <w:lvlText w:val="(%2)"/>
      <w:numFmt w:val="decimal"/>
      <w:start w:val="1"/>
    </w:lvl>
  </w:abstractNum>
  <w:abstractNum w:abstractNumId="90">
    <w:nsid w:val="5092CA79"/>
    <w:multiLevelType w:val="hybridMultilevel"/>
    <w:lvl w:ilvl="0">
      <w:lvlJc w:val="left"/>
      <w:lvlText w:val="(%1)"/>
      <w:numFmt w:val="lowerLetter"/>
      <w:start w:val="2"/>
    </w:lvl>
    <w:lvl w:ilvl="1">
      <w:lvlJc w:val="left"/>
      <w:lvlText w:val="%2"/>
      <w:numFmt w:val="decimal"/>
      <w:start w:val="1"/>
    </w:lvl>
  </w:abstractNum>
  <w:abstractNum w:abstractNumId="91">
    <w:nsid w:val="1D545C4D"/>
    <w:multiLevelType w:val="hybridMultilevel"/>
    <w:lvl w:ilvl="0">
      <w:lvlJc w:val="left"/>
      <w:lvlText w:val="(%1)"/>
      <w:numFmt w:val="decimal"/>
      <w:start w:val="1"/>
    </w:lvl>
  </w:abstractNum>
  <w:abstractNum w:abstractNumId="92">
    <w:nsid w:val="59ADEA3D"/>
    <w:multiLevelType w:val="hybridMultilevel"/>
    <w:lvl w:ilvl="0">
      <w:lvlJc w:val="left"/>
      <w:lvlText w:val="(%1)"/>
      <w:numFmt w:val="decimal"/>
      <w:start w:val="1"/>
    </w:lvl>
  </w:abstractNum>
  <w:abstractNum w:abstractNumId="93">
    <w:nsid w:val="288F1A34"/>
    <w:multiLevelType w:val="hybridMultilevel"/>
    <w:lvl w:ilvl="0">
      <w:lvlJc w:val="left"/>
      <w:lvlText w:val="(%1)"/>
      <w:numFmt w:val="decimal"/>
      <w:start w:val="1"/>
    </w:lvl>
  </w:abstractNum>
  <w:abstractNum w:abstractNumId="94">
    <w:nsid w:val="2A155DBC"/>
    <w:multiLevelType w:val="hybridMultilevel"/>
    <w:lvl w:ilvl="0">
      <w:lvlJc w:val="left"/>
      <w:lvlText w:val="%1."/>
      <w:numFmt w:val="decimal"/>
      <w:start w:val="11"/>
    </w:lvl>
  </w:abstractNum>
  <w:abstractNum w:abstractNumId="95">
    <w:nsid w:val="1D9F6E5F"/>
    <w:multiLevelType w:val="hybridMultilevel"/>
    <w:lvl w:ilvl="0">
      <w:lvlJc w:val="left"/>
      <w:lvlText w:val="(%1)"/>
      <w:numFmt w:val="decimal"/>
      <w:start w:val="1"/>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lowerLetter"/>
      <w:start w:val="1"/>
    </w:lvl>
    <w:lvl w:ilvl="1">
      <w:lvlJc w:val="left"/>
      <w:lvlText w:val="(%2)"/>
      <w:numFmt w:val="decimal"/>
      <w:start w:val="1"/>
    </w:lvl>
  </w:abstractNum>
  <w:abstractNum w:abstractNumId="98">
    <w:nsid w:val="1CA0C5FA"/>
    <w:multiLevelType w:val="hybridMultilevel"/>
    <w:lvl w:ilvl="0">
      <w:lvlJc w:val="left"/>
      <w:lvlText w:val="(%1)"/>
      <w:numFmt w:val="lowerLetter"/>
      <w:start w:val="2"/>
    </w:lvl>
    <w:lvl w:ilvl="1">
      <w:lvlJc w:val="left"/>
      <w:lvlText w:val="%2"/>
      <w:numFmt w:val="decimal"/>
      <w:start w:val="1"/>
    </w:lvl>
  </w:abstractNum>
  <w:abstractNum w:abstractNumId="99">
    <w:nsid w:val="53584BCB"/>
    <w:multiLevelType w:val="hybridMultilevel"/>
    <w:lvl w:ilvl="0">
      <w:lvlJc w:val="left"/>
      <w:lvlText w:val="(%1)"/>
      <w:numFmt w:val="decimal"/>
      <w:start w:val="1"/>
    </w:lvl>
  </w:abstractNum>
  <w:abstractNum w:abstractNumId="100">
    <w:nsid w:val="415E286C"/>
    <w:multiLevelType w:val="hybridMultilevel"/>
    <w:lvl w:ilvl="0">
      <w:lvlJc w:val="left"/>
      <w:lvlText w:val="*"/>
      <w:numFmt w:val="bullet"/>
      <w:start w:val="1"/>
    </w:lvl>
  </w:abstractNum>
  <w:abstractNum w:abstractNumId="101">
    <w:nsid w:val="7C58FD05"/>
    <w:multiLevelType w:val="hybridMultilevel"/>
    <w:lvl w:ilvl="0">
      <w:lvlJc w:val="left"/>
      <w:lvlText w:val="(%1)"/>
      <w:numFmt w:val="decimal"/>
      <w:start w:val="1"/>
    </w:lvl>
  </w:abstractNum>
  <w:abstractNum w:abstractNumId="102">
    <w:nsid w:val="23D86AAC"/>
    <w:multiLevelType w:val="hybridMultilevel"/>
    <w:lvl w:ilvl="0">
      <w:lvlJc w:val="left"/>
      <w:lvlText w:val="%1."/>
      <w:numFmt w:val="decimal"/>
      <w:start w:val="10"/>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bullet"/>
      <w:start w:val="1"/>
    </w:lvl>
  </w:abstractNum>
  <w:abstractNum w:abstractNumId="105">
    <w:nsid w:val="E7FFA2B"/>
    <w:multiLevelType w:val="hybridMultilevel"/>
    <w:lvl w:ilvl="0">
      <w:lvlJc w:val="left"/>
      <w:lvlText w:val="2"/>
      <w:numFmt w:val="bullet"/>
      <w:start w:val="1"/>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Letter"/>
      <w:start w:val="5"/>
    </w:lvl>
  </w:abstractNum>
  <w:abstractNum w:abstractNumId="108">
    <w:nsid w:val="78DF6A55"/>
    <w:multiLevelType w:val="hybridMultilevel"/>
    <w:lvl w:ilvl="0">
      <w:lvlJc w:val="left"/>
      <w:lvlText w:val="(%1)"/>
      <w:numFmt w:val="lowerLetter"/>
      <w:start w:val="7"/>
    </w:lvl>
  </w:abstractNum>
  <w:abstractNum w:abstractNumId="109">
    <w:nsid w:val="39B7AAA2"/>
    <w:multiLevelType w:val="hybridMultilevel"/>
    <w:lvl w:ilvl="0">
      <w:lvlJc w:val="left"/>
      <w:lvlText w:val="(%1)"/>
      <w:numFmt w:val="lowerLetter"/>
      <w:start w:val="10"/>
    </w:lvl>
  </w:abstractNum>
  <w:abstractNum w:abstractNumId="110">
    <w:nsid w:val="2B0D8DBE"/>
    <w:multiLevelType w:val="hybridMultilevel"/>
    <w:lvl w:ilvl="0">
      <w:lvlJc w:val="left"/>
      <w:lvlText w:val="2"/>
      <w:numFmt w:val="bullet"/>
      <w:start w:val="1"/>
    </w:lvl>
  </w:abstractNum>
  <w:abstractNum w:abstractNumId="111">
    <w:nsid w:val="6C80EC70"/>
    <w:multiLevelType w:val="hybridMultilevel"/>
    <w:lvl w:ilvl="0">
      <w:lvlJc w:val="left"/>
      <w:lvlText w:val="(%1)"/>
      <w:numFmt w:val="lowerLetter"/>
      <w:start w:val="18"/>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1."/>
      <w:numFmt w:val="decimal"/>
      <w:start w:val="1"/>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1)"/>
      <w:numFmt w:val="decimal"/>
      <w:start w:val="1"/>
    </w:lvl>
  </w:abstractNum>
  <w:abstractNum w:abstractNumId="116">
    <w:nsid w:val="6AA7B75C"/>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117">
    <w:nsid w:val="1DF029D3"/>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18">
    <w:nsid w:val="5675FF36"/>
    <w:multiLevelType w:val="hybridMultilevel"/>
    <w:lvl w:ilvl="0">
      <w:lvlJc w:val="left"/>
      <w:lvlText w:val="(%1)"/>
      <w:numFmt w:val="lowerLetter"/>
      <w:start w:val="5"/>
    </w:lvl>
    <w:lvl w:ilvl="1">
      <w:lvlJc w:val="left"/>
      <w:lvlText w:val="(%2)"/>
      <w:numFmt w:val="lowerRoman"/>
      <w:start w:val="1"/>
    </w:lvl>
  </w:abstractNum>
  <w:abstractNum w:abstractNumId="119">
    <w:nsid w:val="3DD15094"/>
    <w:multiLevelType w:val="hybridMultilevel"/>
    <w:lvl w:ilvl="0">
      <w:lvlJc w:val="left"/>
      <w:lvlText w:val="%1"/>
      <w:numFmt w:val="decimal"/>
      <w:start w:val="1"/>
    </w:lvl>
    <w:lvl w:ilvl="1">
      <w:lvlJc w:val="left"/>
      <w:lvlText w:val="(%2)"/>
      <w:numFmt w:val="lowerLetter"/>
      <w:start w:val="2"/>
    </w:lvl>
  </w:abstractNum>
  <w:abstractNum w:abstractNumId="120">
    <w:nsid w:val="3DB012B3"/>
    <w:multiLevelType w:val="hybridMultilevel"/>
    <w:lvl w:ilvl="0">
      <w:lvlJc w:val="left"/>
      <w:lvlText w:val="(%1)"/>
      <w:numFmt w:val="decimal"/>
      <w:start w:val="6"/>
    </w:lvl>
    <w:lvl w:ilvl="1">
      <w:lvlJc w:val="left"/>
      <w:lvlText w:val="%2"/>
      <w:numFmt w:val="lowerLetter"/>
      <w:start w:val="1"/>
    </w:lvl>
  </w:abstractNum>
  <w:abstractNum w:abstractNumId="121">
    <w:nsid w:val="2708C9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2019-12-07T15:23:39Z</dcterms:created>
  <dcterms:modified xsi:type="dcterms:W3CDTF">2019-12-07T15:23:39Z</dcterms:modified>
</cp:coreProperties>
</file>