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August 05, 2008</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1100" w:type="dxa"/>
        <w:tblCellMar>
          <w:top w:w="0" w:type="dxa"/>
          <w:left w:w="0" w:type="dxa"/>
          <w:bottom w:w="0" w:type="dxa"/>
          <w:right w:w="0" w:type="dxa"/>
        </w:tblCellMar>
      </w:tblPr>
      <w:tr>
        <w:trPr>
          <w:trHeight w:val="253"/>
        </w:trPr>
        <w:tc>
          <w:tcPr>
            <w:tcW w:w="3000" w:type="dxa"/>
            <w:vAlign w:val="bottom"/>
          </w:tcPr>
          <w:p>
            <w:pPr>
              <w:jc w:val="center"/>
              <w:ind w:right="572"/>
              <w:spacing w:after="0"/>
              <w:rPr>
                <w:sz w:val="20"/>
                <w:szCs w:val="20"/>
                <w:color w:val="auto"/>
              </w:rPr>
            </w:pPr>
            <w:r>
              <w:rPr>
                <w:rFonts w:ascii="Arial" w:cs="Arial" w:eastAsia="Arial" w:hAnsi="Arial"/>
                <w:sz w:val="22"/>
                <w:szCs w:val="22"/>
                <w:b w:val="1"/>
                <w:bCs w:val="1"/>
                <w:color w:val="auto"/>
              </w:rPr>
              <w:t>NY</w:t>
            </w:r>
          </w:p>
        </w:tc>
        <w:tc>
          <w:tcPr>
            <w:tcW w:w="3100" w:type="dxa"/>
            <w:vAlign w:val="bottom"/>
          </w:tcPr>
          <w:p>
            <w:pPr>
              <w:jc w:val="center"/>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center"/>
              <w:ind w:left="692"/>
              <w:spacing w:after="0"/>
              <w:rPr>
                <w:sz w:val="20"/>
                <w:szCs w:val="20"/>
                <w:color w:val="auto"/>
              </w:rPr>
            </w:pPr>
            <w:r>
              <w:rPr>
                <w:rFonts w:ascii="Arial" w:cs="Arial" w:eastAsia="Arial" w:hAnsi="Arial"/>
                <w:sz w:val="22"/>
                <w:szCs w:val="22"/>
                <w:b w:val="1"/>
                <w:bCs w:val="1"/>
                <w:color w:val="auto"/>
                <w:w w:val="88"/>
              </w:rPr>
              <w:t>20-8250744</w:t>
            </w:r>
          </w:p>
        </w:tc>
      </w:tr>
      <w:tr>
        <w:trPr>
          <w:trHeight w:val="243"/>
        </w:trPr>
        <w:tc>
          <w:tcPr>
            <w:tcW w:w="3000" w:type="dxa"/>
            <w:vAlign w:val="bottom"/>
          </w:tcPr>
          <w:p>
            <w:pPr>
              <w:jc w:val="center"/>
              <w:ind w:right="632"/>
              <w:spacing w:after="0" w:line="243" w:lineRule="exact"/>
              <w:rPr>
                <w:sz w:val="20"/>
                <w:szCs w:val="20"/>
                <w:color w:val="auto"/>
              </w:rPr>
            </w:pPr>
            <w:r>
              <w:rPr>
                <w:rFonts w:ascii="Arial" w:cs="Arial" w:eastAsia="Arial" w:hAnsi="Arial"/>
                <w:sz w:val="22"/>
                <w:szCs w:val="22"/>
                <w:color w:val="auto"/>
                <w:w w:val="90"/>
              </w:rPr>
              <w:t>(State or other jurisdiction</w:t>
            </w:r>
          </w:p>
        </w:tc>
        <w:tc>
          <w:tcPr>
            <w:tcW w:w="3100" w:type="dxa"/>
            <w:vAlign w:val="bottom"/>
          </w:tcPr>
          <w:p>
            <w:pPr>
              <w:jc w:val="center"/>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3000" w:type="dxa"/>
            <w:vAlign w:val="bottom"/>
          </w:tcPr>
          <w:p>
            <w:pPr>
              <w:jc w:val="center"/>
              <w:ind w:right="572"/>
              <w:spacing w:after="0"/>
              <w:rPr>
                <w:sz w:val="20"/>
                <w:szCs w:val="20"/>
                <w:color w:val="auto"/>
              </w:rPr>
            </w:pPr>
            <w:r>
              <w:rPr>
                <w:rFonts w:ascii="Arial" w:cs="Arial" w:eastAsia="Arial" w:hAnsi="Arial"/>
                <w:sz w:val="22"/>
                <w:szCs w:val="22"/>
                <w:color w:val="auto"/>
                <w:w w:val="93"/>
              </w:rPr>
              <w:t>of incorporation)</w:t>
            </w:r>
          </w:p>
        </w:tc>
        <w:tc>
          <w:tcPr>
            <w:tcW w:w="3100" w:type="dxa"/>
            <w:vAlign w:val="bottom"/>
          </w:tcPr>
          <w:p>
            <w:pPr>
              <w:jc w:val="center"/>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bl>
    <w:p>
      <w:pPr>
        <w:spacing w:after="0" w:line="200" w:lineRule="exact"/>
        <w:rPr>
          <w:sz w:val="24"/>
          <w:szCs w:val="24"/>
          <w:color w:val="auto"/>
        </w:rPr>
      </w:pPr>
    </w:p>
    <w:p>
      <w:pPr>
        <w:sectPr>
          <w:pgSz w:w="11900" w:h="16838" w:orient="portrait"/>
          <w:cols w:equalWidth="0" w:num="1">
            <w:col w:w="11200"/>
          </w:cols>
          <w:pgMar w:left="320" w:top="828" w:right="379" w:bottom="86" w:gutter="0" w:footer="0" w:header="0"/>
        </w:sectPr>
      </w:pPr>
    </w:p>
    <w:p>
      <w:pPr>
        <w:spacing w:after="0" w:line="6" w:lineRule="exact"/>
        <w:rPr>
          <w:sz w:val="24"/>
          <w:szCs w:val="24"/>
          <w:color w:val="auto"/>
        </w:rPr>
      </w:pPr>
    </w:p>
    <w:p>
      <w:pPr>
        <w:jc w:val="center"/>
        <w:ind w:right="3840"/>
        <w:spacing w:after="0"/>
        <w:rPr>
          <w:sz w:val="20"/>
          <w:szCs w:val="20"/>
          <w:color w:val="auto"/>
        </w:rPr>
      </w:pPr>
      <w:r>
        <w:rPr>
          <w:rFonts w:ascii="Arial" w:cs="Arial" w:eastAsia="Arial" w:hAnsi="Arial"/>
          <w:sz w:val="19"/>
          <w:szCs w:val="19"/>
          <w:b w:val="1"/>
          <w:bCs w:val="1"/>
          <w:color w:val="auto"/>
        </w:rPr>
        <w:t>590 Madison Avenue, 15th Floor, New York,</w:t>
      </w:r>
    </w:p>
    <w:p>
      <w:pPr>
        <w:spacing w:after="0" w:line="39" w:lineRule="exact"/>
        <w:rPr>
          <w:sz w:val="24"/>
          <w:szCs w:val="24"/>
          <w:color w:val="auto"/>
        </w:rPr>
      </w:pPr>
    </w:p>
    <w:p>
      <w:pPr>
        <w:jc w:val="center"/>
        <w:ind w:right="3840"/>
        <w:spacing w:after="0"/>
        <w:rPr>
          <w:sz w:val="20"/>
          <w:szCs w:val="20"/>
          <w:color w:val="auto"/>
        </w:rPr>
      </w:pPr>
      <w:r>
        <w:rPr>
          <w:rFonts w:ascii="Arial" w:cs="Arial" w:eastAsia="Arial" w:hAnsi="Arial"/>
          <w:sz w:val="22"/>
          <w:szCs w:val="22"/>
          <w:b w:val="1"/>
          <w:bCs w:val="1"/>
          <w:color w:val="auto"/>
        </w:rPr>
        <w:t>New York</w:t>
      </w:r>
    </w:p>
    <w:p>
      <w:pPr>
        <w:jc w:val="center"/>
        <w:ind w:right="3840"/>
        <w:spacing w:after="0"/>
        <w:rPr>
          <w:sz w:val="20"/>
          <w:szCs w:val="20"/>
          <w:color w:val="auto"/>
        </w:rPr>
      </w:pPr>
      <w:r>
        <w:rPr>
          <w:rFonts w:ascii="Arial" w:cs="Arial" w:eastAsia="Arial" w:hAnsi="Arial"/>
          <w:sz w:val="22"/>
          <w:szCs w:val="22"/>
          <w:color w:val="auto"/>
        </w:rPr>
        <w:t>(Address of principal executive offices)</w:t>
      </w:r>
    </w:p>
    <w:p>
      <w:pPr>
        <w:spacing w:after="0" w:line="209" w:lineRule="exact"/>
        <w:rPr>
          <w:sz w:val="24"/>
          <w:szCs w:val="24"/>
          <w:color w:val="auto"/>
        </w:rPr>
      </w:pPr>
    </w:p>
    <w:p>
      <w:pPr>
        <w:jc w:val="center"/>
        <w:ind w:left="2880"/>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left="2880"/>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left="2880"/>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left="2880"/>
        <w:spacing w:after="0"/>
        <w:rPr>
          <w:sz w:val="20"/>
          <w:szCs w:val="20"/>
          <w:color w:val="auto"/>
        </w:rPr>
      </w:pPr>
      <w:r>
        <w:rPr>
          <w:rFonts w:ascii="Arial" w:cs="Arial" w:eastAsia="Arial" w:hAnsi="Arial"/>
          <w:sz w:val="19"/>
          <w:szCs w:val="19"/>
          <w:color w:val="auto"/>
        </w:rPr>
        <w:t>(Former Name or Former Address, if changed since last report)</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ind w:right="1720"/>
        <w:spacing w:after="0"/>
        <w:rPr>
          <w:sz w:val="20"/>
          <w:szCs w:val="20"/>
          <w:color w:val="auto"/>
        </w:rPr>
      </w:pPr>
      <w:r>
        <w:rPr>
          <w:rFonts w:ascii="Arial" w:cs="Arial" w:eastAsia="Arial" w:hAnsi="Arial"/>
          <w:sz w:val="22"/>
          <w:szCs w:val="22"/>
          <w:b w:val="1"/>
          <w:bCs w:val="1"/>
          <w:color w:val="auto"/>
        </w:rPr>
        <w:t>10022</w:t>
      </w:r>
    </w:p>
    <w:p>
      <w:pPr>
        <w:spacing w:after="0" w:line="14" w:lineRule="exact"/>
        <w:rPr>
          <w:sz w:val="24"/>
          <w:szCs w:val="24"/>
          <w:color w:val="auto"/>
        </w:rPr>
      </w:pPr>
    </w:p>
    <w:p>
      <w:pPr>
        <w:jc w:val="center"/>
        <w:ind w:right="1720"/>
        <w:spacing w:after="0"/>
        <w:rPr>
          <w:sz w:val="20"/>
          <w:szCs w:val="20"/>
          <w:color w:val="auto"/>
        </w:rPr>
      </w:pPr>
      <w:r>
        <w:rPr>
          <w:rFonts w:ascii="Arial" w:cs="Arial" w:eastAsia="Arial" w:hAnsi="Arial"/>
          <w:sz w:val="19"/>
          <w:szCs w:val="19"/>
          <w:color w:val="auto"/>
        </w:rPr>
        <w:t>(Zip Code)</w:t>
      </w:r>
    </w:p>
    <w:p>
      <w:pPr>
        <w:spacing w:after="0" w:line="1779" w:lineRule="exact"/>
        <w:rPr>
          <w:sz w:val="24"/>
          <w:szCs w:val="24"/>
          <w:color w:val="auto"/>
        </w:rPr>
      </w:pPr>
    </w:p>
    <w:p>
      <w:pPr>
        <w:sectPr>
          <w:pgSz w:w="11900" w:h="16838" w:orient="portrait"/>
          <w:cols w:equalWidth="0" w:num="2">
            <w:col w:w="8360" w:space="160"/>
            <w:col w:w="2680"/>
          </w:cols>
          <w:pgMar w:left="320" w:top="828" w:right="379" w:bottom="86" w:gutter="0" w:footer="0" w:header="0"/>
          <w:type w:val="continuous"/>
        </w:sectPr>
      </w:pPr>
    </w:p>
    <w:p>
      <w:pPr>
        <w:spacing w:after="0" w:line="200" w:lineRule="exact"/>
        <w:rPr>
          <w:sz w:val="24"/>
          <w:szCs w:val="24"/>
          <w:color w:val="auto"/>
        </w:rPr>
      </w:pPr>
    </w:p>
    <w:p>
      <w:pPr>
        <w:spacing w:after="0" w:line="30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39" w:lineRule="exact"/>
        <w:rPr>
          <w:sz w:val="24"/>
          <w:szCs w:val="24"/>
          <w:color w:val="auto"/>
        </w:rPr>
      </w:pPr>
    </w:p>
    <w:p>
      <w:pPr>
        <w:ind w:left="40" w:right="120"/>
        <w:spacing w:after="0"/>
        <w:rPr>
          <w:sz w:val="20"/>
          <w:szCs w:val="20"/>
          <w:color w:val="auto"/>
        </w:rPr>
      </w:pPr>
      <w:r>
        <w:rPr>
          <w:rFonts w:ascii="Arial" w:cs="Arial" w:eastAsia="Arial" w:hAnsi="Arial"/>
          <w:sz w:val="22"/>
          <w:szCs w:val="22"/>
          <w:color w:val="auto"/>
        </w:rPr>
        <w:t>On August 5, 2008, PennantPark Investment Corporation issued a press release announcing its financial results for the quarter ended June 30, 2008. A copy of the press release is furnished as exhibit 99.1 to this report pursuant to Item 2.02 and Regulation FD.</w:t>
      </w:r>
    </w:p>
    <w:p>
      <w:pPr>
        <w:spacing w:after="0" w:line="180"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00" w:lineRule="exact"/>
        <w:rPr>
          <w:sz w:val="24"/>
          <w:szCs w:val="24"/>
          <w:color w:val="auto"/>
        </w:rPr>
      </w:pPr>
    </w:p>
    <w:p>
      <w:pPr>
        <w:spacing w:after="0" w:line="249"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3" w:lineRule="exact"/>
        <w:rPr>
          <w:sz w:val="24"/>
          <w:szCs w:val="24"/>
          <w:color w:val="auto"/>
        </w:rPr>
      </w:pPr>
    </w:p>
    <w:p>
      <w:pPr>
        <w:ind w:left="700" w:right="8880" w:hanging="652"/>
        <w:spacing w:after="0" w:line="280" w:lineRule="auto"/>
        <w:tabs>
          <w:tab w:leader="none" w:pos="35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700" w:right="7800" w:hanging="652"/>
        <w:spacing w:after="0" w:line="230" w:lineRule="auto"/>
        <w:tabs>
          <w:tab w:leader="none" w:pos="37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700" w:right="8260" w:hanging="652"/>
        <w:spacing w:after="0" w:line="230" w:lineRule="auto"/>
        <w:tabs>
          <w:tab w:leader="none" w:pos="34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60" w:hanging="312"/>
        <w:spacing w:after="0" w:line="230" w:lineRule="auto"/>
        <w:tabs>
          <w:tab w:leader="none" w:pos="36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4"/>
          <w:szCs w:val="24"/>
          <w:color w:val="auto"/>
        </w:rPr>
      </w:pPr>
    </w:p>
    <w:p>
      <w:pPr>
        <w:ind w:left="700"/>
        <w:spacing w:after="0"/>
        <w:tabs>
          <w:tab w:leader="none" w:pos="144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August 05, 2008</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ectPr>
          <w:pgSz w:w="11900" w:h="16838" w:orient="portrait"/>
          <w:cols w:equalWidth="0" w:num="1">
            <w:col w:w="11200"/>
          </w:cols>
          <w:pgMar w:left="320" w:top="828" w:right="379" w:bottom="86" w:gutter="0" w:footer="0" w:header="0"/>
          <w:type w:val="continuous"/>
        </w:sectPr>
      </w:pPr>
    </w:p>
    <w:bookmarkStart w:id="1" w:name="page2"/>
    <w:bookmarkEnd w:id="1"/>
    <w:p>
      <w:pPr>
        <w:ind w:right="20" w:firstLine="324"/>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480" w:type="dxa"/>
            <w:vAlign w:val="bottom"/>
          </w:tcPr>
          <w:p>
            <w:pPr>
              <w:spacing w:after="0"/>
              <w:rPr>
                <w:sz w:val="20"/>
                <w:szCs w:val="20"/>
                <w:color w:val="auto"/>
              </w:rPr>
            </w:pPr>
            <w:r>
              <w:rPr>
                <w:rFonts w:ascii="Arial" w:cs="Arial" w:eastAsia="Arial" w:hAnsi="Arial"/>
                <w:sz w:val="22"/>
                <w:szCs w:val="22"/>
                <w:color w:val="auto"/>
              </w:rPr>
              <w:t>Dated: August 05, 2008</w:t>
            </w:r>
          </w:p>
        </w:tc>
        <w:tc>
          <w:tcPr>
            <w:tcW w:w="6240" w:type="dxa"/>
            <w:vAlign w:val="bottom"/>
            <w:gridSpan w:val="3"/>
          </w:tcPr>
          <w:p>
            <w:pPr>
              <w:ind w:left="1420"/>
              <w:spacing w:after="0"/>
              <w:rPr>
                <w:sz w:val="20"/>
                <w:szCs w:val="20"/>
                <w:color w:val="auto"/>
              </w:rPr>
            </w:pPr>
            <w:r>
              <w:rPr>
                <w:rFonts w:ascii="Arial" w:cs="Arial" w:eastAsia="Arial" w:hAnsi="Arial"/>
                <w:sz w:val="22"/>
                <w:szCs w:val="22"/>
                <w:b w:val="1"/>
                <w:bCs w:val="1"/>
                <w:color w:val="auto"/>
                <w:w w:val="98"/>
              </w:rPr>
              <w:t>PENNANTPARK INVESTMENT CORPORATION</w:t>
            </w:r>
          </w:p>
        </w:tc>
      </w:tr>
      <w:tr>
        <w:trPr>
          <w:trHeight w:val="408"/>
        </w:trPr>
        <w:tc>
          <w:tcPr>
            <w:tcW w:w="3480" w:type="dxa"/>
            <w:vAlign w:val="bottom"/>
          </w:tcPr>
          <w:p>
            <w:pPr>
              <w:spacing w:after="0"/>
              <w:rPr>
                <w:sz w:val="24"/>
                <w:szCs w:val="24"/>
                <w:color w:val="auto"/>
              </w:rPr>
            </w:pPr>
          </w:p>
        </w:tc>
        <w:tc>
          <w:tcPr>
            <w:tcW w:w="6240" w:type="dxa"/>
            <w:vAlign w:val="bottom"/>
            <w:gridSpan w:val="3"/>
          </w:tcPr>
          <w:p>
            <w:pPr>
              <w:ind w:left="1420"/>
              <w:spacing w:after="0"/>
              <w:rPr>
                <w:sz w:val="20"/>
                <w:szCs w:val="20"/>
                <w:color w:val="auto"/>
              </w:rPr>
            </w:pPr>
            <w:r>
              <w:rPr>
                <w:rFonts w:ascii="Arial" w:cs="Arial" w:eastAsia="Arial" w:hAnsi="Arial"/>
                <w:sz w:val="22"/>
                <w:szCs w:val="22"/>
                <w:color w:val="auto"/>
              </w:rPr>
              <w:t>By: /s/ Aviv Efrat</w:t>
            </w:r>
          </w:p>
        </w:tc>
      </w:tr>
      <w:tr>
        <w:trPr>
          <w:trHeight w:val="20"/>
        </w:trPr>
        <w:tc>
          <w:tcPr>
            <w:tcW w:w="34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42"/>
        </w:trPr>
        <w:tc>
          <w:tcPr>
            <w:tcW w:w="3480" w:type="dxa"/>
            <w:vAlign w:val="bottom"/>
          </w:tcPr>
          <w:p>
            <w:pPr>
              <w:spacing w:after="0"/>
              <w:rPr>
                <w:sz w:val="21"/>
                <w:szCs w:val="21"/>
                <w:color w:val="auto"/>
              </w:rPr>
            </w:pPr>
          </w:p>
        </w:tc>
        <w:tc>
          <w:tcPr>
            <w:tcW w:w="6240" w:type="dxa"/>
            <w:vAlign w:val="bottom"/>
            <w:gridSpan w:val="3"/>
          </w:tcPr>
          <w:p>
            <w:pPr>
              <w:ind w:left="168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480" w:type="dxa"/>
            <w:vAlign w:val="bottom"/>
          </w:tcPr>
          <w:p>
            <w:pPr>
              <w:spacing w:after="0"/>
              <w:rPr>
                <w:sz w:val="23"/>
                <w:szCs w:val="23"/>
                <w:color w:val="auto"/>
              </w:rPr>
            </w:pPr>
          </w:p>
        </w:tc>
        <w:tc>
          <w:tcPr>
            <w:tcW w:w="6240" w:type="dxa"/>
            <w:vAlign w:val="bottom"/>
            <w:gridSpan w:val="3"/>
          </w:tcPr>
          <w:p>
            <w:pPr>
              <w:ind w:left="168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840" w:type="dxa"/>
            <w:vAlign w:val="bottom"/>
            <w:gridSpan w:val="3"/>
          </w:tcPr>
          <w:p>
            <w:pPr>
              <w:jc w:val="center"/>
              <w:ind w:left="153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40" w:type="dxa"/>
            <w:vAlign w:val="bottom"/>
            <w:gridSpan w:val="3"/>
            <w:vMerge w:val="restart"/>
          </w:tcPr>
          <w:p>
            <w:pPr>
              <w:jc w:val="center"/>
              <w:ind w:left="1532"/>
              <w:spacing w:after="0"/>
              <w:rPr>
                <w:sz w:val="20"/>
                <w:szCs w:val="20"/>
                <w:color w:val="auto"/>
              </w:rPr>
            </w:pPr>
            <w:r>
              <w:rPr>
                <w:rFonts w:ascii="Arial" w:cs="Arial" w:eastAsia="Arial" w:hAnsi="Arial"/>
                <w:sz w:val="22"/>
                <w:szCs w:val="22"/>
                <w:color w:val="auto"/>
                <w:w w:val="89"/>
              </w:rPr>
              <w:t>August 05, 2008</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60" w:top="118" w:right="559" w:bottom="1440" w:gutter="0" w:footer="0" w:header="0"/>
        </w:sectPr>
      </w:pPr>
    </w:p>
    <w:bookmarkStart w:id="2" w:name="page3"/>
    <w:bookmarkEnd w:id="2"/>
    <w:p>
      <w:pPr>
        <w:ind w:left="740"/>
        <w:spacing w:after="0"/>
        <w:rPr>
          <w:sz w:val="20"/>
          <w:szCs w:val="20"/>
          <w:color w:val="auto"/>
        </w:rPr>
      </w:pPr>
      <w:r>
        <w:rPr>
          <w:rFonts w:ascii="Arial" w:cs="Arial" w:eastAsia="Arial" w:hAnsi="Arial"/>
          <w:sz w:val="21"/>
          <w:szCs w:val="21"/>
          <w:b w:val="1"/>
          <w:bCs w:val="1"/>
          <w:color w:val="auto"/>
        </w:rPr>
        <w:t>PennantPark Investment Corporation Announces Financial Results for the Quarter Ended June 30, 2008</w:t>
      </w:r>
    </w:p>
    <w:p>
      <w:pPr>
        <w:spacing w:after="0" w:line="224" w:lineRule="exact"/>
        <w:rPr>
          <w:sz w:val="20"/>
          <w:szCs w:val="20"/>
          <w:color w:val="auto"/>
        </w:rPr>
      </w:pPr>
    </w:p>
    <w:p>
      <w:pPr>
        <w:ind w:left="40"/>
        <w:spacing w:after="0"/>
        <w:rPr>
          <w:sz w:val="20"/>
          <w:szCs w:val="20"/>
          <w:color w:val="auto"/>
        </w:rPr>
      </w:pPr>
      <w:r>
        <w:rPr>
          <w:rFonts w:ascii="Arial" w:cs="Arial" w:eastAsia="Arial" w:hAnsi="Arial"/>
          <w:sz w:val="19"/>
          <w:szCs w:val="19"/>
          <w:color w:val="auto"/>
        </w:rPr>
        <w:t>NEW YORK, NY -- 08/05/2008 -- PennantPark Investment Corporation (the "Company") (NASDAQ: PNNT) today announces</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financial results for its third fiscal quarter ended June 30, 2008.</w:t>
      </w:r>
    </w:p>
    <w:p>
      <w:pPr>
        <w:spacing w:after="0" w:line="206" w:lineRule="exact"/>
        <w:rPr>
          <w:sz w:val="20"/>
          <w:szCs w:val="20"/>
          <w:color w:val="auto"/>
        </w:rPr>
      </w:pPr>
    </w:p>
    <w:tbl>
      <w:tblPr>
        <w:tblLayout w:type="fixed"/>
        <w:tblInd w:w="1680" w:type="dxa"/>
        <w:tblCellMar>
          <w:top w:w="0" w:type="dxa"/>
          <w:left w:w="0" w:type="dxa"/>
          <w:bottom w:w="0" w:type="dxa"/>
          <w:right w:w="0" w:type="dxa"/>
        </w:tblCellMar>
      </w:tblPr>
      <w:tr>
        <w:trPr>
          <w:trHeight w:val="204"/>
        </w:trPr>
        <w:tc>
          <w:tcPr>
            <w:tcW w:w="6740" w:type="dxa"/>
            <w:vAlign w:val="bottom"/>
          </w:tcPr>
          <w:p>
            <w:pPr>
              <w:jc w:val="center"/>
              <w:ind w:left="992"/>
              <w:spacing w:after="0"/>
              <w:rPr>
                <w:sz w:val="20"/>
                <w:szCs w:val="20"/>
                <w:color w:val="auto"/>
              </w:rPr>
            </w:pPr>
            <w:r>
              <w:rPr>
                <w:rFonts w:ascii="Courier New" w:cs="Courier New" w:eastAsia="Courier New" w:hAnsi="Courier New"/>
                <w:sz w:val="18"/>
                <w:szCs w:val="18"/>
                <w:color w:val="auto"/>
                <w:w w:val="98"/>
              </w:rPr>
              <w:t>HIGHLIGHTS</w:t>
            </w: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6740" w:type="dxa"/>
            <w:vAlign w:val="bottom"/>
          </w:tcPr>
          <w:p>
            <w:pPr>
              <w:jc w:val="center"/>
              <w:ind w:left="972"/>
              <w:spacing w:after="0" w:line="203" w:lineRule="exact"/>
              <w:rPr>
                <w:sz w:val="20"/>
                <w:szCs w:val="20"/>
                <w:color w:val="auto"/>
              </w:rPr>
            </w:pPr>
            <w:r>
              <w:rPr>
                <w:rFonts w:ascii="Courier New" w:cs="Courier New" w:eastAsia="Courier New" w:hAnsi="Courier New"/>
                <w:sz w:val="18"/>
                <w:szCs w:val="18"/>
                <w:color w:val="auto"/>
                <w:w w:val="97"/>
              </w:rPr>
              <w:t>Quarter Ended June 30, 2008</w:t>
            </w: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6740" w:type="dxa"/>
            <w:vAlign w:val="bottom"/>
          </w:tcPr>
          <w:p>
            <w:pPr>
              <w:jc w:val="center"/>
              <w:ind w:left="972"/>
              <w:spacing w:after="0" w:line="203" w:lineRule="exact"/>
              <w:rPr>
                <w:sz w:val="20"/>
                <w:szCs w:val="20"/>
                <w:color w:val="auto"/>
              </w:rPr>
            </w:pPr>
            <w:r>
              <w:rPr>
                <w:rFonts w:ascii="Courier New" w:cs="Courier New" w:eastAsia="Courier New" w:hAnsi="Courier New"/>
                <w:sz w:val="18"/>
                <w:szCs w:val="18"/>
                <w:color w:val="auto"/>
                <w:w w:val="97"/>
              </w:rPr>
              <w:t>($ in millions, except per share amounts)</w:t>
            </w: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674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portfolio</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385.7</w:t>
            </w:r>
          </w:p>
        </w:tc>
      </w:tr>
      <w:tr>
        <w:trPr>
          <w:trHeight w:val="203"/>
        </w:trPr>
        <w:tc>
          <w:tcPr>
            <w:tcW w:w="67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226.8</w:t>
            </w:r>
          </w:p>
        </w:tc>
      </w:tr>
      <w:tr>
        <w:trPr>
          <w:trHeight w:val="203"/>
        </w:trPr>
        <w:tc>
          <w:tcPr>
            <w:tcW w:w="67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 value per share</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10.77</w:t>
            </w:r>
          </w:p>
        </w:tc>
      </w:tr>
      <w:tr>
        <w:trPr>
          <w:trHeight w:val="203"/>
        </w:trPr>
        <w:tc>
          <w:tcPr>
            <w:tcW w:w="6740" w:type="dxa"/>
            <w:vAlign w:val="bottom"/>
          </w:tcPr>
          <w:p>
            <w:pPr>
              <w:spacing w:after="0" w:line="203" w:lineRule="exact"/>
              <w:rPr>
                <w:sz w:val="20"/>
                <w:szCs w:val="20"/>
                <w:color w:val="auto"/>
              </w:rPr>
            </w:pPr>
            <w:r>
              <w:rPr>
                <w:rFonts w:ascii="Courier New" w:cs="Courier New" w:eastAsia="Courier New" w:hAnsi="Courier New"/>
                <w:sz w:val="18"/>
                <w:szCs w:val="18"/>
                <w:color w:val="auto"/>
              </w:rPr>
              <w:t>Increase in net asset value per share</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0.51</w:t>
            </w:r>
          </w:p>
        </w:tc>
      </w:tr>
      <w:tr>
        <w:trPr>
          <w:trHeight w:val="405"/>
        </w:trPr>
        <w:tc>
          <w:tcPr>
            <w:tcW w:w="6740" w:type="dxa"/>
            <w:vAlign w:val="bottom"/>
          </w:tcPr>
          <w:p>
            <w:pPr>
              <w:spacing w:after="0"/>
              <w:rPr>
                <w:sz w:val="20"/>
                <w:szCs w:val="20"/>
                <w:color w:val="auto"/>
              </w:rPr>
            </w:pPr>
            <w:r>
              <w:rPr>
                <w:rFonts w:ascii="Courier New" w:cs="Courier New" w:eastAsia="Courier New" w:hAnsi="Courier New"/>
                <w:sz w:val="18"/>
                <w:szCs w:val="18"/>
                <w:color w:val="auto"/>
              </w:rPr>
              <w:t>Amount drawn under credit facility (excluding temporary draw)</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164.1</w:t>
            </w:r>
          </w:p>
        </w:tc>
      </w:tr>
      <w:tr>
        <w:trPr>
          <w:trHeight w:val="405"/>
        </w:trPr>
        <w:tc>
          <w:tcPr>
            <w:tcW w:w="6740" w:type="dxa"/>
            <w:vAlign w:val="bottom"/>
          </w:tcPr>
          <w:p>
            <w:pPr>
              <w:ind w:left="1700"/>
              <w:spacing w:after="0"/>
              <w:rPr>
                <w:sz w:val="20"/>
                <w:szCs w:val="20"/>
                <w:color w:val="auto"/>
              </w:rPr>
            </w:pPr>
            <w:r>
              <w:rPr>
                <w:rFonts w:ascii="Courier New" w:cs="Courier New" w:eastAsia="Courier New" w:hAnsi="Courier New"/>
                <w:sz w:val="18"/>
                <w:szCs w:val="18"/>
                <w:color w:val="auto"/>
              </w:rPr>
              <w:t>Investment portfolio composition and yield:</w:t>
            </w: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2"/>
        </w:trPr>
        <w:tc>
          <w:tcPr>
            <w:tcW w:w="6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Subordinated debt, second lien secured debt, and equity</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252.5</w:t>
            </w:r>
          </w:p>
        </w:tc>
      </w:tr>
      <w:tr>
        <w:trPr>
          <w:trHeight w:val="203"/>
        </w:trPr>
        <w:tc>
          <w:tcPr>
            <w:tcW w:w="6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First lien secured debt</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133.2</w:t>
            </w:r>
          </w:p>
        </w:tc>
      </w:tr>
      <w:tr>
        <w:trPr>
          <w:trHeight w:val="203"/>
        </w:trPr>
        <w:tc>
          <w:tcPr>
            <w:tcW w:w="67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Weighted average yield on debt</w:t>
            </w:r>
          </w:p>
        </w:tc>
        <w:tc>
          <w:tcPr>
            <w:tcW w:w="48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w:t>
            </w:r>
          </w:p>
        </w:tc>
      </w:tr>
      <w:tr>
        <w:trPr>
          <w:trHeight w:val="203"/>
        </w:trPr>
        <w:tc>
          <w:tcPr>
            <w:tcW w:w="7860" w:type="dxa"/>
            <w:vAlign w:val="bottom"/>
            <w:gridSpan w:val="3"/>
          </w:tcPr>
          <w:p>
            <w:pPr>
              <w:jc w:val="right"/>
              <w:ind w:right="392"/>
              <w:spacing w:after="0" w:line="203" w:lineRule="exact"/>
              <w:rPr>
                <w:sz w:val="20"/>
                <w:szCs w:val="20"/>
                <w:color w:val="auto"/>
              </w:rPr>
            </w:pPr>
            <w:r>
              <w:rPr>
                <w:rFonts w:ascii="Courier New" w:cs="Courier New" w:eastAsia="Courier New" w:hAnsi="Courier New"/>
                <w:sz w:val="18"/>
                <w:szCs w:val="18"/>
                <w:color w:val="auto"/>
              </w:rPr>
              <w:t>Weighted average yield on subordinated and second lien secured</w:t>
            </w:r>
          </w:p>
        </w:tc>
      </w:tr>
      <w:tr>
        <w:trPr>
          <w:trHeight w:val="203"/>
        </w:trPr>
        <w:tc>
          <w:tcPr>
            <w:tcW w:w="67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debt</w:t>
            </w:r>
          </w:p>
        </w:tc>
        <w:tc>
          <w:tcPr>
            <w:tcW w:w="48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11.9%</w:t>
            </w:r>
          </w:p>
        </w:tc>
      </w:tr>
      <w:tr>
        <w:trPr>
          <w:trHeight w:val="203"/>
        </w:trPr>
        <w:tc>
          <w:tcPr>
            <w:tcW w:w="67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Weighted average yield on first lien secured debt</w:t>
            </w:r>
          </w:p>
        </w:tc>
        <w:tc>
          <w:tcPr>
            <w:tcW w:w="48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w:t>
            </w:r>
          </w:p>
        </w:tc>
      </w:tr>
      <w:tr>
        <w:trPr>
          <w:trHeight w:val="608"/>
        </w:trPr>
        <w:tc>
          <w:tcPr>
            <w:tcW w:w="6740" w:type="dxa"/>
            <w:vAlign w:val="bottom"/>
          </w:tcPr>
          <w:p>
            <w:pPr>
              <w:jc w:val="center"/>
              <w:ind w:left="992"/>
              <w:spacing w:after="0"/>
              <w:rPr>
                <w:sz w:val="20"/>
                <w:szCs w:val="20"/>
                <w:color w:val="auto"/>
              </w:rPr>
            </w:pPr>
            <w:r>
              <w:rPr>
                <w:rFonts w:ascii="Courier New" w:cs="Courier New" w:eastAsia="Courier New" w:hAnsi="Courier New"/>
                <w:sz w:val="18"/>
                <w:szCs w:val="18"/>
                <w:color w:val="auto"/>
                <w:w w:val="97"/>
              </w:rPr>
              <w:t>Operating Results:</w:t>
            </w: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6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w:t>
            </w:r>
          </w:p>
        </w:tc>
      </w:tr>
      <w:tr>
        <w:trPr>
          <w:trHeight w:val="203"/>
        </w:trPr>
        <w:tc>
          <w:tcPr>
            <w:tcW w:w="6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investment income per share</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0.19</w:t>
            </w:r>
          </w:p>
        </w:tc>
      </w:tr>
      <w:tr>
        <w:trPr>
          <w:trHeight w:val="203"/>
        </w:trPr>
        <w:tc>
          <w:tcPr>
            <w:tcW w:w="6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Distributions to stockholders per share</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0.22</w:t>
            </w:r>
          </w:p>
        </w:tc>
      </w:tr>
      <w:tr>
        <w:trPr>
          <w:trHeight w:val="405"/>
        </w:trPr>
        <w:tc>
          <w:tcPr>
            <w:tcW w:w="6740" w:type="dxa"/>
            <w:vAlign w:val="bottom"/>
          </w:tcPr>
          <w:p>
            <w:pPr>
              <w:jc w:val="center"/>
              <w:ind w:left="972"/>
              <w:spacing w:after="0"/>
              <w:rPr>
                <w:sz w:val="20"/>
                <w:szCs w:val="20"/>
                <w:color w:val="auto"/>
              </w:rPr>
            </w:pPr>
            <w:r>
              <w:rPr>
                <w:rFonts w:ascii="Courier New" w:cs="Courier New" w:eastAsia="Courier New" w:hAnsi="Courier New"/>
                <w:sz w:val="18"/>
                <w:szCs w:val="18"/>
                <w:color w:val="auto"/>
                <w:w w:val="97"/>
              </w:rPr>
              <w:t>Portfolio Activity:</w:t>
            </w: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6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Purchases of long term investments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46.8</w:t>
            </w:r>
          </w:p>
        </w:tc>
      </w:tr>
      <w:tr>
        <w:trPr>
          <w:trHeight w:val="203"/>
        </w:trPr>
        <w:tc>
          <w:tcPr>
            <w:tcW w:w="6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Sales and repayments of long term investments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w:t>
            </w:r>
          </w:p>
        </w:tc>
      </w:tr>
      <w:tr>
        <w:trPr>
          <w:trHeight w:val="405"/>
        </w:trPr>
        <w:tc>
          <w:tcPr>
            <w:tcW w:w="6740" w:type="dxa"/>
            <w:vAlign w:val="bottom"/>
          </w:tcPr>
          <w:p>
            <w:pPr>
              <w:ind w:left="420"/>
              <w:spacing w:after="0"/>
              <w:rPr>
                <w:sz w:val="20"/>
                <w:szCs w:val="20"/>
                <w:color w:val="auto"/>
              </w:rPr>
            </w:pPr>
            <w:r>
              <w:rPr>
                <w:rFonts w:ascii="Courier New" w:cs="Courier New" w:eastAsia="Courier New" w:hAnsi="Courier New"/>
                <w:sz w:val="18"/>
                <w:szCs w:val="18"/>
                <w:color w:val="auto"/>
              </w:rPr>
              <w:t>Number of new portfolio companies invested</w:t>
            </w:r>
          </w:p>
        </w:tc>
        <w:tc>
          <w:tcPr>
            <w:tcW w:w="4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2</w:t>
            </w:r>
          </w:p>
        </w:tc>
      </w:tr>
      <w:tr>
        <w:trPr>
          <w:trHeight w:val="203"/>
        </w:trPr>
        <w:tc>
          <w:tcPr>
            <w:tcW w:w="6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Number of existing portfolio companies invested</w:t>
            </w:r>
          </w:p>
        </w:tc>
        <w:tc>
          <w:tcPr>
            <w:tcW w:w="48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6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Number of portfolio companies at end of period</w:t>
            </w:r>
          </w:p>
        </w:tc>
        <w:tc>
          <w:tcPr>
            <w:tcW w:w="48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w:t>
            </w: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CONFERENCE CALL AT 10:00 A.M. ET ON AUGUST 6, 2008</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Company will host a conference call at 10:00 a.m. (Eastern Time) on Wednesday, August 6, 2008 to discuss the quarterly</w:t>
      </w:r>
    </w:p>
    <w:p>
      <w:pPr>
        <w:spacing w:after="0" w:line="43" w:lineRule="exact"/>
        <w:rPr>
          <w:sz w:val="20"/>
          <w:szCs w:val="20"/>
          <w:color w:val="auto"/>
        </w:rPr>
      </w:pPr>
    </w:p>
    <w:p>
      <w:pPr>
        <w:jc w:val="center"/>
        <w:ind w:left="380" w:right="60"/>
        <w:spacing w:after="0" w:line="280" w:lineRule="auto"/>
        <w:rPr>
          <w:sz w:val="20"/>
          <w:szCs w:val="20"/>
          <w:color w:val="auto"/>
        </w:rPr>
      </w:pPr>
      <w:r>
        <w:rPr>
          <w:rFonts w:ascii="Arial" w:cs="Arial" w:eastAsia="Arial" w:hAnsi="Arial"/>
          <w:sz w:val="19"/>
          <w:szCs w:val="19"/>
          <w:color w:val="auto"/>
        </w:rPr>
        <w:t>results. All interested parties are welcome to participate. You can access the conference call by dialing (800) 766-6630 approximately 5-10 minutes prior to the call. International callers should dial (416) 695-9757. All callers should reference PennantPark Investment Corporation. An archived replay of the call will be available through August 20, 2008 by calling (800) 408-3053. International callers please dial (416) 695-5800. For all replays, please reference conference ID #3266489.</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PORTFOLIO AND INVESTMENT ACTIVITY</w:t>
      </w:r>
    </w:p>
    <w:p>
      <w:pPr>
        <w:spacing w:after="0" w:line="206" w:lineRule="exact"/>
        <w:rPr>
          <w:sz w:val="20"/>
          <w:szCs w:val="20"/>
          <w:color w:val="auto"/>
        </w:rPr>
      </w:pPr>
    </w:p>
    <w:p>
      <w:pPr>
        <w:jc w:val="center"/>
        <w:ind w:left="380"/>
        <w:spacing w:after="0" w:line="287" w:lineRule="auto"/>
        <w:rPr>
          <w:sz w:val="20"/>
          <w:szCs w:val="20"/>
          <w:color w:val="auto"/>
        </w:rPr>
      </w:pPr>
      <w:r>
        <w:rPr>
          <w:rFonts w:ascii="Arial" w:cs="Arial" w:eastAsia="Arial" w:hAnsi="Arial"/>
          <w:sz w:val="19"/>
          <w:szCs w:val="19"/>
          <w:color w:val="auto"/>
        </w:rPr>
        <w:t>As of June 30, 2008, our portfolio totaled $385.7 million and consisted of $130.6 million of subordinated debt, $107.0 million of second lien secured debt, $14.9 million of equity investments and $133.2 million of senior secured loans. This compares to our portfolio which totaled $275.1 million and consisted of $42.3 million of subordinated debt, $54.4 million of second lien secured debt, $3.0 million of equity investments and $175.4 million of senior secured loans as of June 30, 2007.</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As of June 30, 2008, our core assets totaled $252.5 million and consisted of investments in sixteen different companies with an</w:t>
      </w:r>
    </w:p>
    <w:p>
      <w:pPr>
        <w:spacing w:after="0" w:line="43" w:lineRule="exact"/>
        <w:rPr>
          <w:sz w:val="20"/>
          <w:szCs w:val="20"/>
          <w:color w:val="auto"/>
        </w:rPr>
      </w:pPr>
    </w:p>
    <w:p>
      <w:pPr>
        <w:jc w:val="center"/>
        <w:ind w:left="380" w:right="80"/>
        <w:spacing w:after="0" w:line="233" w:lineRule="auto"/>
        <w:rPr>
          <w:sz w:val="20"/>
          <w:szCs w:val="20"/>
          <w:color w:val="auto"/>
        </w:rPr>
      </w:pPr>
      <w:r>
        <w:rPr>
          <w:rFonts w:ascii="Arial" w:cs="Arial" w:eastAsia="Arial" w:hAnsi="Arial"/>
          <w:sz w:val="22"/>
          <w:szCs w:val="22"/>
          <w:color w:val="auto"/>
        </w:rPr>
        <w:t>average investment size of $15.8 million per company and a weighted average yield of 11.9% on debt investments. This compares to our core assets which totaled $99.7 million and consisted of investments in seven different companies with an average investment size of $14.2 million per company and weighted average yield of 12.2% on debt investments as of June 30, 2007.</w:t>
      </w:r>
    </w:p>
    <w:p>
      <w:pPr>
        <w:spacing w:after="0" w:line="188" w:lineRule="exact"/>
        <w:rPr>
          <w:sz w:val="20"/>
          <w:szCs w:val="20"/>
          <w:color w:val="auto"/>
        </w:rPr>
      </w:pPr>
    </w:p>
    <w:p>
      <w:pPr>
        <w:jc w:val="center"/>
        <w:spacing w:after="0" w:line="276" w:lineRule="auto"/>
        <w:rPr>
          <w:sz w:val="20"/>
          <w:szCs w:val="20"/>
          <w:color w:val="auto"/>
        </w:rPr>
      </w:pPr>
      <w:r>
        <w:rPr>
          <w:rFonts w:ascii="Arial" w:cs="Arial" w:eastAsia="Arial" w:hAnsi="Arial"/>
          <w:sz w:val="19"/>
          <w:szCs w:val="19"/>
          <w:color w:val="auto"/>
        </w:rPr>
        <w:t>On June 30, 2008, our senior secured loan portfolio totaled $133.2 million and consisted of twenty-six different companies (including one company also in our core portfolio) with an average investment size of $5.1 million, and a weighted average yield</w:t>
      </w:r>
    </w:p>
    <w:p>
      <w:pPr>
        <w:spacing w:after="0" w:line="1" w:lineRule="exact"/>
        <w:rPr>
          <w:sz w:val="20"/>
          <w:szCs w:val="20"/>
          <w:color w:val="auto"/>
        </w:rPr>
      </w:pPr>
    </w:p>
    <w:p>
      <w:pPr>
        <w:jc w:val="center"/>
        <w:spacing w:after="0" w:line="308" w:lineRule="auto"/>
        <w:rPr>
          <w:sz w:val="20"/>
          <w:szCs w:val="20"/>
          <w:color w:val="auto"/>
        </w:rPr>
      </w:pPr>
      <w:r>
        <w:rPr>
          <w:rFonts w:ascii="Arial" w:cs="Arial" w:eastAsia="Arial" w:hAnsi="Arial"/>
          <w:sz w:val="19"/>
          <w:szCs w:val="19"/>
          <w:color w:val="auto"/>
        </w:rPr>
        <w:t>of 5.1%. This compares to our senior secured loan portfolio which totaled $175.4 million and consisted of thirty different companies with an average investment size of $5.8 million and a weighted average yield of 7.6% as of June 30, 2007.</w:t>
      </w:r>
    </w:p>
    <w:p>
      <w:pPr>
        <w:spacing w:after="0" w:line="123" w:lineRule="exact"/>
        <w:rPr>
          <w:sz w:val="20"/>
          <w:szCs w:val="20"/>
          <w:color w:val="auto"/>
        </w:rPr>
      </w:pPr>
    </w:p>
    <w:p>
      <w:pPr>
        <w:jc w:val="center"/>
        <w:ind w:left="380" w:right="140"/>
        <w:spacing w:after="0" w:line="279" w:lineRule="auto"/>
        <w:rPr>
          <w:sz w:val="20"/>
          <w:szCs w:val="20"/>
          <w:color w:val="auto"/>
        </w:rPr>
      </w:pPr>
      <w:r>
        <w:rPr>
          <w:rFonts w:ascii="Arial" w:cs="Arial" w:eastAsia="Arial" w:hAnsi="Arial"/>
          <w:sz w:val="19"/>
          <w:szCs w:val="19"/>
          <w:color w:val="auto"/>
        </w:rPr>
        <w:t>As of June 30, 2008, our portfolio consisted of forty-one companies with an average investment size of $9.4 million and a weighted average yield on debt investments of 9.5%, and was invested 34% in subordinated debt, 28% in second lien secured debt, 4% in preferred and common equity investments and 34% in senior secured loans. This compares to our portfolio which consisted of thirty-seven companies with an average investment size of $7.4 million and a weighted average yield on debt investments of 9.3%, and which was invested 15.4% in subordinated debt, 19.8% in second lien secured debt, 1.0% in equity investments and 63.8% in senior secured loans as of June 30, 2007.</w:t>
      </w:r>
    </w:p>
    <w:p>
      <w:pPr>
        <w:spacing w:after="0" w:line="150" w:lineRule="exact"/>
        <w:rPr>
          <w:sz w:val="20"/>
          <w:szCs w:val="20"/>
          <w:color w:val="auto"/>
        </w:rPr>
      </w:pPr>
    </w:p>
    <w:p>
      <w:pPr>
        <w:jc w:val="center"/>
        <w:ind w:left="380" w:right="120"/>
        <w:spacing w:after="0" w:line="328" w:lineRule="auto"/>
        <w:rPr>
          <w:sz w:val="20"/>
          <w:szCs w:val="20"/>
          <w:color w:val="auto"/>
        </w:rPr>
      </w:pPr>
      <w:r>
        <w:rPr>
          <w:rFonts w:ascii="Arial" w:cs="Arial" w:eastAsia="Arial" w:hAnsi="Arial"/>
          <w:sz w:val="19"/>
          <w:szCs w:val="19"/>
          <w:color w:val="auto"/>
        </w:rPr>
        <w:t>Due to a more stable market for liquid leveraged finance instruments and the maturation and growth of some of our equity co-investments, our portfolio had unrealized appreciation of $11.7 million for the three months ended June 30, 2008.</w:t>
      </w:r>
    </w:p>
    <w:p>
      <w:pPr>
        <w:sectPr>
          <w:pgSz w:w="11900" w:h="16838" w:orient="portrait"/>
          <w:cols w:equalWidth="0" w:num="1">
            <w:col w:w="11160"/>
          </w:cols>
          <w:pgMar w:left="360" w:top="111" w:right="379" w:bottom="74" w:gutter="0" w:footer="0" w:header="0"/>
        </w:sectPr>
      </w:pPr>
    </w:p>
    <w:bookmarkStart w:id="3" w:name="page4"/>
    <w:bookmarkEnd w:id="3"/>
    <w:p>
      <w:pPr>
        <w:spacing w:after="0" w:line="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 the three months ended June 30, 2008, we invested $46.8 million in two new and three existing portfolio companies with an average yield of 14.5% on the debt investments. Sales and repayments of primarily senior secured loans for the three months ended June 30, 2008 totaled $9.2 million.</w:t>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"The correction that is going on in the market today presents a long term opportunity for PennantPark," said Arthur Penn, Chairman and Chief Executive Officer. "Risk/reward is the best it has been in years and we are uniquely positioned to take advantage of the chaos."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RESULTS OF OPERATIONS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Set forth below are the results of operations for the three months period ended June 30, 2008 and June 30, 2007.</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Investment Income</w:t>
      </w:r>
    </w:p>
    <w:p>
      <w:pPr>
        <w:spacing w:after="0" w:line="206" w:lineRule="exact"/>
        <w:rPr>
          <w:sz w:val="20"/>
          <w:szCs w:val="20"/>
          <w:color w:val="auto"/>
        </w:rPr>
      </w:pPr>
    </w:p>
    <w:p>
      <w:pPr>
        <w:jc w:val="center"/>
        <w:spacing w:after="0" w:line="248" w:lineRule="auto"/>
        <w:rPr>
          <w:sz w:val="20"/>
          <w:szCs w:val="20"/>
          <w:color w:val="auto"/>
        </w:rPr>
      </w:pPr>
      <w:r>
        <w:rPr>
          <w:rFonts w:ascii="Arial" w:cs="Arial" w:eastAsia="Arial" w:hAnsi="Arial"/>
          <w:sz w:val="21"/>
          <w:szCs w:val="21"/>
          <w:color w:val="auto"/>
        </w:rPr>
        <w:t>Investment income for the three months ended June 30, 2008 and June 30, 2007, was $9.7 million and $5.4 million, respectively. Investment income for the three months ended June 30, 2008 was primarily attributed to $3.7 million of interest income from senior secured loan investments; $3.7 million from our second lien secured debt investments; and $1.7 million from our subordinated debt investments. The remaining investment income was primarily attributed to interest income from short-term investments and to accretion of discount and amortization of premium. This compares to investment income which was primarily attributed to senior secured loan investments as of June 30, 2007.</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Expenses</w:t>
      </w:r>
    </w:p>
    <w:p>
      <w:pPr>
        <w:spacing w:after="0" w:line="206" w:lineRule="exact"/>
        <w:rPr>
          <w:sz w:val="20"/>
          <w:szCs w:val="20"/>
          <w:color w:val="auto"/>
        </w:rPr>
      </w:pPr>
    </w:p>
    <w:p>
      <w:pPr>
        <w:jc w:val="center"/>
        <w:ind w:right="20"/>
        <w:spacing w:after="0" w:line="236" w:lineRule="auto"/>
        <w:rPr>
          <w:sz w:val="20"/>
          <w:szCs w:val="20"/>
          <w:color w:val="auto"/>
        </w:rPr>
      </w:pPr>
      <w:r>
        <w:rPr>
          <w:rFonts w:ascii="Arial" w:cs="Arial" w:eastAsia="Arial" w:hAnsi="Arial"/>
          <w:sz w:val="22"/>
          <w:szCs w:val="22"/>
          <w:color w:val="auto"/>
        </w:rPr>
        <w:t>Net expenses for the three months ended June 30, 2008 and June 30, 2007, totaled $5.7 million and $2.2 million, respectively. Of these totals, $1.7 million and approximately $862,000 were attributable to credit facility related expenses, and $1.2 million and approximately $569,000 to general and administrative expenses, respectively. Net base management fee for the same periods totaled $1.8 million and approximately $786,000, and performance-based incentive fee totaled $1.0 million and zero, respectively.</w:t>
      </w:r>
    </w:p>
    <w:p>
      <w:pPr>
        <w:spacing w:after="0" w:line="187"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Net Investment Income</w:t>
      </w:r>
    </w:p>
    <w:p>
      <w:pPr>
        <w:spacing w:after="0" w:line="206" w:lineRule="exact"/>
        <w:rPr>
          <w:sz w:val="20"/>
          <w:szCs w:val="20"/>
          <w:color w:val="auto"/>
        </w:rPr>
      </w:pPr>
    </w:p>
    <w:p>
      <w:pPr>
        <w:ind w:left="140"/>
        <w:spacing w:after="0"/>
        <w:rPr>
          <w:sz w:val="20"/>
          <w:szCs w:val="20"/>
          <w:color w:val="auto"/>
        </w:rPr>
      </w:pPr>
      <w:r>
        <w:rPr>
          <w:rFonts w:ascii="Arial" w:cs="Arial" w:eastAsia="Arial" w:hAnsi="Arial"/>
          <w:sz w:val="19"/>
          <w:szCs w:val="19"/>
          <w:color w:val="auto"/>
        </w:rPr>
        <w:t>Net investment income totaled $3.9 million and $3.2 million or $0.19 and $0.15 per share for the three months ended June 30,</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2008 and June 30, 2007, respectively.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Net Realized Loss</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Sales and repayments of long-term investments totaled $9.2 million and $84.6 million, respectively, for the three months ended June 30, 2008 and June 30, 2007, and net realized losses totaled approximately $402,000 and $35,000, respectively, for the same periods.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Net Unrealized Depreciation on Investments and Cash Equivalents</w:t>
      </w:r>
    </w:p>
    <w:p>
      <w:pPr>
        <w:spacing w:after="0" w:line="206" w:lineRule="exact"/>
        <w:rPr>
          <w:sz w:val="20"/>
          <w:szCs w:val="20"/>
          <w:color w:val="auto"/>
        </w:rPr>
      </w:pPr>
    </w:p>
    <w:p>
      <w:pPr>
        <w:jc w:val="center"/>
        <w:ind w:right="20"/>
        <w:spacing w:after="0" w:line="297" w:lineRule="auto"/>
        <w:rPr>
          <w:sz w:val="20"/>
          <w:szCs w:val="20"/>
          <w:color w:val="auto"/>
        </w:rPr>
      </w:pPr>
      <w:r>
        <w:rPr>
          <w:rFonts w:ascii="Arial" w:cs="Arial" w:eastAsia="Arial" w:hAnsi="Arial"/>
          <w:sz w:val="19"/>
          <w:szCs w:val="19"/>
          <w:color w:val="auto"/>
        </w:rPr>
        <w:t>The Company's investments and cash equivalents had a net increase/(decrease) in unrealized appreciation of $11.7 million and ($5.1) million, respectively, for the three months ended June 30, 2008 and June 30, 2007. On June 30, 2008 and June 30, 2007, net unrealized depreciation on investments totaled $66.1 million and $5.1 million, respectively.</w:t>
      </w:r>
    </w:p>
    <w:p>
      <w:pPr>
        <w:spacing w:after="0" w:line="134" w:lineRule="exact"/>
        <w:rPr>
          <w:sz w:val="20"/>
          <w:szCs w:val="20"/>
          <w:color w:val="auto"/>
        </w:rPr>
      </w:pPr>
    </w:p>
    <w:p>
      <w:pPr>
        <w:ind w:left="3180"/>
        <w:spacing w:after="0"/>
        <w:rPr>
          <w:sz w:val="20"/>
          <w:szCs w:val="20"/>
          <w:color w:val="auto"/>
        </w:rPr>
      </w:pPr>
      <w:r>
        <w:rPr>
          <w:rFonts w:ascii="Arial" w:cs="Arial" w:eastAsia="Arial" w:hAnsi="Arial"/>
          <w:sz w:val="22"/>
          <w:szCs w:val="22"/>
          <w:color w:val="auto"/>
        </w:rPr>
        <w:t>Net Increase/(Decrease) in Net Assets From Operations</w:t>
      </w:r>
    </w:p>
    <w:p>
      <w:pPr>
        <w:spacing w:after="0" w:line="206" w:lineRule="exact"/>
        <w:rPr>
          <w:sz w:val="20"/>
          <w:szCs w:val="20"/>
          <w:color w:val="auto"/>
        </w:rPr>
      </w:pPr>
    </w:p>
    <w:p>
      <w:pPr>
        <w:ind w:left="60"/>
        <w:spacing w:after="0"/>
        <w:rPr>
          <w:sz w:val="20"/>
          <w:szCs w:val="20"/>
          <w:color w:val="auto"/>
        </w:rPr>
      </w:pPr>
      <w:r>
        <w:rPr>
          <w:rFonts w:ascii="Arial" w:cs="Arial" w:eastAsia="Arial" w:hAnsi="Arial"/>
          <w:sz w:val="19"/>
          <w:szCs w:val="19"/>
          <w:color w:val="auto"/>
        </w:rPr>
        <w:t>Net increase/(decrease) in net assets resulting from operations totaled $15.2 million and ($1.9) million, or $0.72 and ($0.09) per</w:t>
      </w:r>
    </w:p>
    <w:p>
      <w:pPr>
        <w:spacing w:after="0" w:line="43" w:lineRule="exact"/>
        <w:rPr>
          <w:sz w:val="20"/>
          <w:szCs w:val="20"/>
          <w:color w:val="auto"/>
        </w:rPr>
      </w:pPr>
    </w:p>
    <w:p>
      <w:pPr>
        <w:ind w:left="2100"/>
        <w:spacing w:after="0"/>
        <w:rPr>
          <w:sz w:val="20"/>
          <w:szCs w:val="20"/>
          <w:color w:val="auto"/>
        </w:rPr>
      </w:pPr>
      <w:r>
        <w:rPr>
          <w:rFonts w:ascii="Arial" w:cs="Arial" w:eastAsia="Arial" w:hAnsi="Arial"/>
          <w:sz w:val="22"/>
          <w:szCs w:val="22"/>
          <w:color w:val="auto"/>
        </w:rPr>
        <w:t>share, respectively, for the three months ended June 30, 2008 and June 30, 2007.</w:t>
      </w:r>
    </w:p>
    <w:p>
      <w:pPr>
        <w:spacing w:after="0" w:line="188" w:lineRule="exact"/>
        <w:rPr>
          <w:sz w:val="20"/>
          <w:szCs w:val="20"/>
          <w:color w:val="auto"/>
        </w:rPr>
      </w:pPr>
    </w:p>
    <w:p>
      <w:pPr>
        <w:ind w:left="3640"/>
        <w:spacing w:after="0"/>
        <w:rPr>
          <w:sz w:val="20"/>
          <w:szCs w:val="20"/>
          <w:color w:val="auto"/>
        </w:rPr>
      </w:pPr>
      <w:r>
        <w:rPr>
          <w:rFonts w:ascii="Arial" w:cs="Arial" w:eastAsia="Arial" w:hAnsi="Arial"/>
          <w:sz w:val="22"/>
          <w:szCs w:val="22"/>
          <w:color w:val="auto"/>
        </w:rPr>
        <w:t>LIQUIDITY AND CAPITAL RESOURCES</w:t>
      </w:r>
    </w:p>
    <w:p>
      <w:pPr>
        <w:spacing w:after="0" w:line="206" w:lineRule="exact"/>
        <w:rPr>
          <w:sz w:val="20"/>
          <w:szCs w:val="20"/>
          <w:color w:val="auto"/>
        </w:rPr>
      </w:pPr>
    </w:p>
    <w:p>
      <w:pPr>
        <w:jc w:val="center"/>
        <w:spacing w:after="0" w:line="271" w:lineRule="auto"/>
        <w:rPr>
          <w:sz w:val="20"/>
          <w:szCs w:val="20"/>
          <w:color w:val="auto"/>
        </w:rPr>
      </w:pPr>
      <w:r>
        <w:rPr>
          <w:rFonts w:ascii="Arial" w:cs="Arial" w:eastAsia="Arial" w:hAnsi="Arial"/>
          <w:sz w:val="19"/>
          <w:szCs w:val="19"/>
          <w:color w:val="auto"/>
        </w:rPr>
        <w:t>The Company's liquidity and capital resources are generated primarily through its senior secured, multi-currency, $300 million, five-year revolving credit facility maturing in June 2012 as well as from cash flows from operations, investment sales and prepayments, and income earned from investments and cash equivalents. On June 30, 2008, the Company had $204.1 million in borrowings outstanding; including $40.0 million of temporary draws invested in cash equivalents. Our operating activities</w:t>
      </w:r>
    </w:p>
    <w:p>
      <w:pPr>
        <w:spacing w:after="0" w:line="3" w:lineRule="exact"/>
        <w:rPr>
          <w:sz w:val="20"/>
          <w:szCs w:val="20"/>
          <w:color w:val="auto"/>
        </w:rPr>
      </w:pPr>
    </w:p>
    <w:p>
      <w:pPr>
        <w:jc w:val="center"/>
        <w:ind w:right="20"/>
        <w:spacing w:after="0" w:line="234" w:lineRule="auto"/>
        <w:rPr>
          <w:sz w:val="20"/>
          <w:szCs w:val="20"/>
          <w:color w:val="auto"/>
        </w:rPr>
      </w:pPr>
      <w:r>
        <w:rPr>
          <w:rFonts w:ascii="Arial" w:cs="Arial" w:eastAsia="Arial" w:hAnsi="Arial"/>
          <w:sz w:val="22"/>
          <w:szCs w:val="22"/>
          <w:color w:val="auto"/>
        </w:rPr>
        <w:t>resulted in a net use of cash of $45.2 million and $144.7 million, respectively, for the three months ended June 30, 2008 and June 30, 2007, and our financing activities resulted in a net inflow of cash of $5.0 million and $141.7 million, respectively, for the same periods, primarily from net borrowings under our credit facilities.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DIVIDENDS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Dividends paid to stockholders totaled $4.6 million and $2.9 million, or $0.22 and $0.14 per share, respectively, for the three months ended June 30, 2008 and June 30, 2007. Tax characteristics of all dividends will be reported to stockholders on form 1099-DIV after the end of the calendar year.</w:t>
      </w:r>
    </w:p>
    <w:p>
      <w:pPr>
        <w:spacing w:after="0" w:line="204" w:lineRule="exact"/>
        <w:rPr>
          <w:sz w:val="20"/>
          <w:szCs w:val="20"/>
          <w:color w:val="auto"/>
        </w:rPr>
      </w:pPr>
    </w:p>
    <w:p>
      <w:pPr>
        <w:ind w:left="4840"/>
        <w:spacing w:after="0"/>
        <w:rPr>
          <w:sz w:val="20"/>
          <w:szCs w:val="20"/>
          <w:color w:val="auto"/>
        </w:rPr>
      </w:pPr>
      <w:r>
        <w:rPr>
          <w:rFonts w:ascii="Courier New" w:cs="Courier New" w:eastAsia="Courier New" w:hAnsi="Courier New"/>
          <w:sz w:val="18"/>
          <w:szCs w:val="18"/>
          <w:color w:val="auto"/>
        </w:rPr>
        <w:t>PENNANTPARK INVESTMENT CORPORATION</w:t>
      </w:r>
    </w:p>
    <w:p>
      <w:pPr>
        <w:ind w:left="4680"/>
        <w:spacing w:after="0" w:line="238" w:lineRule="auto"/>
        <w:rPr>
          <w:sz w:val="20"/>
          <w:szCs w:val="20"/>
          <w:color w:val="auto"/>
        </w:rPr>
      </w:pPr>
      <w:r>
        <w:rPr>
          <w:rFonts w:ascii="Courier New" w:cs="Courier New" w:eastAsia="Courier New" w:hAnsi="Courier New"/>
          <w:sz w:val="18"/>
          <w:szCs w:val="18"/>
          <w:color w:val="auto"/>
        </w:rPr>
        <w:t>STATEMENTS OF ASSETS AND LIABILITIES</w:t>
      </w:r>
    </w:p>
    <w:p>
      <w:pPr>
        <w:spacing w:after="0" w:line="201" w:lineRule="exact"/>
        <w:rPr>
          <w:sz w:val="20"/>
          <w:szCs w:val="20"/>
          <w:color w:val="auto"/>
        </w:rPr>
      </w:pPr>
    </w:p>
    <w:p>
      <w:pPr>
        <w:ind w:left="7800"/>
        <w:spacing w:after="0"/>
        <w:rPr>
          <w:sz w:val="20"/>
          <w:szCs w:val="20"/>
          <w:color w:val="auto"/>
        </w:rPr>
      </w:pPr>
      <w:r>
        <w:rPr>
          <w:rFonts w:ascii="Courier New" w:cs="Courier New" w:eastAsia="Courier New" w:hAnsi="Courier New"/>
          <w:sz w:val="18"/>
          <w:szCs w:val="18"/>
          <w:color w:val="auto"/>
        </w:rPr>
        <w:t>June 30,</w:t>
      </w:r>
    </w:p>
    <w:p>
      <w:pPr>
        <w:sectPr>
          <w:pgSz w:w="11900" w:h="16889" w:orient="portrait"/>
          <w:cols w:equalWidth="0" w:num="1">
            <w:col w:w="11180"/>
          </w:cols>
          <w:pgMar w:left="360" w:top="118" w:right="359" w:bottom="0" w:gutter="0" w:footer="0" w:header="0"/>
        </w:sectPr>
      </w:pPr>
    </w:p>
    <w:bookmarkStart w:id="4" w:name="page5"/>
    <w:bookmarkEnd w:id="4"/>
    <w:tbl>
      <w:tblPr>
        <w:tblLayout w:type="fixed"/>
        <w:tblInd w:w="560" w:type="dxa"/>
        <w:tblCellMar>
          <w:top w:w="0" w:type="dxa"/>
          <w:left w:w="0" w:type="dxa"/>
          <w:bottom w:w="0" w:type="dxa"/>
          <w:right w:w="0" w:type="dxa"/>
        </w:tblCellMar>
      </w:tblPr>
      <w:tr>
        <w:trPr>
          <w:trHeight w:val="204"/>
        </w:trPr>
        <w:tc>
          <w:tcPr>
            <w:tcW w:w="1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2008</w:t>
            </w:r>
          </w:p>
        </w:tc>
        <w:tc>
          <w:tcPr>
            <w:tcW w:w="14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September 30,</w:t>
            </w:r>
          </w:p>
        </w:tc>
      </w:tr>
      <w:tr>
        <w:trPr>
          <w:trHeight w:val="203"/>
        </w:trPr>
        <w:tc>
          <w:tcPr>
            <w:tcW w:w="1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(Unaudited)</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2007</w:t>
            </w:r>
          </w:p>
        </w:tc>
      </w:tr>
      <w:tr>
        <w:trPr>
          <w:trHeight w:val="203"/>
        </w:trPr>
        <w:tc>
          <w:tcPr>
            <w:tcW w:w="1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9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1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Assets</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780" w:type="dxa"/>
            <w:vAlign w:val="bottom"/>
          </w:tcPr>
          <w:p>
            <w:pPr>
              <w:spacing w:after="0"/>
              <w:rPr>
                <w:sz w:val="17"/>
                <w:szCs w:val="17"/>
                <w:color w:val="auto"/>
              </w:rPr>
            </w:pPr>
          </w:p>
        </w:tc>
        <w:tc>
          <w:tcPr>
            <w:tcW w:w="4640" w:type="dxa"/>
            <w:vAlign w:val="bottom"/>
            <w:gridSpan w:val="4"/>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Investments at fair value</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780" w:type="dxa"/>
            <w:vAlign w:val="bottom"/>
          </w:tcPr>
          <w:p>
            <w:pPr>
              <w:spacing w:after="0"/>
              <w:rPr>
                <w:sz w:val="17"/>
                <w:szCs w:val="17"/>
                <w:color w:val="auto"/>
              </w:rPr>
            </w:pPr>
          </w:p>
        </w:tc>
        <w:tc>
          <w:tcPr>
            <w:tcW w:w="464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Non-controlled, non-affiliated investments,</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2"/>
        </w:trPr>
        <w:tc>
          <w:tcPr>
            <w:tcW w:w="1780" w:type="dxa"/>
            <w:vAlign w:val="bottom"/>
          </w:tcPr>
          <w:p>
            <w:pPr>
              <w:spacing w:after="0"/>
              <w:rPr>
                <w:sz w:val="17"/>
                <w:szCs w:val="17"/>
                <w:color w:val="auto"/>
              </w:rPr>
            </w:pPr>
          </w:p>
        </w:tc>
        <w:tc>
          <w:tcPr>
            <w:tcW w:w="4640" w:type="dxa"/>
            <w:vAlign w:val="bottom"/>
            <w:gridSpan w:val="4"/>
          </w:tcPr>
          <w:p>
            <w:pPr>
              <w:ind w:left="380"/>
              <w:spacing w:after="0" w:line="203" w:lineRule="exact"/>
              <w:rPr>
                <w:sz w:val="20"/>
                <w:szCs w:val="20"/>
                <w:color w:val="auto"/>
              </w:rPr>
            </w:pPr>
            <w:r>
              <w:rPr>
                <w:rFonts w:ascii="Courier New" w:cs="Courier New" w:eastAsia="Courier New" w:hAnsi="Courier New"/>
                <w:sz w:val="18"/>
                <w:szCs w:val="18"/>
                <w:color w:val="auto"/>
              </w:rPr>
              <w:t>at fair value (cost--$435,256,061 and</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42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$298,789,297, respectively)</w:t>
            </w:r>
          </w:p>
        </w:tc>
        <w:tc>
          <w:tcPr>
            <w:tcW w:w="1580" w:type="dxa"/>
            <w:vAlign w:val="bottom"/>
          </w:tcPr>
          <w:p>
            <w:pPr>
              <w:spacing w:after="0"/>
              <w:rPr>
                <w:sz w:val="17"/>
                <w:szCs w:val="17"/>
                <w:color w:val="auto"/>
              </w:rPr>
            </w:pP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$ 369,991,408</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$ 274,679,030</w:t>
            </w:r>
          </w:p>
        </w:tc>
      </w:tr>
      <w:tr>
        <w:trPr>
          <w:trHeight w:val="203"/>
        </w:trPr>
        <w:tc>
          <w:tcPr>
            <w:tcW w:w="1780" w:type="dxa"/>
            <w:vAlign w:val="bottom"/>
          </w:tcPr>
          <w:p>
            <w:pPr>
              <w:spacing w:after="0"/>
              <w:rPr>
                <w:sz w:val="17"/>
                <w:szCs w:val="17"/>
                <w:color w:val="auto"/>
              </w:rPr>
            </w:pPr>
          </w:p>
        </w:tc>
        <w:tc>
          <w:tcPr>
            <w:tcW w:w="4640" w:type="dxa"/>
            <w:vAlign w:val="bottom"/>
            <w:gridSpan w:val="4"/>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Non-controlled, affiliated investments, at</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780" w:type="dxa"/>
            <w:vAlign w:val="bottom"/>
          </w:tcPr>
          <w:p>
            <w:pPr>
              <w:spacing w:after="0"/>
              <w:rPr>
                <w:sz w:val="17"/>
                <w:szCs w:val="17"/>
                <w:color w:val="auto"/>
              </w:rPr>
            </w:pPr>
          </w:p>
        </w:tc>
        <w:tc>
          <w:tcPr>
            <w:tcW w:w="4640" w:type="dxa"/>
            <w:vAlign w:val="bottom"/>
            <w:gridSpan w:val="4"/>
          </w:tcPr>
          <w:p>
            <w:pPr>
              <w:jc w:val="right"/>
              <w:ind w:right="492"/>
              <w:spacing w:after="0" w:line="203" w:lineRule="exact"/>
              <w:rPr>
                <w:sz w:val="20"/>
                <w:szCs w:val="20"/>
                <w:color w:val="auto"/>
              </w:rPr>
            </w:pPr>
            <w:r>
              <w:rPr>
                <w:rFonts w:ascii="Courier New" w:cs="Courier New" w:eastAsia="Courier New" w:hAnsi="Courier New"/>
                <w:sz w:val="18"/>
                <w:szCs w:val="18"/>
                <w:color w:val="auto"/>
              </w:rPr>
              <w:t>fair value (cost--$16,534,481 and</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42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$16,092,573, respectively)</w:t>
            </w: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15,715,395</w:t>
            </w:r>
          </w:p>
        </w:tc>
        <w:tc>
          <w:tcPr>
            <w:tcW w:w="2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16,337,578</w:t>
            </w:r>
          </w:p>
        </w:tc>
      </w:tr>
      <w:tr>
        <w:trPr>
          <w:trHeight w:val="203"/>
        </w:trPr>
        <w:tc>
          <w:tcPr>
            <w:tcW w:w="1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34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Investments at fair value</w:t>
            </w: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385,706,803</w:t>
            </w:r>
          </w:p>
        </w:tc>
        <w:tc>
          <w:tcPr>
            <w:tcW w:w="2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291,016,608</w:t>
            </w:r>
          </w:p>
        </w:tc>
      </w:tr>
      <w:tr>
        <w:trPr>
          <w:trHeight w:val="203"/>
        </w:trPr>
        <w:tc>
          <w:tcPr>
            <w:tcW w:w="1780" w:type="dxa"/>
            <w:vAlign w:val="bottom"/>
          </w:tcPr>
          <w:p>
            <w:pPr>
              <w:spacing w:after="0"/>
              <w:rPr>
                <w:sz w:val="17"/>
                <w:szCs w:val="17"/>
                <w:color w:val="auto"/>
              </w:rPr>
            </w:pPr>
          </w:p>
        </w:tc>
        <w:tc>
          <w:tcPr>
            <w:tcW w:w="4640" w:type="dxa"/>
            <w:vAlign w:val="bottom"/>
            <w:gridSpan w:val="4"/>
          </w:tcPr>
          <w:p>
            <w:pPr>
              <w:jc w:val="center"/>
              <w:ind w:right="212"/>
              <w:spacing w:after="0" w:line="203" w:lineRule="exact"/>
              <w:rPr>
                <w:sz w:val="20"/>
                <w:szCs w:val="20"/>
                <w:color w:val="auto"/>
              </w:rPr>
            </w:pPr>
            <w:r>
              <w:rPr>
                <w:rFonts w:ascii="Courier New" w:cs="Courier New" w:eastAsia="Courier New" w:hAnsi="Courier New"/>
                <w:sz w:val="18"/>
                <w:szCs w:val="18"/>
                <w:color w:val="auto"/>
                <w:w w:val="97"/>
              </w:rPr>
              <w:t>Cash equivalents (cost--$41,030,236 and</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4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$258,016,351, respectively)</w:t>
            </w: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41,030,236</w:t>
            </w:r>
          </w:p>
        </w:tc>
        <w:tc>
          <w:tcPr>
            <w:tcW w:w="2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257,959,635</w:t>
            </w:r>
          </w:p>
        </w:tc>
      </w:tr>
      <w:tr>
        <w:trPr>
          <w:trHeight w:val="203"/>
        </w:trPr>
        <w:tc>
          <w:tcPr>
            <w:tcW w:w="3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Interest receivable</w:t>
            </w: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4,024,013</w:t>
            </w:r>
          </w:p>
        </w:tc>
        <w:tc>
          <w:tcPr>
            <w:tcW w:w="2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4,517,850</w:t>
            </w:r>
          </w:p>
        </w:tc>
      </w:tr>
      <w:tr>
        <w:trPr>
          <w:trHeight w:val="203"/>
        </w:trPr>
        <w:tc>
          <w:tcPr>
            <w:tcW w:w="50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Prepaid expenses and other assets</w:t>
            </w:r>
          </w:p>
        </w:tc>
        <w:tc>
          <w:tcPr>
            <w:tcW w:w="1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1,524,999</w:t>
            </w:r>
          </w:p>
        </w:tc>
        <w:tc>
          <w:tcPr>
            <w:tcW w:w="2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1,513,583</w:t>
            </w:r>
          </w:p>
        </w:tc>
      </w:tr>
      <w:tr>
        <w:trPr>
          <w:trHeight w:val="203"/>
        </w:trPr>
        <w:tc>
          <w:tcPr>
            <w:tcW w:w="1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17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Total assets</w:t>
            </w:r>
          </w:p>
        </w:tc>
        <w:tc>
          <w:tcPr>
            <w:tcW w:w="16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432,286,051</w:t>
            </w:r>
          </w:p>
        </w:tc>
        <w:tc>
          <w:tcPr>
            <w:tcW w:w="2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555,007,676</w:t>
            </w:r>
          </w:p>
        </w:tc>
      </w:tr>
      <w:tr>
        <w:trPr>
          <w:trHeight w:val="203"/>
        </w:trPr>
        <w:tc>
          <w:tcPr>
            <w:tcW w:w="1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9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608"/>
        </w:trPr>
        <w:tc>
          <w:tcPr>
            <w:tcW w:w="1780" w:type="dxa"/>
            <w:vAlign w:val="bottom"/>
          </w:tcPr>
          <w:p>
            <w:pPr>
              <w:spacing w:after="0"/>
              <w:rPr>
                <w:sz w:val="24"/>
                <w:szCs w:val="24"/>
                <w:color w:val="auto"/>
              </w:rPr>
            </w:pPr>
          </w:p>
        </w:tc>
        <w:tc>
          <w:tcPr>
            <w:tcW w:w="3220" w:type="dxa"/>
            <w:vAlign w:val="bottom"/>
            <w:gridSpan w:val="2"/>
          </w:tcPr>
          <w:p>
            <w:pPr>
              <w:jc w:val="center"/>
              <w:ind w:left="1012"/>
              <w:spacing w:after="0"/>
              <w:rPr>
                <w:sz w:val="20"/>
                <w:szCs w:val="20"/>
                <w:color w:val="auto"/>
              </w:rPr>
            </w:pPr>
            <w:r>
              <w:rPr>
                <w:rFonts w:ascii="Courier New" w:cs="Courier New" w:eastAsia="Courier New" w:hAnsi="Courier New"/>
                <w:sz w:val="18"/>
                <w:szCs w:val="18"/>
                <w:color w:val="auto"/>
                <w:w w:val="97"/>
              </w:rPr>
              <w:t>Liabilities</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50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Payable for cash equivalents purchased</w:t>
            </w:r>
          </w:p>
        </w:tc>
        <w:tc>
          <w:tcPr>
            <w:tcW w:w="1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252,759,931</w:t>
            </w:r>
          </w:p>
        </w:tc>
      </w:tr>
      <w:tr>
        <w:trPr>
          <w:trHeight w:val="203"/>
        </w:trPr>
        <w:tc>
          <w:tcPr>
            <w:tcW w:w="50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Payable for investments purchased</w:t>
            </w:r>
          </w:p>
        </w:tc>
        <w:tc>
          <w:tcPr>
            <w:tcW w:w="1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16,583,921</w:t>
            </w:r>
          </w:p>
        </w:tc>
      </w:tr>
      <w:tr>
        <w:trPr>
          <w:trHeight w:val="203"/>
        </w:trPr>
        <w:tc>
          <w:tcPr>
            <w:tcW w:w="3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Unfunded investments</w:t>
            </w: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3,989,948</w:t>
            </w:r>
          </w:p>
        </w:tc>
      </w:tr>
      <w:tr>
        <w:trPr>
          <w:trHeight w:val="203"/>
        </w:trPr>
        <w:tc>
          <w:tcPr>
            <w:tcW w:w="3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Credit facility payable</w:t>
            </w: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204,100,000</w:t>
            </w:r>
          </w:p>
        </w:tc>
        <w:tc>
          <w:tcPr>
            <w:tcW w:w="2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10,000,000</w:t>
            </w:r>
          </w:p>
        </w:tc>
      </w:tr>
      <w:tr>
        <w:trPr>
          <w:trHeight w:val="203"/>
        </w:trPr>
        <w:tc>
          <w:tcPr>
            <w:tcW w:w="1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Interest payable</w:t>
            </w:r>
          </w:p>
        </w:tc>
        <w:tc>
          <w:tcPr>
            <w:tcW w:w="16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134,946</w:t>
            </w:r>
          </w:p>
        </w:tc>
        <w:tc>
          <w:tcPr>
            <w:tcW w:w="2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170,989</w:t>
            </w:r>
          </w:p>
        </w:tc>
      </w:tr>
      <w:tr>
        <w:trPr>
          <w:trHeight w:val="203"/>
        </w:trPr>
        <w:tc>
          <w:tcPr>
            <w:tcW w:w="3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Accrued other expenses</w:t>
            </w: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1,224,266</w:t>
            </w:r>
          </w:p>
        </w:tc>
        <w:tc>
          <w:tcPr>
            <w:tcW w:w="2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1,109,793</w:t>
            </w:r>
          </w:p>
        </w:tc>
      </w:tr>
      <w:tr>
        <w:trPr>
          <w:trHeight w:val="203"/>
        </w:trPr>
        <w:tc>
          <w:tcPr>
            <w:tcW w:w="1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342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205,459,212</w:t>
            </w:r>
          </w:p>
        </w:tc>
        <w:tc>
          <w:tcPr>
            <w:tcW w:w="2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284,614,582</w:t>
            </w:r>
          </w:p>
        </w:tc>
      </w:tr>
      <w:tr>
        <w:trPr>
          <w:trHeight w:val="203"/>
        </w:trPr>
        <w:tc>
          <w:tcPr>
            <w:tcW w:w="1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9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608"/>
        </w:trPr>
        <w:tc>
          <w:tcPr>
            <w:tcW w:w="1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80" w:type="dxa"/>
            <w:vAlign w:val="bottom"/>
          </w:tcPr>
          <w:p>
            <w:pPr>
              <w:jc w:val="center"/>
              <w:ind w:right="432"/>
              <w:spacing w:after="0"/>
              <w:rPr>
                <w:sz w:val="20"/>
                <w:szCs w:val="20"/>
                <w:color w:val="auto"/>
              </w:rPr>
            </w:pPr>
            <w:r>
              <w:rPr>
                <w:rFonts w:ascii="Courier New" w:cs="Courier New" w:eastAsia="Courier New" w:hAnsi="Courier New"/>
                <w:sz w:val="18"/>
                <w:szCs w:val="18"/>
                <w:color w:val="auto"/>
                <w:w w:val="98"/>
              </w:rPr>
              <w:t>Net Assets</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1780" w:type="dxa"/>
            <w:vAlign w:val="bottom"/>
          </w:tcPr>
          <w:p>
            <w:pPr>
              <w:spacing w:after="0"/>
              <w:rPr>
                <w:sz w:val="17"/>
                <w:szCs w:val="17"/>
                <w:color w:val="auto"/>
              </w:rPr>
            </w:pPr>
          </w:p>
        </w:tc>
        <w:tc>
          <w:tcPr>
            <w:tcW w:w="4640" w:type="dxa"/>
            <w:vAlign w:val="bottom"/>
            <w:gridSpan w:val="4"/>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Common stock, par value $0.001 per share,</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420" w:type="dxa"/>
            <w:vAlign w:val="bottom"/>
            <w:gridSpan w:val="5"/>
          </w:tcPr>
          <w:p>
            <w:pPr>
              <w:jc w:val="center"/>
              <w:ind w:left="1492"/>
              <w:spacing w:after="0" w:line="203" w:lineRule="exact"/>
              <w:rPr>
                <w:sz w:val="20"/>
                <w:szCs w:val="20"/>
                <w:color w:val="auto"/>
              </w:rPr>
            </w:pPr>
            <w:r>
              <w:rPr>
                <w:rFonts w:ascii="Courier New" w:cs="Courier New" w:eastAsia="Courier New" w:hAnsi="Courier New"/>
                <w:sz w:val="18"/>
                <w:szCs w:val="18"/>
                <w:color w:val="auto"/>
                <w:w w:val="97"/>
              </w:rPr>
              <w:t>100,000,000 shares authorized and 21,068,772</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4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shares issued and outstanding</w:t>
            </w: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21,069</w:t>
            </w:r>
          </w:p>
        </w:tc>
        <w:tc>
          <w:tcPr>
            <w:tcW w:w="2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21,069</w:t>
            </w:r>
          </w:p>
        </w:tc>
      </w:tr>
      <w:tr>
        <w:trPr>
          <w:trHeight w:val="203"/>
        </w:trPr>
        <w:tc>
          <w:tcPr>
            <w:tcW w:w="3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Paid-in capital in excess of par</w:t>
            </w: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294,586,604</w:t>
            </w:r>
          </w:p>
        </w:tc>
        <w:tc>
          <w:tcPr>
            <w:tcW w:w="2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294,586,604</w:t>
            </w:r>
          </w:p>
        </w:tc>
      </w:tr>
      <w:tr>
        <w:trPr>
          <w:trHeight w:val="203"/>
        </w:trPr>
        <w:tc>
          <w:tcPr>
            <w:tcW w:w="1780" w:type="dxa"/>
            <w:vAlign w:val="bottom"/>
          </w:tcPr>
          <w:p>
            <w:pPr>
              <w:spacing w:after="0"/>
              <w:rPr>
                <w:sz w:val="17"/>
                <w:szCs w:val="17"/>
                <w:color w:val="auto"/>
              </w:rPr>
            </w:pPr>
          </w:p>
        </w:tc>
        <w:tc>
          <w:tcPr>
            <w:tcW w:w="4640" w:type="dxa"/>
            <w:vAlign w:val="bottom"/>
            <w:gridSpan w:val="4"/>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Distributions in excess of net investment</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income</w:t>
            </w:r>
          </w:p>
        </w:tc>
        <w:tc>
          <w:tcPr>
            <w:tcW w:w="16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(980,265)</w:t>
            </w:r>
          </w:p>
        </w:tc>
        <w:tc>
          <w:tcPr>
            <w:tcW w:w="2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(196,769)</w:t>
            </w:r>
          </w:p>
        </w:tc>
      </w:tr>
      <w:tr>
        <w:trPr>
          <w:trHeight w:val="203"/>
        </w:trPr>
        <w:tc>
          <w:tcPr>
            <w:tcW w:w="342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w w:val="96"/>
              </w:rPr>
              <w:t>Accumulated net realized loss</w:t>
            </w: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(716,830)</w:t>
            </w:r>
          </w:p>
        </w:tc>
        <w:tc>
          <w:tcPr>
            <w:tcW w:w="2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(95,832)</w:t>
            </w:r>
          </w:p>
        </w:tc>
      </w:tr>
      <w:tr>
        <w:trPr>
          <w:trHeight w:val="203"/>
        </w:trPr>
        <w:tc>
          <w:tcPr>
            <w:tcW w:w="6420" w:type="dxa"/>
            <w:vAlign w:val="bottom"/>
            <w:gridSpan w:val="5"/>
          </w:tcPr>
          <w:p>
            <w:pPr>
              <w:jc w:val="center"/>
              <w:ind w:left="1372"/>
              <w:spacing w:after="0" w:line="203" w:lineRule="exact"/>
              <w:rPr>
                <w:sz w:val="20"/>
                <w:szCs w:val="20"/>
                <w:color w:val="auto"/>
              </w:rPr>
            </w:pPr>
            <w:r>
              <w:rPr>
                <w:rFonts w:ascii="Courier New" w:cs="Courier New" w:eastAsia="Courier New" w:hAnsi="Courier New"/>
                <w:sz w:val="18"/>
                <w:szCs w:val="18"/>
                <w:color w:val="auto"/>
                <w:w w:val="97"/>
              </w:rPr>
              <w:t>Net unrealized depreciation on investments and</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cash equivalents</w:t>
            </w:r>
          </w:p>
        </w:tc>
        <w:tc>
          <w:tcPr>
            <w:tcW w:w="16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(66,083,739)</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(23,921,978)</w:t>
            </w:r>
          </w:p>
        </w:tc>
      </w:tr>
      <w:tr>
        <w:trPr>
          <w:trHeight w:val="203"/>
        </w:trPr>
        <w:tc>
          <w:tcPr>
            <w:tcW w:w="1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342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Total net assets</w:t>
            </w:r>
          </w:p>
        </w:tc>
        <w:tc>
          <w:tcPr>
            <w:tcW w:w="1580" w:type="dxa"/>
            <w:vAlign w:val="bottom"/>
          </w:tcPr>
          <w:p>
            <w:pPr>
              <w:spacing w:after="0"/>
              <w:rPr>
                <w:sz w:val="24"/>
                <w:szCs w:val="24"/>
                <w:color w:val="auto"/>
              </w:rPr>
            </w:pPr>
          </w:p>
        </w:tc>
        <w:tc>
          <w:tcPr>
            <w:tcW w:w="14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5"/>
              </w:rPr>
              <w:t>$ 226,826,839</w:t>
            </w:r>
          </w:p>
        </w:tc>
        <w:tc>
          <w:tcPr>
            <w:tcW w:w="14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$ 270,393,094</w:t>
            </w:r>
          </w:p>
        </w:tc>
      </w:tr>
      <w:tr>
        <w:trPr>
          <w:trHeight w:val="203"/>
        </w:trPr>
        <w:tc>
          <w:tcPr>
            <w:tcW w:w="1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5000" w:type="dxa"/>
            <w:vAlign w:val="bottom"/>
            <w:gridSpan w:val="3"/>
          </w:tcPr>
          <w:p>
            <w:pPr>
              <w:ind w:left="460"/>
              <w:spacing w:after="0" w:line="203" w:lineRule="exact"/>
              <w:rPr>
                <w:sz w:val="20"/>
                <w:szCs w:val="20"/>
                <w:color w:val="auto"/>
              </w:rPr>
            </w:pPr>
            <w:r>
              <w:rPr>
                <w:rFonts w:ascii="Courier New" w:cs="Courier New" w:eastAsia="Courier New" w:hAnsi="Courier New"/>
                <w:sz w:val="18"/>
                <w:szCs w:val="18"/>
                <w:color w:val="auto"/>
              </w:rPr>
              <w:t>Total liabilities and net assets</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$ 432,286,051</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$ 555,007,676</w:t>
            </w:r>
          </w:p>
        </w:tc>
      </w:tr>
      <w:tr>
        <w:trPr>
          <w:trHeight w:val="203"/>
        </w:trPr>
        <w:tc>
          <w:tcPr>
            <w:tcW w:w="1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3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Net asset value per share</w:t>
            </w:r>
          </w:p>
        </w:tc>
        <w:tc>
          <w:tcPr>
            <w:tcW w:w="1580" w:type="dxa"/>
            <w:vAlign w:val="bottom"/>
          </w:tcPr>
          <w:p>
            <w:pPr>
              <w:spacing w:after="0"/>
              <w:rPr>
                <w:sz w:val="17"/>
                <w:szCs w:val="17"/>
                <w:color w:val="auto"/>
              </w:rPr>
            </w:pP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10.77</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12.83</w:t>
            </w:r>
          </w:p>
        </w:tc>
      </w:tr>
      <w:tr>
        <w:trPr>
          <w:trHeight w:val="203"/>
        </w:trPr>
        <w:tc>
          <w:tcPr>
            <w:tcW w:w="1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9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608"/>
        </w:trPr>
        <w:tc>
          <w:tcPr>
            <w:tcW w:w="1780" w:type="dxa"/>
            <w:vAlign w:val="bottom"/>
          </w:tcPr>
          <w:p>
            <w:pPr>
              <w:spacing w:after="0"/>
              <w:rPr>
                <w:sz w:val="24"/>
                <w:szCs w:val="24"/>
                <w:color w:val="auto"/>
              </w:rPr>
            </w:pPr>
          </w:p>
        </w:tc>
        <w:tc>
          <w:tcPr>
            <w:tcW w:w="6120" w:type="dxa"/>
            <w:vAlign w:val="bottom"/>
            <w:gridSpan w:val="6"/>
          </w:tcPr>
          <w:p>
            <w:pPr>
              <w:jc w:val="right"/>
              <w:ind w:right="1032"/>
              <w:spacing w:after="0"/>
              <w:rPr>
                <w:sz w:val="20"/>
                <w:szCs w:val="20"/>
                <w:color w:val="auto"/>
              </w:rPr>
            </w:pPr>
            <w:r>
              <w:rPr>
                <w:rFonts w:ascii="Courier New" w:cs="Courier New" w:eastAsia="Courier New" w:hAnsi="Courier New"/>
                <w:sz w:val="18"/>
                <w:szCs w:val="18"/>
                <w:color w:val="auto"/>
              </w:rPr>
              <w:t>PENNANTPARK INVESTMENT CORPORATION</w:t>
            </w:r>
          </w:p>
        </w:tc>
      </w:tr>
      <w:tr>
        <w:trPr>
          <w:trHeight w:val="203"/>
        </w:trPr>
        <w:tc>
          <w:tcPr>
            <w:tcW w:w="1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260" w:type="dxa"/>
            <w:vAlign w:val="bottom"/>
            <w:gridSpan w:val="4"/>
          </w:tcPr>
          <w:p>
            <w:pPr>
              <w:ind w:left="580"/>
              <w:spacing w:after="0" w:line="203" w:lineRule="exact"/>
              <w:rPr>
                <w:sz w:val="20"/>
                <w:szCs w:val="20"/>
                <w:color w:val="auto"/>
              </w:rPr>
            </w:pPr>
            <w:r>
              <w:rPr>
                <w:rFonts w:ascii="Courier New" w:cs="Courier New" w:eastAsia="Courier New" w:hAnsi="Courier New"/>
                <w:sz w:val="18"/>
                <w:szCs w:val="18"/>
                <w:color w:val="auto"/>
              </w:rPr>
              <w:t>STATEMENTS OF OPERATIONS</w:t>
            </w:r>
          </w:p>
        </w:tc>
        <w:tc>
          <w:tcPr>
            <w:tcW w:w="1220" w:type="dxa"/>
            <w:vAlign w:val="bottom"/>
          </w:tcPr>
          <w:p>
            <w:pPr>
              <w:spacing w:after="0"/>
              <w:rPr>
                <w:sz w:val="17"/>
                <w:szCs w:val="17"/>
                <w:color w:val="auto"/>
              </w:rPr>
            </w:pPr>
          </w:p>
        </w:tc>
      </w:tr>
      <w:tr>
        <w:trPr>
          <w:trHeight w:val="203"/>
        </w:trPr>
        <w:tc>
          <w:tcPr>
            <w:tcW w:w="1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(Unaudited)</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05"/>
        </w:trPr>
        <w:tc>
          <w:tcPr>
            <w:tcW w:w="1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w w:val="95"/>
              </w:rPr>
              <w:t>Period from</w:t>
            </w:r>
          </w:p>
        </w:tc>
      </w:tr>
      <w:tr>
        <w:trPr>
          <w:trHeight w:val="203"/>
        </w:trPr>
        <w:tc>
          <w:tcPr>
            <w:tcW w:w="1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January 11,</w:t>
            </w:r>
          </w:p>
        </w:tc>
      </w:tr>
      <w:tr>
        <w:trPr>
          <w:trHeight w:val="203"/>
        </w:trPr>
        <w:tc>
          <w:tcPr>
            <w:tcW w:w="1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2007</w:t>
            </w:r>
          </w:p>
        </w:tc>
      </w:tr>
      <w:tr>
        <w:trPr>
          <w:trHeight w:val="203"/>
        </w:trPr>
        <w:tc>
          <w:tcPr>
            <w:tcW w:w="1780" w:type="dxa"/>
            <w:vAlign w:val="bottom"/>
          </w:tcPr>
          <w:p>
            <w:pPr>
              <w:spacing w:after="0"/>
              <w:rPr>
                <w:sz w:val="17"/>
                <w:szCs w:val="17"/>
                <w:color w:val="auto"/>
              </w:rPr>
            </w:pPr>
          </w:p>
        </w:tc>
        <w:tc>
          <w:tcPr>
            <w:tcW w:w="16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5"/>
              </w:rPr>
              <w:t>Three months</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Three months</w:t>
            </w:r>
          </w:p>
        </w:tc>
        <w:tc>
          <w:tcPr>
            <w:tcW w:w="1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Nine months</w:t>
            </w:r>
          </w:p>
        </w:tc>
        <w:tc>
          <w:tcPr>
            <w:tcW w:w="2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(inception)</w:t>
            </w:r>
          </w:p>
        </w:tc>
      </w:tr>
      <w:tr>
        <w:trPr>
          <w:trHeight w:val="203"/>
        </w:trPr>
        <w:tc>
          <w:tcPr>
            <w:tcW w:w="1780" w:type="dxa"/>
            <w:vAlign w:val="bottom"/>
          </w:tcPr>
          <w:p>
            <w:pPr>
              <w:spacing w:after="0"/>
              <w:rPr>
                <w:sz w:val="17"/>
                <w:szCs w:val="17"/>
                <w:color w:val="auto"/>
              </w:rPr>
            </w:pPr>
          </w:p>
        </w:tc>
        <w:tc>
          <w:tcPr>
            <w:tcW w:w="16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ended</w:t>
            </w: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ended</w:t>
            </w:r>
          </w:p>
        </w:tc>
        <w:tc>
          <w:tcPr>
            <w:tcW w:w="100" w:type="dxa"/>
            <w:vAlign w:val="bottom"/>
          </w:tcPr>
          <w:p>
            <w:pPr>
              <w:spacing w:after="0"/>
              <w:rPr>
                <w:sz w:val="17"/>
                <w:szCs w:val="17"/>
                <w:color w:val="auto"/>
              </w:rPr>
            </w:pP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ended</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months through</w:t>
            </w:r>
          </w:p>
        </w:tc>
      </w:tr>
      <w:tr>
        <w:trPr>
          <w:trHeight w:val="203"/>
        </w:trPr>
        <w:tc>
          <w:tcPr>
            <w:tcW w:w="1780" w:type="dxa"/>
            <w:vAlign w:val="bottom"/>
          </w:tcPr>
          <w:p>
            <w:pPr>
              <w:spacing w:after="0"/>
              <w:rPr>
                <w:sz w:val="17"/>
                <w:szCs w:val="17"/>
                <w:color w:val="auto"/>
              </w:rPr>
            </w:pPr>
          </w:p>
        </w:tc>
        <w:tc>
          <w:tcPr>
            <w:tcW w:w="46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June 30, 2008 June 30, 2007 June 30, 2008</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June 30, 2007</w:t>
            </w:r>
          </w:p>
        </w:tc>
      </w:tr>
      <w:tr>
        <w:trPr>
          <w:trHeight w:val="203"/>
        </w:trPr>
        <w:tc>
          <w:tcPr>
            <w:tcW w:w="1780" w:type="dxa"/>
            <w:vAlign w:val="bottom"/>
          </w:tcPr>
          <w:p>
            <w:pPr>
              <w:spacing w:after="0"/>
              <w:rPr>
                <w:sz w:val="17"/>
                <w:szCs w:val="17"/>
                <w:color w:val="auto"/>
              </w:rPr>
            </w:pP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80" w:type="dxa"/>
            <w:vAlign w:val="bottom"/>
          </w:tcPr>
          <w:p>
            <w:pPr>
              <w:spacing w:after="0"/>
              <w:rPr>
                <w:sz w:val="17"/>
                <w:szCs w:val="17"/>
                <w:color w:val="auto"/>
              </w:rPr>
            </w:pPr>
          </w:p>
        </w:tc>
        <w:tc>
          <w:tcPr>
            <w:tcW w:w="3220" w:type="dxa"/>
            <w:vAlign w:val="bottom"/>
            <w:gridSpan w:val="2"/>
          </w:tcPr>
          <w:p>
            <w:pPr>
              <w:jc w:val="center"/>
              <w:ind w:left="1032"/>
              <w:spacing w:after="0" w:line="203" w:lineRule="exact"/>
              <w:rPr>
                <w:sz w:val="20"/>
                <w:szCs w:val="20"/>
                <w:color w:val="auto"/>
              </w:rPr>
            </w:pPr>
            <w:r>
              <w:rPr>
                <w:rFonts w:ascii="Courier New" w:cs="Courier New" w:eastAsia="Courier New" w:hAnsi="Courier New"/>
                <w:sz w:val="18"/>
                <w:szCs w:val="18"/>
                <w:color w:val="auto"/>
                <w:w w:val="97"/>
              </w:rPr>
              <w:t>Investment income:</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2"/>
        </w:trPr>
        <w:tc>
          <w:tcPr>
            <w:tcW w:w="1780" w:type="dxa"/>
            <w:vAlign w:val="bottom"/>
          </w:tcPr>
          <w:p>
            <w:pPr>
              <w:spacing w:after="0"/>
              <w:rPr>
                <w:sz w:val="17"/>
                <w:szCs w:val="17"/>
                <w:color w:val="auto"/>
              </w:rPr>
            </w:pPr>
          </w:p>
        </w:tc>
        <w:tc>
          <w:tcPr>
            <w:tcW w:w="3220" w:type="dxa"/>
            <w:vAlign w:val="bottom"/>
            <w:gridSpan w:val="2"/>
          </w:tcPr>
          <w:p>
            <w:pPr>
              <w:jc w:val="center"/>
              <w:ind w:left="1032"/>
              <w:spacing w:after="0" w:line="203" w:lineRule="exact"/>
              <w:rPr>
                <w:sz w:val="20"/>
                <w:szCs w:val="20"/>
                <w:color w:val="auto"/>
              </w:rPr>
            </w:pPr>
            <w:r>
              <w:rPr>
                <w:rFonts w:ascii="Courier New" w:cs="Courier New" w:eastAsia="Courier New" w:hAnsi="Courier New"/>
                <w:sz w:val="18"/>
                <w:szCs w:val="18"/>
                <w:color w:val="auto"/>
                <w:w w:val="97"/>
              </w:rPr>
              <w:t>From non-controlled,</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780" w:type="dxa"/>
            <w:vAlign w:val="bottom"/>
          </w:tcPr>
          <w:p>
            <w:pPr>
              <w:spacing w:after="0"/>
              <w:rPr>
                <w:sz w:val="17"/>
                <w:szCs w:val="17"/>
                <w:color w:val="auto"/>
              </w:rPr>
            </w:pPr>
          </w:p>
        </w:tc>
        <w:tc>
          <w:tcPr>
            <w:tcW w:w="3220" w:type="dxa"/>
            <w:vAlign w:val="bottom"/>
            <w:gridSpan w:val="2"/>
          </w:tcPr>
          <w:p>
            <w:pPr>
              <w:jc w:val="center"/>
              <w:ind w:left="1132"/>
              <w:spacing w:after="0" w:line="203" w:lineRule="exact"/>
              <w:rPr>
                <w:sz w:val="20"/>
                <w:szCs w:val="20"/>
                <w:color w:val="auto"/>
              </w:rPr>
            </w:pPr>
            <w:r>
              <w:rPr>
                <w:rFonts w:ascii="Courier New" w:cs="Courier New" w:eastAsia="Courier New" w:hAnsi="Courier New"/>
                <w:sz w:val="18"/>
                <w:szCs w:val="18"/>
                <w:color w:val="auto"/>
                <w:w w:val="97"/>
              </w:rPr>
              <w:t>non-affiliated</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780" w:type="dxa"/>
            <w:vAlign w:val="bottom"/>
          </w:tcPr>
          <w:p>
            <w:pPr>
              <w:spacing w:after="0"/>
              <w:rPr>
                <w:sz w:val="17"/>
                <w:szCs w:val="17"/>
                <w:color w:val="auto"/>
              </w:rPr>
            </w:pPr>
          </w:p>
        </w:tc>
        <w:tc>
          <w:tcPr>
            <w:tcW w:w="3220" w:type="dxa"/>
            <w:vAlign w:val="bottom"/>
            <w:gridSpan w:val="2"/>
          </w:tcPr>
          <w:p>
            <w:pPr>
              <w:jc w:val="center"/>
              <w:ind w:left="1112"/>
              <w:spacing w:after="0" w:line="203" w:lineRule="exact"/>
              <w:rPr>
                <w:sz w:val="20"/>
                <w:szCs w:val="20"/>
                <w:color w:val="auto"/>
              </w:rPr>
            </w:pPr>
            <w:r>
              <w:rPr>
                <w:rFonts w:ascii="Courier New" w:cs="Courier New" w:eastAsia="Courier New" w:hAnsi="Courier New"/>
                <w:sz w:val="18"/>
                <w:szCs w:val="18"/>
                <w:color w:val="auto"/>
                <w:w w:val="97"/>
              </w:rPr>
              <w:t>investments:</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2"/>
        </w:trPr>
        <w:tc>
          <w:tcPr>
            <w:tcW w:w="1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Interest</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9,080,471</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5,425,279</w:t>
            </w:r>
          </w:p>
        </w:tc>
        <w:tc>
          <w:tcPr>
            <w:tcW w:w="1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$ 27,016,694</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6,198,262</w:t>
            </w:r>
          </w:p>
        </w:tc>
      </w:tr>
      <w:tr>
        <w:trPr>
          <w:trHeight w:val="203"/>
        </w:trPr>
        <w:tc>
          <w:tcPr>
            <w:tcW w:w="1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Dividends</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132,154</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132,154</w:t>
            </w:r>
          </w:p>
        </w:tc>
        <w:tc>
          <w:tcPr>
            <w:tcW w:w="2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Other</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111,924</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167,806</w:t>
            </w:r>
          </w:p>
        </w:tc>
        <w:tc>
          <w:tcPr>
            <w:tcW w:w="2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80" w:type="dxa"/>
            <w:vAlign w:val="bottom"/>
          </w:tcPr>
          <w:p>
            <w:pPr>
              <w:spacing w:after="0"/>
              <w:rPr>
                <w:sz w:val="17"/>
                <w:szCs w:val="17"/>
                <w:color w:val="auto"/>
              </w:rPr>
            </w:pPr>
          </w:p>
        </w:tc>
        <w:tc>
          <w:tcPr>
            <w:tcW w:w="3220" w:type="dxa"/>
            <w:vAlign w:val="bottom"/>
            <w:gridSpan w:val="2"/>
          </w:tcPr>
          <w:p>
            <w:pPr>
              <w:jc w:val="center"/>
              <w:ind w:left="1032"/>
              <w:spacing w:after="0" w:line="203" w:lineRule="exact"/>
              <w:rPr>
                <w:sz w:val="20"/>
                <w:szCs w:val="20"/>
                <w:color w:val="auto"/>
              </w:rPr>
            </w:pPr>
            <w:r>
              <w:rPr>
                <w:rFonts w:ascii="Courier New" w:cs="Courier New" w:eastAsia="Courier New" w:hAnsi="Courier New"/>
                <w:sz w:val="18"/>
                <w:szCs w:val="18"/>
                <w:color w:val="auto"/>
                <w:w w:val="97"/>
              </w:rPr>
              <w:t>From non-controlled,</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5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6"/>
              </w:rPr>
              <w:t>affiliated</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780" w:type="dxa"/>
            <w:vAlign w:val="bottom"/>
          </w:tcPr>
          <w:p>
            <w:pPr>
              <w:spacing w:after="0"/>
              <w:rPr>
                <w:sz w:val="17"/>
                <w:szCs w:val="17"/>
                <w:color w:val="auto"/>
              </w:rPr>
            </w:pPr>
          </w:p>
        </w:tc>
        <w:tc>
          <w:tcPr>
            <w:tcW w:w="3220" w:type="dxa"/>
            <w:vAlign w:val="bottom"/>
            <w:gridSpan w:val="2"/>
          </w:tcPr>
          <w:p>
            <w:pPr>
              <w:jc w:val="center"/>
              <w:ind w:left="1112"/>
              <w:spacing w:after="0" w:line="203" w:lineRule="exact"/>
              <w:rPr>
                <w:sz w:val="20"/>
                <w:szCs w:val="20"/>
                <w:color w:val="auto"/>
              </w:rPr>
            </w:pPr>
            <w:r>
              <w:rPr>
                <w:rFonts w:ascii="Courier New" w:cs="Courier New" w:eastAsia="Courier New" w:hAnsi="Courier New"/>
                <w:sz w:val="18"/>
                <w:szCs w:val="18"/>
                <w:color w:val="auto"/>
                <w:w w:val="97"/>
              </w:rPr>
              <w:t>investments:</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Interest</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337,832</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1,063,257</w:t>
            </w:r>
          </w:p>
        </w:tc>
        <w:tc>
          <w:tcPr>
            <w:tcW w:w="2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2"/>
        </w:trPr>
        <w:tc>
          <w:tcPr>
            <w:tcW w:w="1780" w:type="dxa"/>
            <w:vAlign w:val="bottom"/>
          </w:tcPr>
          <w:p>
            <w:pPr>
              <w:spacing w:after="0"/>
              <w:rPr>
                <w:sz w:val="17"/>
                <w:szCs w:val="17"/>
                <w:color w:val="auto"/>
              </w:rPr>
            </w:pP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80" w:type="dxa"/>
            <w:vAlign w:val="bottom"/>
          </w:tcPr>
          <w:p>
            <w:pPr>
              <w:spacing w:after="0"/>
              <w:rPr>
                <w:sz w:val="17"/>
                <w:szCs w:val="17"/>
                <w:color w:val="auto"/>
              </w:rPr>
            </w:pPr>
          </w:p>
        </w:tc>
        <w:tc>
          <w:tcPr>
            <w:tcW w:w="3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Total investment</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2"/>
        </w:trPr>
        <w:tc>
          <w:tcPr>
            <w:tcW w:w="17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income</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9,662,381</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5,425,279</w:t>
            </w:r>
          </w:p>
        </w:tc>
        <w:tc>
          <w:tcPr>
            <w:tcW w:w="1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28,379,911</w:t>
            </w:r>
          </w:p>
        </w:tc>
        <w:tc>
          <w:tcPr>
            <w:tcW w:w="2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6,198,262</w:t>
            </w:r>
          </w:p>
        </w:tc>
      </w:tr>
      <w:tr>
        <w:trPr>
          <w:trHeight w:val="203"/>
        </w:trPr>
        <w:tc>
          <w:tcPr>
            <w:tcW w:w="1780" w:type="dxa"/>
            <w:vAlign w:val="bottom"/>
          </w:tcPr>
          <w:p>
            <w:pPr>
              <w:spacing w:after="0"/>
              <w:rPr>
                <w:sz w:val="17"/>
                <w:szCs w:val="17"/>
                <w:color w:val="auto"/>
              </w:rPr>
            </w:pP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9019"/>
          </w:cols>
          <w:pgMar w:left="1440" w:top="136" w:right="1440" w:bottom="0" w:gutter="0" w:footer="0" w:header="0"/>
        </w:sectPr>
      </w:pPr>
    </w:p>
    <w:bookmarkStart w:id="5" w:name="page6"/>
    <w:bookmarkEnd w:id="5"/>
    <w:p>
      <w:pPr>
        <w:spacing w:after="0" w:line="1" w:lineRule="exact"/>
        <w:rPr>
          <w:sz w:val="20"/>
          <w:szCs w:val="20"/>
          <w:color w:val="auto"/>
        </w:rPr>
      </w:pPr>
    </w:p>
    <w:tbl>
      <w:tblPr>
        <w:tblLayout w:type="fixed"/>
        <w:tblInd w:w="1760" w:type="dxa"/>
        <w:tblCellMar>
          <w:top w:w="0" w:type="dxa"/>
          <w:left w:w="0" w:type="dxa"/>
          <w:bottom w:w="0" w:type="dxa"/>
          <w:right w:w="0" w:type="dxa"/>
        </w:tblCellMar>
      </w:tblPr>
      <w:tr>
        <w:trPr>
          <w:trHeight w:val="204"/>
        </w:trPr>
        <w:tc>
          <w:tcPr>
            <w:tcW w:w="1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580" w:type="dxa"/>
            <w:vAlign w:val="bottom"/>
            <w:gridSpan w:val="2"/>
          </w:tcPr>
          <w:p>
            <w:pPr>
              <w:jc w:val="center"/>
              <w:ind w:right="512"/>
              <w:spacing w:after="0"/>
              <w:rPr>
                <w:sz w:val="20"/>
                <w:szCs w:val="20"/>
                <w:color w:val="auto"/>
              </w:rPr>
            </w:pPr>
            <w:r>
              <w:rPr>
                <w:rFonts w:ascii="Courier New" w:cs="Courier New" w:eastAsia="Courier New" w:hAnsi="Courier New"/>
                <w:sz w:val="18"/>
                <w:szCs w:val="18"/>
                <w:color w:val="auto"/>
                <w:w w:val="96"/>
              </w:rPr>
              <w:t>Expenses:</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1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Base management fee</w:t>
            </w:r>
          </w:p>
        </w:tc>
        <w:tc>
          <w:tcPr>
            <w:tcW w:w="11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1,829,909</w:t>
            </w:r>
          </w:p>
        </w:tc>
        <w:tc>
          <w:tcPr>
            <w:tcW w:w="220" w:type="dxa"/>
            <w:vAlign w:val="bottom"/>
          </w:tcPr>
          <w:p>
            <w:pPr>
              <w:spacing w:after="0"/>
              <w:rPr>
                <w:sz w:val="17"/>
                <w:szCs w:val="17"/>
                <w:color w:val="auto"/>
              </w:rPr>
            </w:pPr>
          </w:p>
        </w:tc>
        <w:tc>
          <w:tcPr>
            <w:tcW w:w="13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1,048,503</w:t>
            </w:r>
          </w:p>
        </w:tc>
        <w:tc>
          <w:tcPr>
            <w:tcW w:w="120" w:type="dxa"/>
            <w:vAlign w:val="bottom"/>
          </w:tcPr>
          <w:p>
            <w:pPr>
              <w:spacing w:after="0"/>
              <w:rPr>
                <w:sz w:val="17"/>
                <w:szCs w:val="17"/>
                <w:color w:val="auto"/>
              </w:rPr>
            </w:pPr>
          </w:p>
        </w:tc>
        <w:tc>
          <w:tcPr>
            <w:tcW w:w="13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5,195,750</w:t>
            </w:r>
          </w:p>
        </w:tc>
        <w:tc>
          <w:tcPr>
            <w:tcW w:w="1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1,048,503</w:t>
            </w:r>
          </w:p>
        </w:tc>
      </w:tr>
      <w:tr>
        <w:trPr>
          <w:trHeight w:val="203"/>
        </w:trPr>
        <w:tc>
          <w:tcPr>
            <w:tcW w:w="1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6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Performance-based</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incentive fee</w:t>
            </w:r>
          </w:p>
        </w:tc>
        <w:tc>
          <w:tcPr>
            <w:tcW w:w="28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985,287</w:t>
            </w:r>
          </w:p>
        </w:tc>
        <w:tc>
          <w:tcPr>
            <w:tcW w:w="220" w:type="dxa"/>
            <w:vAlign w:val="bottom"/>
          </w:tcPr>
          <w:p>
            <w:pPr>
              <w:spacing w:after="0"/>
              <w:rPr>
                <w:sz w:val="17"/>
                <w:szCs w:val="17"/>
                <w:color w:val="auto"/>
              </w:rPr>
            </w:pPr>
          </w:p>
        </w:tc>
        <w:tc>
          <w:tcPr>
            <w:tcW w:w="13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c>
          <w:tcPr>
            <w:tcW w:w="13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2,433,394</w:t>
            </w:r>
          </w:p>
        </w:tc>
        <w:tc>
          <w:tcPr>
            <w:tcW w:w="1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60" w:type="dxa"/>
            <w:vAlign w:val="bottom"/>
            <w:gridSpan w:val="3"/>
          </w:tcPr>
          <w:p>
            <w:pPr>
              <w:jc w:val="center"/>
              <w:ind w:left="692"/>
              <w:spacing w:after="0" w:line="203" w:lineRule="exact"/>
              <w:rPr>
                <w:sz w:val="20"/>
                <w:szCs w:val="20"/>
                <w:color w:val="auto"/>
              </w:rPr>
            </w:pPr>
            <w:r>
              <w:rPr>
                <w:rFonts w:ascii="Courier New" w:cs="Courier New" w:eastAsia="Courier New" w:hAnsi="Courier New"/>
                <w:sz w:val="18"/>
                <w:szCs w:val="18"/>
                <w:color w:val="auto"/>
                <w:w w:val="97"/>
              </w:rPr>
              <w:t>Interest and other</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60" w:type="dxa"/>
            <w:vAlign w:val="bottom"/>
            <w:gridSpan w:val="3"/>
          </w:tcPr>
          <w:p>
            <w:pPr>
              <w:jc w:val="center"/>
              <w:ind w:left="812"/>
              <w:spacing w:after="0" w:line="203" w:lineRule="exact"/>
              <w:rPr>
                <w:sz w:val="20"/>
                <w:szCs w:val="20"/>
                <w:color w:val="auto"/>
              </w:rPr>
            </w:pPr>
            <w:r>
              <w:rPr>
                <w:rFonts w:ascii="Courier New" w:cs="Courier New" w:eastAsia="Courier New" w:hAnsi="Courier New"/>
                <w:sz w:val="18"/>
                <w:szCs w:val="18"/>
                <w:color w:val="auto"/>
                <w:w w:val="97"/>
              </w:rPr>
              <w:t>credit facility</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expenses</w:t>
            </w:r>
          </w:p>
        </w:tc>
        <w:tc>
          <w:tcPr>
            <w:tcW w:w="28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1,656,140</w:t>
            </w:r>
          </w:p>
        </w:tc>
        <w:tc>
          <w:tcPr>
            <w:tcW w:w="220" w:type="dxa"/>
            <w:vAlign w:val="bottom"/>
          </w:tcPr>
          <w:p>
            <w:pPr>
              <w:spacing w:after="0"/>
              <w:rPr>
                <w:sz w:val="17"/>
                <w:szCs w:val="17"/>
                <w:color w:val="auto"/>
              </w:rPr>
            </w:pPr>
          </w:p>
        </w:tc>
        <w:tc>
          <w:tcPr>
            <w:tcW w:w="13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862,433</w:t>
            </w:r>
          </w:p>
        </w:tc>
        <w:tc>
          <w:tcPr>
            <w:tcW w:w="120" w:type="dxa"/>
            <w:vAlign w:val="bottom"/>
          </w:tcPr>
          <w:p>
            <w:pPr>
              <w:spacing w:after="0"/>
              <w:rPr>
                <w:sz w:val="17"/>
                <w:szCs w:val="17"/>
                <w:color w:val="auto"/>
              </w:rPr>
            </w:pPr>
          </w:p>
        </w:tc>
        <w:tc>
          <w:tcPr>
            <w:tcW w:w="13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4,422,543</w:t>
            </w:r>
          </w:p>
        </w:tc>
        <w:tc>
          <w:tcPr>
            <w:tcW w:w="1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1,603,408</w:t>
            </w:r>
          </w:p>
        </w:tc>
      </w:tr>
      <w:tr>
        <w:trPr>
          <w:trHeight w:val="203"/>
        </w:trPr>
        <w:tc>
          <w:tcPr>
            <w:tcW w:w="1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60" w:type="dxa"/>
            <w:vAlign w:val="bottom"/>
            <w:gridSpan w:val="3"/>
          </w:tcPr>
          <w:p>
            <w:pPr>
              <w:jc w:val="center"/>
              <w:ind w:left="692"/>
              <w:spacing w:after="0" w:line="203" w:lineRule="exact"/>
              <w:rPr>
                <w:sz w:val="20"/>
                <w:szCs w:val="20"/>
                <w:color w:val="auto"/>
              </w:rPr>
            </w:pPr>
            <w:r>
              <w:rPr>
                <w:rFonts w:ascii="Courier New" w:cs="Courier New" w:eastAsia="Courier New" w:hAnsi="Courier New"/>
                <w:sz w:val="18"/>
                <w:szCs w:val="18"/>
                <w:color w:val="auto"/>
                <w:w w:val="96"/>
              </w:rPr>
              <w:t>Administrative</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2"/>
        </w:trPr>
        <w:tc>
          <w:tcPr>
            <w:tcW w:w="21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services expenses</w:t>
            </w:r>
          </w:p>
        </w:tc>
        <w:tc>
          <w:tcPr>
            <w:tcW w:w="11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591,726</w:t>
            </w:r>
          </w:p>
        </w:tc>
        <w:tc>
          <w:tcPr>
            <w:tcW w:w="220" w:type="dxa"/>
            <w:vAlign w:val="bottom"/>
          </w:tcPr>
          <w:p>
            <w:pPr>
              <w:spacing w:after="0"/>
              <w:rPr>
                <w:sz w:val="17"/>
                <w:szCs w:val="17"/>
                <w:color w:val="auto"/>
              </w:rPr>
            </w:pPr>
          </w:p>
        </w:tc>
        <w:tc>
          <w:tcPr>
            <w:tcW w:w="13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192,584</w:t>
            </w:r>
          </w:p>
        </w:tc>
        <w:tc>
          <w:tcPr>
            <w:tcW w:w="120" w:type="dxa"/>
            <w:vAlign w:val="bottom"/>
          </w:tcPr>
          <w:p>
            <w:pPr>
              <w:spacing w:after="0"/>
              <w:rPr>
                <w:sz w:val="17"/>
                <w:szCs w:val="17"/>
                <w:color w:val="auto"/>
              </w:rPr>
            </w:pPr>
          </w:p>
        </w:tc>
        <w:tc>
          <w:tcPr>
            <w:tcW w:w="13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1,804,047</w:t>
            </w:r>
          </w:p>
        </w:tc>
        <w:tc>
          <w:tcPr>
            <w:tcW w:w="1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192,584</w:t>
            </w:r>
          </w:p>
        </w:tc>
      </w:tr>
      <w:tr>
        <w:trPr>
          <w:trHeight w:val="203"/>
        </w:trPr>
        <w:tc>
          <w:tcPr>
            <w:tcW w:w="1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60" w:type="dxa"/>
            <w:vAlign w:val="bottom"/>
            <w:gridSpan w:val="3"/>
          </w:tcPr>
          <w:p>
            <w:pPr>
              <w:jc w:val="center"/>
              <w:ind w:left="692"/>
              <w:spacing w:after="0" w:line="203" w:lineRule="exact"/>
              <w:rPr>
                <w:sz w:val="20"/>
                <w:szCs w:val="20"/>
                <w:color w:val="auto"/>
              </w:rPr>
            </w:pPr>
            <w:r>
              <w:rPr>
                <w:rFonts w:ascii="Courier New" w:cs="Courier New" w:eastAsia="Courier New" w:hAnsi="Courier New"/>
                <w:sz w:val="18"/>
                <w:szCs w:val="18"/>
                <w:color w:val="auto"/>
                <w:w w:val="96"/>
              </w:rPr>
              <w:t>Other general and</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60" w:type="dxa"/>
            <w:vAlign w:val="bottom"/>
            <w:gridSpan w:val="3"/>
          </w:tcPr>
          <w:p>
            <w:pPr>
              <w:jc w:val="center"/>
              <w:ind w:left="792"/>
              <w:spacing w:after="0" w:line="203" w:lineRule="exact"/>
              <w:rPr>
                <w:sz w:val="20"/>
                <w:szCs w:val="20"/>
                <w:color w:val="auto"/>
              </w:rPr>
            </w:pPr>
            <w:r>
              <w:rPr>
                <w:rFonts w:ascii="Courier New" w:cs="Courier New" w:eastAsia="Courier New" w:hAnsi="Courier New"/>
                <w:sz w:val="18"/>
                <w:szCs w:val="18"/>
                <w:color w:val="auto"/>
                <w:w w:val="97"/>
              </w:rPr>
              <w:t>administrative</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expenses</w:t>
            </w:r>
          </w:p>
        </w:tc>
        <w:tc>
          <w:tcPr>
            <w:tcW w:w="28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658,178</w:t>
            </w:r>
          </w:p>
        </w:tc>
        <w:tc>
          <w:tcPr>
            <w:tcW w:w="220" w:type="dxa"/>
            <w:vAlign w:val="bottom"/>
          </w:tcPr>
          <w:p>
            <w:pPr>
              <w:spacing w:after="0"/>
              <w:rPr>
                <w:sz w:val="17"/>
                <w:szCs w:val="17"/>
                <w:color w:val="auto"/>
              </w:rPr>
            </w:pPr>
          </w:p>
        </w:tc>
        <w:tc>
          <w:tcPr>
            <w:tcW w:w="13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276,166</w:t>
            </w:r>
          </w:p>
        </w:tc>
        <w:tc>
          <w:tcPr>
            <w:tcW w:w="120" w:type="dxa"/>
            <w:vAlign w:val="bottom"/>
          </w:tcPr>
          <w:p>
            <w:pPr>
              <w:spacing w:after="0"/>
              <w:rPr>
                <w:sz w:val="17"/>
                <w:szCs w:val="17"/>
                <w:color w:val="auto"/>
              </w:rPr>
            </w:pPr>
          </w:p>
        </w:tc>
        <w:tc>
          <w:tcPr>
            <w:tcW w:w="13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1,823,014</w:t>
            </w:r>
          </w:p>
        </w:tc>
        <w:tc>
          <w:tcPr>
            <w:tcW w:w="1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559,394</w:t>
            </w:r>
          </w:p>
        </w:tc>
      </w:tr>
      <w:tr>
        <w:trPr>
          <w:trHeight w:val="203"/>
        </w:trPr>
        <w:tc>
          <w:tcPr>
            <w:tcW w:w="1900" w:type="dxa"/>
            <w:vAlign w:val="bottom"/>
          </w:tcPr>
          <w:p>
            <w:pPr>
              <w:spacing w:after="0"/>
              <w:rPr>
                <w:sz w:val="17"/>
                <w:szCs w:val="17"/>
                <w:color w:val="auto"/>
              </w:rPr>
            </w:pPr>
          </w:p>
        </w:tc>
        <w:tc>
          <w:tcPr>
            <w:tcW w:w="14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60" w:type="dxa"/>
            <w:vAlign w:val="bottom"/>
            <w:gridSpan w:val="3"/>
          </w:tcPr>
          <w:p>
            <w:pPr>
              <w:jc w:val="center"/>
              <w:ind w:left="692"/>
              <w:spacing w:after="0" w:line="203" w:lineRule="exact"/>
              <w:rPr>
                <w:sz w:val="20"/>
                <w:szCs w:val="20"/>
                <w:color w:val="auto"/>
              </w:rPr>
            </w:pPr>
            <w:r>
              <w:rPr>
                <w:rFonts w:ascii="Courier New" w:cs="Courier New" w:eastAsia="Courier New" w:hAnsi="Courier New"/>
                <w:sz w:val="18"/>
                <w:szCs w:val="18"/>
                <w:color w:val="auto"/>
                <w:w w:val="97"/>
              </w:rPr>
              <w:t>Expenses before</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60" w:type="dxa"/>
            <w:vAlign w:val="bottom"/>
            <w:gridSpan w:val="3"/>
          </w:tcPr>
          <w:p>
            <w:pPr>
              <w:jc w:val="center"/>
              <w:ind w:left="812"/>
              <w:spacing w:after="0" w:line="203" w:lineRule="exact"/>
              <w:rPr>
                <w:sz w:val="20"/>
                <w:szCs w:val="20"/>
                <w:color w:val="auto"/>
              </w:rPr>
            </w:pPr>
            <w:r>
              <w:rPr>
                <w:rFonts w:ascii="Courier New" w:cs="Courier New" w:eastAsia="Courier New" w:hAnsi="Courier New"/>
                <w:sz w:val="18"/>
                <w:szCs w:val="18"/>
                <w:color w:val="auto"/>
                <w:w w:val="97"/>
              </w:rPr>
              <w:t>base management</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fee waiver</w:t>
            </w:r>
          </w:p>
        </w:tc>
        <w:tc>
          <w:tcPr>
            <w:tcW w:w="28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5,721,240</w:t>
            </w:r>
          </w:p>
        </w:tc>
        <w:tc>
          <w:tcPr>
            <w:tcW w:w="220" w:type="dxa"/>
            <w:vAlign w:val="bottom"/>
          </w:tcPr>
          <w:p>
            <w:pPr>
              <w:spacing w:after="0"/>
              <w:rPr>
                <w:sz w:val="17"/>
                <w:szCs w:val="17"/>
                <w:color w:val="auto"/>
              </w:rPr>
            </w:pPr>
          </w:p>
        </w:tc>
        <w:tc>
          <w:tcPr>
            <w:tcW w:w="13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2,379,686</w:t>
            </w:r>
          </w:p>
        </w:tc>
        <w:tc>
          <w:tcPr>
            <w:tcW w:w="120" w:type="dxa"/>
            <w:vAlign w:val="bottom"/>
          </w:tcPr>
          <w:p>
            <w:pPr>
              <w:spacing w:after="0"/>
              <w:rPr>
                <w:sz w:val="17"/>
                <w:szCs w:val="17"/>
                <w:color w:val="auto"/>
              </w:rPr>
            </w:pPr>
          </w:p>
        </w:tc>
        <w:tc>
          <w:tcPr>
            <w:tcW w:w="13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15,678,748</w:t>
            </w:r>
          </w:p>
        </w:tc>
        <w:tc>
          <w:tcPr>
            <w:tcW w:w="1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3,403,889</w:t>
            </w:r>
          </w:p>
        </w:tc>
      </w:tr>
      <w:tr>
        <w:trPr>
          <w:trHeight w:val="203"/>
        </w:trPr>
        <w:tc>
          <w:tcPr>
            <w:tcW w:w="1900" w:type="dxa"/>
            <w:vAlign w:val="bottom"/>
          </w:tcPr>
          <w:p>
            <w:pPr>
              <w:spacing w:after="0"/>
              <w:rPr>
                <w:sz w:val="17"/>
                <w:szCs w:val="17"/>
                <w:color w:val="auto"/>
              </w:rPr>
            </w:pPr>
          </w:p>
        </w:tc>
        <w:tc>
          <w:tcPr>
            <w:tcW w:w="14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60" w:type="dxa"/>
            <w:vAlign w:val="bottom"/>
            <w:gridSpan w:val="3"/>
          </w:tcPr>
          <w:p>
            <w:pPr>
              <w:jc w:val="center"/>
              <w:ind w:left="672"/>
              <w:spacing w:after="0"/>
              <w:rPr>
                <w:sz w:val="20"/>
                <w:szCs w:val="20"/>
                <w:color w:val="auto"/>
              </w:rPr>
            </w:pPr>
            <w:r>
              <w:rPr>
                <w:rFonts w:ascii="Courier New" w:cs="Courier New" w:eastAsia="Courier New" w:hAnsi="Courier New"/>
                <w:sz w:val="18"/>
                <w:szCs w:val="18"/>
                <w:color w:val="auto"/>
                <w:w w:val="97"/>
              </w:rPr>
              <w:t>Base management fee</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1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waiver</w:t>
            </w:r>
          </w:p>
        </w:tc>
        <w:tc>
          <w:tcPr>
            <w:tcW w:w="280" w:type="dxa"/>
            <w:vAlign w:val="bottom"/>
          </w:tcPr>
          <w:p>
            <w:pPr>
              <w:spacing w:after="0"/>
              <w:rPr>
                <w:sz w:val="17"/>
                <w:szCs w:val="17"/>
                <w:color w:val="auto"/>
              </w:rPr>
            </w:pPr>
          </w:p>
        </w:tc>
        <w:tc>
          <w:tcPr>
            <w:tcW w:w="11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(262,126)</w:t>
            </w:r>
          </w:p>
        </w:tc>
        <w:tc>
          <w:tcPr>
            <w:tcW w:w="12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(420,731)</w:t>
            </w:r>
          </w:p>
        </w:tc>
        <w:tc>
          <w:tcPr>
            <w:tcW w:w="1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(262,126)</w:t>
            </w:r>
          </w:p>
        </w:tc>
      </w:tr>
      <w:tr>
        <w:trPr>
          <w:trHeight w:val="203"/>
        </w:trPr>
        <w:tc>
          <w:tcPr>
            <w:tcW w:w="21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Income tax expense</w:t>
            </w:r>
          </w:p>
        </w:tc>
        <w:tc>
          <w:tcPr>
            <w:tcW w:w="11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3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100,000</w:t>
            </w:r>
          </w:p>
        </w:tc>
        <w:tc>
          <w:tcPr>
            <w:tcW w:w="120" w:type="dxa"/>
            <w:vAlign w:val="bottom"/>
          </w:tcPr>
          <w:p>
            <w:pPr>
              <w:spacing w:after="0"/>
              <w:rPr>
                <w:sz w:val="17"/>
                <w:szCs w:val="17"/>
                <w:color w:val="auto"/>
              </w:rPr>
            </w:pPr>
          </w:p>
        </w:tc>
        <w:tc>
          <w:tcPr>
            <w:tcW w:w="13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100,000</w:t>
            </w:r>
          </w:p>
        </w:tc>
      </w:tr>
      <w:tr>
        <w:trPr>
          <w:trHeight w:val="203"/>
        </w:trPr>
        <w:tc>
          <w:tcPr>
            <w:tcW w:w="1900" w:type="dxa"/>
            <w:vAlign w:val="bottom"/>
          </w:tcPr>
          <w:p>
            <w:pPr>
              <w:spacing w:after="0"/>
              <w:rPr>
                <w:sz w:val="17"/>
                <w:szCs w:val="17"/>
                <w:color w:val="auto"/>
              </w:rPr>
            </w:pPr>
          </w:p>
        </w:tc>
        <w:tc>
          <w:tcPr>
            <w:tcW w:w="14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Net expenses</w:t>
            </w:r>
          </w:p>
        </w:tc>
        <w:tc>
          <w:tcPr>
            <w:tcW w:w="28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5,721,240</w:t>
            </w:r>
          </w:p>
        </w:tc>
        <w:tc>
          <w:tcPr>
            <w:tcW w:w="220" w:type="dxa"/>
            <w:vAlign w:val="bottom"/>
          </w:tcPr>
          <w:p>
            <w:pPr>
              <w:spacing w:after="0"/>
              <w:rPr>
                <w:sz w:val="17"/>
                <w:szCs w:val="17"/>
                <w:color w:val="auto"/>
              </w:rPr>
            </w:pPr>
          </w:p>
        </w:tc>
        <w:tc>
          <w:tcPr>
            <w:tcW w:w="13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2,217,560</w:t>
            </w:r>
          </w:p>
        </w:tc>
        <w:tc>
          <w:tcPr>
            <w:tcW w:w="120" w:type="dxa"/>
            <w:vAlign w:val="bottom"/>
          </w:tcPr>
          <w:p>
            <w:pPr>
              <w:spacing w:after="0"/>
              <w:rPr>
                <w:sz w:val="17"/>
                <w:szCs w:val="17"/>
                <w:color w:val="auto"/>
              </w:rPr>
            </w:pPr>
          </w:p>
        </w:tc>
        <w:tc>
          <w:tcPr>
            <w:tcW w:w="13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15,258,017</w:t>
            </w:r>
          </w:p>
        </w:tc>
        <w:tc>
          <w:tcPr>
            <w:tcW w:w="1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3,241,763</w:t>
            </w:r>
          </w:p>
        </w:tc>
      </w:tr>
      <w:tr>
        <w:trPr>
          <w:trHeight w:val="203"/>
        </w:trPr>
        <w:tc>
          <w:tcPr>
            <w:tcW w:w="1900" w:type="dxa"/>
            <w:vAlign w:val="bottom"/>
          </w:tcPr>
          <w:p>
            <w:pPr>
              <w:spacing w:after="0"/>
              <w:rPr>
                <w:sz w:val="17"/>
                <w:szCs w:val="17"/>
                <w:color w:val="auto"/>
              </w:rPr>
            </w:pPr>
          </w:p>
        </w:tc>
        <w:tc>
          <w:tcPr>
            <w:tcW w:w="14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60" w:type="dxa"/>
            <w:vAlign w:val="bottom"/>
            <w:gridSpan w:val="3"/>
          </w:tcPr>
          <w:p>
            <w:pPr>
              <w:jc w:val="center"/>
              <w:ind w:left="692"/>
              <w:spacing w:after="0" w:line="203" w:lineRule="exact"/>
              <w:rPr>
                <w:sz w:val="20"/>
                <w:szCs w:val="20"/>
                <w:color w:val="auto"/>
              </w:rPr>
            </w:pPr>
            <w:r>
              <w:rPr>
                <w:rFonts w:ascii="Courier New" w:cs="Courier New" w:eastAsia="Courier New" w:hAnsi="Courier New"/>
                <w:sz w:val="18"/>
                <w:szCs w:val="18"/>
                <w:color w:val="auto"/>
                <w:w w:val="96"/>
              </w:rPr>
              <w:t>Net investment</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income</w:t>
            </w:r>
          </w:p>
        </w:tc>
        <w:tc>
          <w:tcPr>
            <w:tcW w:w="28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3,941,141</w:t>
            </w:r>
          </w:p>
        </w:tc>
        <w:tc>
          <w:tcPr>
            <w:tcW w:w="220" w:type="dxa"/>
            <w:vAlign w:val="bottom"/>
          </w:tcPr>
          <w:p>
            <w:pPr>
              <w:spacing w:after="0"/>
              <w:rPr>
                <w:sz w:val="17"/>
                <w:szCs w:val="17"/>
                <w:color w:val="auto"/>
              </w:rPr>
            </w:pPr>
          </w:p>
        </w:tc>
        <w:tc>
          <w:tcPr>
            <w:tcW w:w="13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3,207,719</w:t>
            </w:r>
          </w:p>
        </w:tc>
        <w:tc>
          <w:tcPr>
            <w:tcW w:w="120" w:type="dxa"/>
            <w:vAlign w:val="bottom"/>
          </w:tcPr>
          <w:p>
            <w:pPr>
              <w:spacing w:after="0"/>
              <w:rPr>
                <w:sz w:val="17"/>
                <w:szCs w:val="17"/>
                <w:color w:val="auto"/>
              </w:rPr>
            </w:pPr>
          </w:p>
        </w:tc>
        <w:tc>
          <w:tcPr>
            <w:tcW w:w="13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13,121,894</w:t>
            </w:r>
          </w:p>
        </w:tc>
        <w:tc>
          <w:tcPr>
            <w:tcW w:w="1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2,956,499</w:t>
            </w:r>
          </w:p>
        </w:tc>
      </w:tr>
      <w:tr>
        <w:trPr>
          <w:trHeight w:val="203"/>
        </w:trPr>
        <w:tc>
          <w:tcPr>
            <w:tcW w:w="1900" w:type="dxa"/>
            <w:vAlign w:val="bottom"/>
          </w:tcPr>
          <w:p>
            <w:pPr>
              <w:spacing w:after="0"/>
              <w:rPr>
                <w:sz w:val="17"/>
                <w:szCs w:val="17"/>
                <w:color w:val="auto"/>
              </w:rPr>
            </w:pPr>
          </w:p>
        </w:tc>
        <w:tc>
          <w:tcPr>
            <w:tcW w:w="14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80" w:type="dxa"/>
            <w:vAlign w:val="bottom"/>
            <w:gridSpan w:val="4"/>
          </w:tcPr>
          <w:p>
            <w:pPr>
              <w:jc w:val="center"/>
              <w:ind w:left="372"/>
              <w:spacing w:after="0"/>
              <w:rPr>
                <w:sz w:val="20"/>
                <w:szCs w:val="20"/>
                <w:color w:val="auto"/>
              </w:rPr>
            </w:pPr>
            <w:r>
              <w:rPr>
                <w:rFonts w:ascii="Courier New" w:cs="Courier New" w:eastAsia="Courier New" w:hAnsi="Courier New"/>
                <w:sz w:val="18"/>
                <w:szCs w:val="18"/>
                <w:color w:val="auto"/>
                <w:w w:val="97"/>
              </w:rPr>
              <w:t>Realized and unrealized</w:t>
            </w: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1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60" w:type="dxa"/>
            <w:vAlign w:val="bottom"/>
            <w:gridSpan w:val="3"/>
          </w:tcPr>
          <w:p>
            <w:pPr>
              <w:jc w:val="center"/>
              <w:ind w:left="592"/>
              <w:spacing w:after="0" w:line="203" w:lineRule="exact"/>
              <w:rPr>
                <w:sz w:val="20"/>
                <w:szCs w:val="20"/>
                <w:color w:val="auto"/>
              </w:rPr>
            </w:pPr>
            <w:r>
              <w:rPr>
                <w:rFonts w:ascii="Courier New" w:cs="Courier New" w:eastAsia="Courier New" w:hAnsi="Courier New"/>
                <w:sz w:val="18"/>
                <w:szCs w:val="18"/>
                <w:color w:val="auto"/>
                <w:w w:val="97"/>
              </w:rPr>
              <w:t>gain (loss) on</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60" w:type="dxa"/>
            <w:vAlign w:val="bottom"/>
            <w:gridSpan w:val="3"/>
          </w:tcPr>
          <w:p>
            <w:pPr>
              <w:jc w:val="center"/>
              <w:ind w:left="572"/>
              <w:spacing w:after="0" w:line="203" w:lineRule="exact"/>
              <w:rPr>
                <w:sz w:val="20"/>
                <w:szCs w:val="20"/>
                <w:color w:val="auto"/>
              </w:rPr>
            </w:pPr>
            <w:r>
              <w:rPr>
                <w:rFonts w:ascii="Courier New" w:cs="Courier New" w:eastAsia="Courier New" w:hAnsi="Courier New"/>
                <w:sz w:val="18"/>
                <w:szCs w:val="18"/>
                <w:color w:val="auto"/>
                <w:w w:val="97"/>
              </w:rPr>
              <w:t>investments and</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60" w:type="dxa"/>
            <w:vAlign w:val="bottom"/>
            <w:gridSpan w:val="3"/>
          </w:tcPr>
          <w:p>
            <w:pPr>
              <w:jc w:val="center"/>
              <w:ind w:left="592"/>
              <w:spacing w:after="0" w:line="203" w:lineRule="exact"/>
              <w:rPr>
                <w:sz w:val="20"/>
                <w:szCs w:val="20"/>
                <w:color w:val="auto"/>
              </w:rPr>
            </w:pPr>
            <w:r>
              <w:rPr>
                <w:rFonts w:ascii="Courier New" w:cs="Courier New" w:eastAsia="Courier New" w:hAnsi="Courier New"/>
                <w:sz w:val="18"/>
                <w:szCs w:val="18"/>
                <w:color w:val="auto"/>
                <w:w w:val="98"/>
              </w:rPr>
              <w:t>cash equivalents:</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60" w:type="dxa"/>
            <w:vAlign w:val="bottom"/>
            <w:gridSpan w:val="3"/>
          </w:tcPr>
          <w:p>
            <w:pPr>
              <w:jc w:val="center"/>
              <w:ind w:left="692"/>
              <w:spacing w:after="0" w:line="203" w:lineRule="exact"/>
              <w:rPr>
                <w:sz w:val="20"/>
                <w:szCs w:val="20"/>
                <w:color w:val="auto"/>
              </w:rPr>
            </w:pPr>
            <w:r>
              <w:rPr>
                <w:rFonts w:ascii="Courier New" w:cs="Courier New" w:eastAsia="Courier New" w:hAnsi="Courier New"/>
                <w:sz w:val="18"/>
                <w:szCs w:val="18"/>
                <w:color w:val="auto"/>
                <w:w w:val="96"/>
              </w:rPr>
              <w:t>Net realized loss</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60" w:type="dxa"/>
            <w:vAlign w:val="bottom"/>
            <w:gridSpan w:val="3"/>
          </w:tcPr>
          <w:p>
            <w:pPr>
              <w:jc w:val="center"/>
              <w:ind w:left="792"/>
              <w:spacing w:after="0" w:line="203" w:lineRule="exact"/>
              <w:rPr>
                <w:sz w:val="20"/>
                <w:szCs w:val="20"/>
                <w:color w:val="auto"/>
              </w:rPr>
            </w:pPr>
            <w:r>
              <w:rPr>
                <w:rFonts w:ascii="Courier New" w:cs="Courier New" w:eastAsia="Courier New" w:hAnsi="Courier New"/>
                <w:sz w:val="18"/>
                <w:szCs w:val="18"/>
                <w:color w:val="auto"/>
                <w:w w:val="96"/>
              </w:rPr>
              <w:t>on investments and</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equivalent</w:t>
            </w:r>
          </w:p>
        </w:tc>
        <w:tc>
          <w:tcPr>
            <w:tcW w:w="28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(401,624)</w:t>
            </w:r>
          </w:p>
        </w:tc>
        <w:tc>
          <w:tcPr>
            <w:tcW w:w="22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(34,726)</w:t>
            </w:r>
          </w:p>
        </w:tc>
        <w:tc>
          <w:tcPr>
            <w:tcW w:w="12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(620,998)</w:t>
            </w:r>
          </w:p>
        </w:tc>
        <w:tc>
          <w:tcPr>
            <w:tcW w:w="1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(15,351)</w:t>
            </w:r>
          </w:p>
        </w:tc>
      </w:tr>
      <w:tr>
        <w:trPr>
          <w:trHeight w:val="203"/>
        </w:trPr>
        <w:tc>
          <w:tcPr>
            <w:tcW w:w="1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60" w:type="dxa"/>
            <w:vAlign w:val="bottom"/>
            <w:gridSpan w:val="3"/>
          </w:tcPr>
          <w:p>
            <w:pPr>
              <w:jc w:val="center"/>
              <w:ind w:left="692"/>
              <w:spacing w:after="0" w:line="203" w:lineRule="exact"/>
              <w:rPr>
                <w:sz w:val="20"/>
                <w:szCs w:val="20"/>
                <w:color w:val="auto"/>
              </w:rPr>
            </w:pPr>
            <w:r>
              <w:rPr>
                <w:rFonts w:ascii="Courier New" w:cs="Courier New" w:eastAsia="Courier New" w:hAnsi="Courier New"/>
                <w:sz w:val="18"/>
                <w:szCs w:val="18"/>
                <w:color w:val="auto"/>
                <w:w w:val="98"/>
              </w:rPr>
              <w:t>Net change in</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580" w:type="dxa"/>
            <w:vAlign w:val="bottom"/>
            <w:gridSpan w:val="2"/>
          </w:tcPr>
          <w:p>
            <w:pPr>
              <w:jc w:val="center"/>
              <w:ind w:right="212"/>
              <w:spacing w:after="0" w:line="203" w:lineRule="exact"/>
              <w:rPr>
                <w:sz w:val="20"/>
                <w:szCs w:val="20"/>
                <w:color w:val="auto"/>
              </w:rPr>
            </w:pPr>
            <w:r>
              <w:rPr>
                <w:rFonts w:ascii="Courier New" w:cs="Courier New" w:eastAsia="Courier New" w:hAnsi="Courier New"/>
                <w:sz w:val="18"/>
                <w:szCs w:val="18"/>
                <w:color w:val="auto"/>
                <w:w w:val="96"/>
              </w:rPr>
              <w:t>unrealized</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580" w:type="dxa"/>
            <w:vAlign w:val="bottom"/>
            <w:gridSpan w:val="2"/>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appreciation</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60" w:type="dxa"/>
            <w:vAlign w:val="bottom"/>
            <w:gridSpan w:val="3"/>
          </w:tcPr>
          <w:p>
            <w:pPr>
              <w:jc w:val="center"/>
              <w:ind w:left="792"/>
              <w:spacing w:after="0" w:line="203" w:lineRule="exact"/>
              <w:rPr>
                <w:sz w:val="20"/>
                <w:szCs w:val="20"/>
                <w:color w:val="auto"/>
              </w:rPr>
            </w:pPr>
            <w:r>
              <w:rPr>
                <w:rFonts w:ascii="Courier New" w:cs="Courier New" w:eastAsia="Courier New" w:hAnsi="Courier New"/>
                <w:sz w:val="18"/>
                <w:szCs w:val="18"/>
                <w:color w:val="auto"/>
                <w:w w:val="96"/>
              </w:rPr>
              <w:t>(depreciation) on:</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6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Non-controlled,</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non-affiliated</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investments and</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36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cash equivalents 10,700,808</w:t>
            </w:r>
          </w:p>
        </w:tc>
        <w:tc>
          <w:tcPr>
            <w:tcW w:w="22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(5,117,039)</w:t>
            </w:r>
          </w:p>
        </w:tc>
        <w:tc>
          <w:tcPr>
            <w:tcW w:w="12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(41,097,670)</w:t>
            </w:r>
          </w:p>
        </w:tc>
        <w:tc>
          <w:tcPr>
            <w:tcW w:w="1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(5,118,740)</w:t>
            </w:r>
          </w:p>
        </w:tc>
      </w:tr>
      <w:tr>
        <w:trPr>
          <w:trHeight w:val="203"/>
        </w:trPr>
        <w:tc>
          <w:tcPr>
            <w:tcW w:w="1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6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Non-controlled,</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6"/>
              </w:rPr>
              <w:t>affiliated</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9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investments</w:t>
            </w:r>
          </w:p>
        </w:tc>
        <w:tc>
          <w:tcPr>
            <w:tcW w:w="28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964,139</w:t>
            </w:r>
          </w:p>
        </w:tc>
        <w:tc>
          <w:tcPr>
            <w:tcW w:w="220" w:type="dxa"/>
            <w:vAlign w:val="bottom"/>
          </w:tcPr>
          <w:p>
            <w:pPr>
              <w:spacing w:after="0"/>
              <w:rPr>
                <w:sz w:val="17"/>
                <w:szCs w:val="17"/>
                <w:color w:val="auto"/>
              </w:rPr>
            </w:pPr>
          </w:p>
        </w:tc>
        <w:tc>
          <w:tcPr>
            <w:tcW w:w="13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(1,064,091)</w:t>
            </w:r>
          </w:p>
        </w:tc>
        <w:tc>
          <w:tcPr>
            <w:tcW w:w="1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tcPr>
          <w:p>
            <w:pPr>
              <w:spacing w:after="0"/>
              <w:rPr>
                <w:sz w:val="17"/>
                <w:szCs w:val="17"/>
                <w:color w:val="auto"/>
              </w:rPr>
            </w:pPr>
          </w:p>
        </w:tc>
        <w:tc>
          <w:tcPr>
            <w:tcW w:w="14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60" w:type="dxa"/>
            <w:vAlign w:val="bottom"/>
            <w:gridSpan w:val="3"/>
          </w:tcPr>
          <w:p>
            <w:pPr>
              <w:jc w:val="center"/>
              <w:ind w:left="692"/>
              <w:spacing w:after="0" w:line="203" w:lineRule="exact"/>
              <w:rPr>
                <w:sz w:val="20"/>
                <w:szCs w:val="20"/>
                <w:color w:val="auto"/>
              </w:rPr>
            </w:pPr>
            <w:r>
              <w:rPr>
                <w:rFonts w:ascii="Courier New" w:cs="Courier New" w:eastAsia="Courier New" w:hAnsi="Courier New"/>
                <w:sz w:val="18"/>
                <w:szCs w:val="18"/>
                <w:color w:val="auto"/>
                <w:w w:val="98"/>
              </w:rPr>
              <w:t>Net change in</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2"/>
        </w:trPr>
        <w:tc>
          <w:tcPr>
            <w:tcW w:w="1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580" w:type="dxa"/>
            <w:vAlign w:val="bottom"/>
            <w:gridSpan w:val="2"/>
          </w:tcPr>
          <w:p>
            <w:pPr>
              <w:jc w:val="center"/>
              <w:ind w:right="212"/>
              <w:spacing w:after="0" w:line="203" w:lineRule="exact"/>
              <w:rPr>
                <w:sz w:val="20"/>
                <w:szCs w:val="20"/>
                <w:color w:val="auto"/>
              </w:rPr>
            </w:pPr>
            <w:r>
              <w:rPr>
                <w:rFonts w:ascii="Courier New" w:cs="Courier New" w:eastAsia="Courier New" w:hAnsi="Courier New"/>
                <w:sz w:val="18"/>
                <w:szCs w:val="18"/>
                <w:color w:val="auto"/>
                <w:w w:val="96"/>
              </w:rPr>
              <w:t>unrealized</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580" w:type="dxa"/>
            <w:vAlign w:val="bottom"/>
            <w:gridSpan w:val="2"/>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appreciation</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(depreciation)</w:t>
            </w:r>
          </w:p>
        </w:tc>
        <w:tc>
          <w:tcPr>
            <w:tcW w:w="280" w:type="dxa"/>
            <w:vAlign w:val="bottom"/>
          </w:tcPr>
          <w:p>
            <w:pPr>
              <w:spacing w:after="0"/>
              <w:rPr>
                <w:sz w:val="17"/>
                <w:szCs w:val="17"/>
                <w:color w:val="auto"/>
              </w:rPr>
            </w:pPr>
          </w:p>
        </w:tc>
        <w:tc>
          <w:tcPr>
            <w:tcW w:w="11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11,664,947</w:t>
            </w:r>
          </w:p>
        </w:tc>
        <w:tc>
          <w:tcPr>
            <w:tcW w:w="22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(5,117,039)</w:t>
            </w:r>
          </w:p>
        </w:tc>
        <w:tc>
          <w:tcPr>
            <w:tcW w:w="12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(42,161,761)</w:t>
            </w:r>
          </w:p>
        </w:tc>
        <w:tc>
          <w:tcPr>
            <w:tcW w:w="1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(5,118,740)</w:t>
            </w:r>
          </w:p>
        </w:tc>
      </w:tr>
      <w:tr>
        <w:trPr>
          <w:trHeight w:val="203"/>
        </w:trPr>
        <w:tc>
          <w:tcPr>
            <w:tcW w:w="1900" w:type="dxa"/>
            <w:vAlign w:val="bottom"/>
          </w:tcPr>
          <w:p>
            <w:pPr>
              <w:spacing w:after="0"/>
              <w:rPr>
                <w:sz w:val="17"/>
                <w:szCs w:val="17"/>
                <w:color w:val="auto"/>
              </w:rPr>
            </w:pPr>
          </w:p>
        </w:tc>
        <w:tc>
          <w:tcPr>
            <w:tcW w:w="14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60" w:type="dxa"/>
            <w:vAlign w:val="bottom"/>
            <w:gridSpan w:val="3"/>
          </w:tcPr>
          <w:p>
            <w:pPr>
              <w:jc w:val="center"/>
              <w:ind w:left="472"/>
              <w:spacing w:after="0" w:line="203" w:lineRule="exact"/>
              <w:rPr>
                <w:sz w:val="20"/>
                <w:szCs w:val="20"/>
                <w:color w:val="auto"/>
              </w:rPr>
            </w:pPr>
            <w:r>
              <w:rPr>
                <w:rFonts w:ascii="Courier New" w:cs="Courier New" w:eastAsia="Courier New" w:hAnsi="Courier New"/>
                <w:sz w:val="18"/>
                <w:szCs w:val="18"/>
                <w:color w:val="auto"/>
                <w:w w:val="97"/>
              </w:rPr>
              <w:t>Net realized and</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60" w:type="dxa"/>
            <w:vAlign w:val="bottom"/>
            <w:gridSpan w:val="3"/>
          </w:tcPr>
          <w:p>
            <w:pPr>
              <w:jc w:val="center"/>
              <w:ind w:left="572"/>
              <w:spacing w:after="0" w:line="203" w:lineRule="exact"/>
              <w:rPr>
                <w:sz w:val="20"/>
                <w:szCs w:val="20"/>
                <w:color w:val="auto"/>
              </w:rPr>
            </w:pPr>
            <w:r>
              <w:rPr>
                <w:rFonts w:ascii="Courier New" w:cs="Courier New" w:eastAsia="Courier New" w:hAnsi="Courier New"/>
                <w:sz w:val="18"/>
                <w:szCs w:val="18"/>
                <w:color w:val="auto"/>
                <w:w w:val="97"/>
              </w:rPr>
              <w:t>unrealized gain</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60" w:type="dxa"/>
            <w:vAlign w:val="bottom"/>
            <w:gridSpan w:val="3"/>
          </w:tcPr>
          <w:p>
            <w:pPr>
              <w:jc w:val="center"/>
              <w:ind w:left="592"/>
              <w:spacing w:after="0" w:line="203" w:lineRule="exact"/>
              <w:rPr>
                <w:sz w:val="20"/>
                <w:szCs w:val="20"/>
                <w:color w:val="auto"/>
              </w:rPr>
            </w:pPr>
            <w:r>
              <w:rPr>
                <w:rFonts w:ascii="Courier New" w:cs="Courier New" w:eastAsia="Courier New" w:hAnsi="Courier New"/>
                <w:sz w:val="18"/>
                <w:szCs w:val="18"/>
                <w:color w:val="auto"/>
                <w:w w:val="97"/>
              </w:rPr>
              <w:t>(loss) from</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60" w:type="dxa"/>
            <w:vAlign w:val="bottom"/>
            <w:gridSpan w:val="3"/>
          </w:tcPr>
          <w:p>
            <w:pPr>
              <w:jc w:val="center"/>
              <w:ind w:left="572"/>
              <w:spacing w:after="0" w:line="203" w:lineRule="exact"/>
              <w:rPr>
                <w:sz w:val="20"/>
                <w:szCs w:val="20"/>
                <w:color w:val="auto"/>
              </w:rPr>
            </w:pPr>
            <w:r>
              <w:rPr>
                <w:rFonts w:ascii="Courier New" w:cs="Courier New" w:eastAsia="Courier New" w:hAnsi="Courier New"/>
                <w:sz w:val="18"/>
                <w:szCs w:val="18"/>
                <w:color w:val="auto"/>
                <w:w w:val="97"/>
              </w:rPr>
              <w:t>investments and</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equivalents</w:t>
            </w:r>
          </w:p>
        </w:tc>
        <w:tc>
          <w:tcPr>
            <w:tcW w:w="280" w:type="dxa"/>
            <w:vAlign w:val="bottom"/>
          </w:tcPr>
          <w:p>
            <w:pPr>
              <w:spacing w:after="0"/>
              <w:rPr>
                <w:sz w:val="17"/>
                <w:szCs w:val="17"/>
                <w:color w:val="auto"/>
              </w:rPr>
            </w:pPr>
          </w:p>
        </w:tc>
        <w:tc>
          <w:tcPr>
            <w:tcW w:w="11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11,263,323</w:t>
            </w:r>
          </w:p>
        </w:tc>
        <w:tc>
          <w:tcPr>
            <w:tcW w:w="22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(5,151,765)</w:t>
            </w:r>
          </w:p>
        </w:tc>
        <w:tc>
          <w:tcPr>
            <w:tcW w:w="12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(42,782,759)</w:t>
            </w:r>
          </w:p>
        </w:tc>
        <w:tc>
          <w:tcPr>
            <w:tcW w:w="1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(5,134,091)</w:t>
            </w:r>
          </w:p>
        </w:tc>
      </w:tr>
      <w:tr>
        <w:trPr>
          <w:trHeight w:val="203"/>
        </w:trPr>
        <w:tc>
          <w:tcPr>
            <w:tcW w:w="1900" w:type="dxa"/>
            <w:vAlign w:val="bottom"/>
          </w:tcPr>
          <w:p>
            <w:pPr>
              <w:spacing w:after="0"/>
              <w:rPr>
                <w:sz w:val="17"/>
                <w:szCs w:val="17"/>
                <w:color w:val="auto"/>
              </w:rPr>
            </w:pPr>
          </w:p>
        </w:tc>
        <w:tc>
          <w:tcPr>
            <w:tcW w:w="14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60" w:type="dxa"/>
            <w:vAlign w:val="bottom"/>
            <w:gridSpan w:val="3"/>
          </w:tcPr>
          <w:p>
            <w:pPr>
              <w:jc w:val="center"/>
              <w:ind w:left="492"/>
              <w:spacing w:after="0" w:line="203" w:lineRule="exact"/>
              <w:rPr>
                <w:sz w:val="20"/>
                <w:szCs w:val="20"/>
                <w:color w:val="auto"/>
              </w:rPr>
            </w:pPr>
            <w:r>
              <w:rPr>
                <w:rFonts w:ascii="Courier New" w:cs="Courier New" w:eastAsia="Courier New" w:hAnsi="Courier New"/>
                <w:sz w:val="18"/>
                <w:szCs w:val="18"/>
                <w:color w:val="auto"/>
                <w:w w:val="97"/>
              </w:rPr>
              <w:t>Net increase</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60" w:type="dxa"/>
            <w:vAlign w:val="bottom"/>
            <w:gridSpan w:val="3"/>
          </w:tcPr>
          <w:p>
            <w:pPr>
              <w:jc w:val="center"/>
              <w:ind w:left="592"/>
              <w:spacing w:after="0" w:line="203" w:lineRule="exact"/>
              <w:rPr>
                <w:sz w:val="20"/>
                <w:szCs w:val="20"/>
                <w:color w:val="auto"/>
              </w:rPr>
            </w:pPr>
            <w:r>
              <w:rPr>
                <w:rFonts w:ascii="Courier New" w:cs="Courier New" w:eastAsia="Courier New" w:hAnsi="Courier New"/>
                <w:sz w:val="18"/>
                <w:szCs w:val="18"/>
                <w:color w:val="auto"/>
                <w:w w:val="98"/>
              </w:rPr>
              <w:t>(decrease) in net</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60" w:type="dxa"/>
            <w:vAlign w:val="bottom"/>
            <w:gridSpan w:val="3"/>
          </w:tcPr>
          <w:p>
            <w:pPr>
              <w:jc w:val="center"/>
              <w:ind w:left="592"/>
              <w:spacing w:after="0" w:line="203" w:lineRule="exact"/>
              <w:rPr>
                <w:sz w:val="20"/>
                <w:szCs w:val="20"/>
                <w:color w:val="auto"/>
              </w:rPr>
            </w:pPr>
            <w:r>
              <w:rPr>
                <w:rFonts w:ascii="Courier New" w:cs="Courier New" w:eastAsia="Courier New" w:hAnsi="Courier New"/>
                <w:sz w:val="18"/>
                <w:szCs w:val="18"/>
                <w:color w:val="auto"/>
                <w:w w:val="97"/>
              </w:rPr>
              <w:t>assets resulting</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operations</w:t>
            </w:r>
          </w:p>
        </w:tc>
        <w:tc>
          <w:tcPr>
            <w:tcW w:w="14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$ 15,204,464</w:t>
            </w: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(1,944,046)</w:t>
            </w:r>
          </w:p>
        </w:tc>
        <w:tc>
          <w:tcPr>
            <w:tcW w:w="14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$(29,660,865)</w:t>
            </w:r>
          </w:p>
        </w:tc>
        <w:tc>
          <w:tcPr>
            <w:tcW w:w="14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 (2,177,592)</w:t>
            </w:r>
          </w:p>
        </w:tc>
      </w:tr>
      <w:tr>
        <w:trPr>
          <w:trHeight w:val="203"/>
        </w:trPr>
        <w:tc>
          <w:tcPr>
            <w:tcW w:w="1900" w:type="dxa"/>
            <w:vAlign w:val="bottom"/>
          </w:tcPr>
          <w:p>
            <w:pPr>
              <w:spacing w:after="0"/>
              <w:rPr>
                <w:sz w:val="17"/>
                <w:szCs w:val="17"/>
                <w:color w:val="auto"/>
              </w:rPr>
            </w:pPr>
          </w:p>
        </w:tc>
        <w:tc>
          <w:tcPr>
            <w:tcW w:w="14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60" w:type="dxa"/>
            <w:vAlign w:val="bottom"/>
            <w:gridSpan w:val="3"/>
          </w:tcPr>
          <w:p>
            <w:pPr>
              <w:jc w:val="center"/>
              <w:ind w:left="492"/>
              <w:spacing w:after="0" w:line="203" w:lineRule="exact"/>
              <w:rPr>
                <w:sz w:val="20"/>
                <w:szCs w:val="20"/>
                <w:color w:val="auto"/>
              </w:rPr>
            </w:pPr>
            <w:r>
              <w:rPr>
                <w:rFonts w:ascii="Courier New" w:cs="Courier New" w:eastAsia="Courier New" w:hAnsi="Courier New"/>
                <w:sz w:val="18"/>
                <w:szCs w:val="18"/>
                <w:color w:val="auto"/>
                <w:w w:val="97"/>
              </w:rPr>
              <w:t>Gain (loss) per</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share</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0.72</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(0.09)</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3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(1.40)</w:t>
            </w:r>
          </w:p>
        </w:tc>
        <w:tc>
          <w:tcPr>
            <w:tcW w:w="1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(0.10)</w:t>
            </w:r>
          </w:p>
        </w:tc>
      </w:tr>
      <w:tr>
        <w:trPr>
          <w:trHeight w:val="203"/>
        </w:trPr>
        <w:tc>
          <w:tcPr>
            <w:tcW w:w="1900" w:type="dxa"/>
            <w:vAlign w:val="bottom"/>
          </w:tcPr>
          <w:p>
            <w:pPr>
              <w:spacing w:after="0"/>
              <w:rPr>
                <w:sz w:val="17"/>
                <w:szCs w:val="17"/>
                <w:color w:val="auto"/>
              </w:rPr>
            </w:pPr>
          </w:p>
        </w:tc>
        <w:tc>
          <w:tcPr>
            <w:tcW w:w="14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jc w:val="center"/>
        <w:spacing w:after="0" w:line="238" w:lineRule="auto"/>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mezzanine debt, senior secured loans and equity investments. From time to time, we may also invest in public companies whose securities are thinly traded. PennantPark Investment Corporation is managed by PennantPark Investment Advisers, LLC.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center"/>
        <w:ind w:right="20"/>
        <w:spacing w:after="0" w:line="29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w:t>
      </w:r>
    </w:p>
    <w:p>
      <w:pPr>
        <w:sectPr>
          <w:pgSz w:w="11900" w:h="16838" w:orient="portrait"/>
          <w:cols w:equalWidth="0" w:num="1">
            <w:col w:w="11220"/>
          </w:cols>
          <w:pgMar w:left="340" w:top="136" w:right="339" w:bottom="0" w:gutter="0" w:footer="0" w:header="0"/>
        </w:sectPr>
      </w:pPr>
    </w:p>
    <w:bookmarkStart w:id="6" w:name="page7"/>
    <w:bookmarkEnd w:id="6"/>
    <w:p>
      <w:pPr>
        <w:jc w:val="center"/>
        <w:spacing w:after="0" w:line="297" w:lineRule="auto"/>
        <w:rPr>
          <w:sz w:val="20"/>
          <w:szCs w:val="20"/>
          <w:color w:val="auto"/>
        </w:rPr>
      </w:pPr>
      <w:r>
        <w:rPr>
          <w:rFonts w:ascii="Arial" w:cs="Arial" w:eastAsia="Arial" w:hAnsi="Arial"/>
          <w:sz w:val="19"/>
          <w:szCs w:val="19"/>
          <w:color w:val="auto"/>
        </w:rPr>
        <w:t>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34" w:lineRule="exact"/>
        <w:rPr>
          <w:sz w:val="20"/>
          <w:szCs w:val="20"/>
          <w:color w:val="auto"/>
        </w:rPr>
      </w:pPr>
    </w:p>
    <w:p>
      <w:pPr>
        <w:jc w:val="center"/>
        <w:spacing w:after="0" w:line="235" w:lineRule="auto"/>
        <w:rPr>
          <w:sz w:val="20"/>
          <w:szCs w:val="20"/>
          <w:color w:val="auto"/>
        </w:rPr>
      </w:pPr>
      <w:r>
        <w:rPr>
          <w:rFonts w:ascii="Arial" w:cs="Arial" w:eastAsia="Arial" w:hAnsi="Arial"/>
          <w:sz w:val="22"/>
          <w:szCs w:val="22"/>
          <w:color w:val="auto"/>
        </w:rPr>
        <w:t>We may use words such as "anticipates," "believes," "expects," "intends," "will," "should," "may"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 Undue reliance should not be placed on such forward-looking statements as such statements speak only as of the date on which they are made. We do not undertake to update our forward-looking statements unless required by law.</w:t>
      </w:r>
    </w:p>
    <w:p>
      <w:pPr>
        <w:spacing w:after="0" w:line="206"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Contact:</w:t>
      </w:r>
    </w:p>
    <w:p>
      <w:pPr>
        <w:jc w:val="center"/>
        <w:spacing w:after="0" w:line="238" w:lineRule="auto"/>
        <w:rPr>
          <w:sz w:val="20"/>
          <w:szCs w:val="20"/>
          <w:color w:val="auto"/>
        </w:rPr>
      </w:pPr>
      <w:r>
        <w:rPr>
          <w:rFonts w:ascii="Courier New" w:cs="Courier New" w:eastAsia="Courier New" w:hAnsi="Courier New"/>
          <w:sz w:val="18"/>
          <w:szCs w:val="18"/>
          <w:color w:val="auto"/>
        </w:rPr>
        <w:t>Aviv Efrat</w:t>
      </w:r>
    </w:p>
    <w:p>
      <w:pPr>
        <w:jc w:val="cente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jc w:val="center"/>
        <w:spacing w:after="0"/>
        <w:rPr>
          <w:sz w:val="20"/>
          <w:szCs w:val="20"/>
          <w:color w:val="auto"/>
        </w:rPr>
      </w:pPr>
      <w:r>
        <w:rPr>
          <w:rFonts w:ascii="Courier New" w:cs="Courier New" w:eastAsia="Courier New" w:hAnsi="Courier New"/>
          <w:sz w:val="18"/>
          <w:szCs w:val="18"/>
          <w:color w:val="auto"/>
        </w:rPr>
        <w:t>(212) 905-1000</w:t>
      </w:r>
    </w:p>
    <w:p>
      <w:pPr>
        <w:jc w:val="center"/>
        <w:ind w:right="20"/>
        <w:spacing w:after="0"/>
        <w:tabs>
          <w:tab w:leader="none" w:pos="200" w:val="left"/>
        </w:tabs>
        <w:rPr>
          <w:sz w:val="20"/>
          <w:szCs w:val="20"/>
          <w:color w:val="auto"/>
        </w:rPr>
      </w:pPr>
      <w:r>
        <w:rPr>
          <w:rFonts w:ascii="Courier New" w:cs="Courier New" w:eastAsia="Courier New" w:hAnsi="Courier New"/>
          <w:sz w:val="18"/>
          <w:szCs w:val="18"/>
          <w:color w:val="auto"/>
        </w:rPr>
        <w:t>Or visit us on the web at:</w:t>
      </w:r>
      <w:r>
        <w:rPr>
          <w:sz w:val="20"/>
          <w:szCs w:val="20"/>
          <w:color w:val="auto"/>
        </w:rPr>
        <w:tab/>
      </w:r>
      <w:r>
        <w:rPr>
          <w:rFonts w:ascii="Courier New" w:cs="Courier New" w:eastAsia="Courier New" w:hAnsi="Courier New"/>
          <w:sz w:val="16"/>
          <w:szCs w:val="16"/>
          <w:color w:val="auto"/>
        </w:rPr>
        <w:t>www.pennantpark.com</w:t>
      </w:r>
    </w:p>
    <w:sectPr>
      <w:pgSz w:w="11900" w:h="16838" w:orient="portrait"/>
      <w:cols w:equalWidth="0" w:num="1">
        <w:col w:w="11180"/>
      </w:cols>
      <w:pgMar w:left="360" w:top="11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2020-05-05T15:06:49Z</dcterms:created>
  <dcterms:modified xsi:type="dcterms:W3CDTF">2020-05-05T15:06:49Z</dcterms:modified>
</cp:coreProperties>
</file>