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184150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203835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30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2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 ENDED DECEMBER 31,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01" w:lineRule="exact"/>
        <w:rPr>
          <w:sz w:val="24"/>
          <w:szCs w:val="24"/>
          <w:color w:val="auto"/>
        </w:rPr>
      </w:pPr>
    </w:p>
    <w:p>
      <w:pPr>
        <w:ind w:left="460"/>
        <w:spacing w:after="0"/>
        <w:tabs>
          <w:tab w:leader="none" w:pos="4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-10160</wp:posOffset>
            </wp:positionV>
            <wp:extent cx="883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194945</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CORPORATION</w:t>
      </w:r>
    </w:p>
    <w:tbl>
      <w:tblPr>
        <w:tblLayout w:type="fixed"/>
        <w:tblInd w:w="164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5060" w:type="dxa"/>
            <w:vAlign w:val="bottom"/>
            <w:gridSpan w:val="3"/>
          </w:tcPr>
          <w:p>
            <w:pPr>
              <w:jc w:val="center"/>
              <w:ind w:right="1773"/>
              <w:spacing w:after="0"/>
              <w:rPr>
                <w:sz w:val="20"/>
                <w:szCs w:val="20"/>
                <w:color w:val="auto"/>
              </w:rPr>
            </w:pPr>
            <w:r>
              <w:rPr>
                <w:rFonts w:ascii="Arial" w:cs="Arial" w:eastAsia="Arial" w:hAnsi="Arial"/>
                <w:sz w:val="13"/>
                <w:szCs w:val="13"/>
                <w:b w:val="1"/>
                <w:bCs w:val="1"/>
                <w:color w:val="auto"/>
                <w:w w:val="93"/>
              </w:rPr>
              <w:t>(Exact name of registrant as specified in its charter)</w:t>
            </w:r>
          </w:p>
        </w:tc>
      </w:tr>
      <w:tr>
        <w:trPr>
          <w:trHeight w:val="270"/>
        </w:trPr>
        <w:tc>
          <w:tcPr>
            <w:tcW w:w="2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2280" w:type="dxa"/>
            <w:vAlign w:val="bottom"/>
          </w:tcPr>
          <w:p>
            <w:pPr>
              <w:spacing w:after="0"/>
              <w:rPr>
                <w:sz w:val="23"/>
                <w:szCs w:val="23"/>
                <w:color w:val="auto"/>
              </w:rPr>
            </w:pPr>
          </w:p>
        </w:tc>
      </w:tr>
      <w:tr>
        <w:trPr>
          <w:trHeight w:val="426"/>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60" w:type="dxa"/>
            <w:vAlign w:val="bottom"/>
            <w:gridSpan w:val="3"/>
          </w:tcPr>
          <w:p>
            <w:pPr>
              <w:jc w:val="right"/>
              <w:ind w:right="33"/>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4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80" w:type="dxa"/>
            <w:vAlign w:val="bottom"/>
          </w:tcPr>
          <w:p>
            <w:pPr>
              <w:jc w:val="center"/>
              <w:ind w:left="1153"/>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4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280" w:type="dxa"/>
            <w:vAlign w:val="bottom"/>
          </w:tcPr>
          <w:p>
            <w:pPr>
              <w:jc w:val="center"/>
              <w:ind w:left="1153"/>
              <w:spacing w:after="0"/>
              <w:rPr>
                <w:sz w:val="20"/>
                <w:szCs w:val="20"/>
                <w:color w:val="auto"/>
              </w:rPr>
            </w:pPr>
            <w:r>
              <w:rPr>
                <w:rFonts w:ascii="Arial" w:cs="Arial" w:eastAsia="Arial" w:hAnsi="Arial"/>
                <w:sz w:val="13"/>
                <w:szCs w:val="13"/>
                <w:b w:val="1"/>
                <w:bCs w:val="1"/>
                <w:color w:val="auto"/>
                <w:w w:val="96"/>
              </w:rPr>
              <w:t>Identification No.)</w:t>
            </w:r>
          </w:p>
        </w:tc>
      </w:tr>
      <w:tr>
        <w:trPr>
          <w:trHeight w:val="40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590 Madison Avenue, 15</w:t>
            </w:r>
            <w:r>
              <w:rPr>
                <w:rFonts w:ascii="Arial" w:cs="Arial" w:eastAsia="Arial" w:hAnsi="Arial"/>
                <w:sz w:val="11"/>
                <w:szCs w:val="11"/>
                <w:b w:val="1"/>
                <w:bCs w:val="1"/>
                <w:color w:val="auto"/>
                <w:w w:val="87"/>
              </w:rPr>
              <w:t>th</w:t>
            </w:r>
            <w:r>
              <w:rPr>
                <w:rFonts w:ascii="Arial" w:cs="Arial" w:eastAsia="Arial" w:hAnsi="Arial"/>
                <w:sz w:val="18"/>
                <w:szCs w:val="18"/>
                <w:b w:val="1"/>
                <w:bCs w:val="1"/>
                <w:color w:val="auto"/>
                <w:w w:val="87"/>
              </w:rPr>
              <w:t xml:space="preserve"> Floor</w:t>
            </w:r>
          </w:p>
        </w:tc>
        <w:tc>
          <w:tcPr>
            <w:tcW w:w="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N.Y.</w:t>
            </w:r>
          </w:p>
        </w:tc>
        <w:tc>
          <w:tcPr>
            <w:tcW w:w="5060" w:type="dxa"/>
            <w:vAlign w:val="bottom"/>
            <w:gridSpan w:val="3"/>
          </w:tcPr>
          <w:p>
            <w:pPr>
              <w:jc w:val="right"/>
              <w:ind w:right="253"/>
              <w:spacing w:after="0"/>
              <w:rPr>
                <w:sz w:val="20"/>
                <w:szCs w:val="20"/>
                <w:color w:val="auto"/>
              </w:rPr>
            </w:pPr>
            <w:r>
              <w:rPr>
                <w:rFonts w:ascii="Arial" w:cs="Arial" w:eastAsia="Arial" w:hAnsi="Arial"/>
                <w:sz w:val="18"/>
                <w:szCs w:val="18"/>
                <w:b w:val="1"/>
                <w:bCs w:val="1"/>
                <w:color w:val="auto"/>
              </w:rPr>
              <w:t>10022</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4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280" w:type="dxa"/>
            <w:vAlign w:val="bottom"/>
          </w:tcPr>
          <w:p>
            <w:pPr>
              <w:jc w:val="center"/>
              <w:ind w:left="1153"/>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2380" w:type="dxa"/>
            <w:vAlign w:val="bottom"/>
          </w:tcPr>
          <w:p>
            <w:pPr>
              <w:spacing w:after="0"/>
              <w:rPr>
                <w:sz w:val="24"/>
                <w:szCs w:val="24"/>
                <w:color w:val="auto"/>
              </w:rPr>
            </w:pPr>
          </w:p>
        </w:tc>
        <w:tc>
          <w:tcPr>
            <w:tcW w:w="2780" w:type="dxa"/>
            <w:vAlign w:val="bottom"/>
            <w:gridSpan w:val="2"/>
          </w:tcPr>
          <w:p>
            <w:pPr>
              <w:jc w:val="center"/>
              <w:ind w:left="340"/>
              <w:spacing w:after="0"/>
              <w:rPr>
                <w:sz w:val="20"/>
                <w:szCs w:val="20"/>
                <w:color w:val="auto"/>
              </w:rPr>
            </w:pPr>
            <w:r>
              <w:rPr>
                <w:rFonts w:ascii="Arial" w:cs="Arial" w:eastAsia="Arial" w:hAnsi="Arial"/>
                <w:sz w:val="18"/>
                <w:szCs w:val="18"/>
                <w:b w:val="1"/>
                <w:bCs w:val="1"/>
                <w:color w:val="auto"/>
                <w:w w:val="90"/>
              </w:rPr>
              <w:t>(212)-905-1000</w:t>
            </w:r>
          </w:p>
        </w:tc>
        <w:tc>
          <w:tcPr>
            <w:tcW w:w="2280" w:type="dxa"/>
            <w:vAlign w:val="bottom"/>
          </w:tcPr>
          <w:p>
            <w:pPr>
              <w:spacing w:after="0"/>
              <w:rPr>
                <w:sz w:val="24"/>
                <w:szCs w:val="24"/>
                <w:color w:val="auto"/>
              </w:rPr>
            </w:pPr>
          </w:p>
        </w:tc>
      </w:tr>
      <w:tr>
        <w:trPr>
          <w:trHeight w:val="174"/>
        </w:trPr>
        <w:tc>
          <w:tcPr>
            <w:tcW w:w="2380" w:type="dxa"/>
            <w:vAlign w:val="bottom"/>
          </w:tcPr>
          <w:p>
            <w:pPr>
              <w:spacing w:after="0"/>
              <w:rPr>
                <w:sz w:val="15"/>
                <w:szCs w:val="15"/>
                <w:color w:val="auto"/>
              </w:rPr>
            </w:pPr>
          </w:p>
        </w:tc>
        <w:tc>
          <w:tcPr>
            <w:tcW w:w="5060" w:type="dxa"/>
            <w:vAlign w:val="bottom"/>
            <w:gridSpan w:val="3"/>
          </w:tcPr>
          <w:p>
            <w:pPr>
              <w:jc w:val="center"/>
              <w:ind w:right="1773"/>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171450</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firstLine="449"/>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w:t>
      </w:r>
    </w:p>
    <w:p>
      <w:pPr>
        <w:spacing w:after="0" w:line="207" w:lineRule="exact"/>
        <w:tabs>
          <w:tab w:leader="none" w:pos="520" w:val="left"/>
          <w:tab w:leader="none" w:pos="1240" w:val="left"/>
        </w:tabs>
        <w:rPr>
          <w:sz w:val="20"/>
          <w:szCs w:val="20"/>
          <w:color w:val="auto"/>
        </w:rPr>
      </w:pPr>
      <w:r>
        <w:rPr>
          <w:rFonts w:ascii="Arial" w:cs="Arial" w:eastAsia="Arial" w:hAnsi="Arial"/>
          <w:sz w:val="18"/>
          <w:szCs w:val="18"/>
          <w:color w:val="auto"/>
        </w:rPr>
        <w:t>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65" w:lineRule="exact"/>
        <w:rPr>
          <w:sz w:val="24"/>
          <w:szCs w:val="24"/>
          <w:color w:val="auto"/>
        </w:rPr>
      </w:pPr>
    </w:p>
    <w:p>
      <w:pPr>
        <w:jc w:val="both"/>
        <w:ind w:right="2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jc w:val="both"/>
        <w:ind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320" w:top="230" w:right="339" w:bottom="144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20"/>
            <w:col w:w="6100" w:space="720"/>
            <w:col w:w="1640" w:space="720"/>
            <w:col w:w="160"/>
          </w:cols>
          <w:pgMar w:left="320" w:top="230"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00"/>
            <w:col w:w="160" w:space="80"/>
            <w:col w:w="5860" w:space="720"/>
            <w:col w:w="1920" w:space="440"/>
            <w:col w:w="160"/>
          </w:cols>
          <w:pgMar w:left="320" w:top="230" w:right="3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80"/>
            <w:col w:w="160" w:space="180"/>
            <w:col w:w="1960"/>
          </w:cols>
          <w:pgMar w:left="320" w:top="230" w:right="3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issuer’s common stock, $0.001 par value, outstanding as of February 3, 2010 was 25,808,772.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500" w:type="dxa"/>
            <w:vAlign w:val="bottom"/>
          </w:tcPr>
          <w:p>
            <w:pPr>
              <w:ind w:left="39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1740" w:type="dxa"/>
            <w:vAlign w:val="bottom"/>
          </w:tcPr>
          <w:p>
            <w:pPr>
              <w:spacing w:after="0"/>
              <w:rPr>
                <w:sz w:val="19"/>
                <w:szCs w:val="19"/>
                <w:color w:val="auto"/>
              </w:rPr>
            </w:pPr>
          </w:p>
        </w:tc>
      </w:tr>
      <w:tr>
        <w:trPr>
          <w:trHeight w:val="432"/>
        </w:trPr>
        <w:tc>
          <w:tcPr>
            <w:tcW w:w="950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Item 1. Financial Statements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500" w:type="dxa"/>
            <w:vAlign w:val="bottom"/>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Assets and Liabilities as of December 31, 2009 (unaudited) and September 30, 2009</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500" w:type="dxa"/>
            <w:vAlign w:val="bottom"/>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Operations for the three months ended December 31, 2009 and 2008 (unaudited)</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500" w:type="dxa"/>
            <w:vAlign w:val="bottom"/>
          </w:tcPr>
          <w:p>
            <w:pPr>
              <w:ind w:left="4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Statements of Changes in Net Assets for the three months ended December 31, 2009 and 2008 (unaudited)</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500" w:type="dxa"/>
            <w:vAlign w:val="bottom"/>
          </w:tcPr>
          <w:p>
            <w:pPr>
              <w:ind w:left="4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Statements of Cash Flows for the three months ended December 31, 2009 and 2008 (unaudited)</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500" w:type="dxa"/>
            <w:vAlign w:val="bottom"/>
          </w:tcPr>
          <w:p>
            <w:pPr>
              <w:ind w:left="4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Schedules of Investments as of December 31, 2009 (unaudited) and September 30, 2009</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500" w:type="dxa"/>
            <w:vAlign w:val="bottom"/>
          </w:tcPr>
          <w:p>
            <w:pPr>
              <w:ind w:left="4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Notes to Financial Statements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500" w:type="dxa"/>
            <w:vAlign w:val="bottom"/>
          </w:tcPr>
          <w:p>
            <w:pPr>
              <w:ind w:left="4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Report of Independent Registered Public Accounting Firm</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500" w:type="dxa"/>
            <w:vAlign w:val="bottom"/>
          </w:tcPr>
          <w:p>
            <w:pPr>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500" w:type="dxa"/>
            <w:vAlign w:val="bottom"/>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Item 3. Quantitative And Qualitative Disclosures About Market Risk</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500" w:type="dxa"/>
            <w:vAlign w:val="bottom"/>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Item 4. Controls and Procedures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9500" w:type="dxa"/>
            <w:vAlign w:val="bottom"/>
          </w:tcPr>
          <w:p>
            <w:pPr>
              <w:ind w:left="4080"/>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PART II. OTHER INFORMATION</w:t>
              </w:r>
            </w:hyperlink>
          </w:p>
        </w:tc>
        <w:tc>
          <w:tcPr>
            <w:tcW w:w="1740" w:type="dxa"/>
            <w:vAlign w:val="bottom"/>
          </w:tcPr>
          <w:p>
            <w:pPr>
              <w:spacing w:after="0"/>
              <w:rPr>
                <w:sz w:val="24"/>
                <w:szCs w:val="24"/>
                <w:color w:val="auto"/>
              </w:rPr>
            </w:pPr>
          </w:p>
        </w:tc>
      </w:tr>
      <w:tr>
        <w:trPr>
          <w:trHeight w:val="432"/>
        </w:trPr>
        <w:tc>
          <w:tcPr>
            <w:tcW w:w="950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1. Legal Proceedings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50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1A. Risk Factors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50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2. Unregistered Sales of Equity Securities and Use of Proceeds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50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3. Defaults Upon Senior Securities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50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4. Submission of Matters to a Vote of Security Holders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50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5. Other Information</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50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Item 6. Exhibits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500" w:type="dxa"/>
            <w:vAlign w:val="bottom"/>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SIGNATURES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240"/>
          </w:cols>
          <w:pgMar w:left="32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I—FINANCIAL INFORMATION</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filing this Report in compliance with Rule 13a-13 promulgated by the SEC. In this Report, “PennantPark Investment”, “we”, “our” and “us” refer to PennantPark Investment Corporation unless the context otherwise requires.</w:t>
      </w:r>
    </w:p>
    <w:p>
      <w:pPr>
        <w:sectPr>
          <w:pgSz w:w="11900" w:h="16838" w:orient="portrait"/>
          <w:cols w:equalWidth="0" w:num="1">
            <w:col w:w="10960"/>
          </w:cols>
          <w:pgMar w:left="320" w:top="459" w:right="6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2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820" w:type="dxa"/>
            <w:vAlign w:val="bottom"/>
          </w:tcPr>
          <w:p>
            <w:pPr>
              <w:spacing w:after="0"/>
              <w:rPr>
                <w:sz w:val="24"/>
                <w:szCs w:val="24"/>
                <w:color w:val="auto"/>
              </w:rPr>
            </w:pPr>
          </w:p>
        </w:tc>
        <w:tc>
          <w:tcPr>
            <w:tcW w:w="7620" w:type="dxa"/>
            <w:vAlign w:val="bottom"/>
          </w:tcPr>
          <w:p>
            <w:pPr>
              <w:ind w:left="2840"/>
              <w:spacing w:after="0"/>
              <w:rPr>
                <w:sz w:val="20"/>
                <w:szCs w:val="20"/>
                <w:color w:val="auto"/>
              </w:rPr>
            </w:pPr>
            <w:r>
              <w:rPr>
                <w:rFonts w:ascii="Arial" w:cs="Arial" w:eastAsia="Arial" w:hAnsi="Arial"/>
                <w:sz w:val="18"/>
                <w:szCs w:val="18"/>
                <w:b w:val="1"/>
                <w:bCs w:val="1"/>
                <w:color w:val="auto"/>
              </w:rPr>
              <w:t>PENNANTPARK INVESTMENT CORPORATION</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7620" w:type="dxa"/>
            <w:vAlign w:val="bottom"/>
          </w:tcPr>
          <w:p>
            <w:pPr>
              <w:ind w:left="2940"/>
              <w:spacing w:after="0"/>
              <w:rPr>
                <w:sz w:val="20"/>
                <w:szCs w:val="20"/>
                <w:color w:val="auto"/>
              </w:rPr>
            </w:pPr>
            <w:r>
              <w:rPr>
                <w:rFonts w:ascii="Arial" w:cs="Arial" w:eastAsia="Arial" w:hAnsi="Arial"/>
                <w:sz w:val="18"/>
                <w:szCs w:val="18"/>
                <w:b w:val="1"/>
                <w:bCs w:val="1"/>
                <w:color w:val="auto"/>
              </w:rPr>
              <w:t>STATEMENTS OF ASSETS AND LIABILITIES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8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Arial" w:cs="Arial" w:eastAsia="Arial" w:hAnsi="Arial"/>
                <w:sz w:val="13"/>
                <w:szCs w:val="13"/>
                <w:b w:val="1"/>
                <w:bCs w:val="1"/>
                <w:color w:val="auto"/>
              </w:rPr>
              <w:t>December 31, 2009</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w w:val="98"/>
              </w:rPr>
              <w:t>(unaudited)</w:t>
            </w: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September 30, 2009</w:t>
            </w:r>
          </w:p>
        </w:tc>
        <w:tc>
          <w:tcPr>
            <w:tcW w:w="0" w:type="dxa"/>
            <w:vAlign w:val="bottom"/>
          </w:tcPr>
          <w:p>
            <w:pPr>
              <w:spacing w:after="0"/>
              <w:rPr>
                <w:sz w:val="1"/>
                <w:szCs w:val="1"/>
                <w:color w:val="auto"/>
              </w:rPr>
            </w:pPr>
          </w:p>
        </w:tc>
      </w:tr>
      <w:tr>
        <w:trPr>
          <w:trHeight w:val="210"/>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 (cost—$499,221,096 and $479,909,805,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497,049,288</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453,644,335</w:t>
            </w:r>
          </w:p>
        </w:tc>
        <w:tc>
          <w:tcPr>
            <w:tcW w:w="0" w:type="dxa"/>
            <w:vAlign w:val="bottom"/>
          </w:tcPr>
          <w:p>
            <w:pPr>
              <w:spacing w:after="0"/>
              <w:rPr>
                <w:sz w:val="1"/>
                <w:szCs w:val="1"/>
                <w:color w:val="auto"/>
              </w:rPr>
            </w:pPr>
          </w:p>
        </w:tc>
      </w:tr>
      <w:tr>
        <w:trPr>
          <w:trHeight w:val="223"/>
        </w:trPr>
        <w:tc>
          <w:tcPr>
            <w:tcW w:w="8440" w:type="dxa"/>
            <w:vAlign w:val="bottom"/>
            <w:gridSpan w:val="2"/>
          </w:tcPr>
          <w:p>
            <w:pPr>
              <w:ind w:left="440"/>
              <w:spacing w:after="0"/>
              <w:rPr>
                <w:sz w:val="20"/>
                <w:szCs w:val="20"/>
                <w:color w:val="auto"/>
              </w:rPr>
            </w:pPr>
            <w:r>
              <w:rPr>
                <w:rFonts w:ascii="Arial" w:cs="Arial" w:eastAsia="Arial" w:hAnsi="Arial"/>
                <w:sz w:val="18"/>
                <w:szCs w:val="18"/>
                <w:color w:val="auto"/>
                <w:w w:val="98"/>
              </w:rPr>
              <w:t>Non-controlled, affiliated investments, at fair value (cost—$17,566,905 and $17,378,081, respectively)</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16,092,038</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16,115,738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of Investments, at fair value (cost—$516,788,001 and $497,287,886, respectively)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513,141,326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469,760,073</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7,051,165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33,247,666</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5,714,129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5,539,056</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Receivables for investments sold</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45,891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2,726,007</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945,283</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526,897,794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512,381,369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Liabilities</w:t>
            </w: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Distributions payable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6,452,193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19,489,525</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6,455,018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 (cost—$245,700,000 and $225,100,000, respectively) (See Notes 5 and 10)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201,914,294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175,475,380</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Interest payable on credit facility</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61,834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72,788</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2,524,653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2,220,110</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Performance-based incentive fee payable (See Note 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1,809,453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1,508,164</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1,532,027</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220,749,472</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211,801,101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5"/>
              </w:rPr>
              <w:t>Net Assets</w:t>
            </w: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40" w:type="dxa"/>
            <w:vAlign w:val="bottom"/>
            <w:gridSpan w:val="2"/>
          </w:tcPr>
          <w:p>
            <w:pPr>
              <w:spacing w:after="0"/>
              <w:rPr>
                <w:sz w:val="20"/>
                <w:szCs w:val="20"/>
                <w:color w:val="auto"/>
              </w:rPr>
            </w:pPr>
            <w:r>
              <w:rPr>
                <w:rFonts w:ascii="Arial" w:cs="Arial" w:eastAsia="Arial" w:hAnsi="Arial"/>
                <w:sz w:val="18"/>
                <w:szCs w:val="18"/>
                <w:color w:val="auto"/>
                <w:w w:val="94"/>
              </w:rPr>
              <w:t>Common stock, par value $0.001 per share, 100,000,000 shares authorized, 25,808,772 and 25,368,772 shares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gridSpan w:val="2"/>
          </w:tcPr>
          <w:p>
            <w:pPr>
              <w:ind w:left="220"/>
              <w:spacing w:after="0"/>
              <w:rPr>
                <w:sz w:val="20"/>
                <w:szCs w:val="20"/>
                <w:color w:val="auto"/>
              </w:rPr>
            </w:pPr>
            <w:r>
              <w:rPr>
                <w:rFonts w:ascii="Arial" w:cs="Arial" w:eastAsia="Arial" w:hAnsi="Arial"/>
                <w:sz w:val="18"/>
                <w:szCs w:val="18"/>
                <w:color w:val="auto"/>
              </w:rPr>
              <w:t>issued and outstanding, respectively</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25,809</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25,369</w:t>
            </w:r>
          </w:p>
        </w:tc>
        <w:tc>
          <w:tcPr>
            <w:tcW w:w="0" w:type="dxa"/>
            <w:vAlign w:val="bottom"/>
          </w:tcPr>
          <w:p>
            <w:pPr>
              <w:spacing w:after="0"/>
              <w:rPr>
                <w:sz w:val="1"/>
                <w:szCs w:val="1"/>
                <w:color w:val="auto"/>
              </w:rPr>
            </w:pPr>
          </w:p>
        </w:tc>
      </w:tr>
      <w:tr>
        <w:trPr>
          <w:trHeight w:val="217"/>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330,405,864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327,062,304</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Undistributed net investment income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2,675,930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1,890,235</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(67,098,312)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(50,494,447)</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Net unrealized depreciation on investments</w:t>
            </w:r>
          </w:p>
        </w:tc>
        <w:tc>
          <w:tcPr>
            <w:tcW w:w="16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(3,646,675)</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(27,527,813)</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 (See Note 5)</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43,785,706</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49,624,620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306,148,322</w:t>
            </w: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300,580,268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76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526,897,794</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512,381,369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2"/>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11.86</w:t>
            </w:r>
          </w:p>
        </w:tc>
        <w:tc>
          <w:tcPr>
            <w:tcW w:w="4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6"/>
          </w:tcPr>
          <w:p>
            <w:pPr>
              <w:jc w:val="right"/>
              <w:ind w:right="84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13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3"/>
                <w:szCs w:val="13"/>
                <w:b w:val="1"/>
                <w:bCs w:val="1"/>
                <w:color w:val="auto"/>
              </w:rPr>
              <w:t>December 31, 2009</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92"/>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12,951,233</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11,712,010</w:t>
            </w:r>
          </w:p>
        </w:tc>
        <w:tc>
          <w:tcPr>
            <w:tcW w:w="0" w:type="dxa"/>
            <w:vAlign w:val="bottom"/>
          </w:tcPr>
          <w:p>
            <w:pPr>
              <w:spacing w:after="0"/>
              <w:rPr>
                <w:sz w:val="1"/>
                <w:szCs w:val="1"/>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319,603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tcPr>
          <w:p>
            <w:pPr>
              <w:ind w:left="440"/>
              <w:spacing w:after="0"/>
              <w:rPr>
                <w:sz w:val="20"/>
                <w:szCs w:val="20"/>
                <w:color w:val="auto"/>
              </w:rPr>
            </w:pPr>
            <w:r>
              <w:rPr>
                <w:rFonts w:ascii="Arial" w:cs="Arial" w:eastAsia="Arial" w:hAnsi="Arial"/>
                <w:sz w:val="18"/>
                <w:szCs w:val="18"/>
                <w:color w:val="auto"/>
              </w:rPr>
              <w:t>Interest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investment income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13,598,485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12,076,509</w:t>
            </w:r>
          </w:p>
        </w:tc>
        <w:tc>
          <w:tcPr>
            <w:tcW w:w="0" w:type="dxa"/>
            <w:vAlign w:val="bottom"/>
          </w:tcPr>
          <w:p>
            <w:pPr>
              <w:spacing w:after="0"/>
              <w:rPr>
                <w:sz w:val="1"/>
                <w:szCs w:val="1"/>
                <w:color w:val="auto"/>
              </w:rPr>
            </w:pPr>
          </w:p>
        </w:tc>
      </w:tr>
      <w:tr>
        <w:trPr>
          <w:trHeight w:val="222"/>
        </w:trPr>
        <w:tc>
          <w:tcPr>
            <w:tcW w:w="84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Base management fee (See Note 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2,524,653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1,820,188</w:t>
            </w:r>
          </w:p>
        </w:tc>
        <w:tc>
          <w:tcPr>
            <w:tcW w:w="0" w:type="dxa"/>
            <w:vAlign w:val="bottom"/>
          </w:tcPr>
          <w:p>
            <w:pPr>
              <w:spacing w:after="0"/>
              <w:rPr>
                <w:sz w:val="1"/>
                <w:szCs w:val="1"/>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Performance-based incentive fee (See Note 3)</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1,809,380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1,441,982</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other credit facility expenses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818,683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1,837,220</w:t>
            </w:r>
          </w:p>
        </w:tc>
        <w:tc>
          <w:tcPr>
            <w:tcW w:w="0" w:type="dxa"/>
            <w:vAlign w:val="bottom"/>
          </w:tcPr>
          <w:p>
            <w:pPr>
              <w:spacing w:after="0"/>
              <w:rPr>
                <w:sz w:val="1"/>
                <w:szCs w:val="1"/>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Administrative services expenses (See Note 3)</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557,504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620,402</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543,415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440"/>
              <w:spacing w:after="0"/>
              <w:rPr>
                <w:sz w:val="20"/>
                <w:szCs w:val="20"/>
                <w:color w:val="auto"/>
              </w:rPr>
            </w:pPr>
            <w:r>
              <w:rPr>
                <w:rFonts w:ascii="Arial" w:cs="Arial" w:eastAsia="Arial" w:hAnsi="Arial"/>
                <w:sz w:val="18"/>
                <w:szCs w:val="18"/>
                <w:b w:val="1"/>
                <w:bCs w:val="1"/>
                <w:color w:val="auto"/>
              </w:rPr>
              <w:t>Expenses before taxes</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6,253,635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Excise tax (See Note 2)</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440"/>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6,360,597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investment income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7,237,888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5,767,929</w:t>
            </w:r>
          </w:p>
        </w:tc>
        <w:tc>
          <w:tcPr>
            <w:tcW w:w="0" w:type="dxa"/>
            <w:vAlign w:val="bottom"/>
          </w:tcPr>
          <w:p>
            <w:pPr>
              <w:spacing w:after="0"/>
              <w:rPr>
                <w:sz w:val="1"/>
                <w:szCs w:val="1"/>
                <w:color w:val="auto"/>
              </w:rPr>
            </w:pPr>
          </w:p>
        </w:tc>
      </w:tr>
      <w:tr>
        <w:trPr>
          <w:trHeight w:val="222"/>
        </w:trPr>
        <w:tc>
          <w:tcPr>
            <w:tcW w:w="8480" w:type="dxa"/>
            <w:vAlign w:val="bottom"/>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non-controlled, non-affiliated investments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(16,603,865)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24,093,662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(40,663,091)</w:t>
            </w:r>
          </w:p>
        </w:tc>
        <w:tc>
          <w:tcPr>
            <w:tcW w:w="0" w:type="dxa"/>
            <w:vAlign w:val="bottom"/>
          </w:tcPr>
          <w:p>
            <w:pPr>
              <w:spacing w:after="0"/>
              <w:rPr>
                <w:sz w:val="1"/>
                <w:szCs w:val="1"/>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Non-controlled, affiliated investments</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(212,524)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(1,693,186)</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facility unrealized (appreciation) depreciation (See Note 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(5,838,914)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5,718,694</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440"/>
              <w:spacing w:after="0"/>
              <w:rPr>
                <w:sz w:val="20"/>
                <w:szCs w:val="20"/>
                <w:color w:val="auto"/>
              </w:rPr>
            </w:pPr>
            <w:r>
              <w:rPr>
                <w:rFonts w:ascii="Arial" w:cs="Arial" w:eastAsia="Arial" w:hAnsi="Arial"/>
                <w:sz w:val="18"/>
                <w:szCs w:val="18"/>
                <w:color w:val="auto"/>
              </w:rPr>
              <w:t>Net change in unrealized appreciation (depreciation)</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18,042,224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(36,637,583)</w:t>
            </w:r>
          </w:p>
        </w:tc>
        <w:tc>
          <w:tcPr>
            <w:tcW w:w="0" w:type="dxa"/>
            <w:vAlign w:val="bottom"/>
          </w:tcPr>
          <w:p>
            <w:pPr>
              <w:spacing w:after="0"/>
              <w:rPr>
                <w:sz w:val="1"/>
                <w:szCs w:val="1"/>
                <w:color w:val="auto"/>
              </w:rPr>
            </w:pPr>
          </w:p>
        </w:tc>
      </w:tr>
      <w:tr>
        <w:trPr>
          <w:trHeight w:val="28"/>
        </w:trPr>
        <w:tc>
          <w:tcPr>
            <w:tcW w:w="8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 from investments and credit facility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1,438,359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(37,524,653)</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8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8,676,247</w:t>
            </w:r>
          </w:p>
        </w:tc>
        <w:tc>
          <w:tcPr>
            <w:tcW w:w="260" w:type="dxa"/>
            <w:vAlign w:val="bottom"/>
          </w:tcPr>
          <w:p>
            <w:pPr>
              <w:spacing w:after="0"/>
              <w:rPr>
                <w:sz w:val="19"/>
                <w:szCs w:val="19"/>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(31,756,724)</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 per common share (See Note 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6"/>
          </w:tcPr>
          <w:p>
            <w:pPr>
              <w:jc w:val="right"/>
              <w:ind w:right="88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42"/>
        </w:trPr>
        <w:tc>
          <w:tcPr>
            <w:tcW w:w="8400" w:type="dxa"/>
            <w:vAlign w:val="bottom"/>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3"/>
                <w:szCs w:val="13"/>
                <w:b w:val="1"/>
                <w:bCs w:val="1"/>
                <w:color w:val="auto"/>
              </w:rPr>
              <w:t>December 31, 2009</w:t>
            </w: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92"/>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net assets from operations: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7,237,888</w:t>
            </w:r>
          </w:p>
        </w:tc>
        <w:tc>
          <w:tcPr>
            <w:tcW w:w="30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5,767,929</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loss on investments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(16,603,865)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23,881,138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(42,356,277)</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(5,838,914)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5,718,694</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8,676,247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(31,756,724)</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to Stockholders: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Dividends from net investment income</w:t>
            </w: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(6,452,193)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tcPr>
          <w:p>
            <w:pPr>
              <w:ind w:left="440"/>
              <w:spacing w:after="0"/>
              <w:rPr>
                <w:sz w:val="20"/>
                <w:szCs w:val="20"/>
                <w:color w:val="auto"/>
              </w:rPr>
            </w:pPr>
            <w:r>
              <w:rPr>
                <w:rFonts w:ascii="Arial" w:cs="Arial" w:eastAsia="Arial" w:hAnsi="Arial"/>
                <w:sz w:val="18"/>
                <w:szCs w:val="18"/>
                <w:color w:val="auto"/>
              </w:rPr>
              <w:t>Issuance of shares of common stock, net of offering costs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5,568,054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(36,813,229)</w:t>
            </w:r>
          </w:p>
        </w:tc>
        <w:tc>
          <w:tcPr>
            <w:tcW w:w="0" w:type="dxa"/>
            <w:vAlign w:val="bottom"/>
          </w:tcPr>
          <w:p>
            <w:pPr>
              <w:spacing w:after="0"/>
              <w:rPr>
                <w:sz w:val="1"/>
                <w:szCs w:val="1"/>
                <w:color w:val="auto"/>
              </w:rPr>
            </w:pPr>
          </w:p>
        </w:tc>
      </w:tr>
      <w:tr>
        <w:trPr>
          <w:trHeight w:val="329"/>
        </w:trPr>
        <w:tc>
          <w:tcPr>
            <w:tcW w:w="840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300,580,268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210,728,260</w:t>
            </w:r>
          </w:p>
        </w:tc>
        <w:tc>
          <w:tcPr>
            <w:tcW w:w="0" w:type="dxa"/>
            <w:vAlign w:val="bottom"/>
          </w:tcPr>
          <w:p>
            <w:pPr>
              <w:spacing w:after="0"/>
              <w:rPr>
                <w:sz w:val="1"/>
                <w:szCs w:val="1"/>
                <w:color w:val="auto"/>
              </w:rPr>
            </w:pPr>
          </w:p>
        </w:tc>
      </w:tr>
      <w:tr>
        <w:trPr>
          <w:trHeight w:val="223"/>
        </w:trPr>
        <w:tc>
          <w:tcPr>
            <w:tcW w:w="8400" w:type="dxa"/>
            <w:vAlign w:val="bottom"/>
          </w:tcPr>
          <w:p>
            <w:pPr>
              <w:ind w:left="440"/>
              <w:spacing w:after="0"/>
              <w:rPr>
                <w:sz w:val="20"/>
                <w:szCs w:val="20"/>
                <w:color w:val="auto"/>
              </w:rPr>
            </w:pPr>
            <w:r>
              <w:rPr>
                <w:rFonts w:ascii="Arial" w:cs="Arial" w:eastAsia="Arial" w:hAnsi="Arial"/>
                <w:sz w:val="18"/>
                <w:szCs w:val="18"/>
                <w:color w:val="auto"/>
              </w:rPr>
              <w:t>Cumulative effect of adoption of fair value option (See Note 5)</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Adjusted beginning of period balance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300,580,268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252,524,260</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End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306,148,322</w:t>
            </w:r>
          </w:p>
        </w:tc>
        <w:tc>
          <w:tcPr>
            <w:tcW w:w="30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215,711,031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at period end</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2,675,930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108,764</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b w:val="1"/>
                <w:bCs w:val="1"/>
                <w:color w:val="auto"/>
              </w:rPr>
              <w:t>Capital Share Activity: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in connection with public offering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6"/>
          </w:tcPr>
          <w:p>
            <w:pPr>
              <w:jc w:val="right"/>
              <w:ind w:right="90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14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3"/>
                <w:szCs w:val="13"/>
                <w:b w:val="1"/>
                <w:bCs w:val="1"/>
                <w:color w:val="auto"/>
              </w:rPr>
              <w:t>December 31, 2009</w:t>
            </w: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92"/>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Net increase (decrease) in net assets resulting from operations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8,676,247</w:t>
            </w:r>
          </w:p>
        </w:tc>
        <w:tc>
          <w:tcPr>
            <w:tcW w:w="34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(31,756,724)</w:t>
            </w:r>
          </w:p>
        </w:tc>
        <w:tc>
          <w:tcPr>
            <w:tcW w:w="0" w:type="dxa"/>
            <w:vAlign w:val="bottom"/>
          </w:tcPr>
          <w:p>
            <w:pPr>
              <w:spacing w:after="0"/>
              <w:rPr>
                <w:sz w:val="1"/>
                <w:szCs w:val="1"/>
                <w:color w:val="auto"/>
              </w:rPr>
            </w:pPr>
          </w:p>
        </w:tc>
      </w:tr>
      <w:tr>
        <w:trPr>
          <w:trHeight w:val="208"/>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Adjustments to reconcile net increase (decrease) in net assets resulting from operations to net cash (used</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 provided by operating activities: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88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(23,881,138)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42,356,277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5,838,914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(5,718,694)</w:t>
            </w:r>
          </w:p>
        </w:tc>
        <w:tc>
          <w:tcPr>
            <w:tcW w:w="0" w:type="dxa"/>
            <w:vAlign w:val="bottom"/>
          </w:tcPr>
          <w:p>
            <w:pPr>
              <w:spacing w:after="0"/>
              <w:rPr>
                <w:sz w:val="1"/>
                <w:szCs w:val="1"/>
                <w:color w:val="auto"/>
              </w:rPr>
            </w:pPr>
          </w:p>
        </w:tc>
      </w:tr>
      <w:tr>
        <w:trPr>
          <w:trHeight w:val="216"/>
        </w:trPr>
        <w:tc>
          <w:tcPr>
            <w:tcW w:w="8320" w:type="dxa"/>
            <w:vAlign w:val="bottom"/>
          </w:tcPr>
          <w:p>
            <w:pPr>
              <w:ind w:left="880"/>
              <w:spacing w:after="0"/>
              <w:rPr>
                <w:sz w:val="20"/>
                <w:szCs w:val="20"/>
                <w:color w:val="auto"/>
              </w:rPr>
            </w:pPr>
            <w:r>
              <w:rPr>
                <w:rFonts w:ascii="Arial" w:cs="Arial" w:eastAsia="Arial" w:hAnsi="Arial"/>
                <w:sz w:val="18"/>
                <w:szCs w:val="18"/>
                <w:color w:val="auto"/>
              </w:rPr>
              <w:t>Net realized loss on investments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16,603,865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(1,271,930)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(524,615)</w:t>
            </w:r>
          </w:p>
        </w:tc>
        <w:tc>
          <w:tcPr>
            <w:tcW w:w="0" w:type="dxa"/>
            <w:vAlign w:val="bottom"/>
          </w:tcPr>
          <w:p>
            <w:pPr>
              <w:spacing w:after="0"/>
              <w:rPr>
                <w:sz w:val="1"/>
                <w:szCs w:val="1"/>
                <w:color w:val="auto"/>
              </w:rPr>
            </w:pPr>
          </w:p>
        </w:tc>
      </w:tr>
      <w:tr>
        <w:trPr>
          <w:trHeight w:val="216"/>
        </w:trPr>
        <w:tc>
          <w:tcPr>
            <w:tcW w:w="832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(50,481,259)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(803,896)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Payment-in-kind interest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(1,159,733)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(860,532)</w:t>
            </w:r>
          </w:p>
        </w:tc>
        <w:tc>
          <w:tcPr>
            <w:tcW w:w="0" w:type="dxa"/>
            <w:vAlign w:val="bottom"/>
          </w:tcPr>
          <w:p>
            <w:pPr>
              <w:spacing w:after="0"/>
              <w:rPr>
                <w:sz w:val="1"/>
                <w:szCs w:val="1"/>
                <w:color w:val="auto"/>
              </w:rPr>
            </w:pPr>
          </w:p>
        </w:tc>
      </w:tr>
      <w:tr>
        <w:trPr>
          <w:trHeight w:val="216"/>
        </w:trPr>
        <w:tc>
          <w:tcPr>
            <w:tcW w:w="8320" w:type="dxa"/>
            <w:vAlign w:val="bottom"/>
          </w:tcPr>
          <w:p>
            <w:pPr>
              <w:ind w:left="880"/>
              <w:spacing w:after="0"/>
              <w:rPr>
                <w:sz w:val="20"/>
                <w:szCs w:val="20"/>
                <w:color w:val="auto"/>
              </w:rPr>
            </w:pPr>
            <w:r>
              <w:rPr>
                <w:rFonts w:ascii="Arial" w:cs="Arial" w:eastAsia="Arial" w:hAnsi="Arial"/>
                <w:sz w:val="18"/>
                <w:szCs w:val="18"/>
                <w:color w:val="auto"/>
              </w:rPr>
              <w:t>Proceeds from dispositions of investments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16,808,942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2,280,140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interest receivable</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(175,073)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215,927</w:t>
            </w:r>
          </w:p>
        </w:tc>
        <w:tc>
          <w:tcPr>
            <w:tcW w:w="0" w:type="dxa"/>
            <w:vAlign w:val="bottom"/>
          </w:tcPr>
          <w:p>
            <w:pPr>
              <w:spacing w:after="0"/>
              <w:rPr>
                <w:sz w:val="1"/>
                <w:szCs w:val="1"/>
                <w:color w:val="auto"/>
              </w:rPr>
            </w:pPr>
          </w:p>
        </w:tc>
      </w:tr>
      <w:tr>
        <w:trPr>
          <w:trHeight w:val="216"/>
        </w:trPr>
        <w:tc>
          <w:tcPr>
            <w:tcW w:w="8320" w:type="dxa"/>
            <w:vAlign w:val="bottom"/>
          </w:tcPr>
          <w:p>
            <w:pPr>
              <w:ind w:left="880"/>
              <w:spacing w:after="0"/>
              <w:rPr>
                <w:sz w:val="20"/>
                <w:szCs w:val="20"/>
                <w:color w:val="auto"/>
              </w:rPr>
            </w:pPr>
            <w:r>
              <w:rPr>
                <w:rFonts w:ascii="Arial" w:cs="Arial" w:eastAsia="Arial" w:hAnsi="Arial"/>
                <w:sz w:val="18"/>
                <w:szCs w:val="18"/>
                <w:color w:val="auto"/>
              </w:rPr>
              <w:t>Decrease in receivables for investments sold</w:t>
            </w:r>
          </w:p>
        </w:tc>
        <w:tc>
          <w:tcPr>
            <w:tcW w:w="1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2,680,116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163,284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130,375</w:t>
            </w:r>
          </w:p>
        </w:tc>
        <w:tc>
          <w:tcPr>
            <w:tcW w:w="0" w:type="dxa"/>
            <w:vAlign w:val="bottom"/>
          </w:tcPr>
          <w:p>
            <w:pPr>
              <w:spacing w:after="0"/>
              <w:rPr>
                <w:sz w:val="1"/>
                <w:szCs w:val="1"/>
                <w:color w:val="auto"/>
              </w:rPr>
            </w:pPr>
          </w:p>
        </w:tc>
      </w:tr>
      <w:tr>
        <w:trPr>
          <w:trHeight w:val="216"/>
        </w:trPr>
        <w:tc>
          <w:tcPr>
            <w:tcW w:w="8320" w:type="dxa"/>
            <w:vAlign w:val="bottom"/>
          </w:tcPr>
          <w:p>
            <w:pPr>
              <w:ind w:left="880"/>
              <w:spacing w:after="0"/>
              <w:rPr>
                <w:sz w:val="20"/>
                <w:szCs w:val="20"/>
                <w:color w:val="auto"/>
              </w:rPr>
            </w:pPr>
            <w:r>
              <w:rPr>
                <w:rFonts w:ascii="Arial" w:cs="Arial" w:eastAsia="Arial" w:hAnsi="Arial"/>
                <w:sz w:val="18"/>
                <w:szCs w:val="18"/>
                <w:color w:val="auto"/>
              </w:rPr>
              <w:t>Decrease in payables for investments purchased</w:t>
            </w: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(19,489,525)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unfunded investments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123,633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278,533</w:t>
            </w:r>
          </w:p>
        </w:tc>
        <w:tc>
          <w:tcPr>
            <w:tcW w:w="0" w:type="dxa"/>
            <w:vAlign w:val="bottom"/>
          </w:tcPr>
          <w:p>
            <w:pPr>
              <w:spacing w:after="0"/>
              <w:rPr>
                <w:sz w:val="1"/>
                <w:szCs w:val="1"/>
                <w:color w:val="auto"/>
              </w:rPr>
            </w:pPr>
          </w:p>
        </w:tc>
      </w:tr>
      <w:tr>
        <w:trPr>
          <w:trHeight w:val="216"/>
        </w:trPr>
        <w:tc>
          <w:tcPr>
            <w:tcW w:w="8320" w:type="dxa"/>
            <w:vAlign w:val="bottom"/>
          </w:tcPr>
          <w:p>
            <w:pPr>
              <w:ind w:left="880"/>
              <w:spacing w:after="0"/>
              <w:rPr>
                <w:sz w:val="20"/>
                <w:szCs w:val="20"/>
                <w:color w:val="auto"/>
              </w:rPr>
            </w:pPr>
            <w:r>
              <w:rPr>
                <w:rFonts w:ascii="Arial" w:cs="Arial" w:eastAsia="Arial" w:hAnsi="Arial"/>
                <w:sz w:val="18"/>
                <w:szCs w:val="18"/>
                <w:color w:val="auto"/>
              </w:rPr>
              <w:t>(Decrease) increase in interest payable on credit facility</w:t>
            </w: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(10,954)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80,042</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management fee payable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304,543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1,734,292</w:t>
            </w:r>
          </w:p>
        </w:tc>
        <w:tc>
          <w:tcPr>
            <w:tcW w:w="0" w:type="dxa"/>
            <w:vAlign w:val="bottom"/>
          </w:tcPr>
          <w:p>
            <w:pPr>
              <w:spacing w:after="0"/>
              <w:rPr>
                <w:sz w:val="1"/>
                <w:szCs w:val="1"/>
                <w:color w:val="auto"/>
              </w:rPr>
            </w:pPr>
          </w:p>
        </w:tc>
      </w:tr>
      <w:tr>
        <w:trPr>
          <w:trHeight w:val="216"/>
        </w:trPr>
        <w:tc>
          <w:tcPr>
            <w:tcW w:w="8320" w:type="dxa"/>
            <w:vAlign w:val="bottom"/>
          </w:tcPr>
          <w:p>
            <w:pPr>
              <w:ind w:left="880"/>
              <w:spacing w:after="0"/>
              <w:rPr>
                <w:sz w:val="20"/>
                <w:szCs w:val="20"/>
                <w:color w:val="auto"/>
              </w:rPr>
            </w:pPr>
            <w:r>
              <w:rPr>
                <w:rFonts w:ascii="Arial" w:cs="Arial" w:eastAsia="Arial" w:hAnsi="Arial"/>
                <w:sz w:val="18"/>
                <w:szCs w:val="18"/>
                <w:color w:val="auto"/>
              </w:rPr>
              <w:t>Increase in performance-based incentive fee payable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301,289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1,318,949</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accrued expenses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(115,217)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391,700</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1740"/>
              <w:spacing w:after="0"/>
              <w:rPr>
                <w:sz w:val="20"/>
                <w:szCs w:val="20"/>
                <w:color w:val="auto"/>
              </w:rPr>
            </w:pPr>
            <w:r>
              <w:rPr>
                <w:rFonts w:ascii="Arial" w:cs="Arial" w:eastAsia="Arial" w:hAnsi="Arial"/>
                <w:sz w:val="18"/>
                <w:szCs w:val="18"/>
                <w:color w:val="auto"/>
              </w:rPr>
              <w:t>Net cash (used for) provided by operating activities</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(45,083,996)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10,008,844</w:t>
            </w:r>
          </w:p>
        </w:tc>
        <w:tc>
          <w:tcPr>
            <w:tcW w:w="0" w:type="dxa"/>
            <w:vAlign w:val="bottom"/>
          </w:tcPr>
          <w:p>
            <w:pPr>
              <w:spacing w:after="0"/>
              <w:rPr>
                <w:sz w:val="1"/>
                <w:szCs w:val="1"/>
                <w:color w:val="auto"/>
              </w:rPr>
            </w:pPr>
          </w:p>
        </w:tc>
      </w:tr>
      <w:tr>
        <w:trPr>
          <w:trHeight w:val="116"/>
        </w:trPr>
        <w:tc>
          <w:tcPr>
            <w:tcW w:w="8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880"/>
              <w:spacing w:after="0"/>
              <w:rPr>
                <w:sz w:val="20"/>
                <w:szCs w:val="20"/>
                <w:color w:val="auto"/>
              </w:rPr>
            </w:pPr>
            <w:r>
              <w:rPr>
                <w:rFonts w:ascii="Arial" w:cs="Arial" w:eastAsia="Arial" w:hAnsi="Arial"/>
                <w:sz w:val="18"/>
                <w:szCs w:val="18"/>
                <w:color w:val="auto"/>
              </w:rPr>
              <w:t>Issuance of shares of common stock, net of offering costs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3,344,000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Distributions paid to stockholders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(5,056,505)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8320" w:type="dxa"/>
            <w:vAlign w:val="bottom"/>
          </w:tcPr>
          <w:p>
            <w:pPr>
              <w:ind w:left="880"/>
              <w:spacing w:after="0"/>
              <w:rPr>
                <w:sz w:val="20"/>
                <w:szCs w:val="20"/>
                <w:color w:val="auto"/>
              </w:rPr>
            </w:pPr>
            <w:r>
              <w:rPr>
                <w:rFonts w:ascii="Arial" w:cs="Arial" w:eastAsia="Arial" w:hAnsi="Arial"/>
                <w:sz w:val="18"/>
                <w:szCs w:val="18"/>
                <w:color w:val="auto"/>
              </w:rPr>
              <w:t>Borrowings under credit facility (See Note 10)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51,300,000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Repayments under credit facility (See Note 10)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(30,700,000)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(52,100,000)</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1300"/>
              <w:spacing w:after="0"/>
              <w:rPr>
                <w:sz w:val="20"/>
                <w:szCs w:val="20"/>
                <w:color w:val="auto"/>
              </w:rPr>
            </w:pPr>
            <w:r>
              <w:rPr>
                <w:rFonts w:ascii="Arial" w:cs="Arial" w:eastAsia="Arial" w:hAnsi="Arial"/>
                <w:sz w:val="18"/>
                <w:szCs w:val="18"/>
                <w:color w:val="auto"/>
              </w:rPr>
              <w:t>Net cash provided by (used for) financing activities</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18,887,495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(49,656,505)</w:t>
            </w:r>
          </w:p>
        </w:tc>
        <w:tc>
          <w:tcPr>
            <w:tcW w:w="0" w:type="dxa"/>
            <w:vAlign w:val="bottom"/>
          </w:tcPr>
          <w:p>
            <w:pPr>
              <w:spacing w:after="0"/>
              <w:rPr>
                <w:sz w:val="1"/>
                <w:szCs w:val="1"/>
                <w:color w:val="auto"/>
              </w:rPr>
            </w:pPr>
          </w:p>
        </w:tc>
      </w:tr>
      <w:tr>
        <w:trPr>
          <w:trHeight w:val="28"/>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(26,196,501)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(39,647,661)</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33,247,666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40,249,201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7,051,165</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601,540</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 and non-cash financing activity (See Note 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paid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762,328</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1,757,177</w:t>
            </w:r>
          </w:p>
        </w:tc>
        <w:tc>
          <w:tcPr>
            <w:tcW w:w="0" w:type="dxa"/>
            <w:vAlign w:val="bottom"/>
          </w:tcPr>
          <w:p>
            <w:pPr>
              <w:spacing w:after="0"/>
              <w:rPr>
                <w:sz w:val="1"/>
                <w:szCs w:val="1"/>
                <w:color w:val="auto"/>
              </w:rPr>
            </w:pPr>
          </w:p>
        </w:tc>
      </w:tr>
      <w:tr>
        <w:trPr>
          <w:trHeight w:val="222"/>
        </w:trPr>
        <w:tc>
          <w:tcPr>
            <w:tcW w:w="8320" w:type="dxa"/>
            <w:vAlign w:val="bottom"/>
          </w:tcPr>
          <w:p>
            <w:pPr>
              <w:ind w:left="440"/>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41,796,000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6"/>
              </w:rPr>
              <w:t>Basis</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Point</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5"/>
              </w:rPr>
              <w:t>Spread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140"/>
              <w:spacing w:after="0" w:line="134" w:lineRule="exact"/>
              <w:rPr>
                <w:sz w:val="20"/>
                <w:szCs w:val="20"/>
                <w:color w:val="auto"/>
              </w:rPr>
            </w:pPr>
            <w:r>
              <w:rPr>
                <w:rFonts w:ascii="Arial" w:cs="Arial" w:eastAsia="Arial" w:hAnsi="Arial"/>
                <w:sz w:val="13"/>
                <w:szCs w:val="13"/>
                <w:b w:val="1"/>
                <w:bCs w:val="1"/>
                <w:color w:val="auto"/>
                <w:w w:val="93"/>
              </w:rPr>
              <w:t>Current</w:t>
            </w:r>
          </w:p>
        </w:tc>
        <w:tc>
          <w:tcPr>
            <w:tcW w:w="380" w:type="dxa"/>
            <w:vAlign w:val="bottom"/>
          </w:tcPr>
          <w:p>
            <w:pPr>
              <w:spacing w:after="0"/>
              <w:rPr>
                <w:sz w:val="11"/>
                <w:szCs w:val="11"/>
                <w:color w:val="auto"/>
              </w:rPr>
            </w:pPr>
          </w:p>
        </w:tc>
        <w:tc>
          <w:tcPr>
            <w:tcW w:w="840" w:type="dxa"/>
            <w:vAlign w:val="bottom"/>
            <w:gridSpan w:val="2"/>
          </w:tcPr>
          <w:p>
            <w:pPr>
              <w:jc w:val="center"/>
              <w:ind w:right="360"/>
              <w:spacing w:after="0" w:line="134" w:lineRule="exact"/>
              <w:rPr>
                <w:sz w:val="20"/>
                <w:szCs w:val="20"/>
                <w:color w:val="auto"/>
              </w:rPr>
            </w:pPr>
            <w:r>
              <w:rPr>
                <w:rFonts w:ascii="Arial" w:cs="Arial" w:eastAsia="Arial" w:hAnsi="Arial"/>
                <w:sz w:val="13"/>
                <w:szCs w:val="13"/>
                <w:b w:val="1"/>
                <w:bCs w:val="1"/>
                <w:color w:val="auto"/>
                <w:w w:val="90"/>
              </w:rPr>
              <w:t>Above</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0"/>
              <w:spacing w:after="0" w:line="134"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6"/>
        </w:trPr>
        <w:tc>
          <w:tcPr>
            <w:tcW w:w="408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Maturity</w:t>
            </w: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rPr>
              <w:t>Industry</w:t>
            </w:r>
          </w:p>
        </w:tc>
        <w:tc>
          <w:tcPr>
            <w:tcW w:w="2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9"/>
              </w:rPr>
              <w:t>Coupon</w:t>
            </w:r>
          </w:p>
        </w:tc>
        <w:tc>
          <w:tcPr>
            <w:tcW w:w="380" w:type="dxa"/>
            <w:vAlign w:val="bottom"/>
          </w:tcPr>
          <w:p>
            <w:pPr>
              <w:spacing w:after="0"/>
              <w:rPr>
                <w:sz w:val="15"/>
                <w:szCs w:val="15"/>
                <w:color w:val="auto"/>
              </w:rPr>
            </w:pPr>
          </w:p>
        </w:tc>
        <w:tc>
          <w:tcPr>
            <w:tcW w:w="840" w:type="dxa"/>
            <w:vAlign w:val="bottom"/>
            <w:gridSpan w:val="2"/>
          </w:tcPr>
          <w:p>
            <w:pPr>
              <w:jc w:val="right"/>
              <w:ind w:right="380"/>
              <w:spacing w:after="0" w:line="176" w:lineRule="exact"/>
              <w:rPr>
                <w:sz w:val="20"/>
                <w:szCs w:val="20"/>
                <w:color w:val="auto"/>
              </w:rPr>
            </w:pPr>
            <w:r>
              <w:rPr>
                <w:rFonts w:ascii="Arial" w:cs="Arial" w:eastAsia="Arial" w:hAnsi="Arial"/>
                <w:sz w:val="12"/>
                <w:szCs w:val="12"/>
                <w:b w:val="1"/>
                <w:bCs w:val="1"/>
                <w:color w:val="auto"/>
                <w:w w:val="92"/>
              </w:rPr>
              <w:t>Index</w:t>
            </w:r>
            <w:r>
              <w:rPr>
                <w:rFonts w:ascii="Arial" w:cs="Arial" w:eastAsia="Arial" w:hAnsi="Arial"/>
                <w:sz w:val="20"/>
                <w:szCs w:val="20"/>
                <w:b w:val="1"/>
                <w:bCs w:val="1"/>
                <w:color w:val="auto"/>
                <w:w w:val="92"/>
                <w:vertAlign w:val="superscript"/>
              </w:rPr>
              <w:t>(4)</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Par / Shares</w:t>
            </w:r>
          </w:p>
        </w:tc>
        <w:tc>
          <w:tcPr>
            <w:tcW w:w="8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760" w:type="dxa"/>
            <w:vAlign w:val="bottom"/>
            <w:gridSpan w:val="2"/>
          </w:tcPr>
          <w:p>
            <w:pPr>
              <w:jc w:val="center"/>
              <w:ind w:right="20"/>
              <w:spacing w:after="0" w:line="176" w:lineRule="exact"/>
              <w:rPr>
                <w:sz w:val="20"/>
                <w:szCs w:val="20"/>
                <w:color w:val="auto"/>
              </w:rPr>
            </w:pPr>
            <w:r>
              <w:rPr>
                <w:rFonts w:ascii="Arial" w:cs="Arial" w:eastAsia="Arial" w:hAnsi="Arial"/>
                <w:sz w:val="12"/>
                <w:szCs w:val="12"/>
                <w:b w:val="1"/>
                <w:bCs w:val="1"/>
                <w:color w:val="auto"/>
                <w:w w:val="96"/>
              </w:rPr>
              <w:t xml:space="preserve">Value </w:t>
            </w:r>
            <w:r>
              <w:rPr>
                <w:rFonts w:ascii="Arial" w:cs="Arial" w:eastAsia="Arial" w:hAnsi="Arial"/>
                <w:sz w:val="20"/>
                <w:szCs w:val="20"/>
                <w:b w:val="1"/>
                <w:bCs w:val="1"/>
                <w:color w:val="auto"/>
                <w:w w:val="96"/>
                <w:vertAlign w:val="superscript"/>
              </w:rPr>
              <w:t>(3)</w:t>
            </w:r>
          </w:p>
        </w:tc>
        <w:tc>
          <w:tcPr>
            <w:tcW w:w="0" w:type="dxa"/>
            <w:vAlign w:val="bottom"/>
          </w:tcPr>
          <w:p>
            <w:pPr>
              <w:spacing w:after="0"/>
              <w:rPr>
                <w:sz w:val="1"/>
                <w:szCs w:val="1"/>
                <w:color w:val="auto"/>
              </w:rPr>
            </w:pPr>
          </w:p>
        </w:tc>
      </w:tr>
      <w:tr>
        <w:trPr>
          <w:trHeight w:val="101"/>
        </w:trPr>
        <w:tc>
          <w:tcPr>
            <w:tcW w:w="760" w:type="dxa"/>
            <w:vAlign w:val="bottom"/>
            <w:tcBorders>
              <w:top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7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940" w:type="dxa"/>
            <w:vAlign w:val="bottom"/>
            <w:gridSpan w:val="4"/>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 – 162.4% </w:t>
            </w:r>
            <w:r>
              <w:rPr>
                <w:rFonts w:ascii="Arial" w:cs="Arial" w:eastAsia="Arial" w:hAnsi="Arial"/>
                <w:sz w:val="17"/>
                <w:szCs w:val="17"/>
                <w:b w:val="1"/>
                <w:bCs w:val="1"/>
                <w:color w:val="auto"/>
                <w:vertAlign w:val="superscript"/>
              </w:rPr>
              <w:t>(1),(2)</w:t>
            </w:r>
          </w:p>
        </w:tc>
        <w:tc>
          <w:tcPr>
            <w:tcW w:w="1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Debt/Corporate Notes – 56.1%</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03/01/2012</w:t>
            </w:r>
          </w:p>
        </w:tc>
        <w:tc>
          <w:tcPr>
            <w:tcW w:w="20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Consumer Products</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8.27%</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L+750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9"/>
              </w:rPr>
              <w:t>$ 23,572,133</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$ 22,993,485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$ 22,346,382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80" w:type="dxa"/>
            <w:vAlign w:val="bottom"/>
            <w:gridSpan w:val="2"/>
          </w:tcPr>
          <w:p>
            <w:pPr>
              <w:spacing w:after="0" w:line="138" w:lineRule="exact"/>
              <w:rPr>
                <w:sz w:val="20"/>
                <w:szCs w:val="20"/>
                <w:color w:val="auto"/>
              </w:rPr>
            </w:pPr>
            <w:r>
              <w:rPr>
                <w:rFonts w:ascii="Arial" w:cs="Arial" w:eastAsia="Arial" w:hAnsi="Arial"/>
                <w:sz w:val="10"/>
                <w:szCs w:val="10"/>
                <w:color w:val="auto"/>
              </w:rPr>
              <w:t>Aquilex Holdings, LLC</w:t>
            </w:r>
            <w:r>
              <w:rPr>
                <w:rFonts w:ascii="Arial" w:cs="Arial" w:eastAsia="Arial" w:hAnsi="Arial"/>
                <w:sz w:val="15"/>
                <w:szCs w:val="15"/>
                <w:color w:val="auto"/>
                <w:vertAlign w:val="superscript"/>
              </w:rPr>
              <w:t>(5)</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5"/>
              </w:rPr>
              <w:t>12/15/2016</w:t>
            </w:r>
          </w:p>
        </w:tc>
        <w:tc>
          <w:tcPr>
            <w:tcW w:w="200" w:type="dxa"/>
            <w:vAlign w:val="bottom"/>
          </w:tcPr>
          <w:p>
            <w:pPr>
              <w:spacing w:after="0"/>
              <w:rPr>
                <w:sz w:val="11"/>
                <w:szCs w:val="11"/>
                <w:color w:val="auto"/>
              </w:rPr>
            </w:pPr>
          </w:p>
        </w:tc>
        <w:tc>
          <w:tcPr>
            <w:tcW w:w="1720" w:type="dxa"/>
            <w:vAlign w:val="bottom"/>
          </w:tcPr>
          <w:p>
            <w:pPr>
              <w:jc w:val="center"/>
              <w:spacing w:after="0" w:line="138" w:lineRule="exact"/>
              <w:rPr>
                <w:sz w:val="20"/>
                <w:szCs w:val="20"/>
                <w:color w:val="auto"/>
              </w:rPr>
            </w:pPr>
            <w:r>
              <w:rPr>
                <w:rFonts w:ascii="Arial" w:cs="Arial" w:eastAsia="Arial" w:hAnsi="Arial"/>
                <w:sz w:val="13"/>
                <w:szCs w:val="13"/>
                <w:color w:val="auto"/>
                <w:w w:val="96"/>
              </w:rPr>
              <w:t>Diversified / Conglomerate</w:t>
            </w:r>
          </w:p>
        </w:tc>
        <w:tc>
          <w:tcPr>
            <w:tcW w:w="800" w:type="dxa"/>
            <w:vAlign w:val="bottom"/>
            <w:gridSpan w:val="3"/>
          </w:tcPr>
          <w:p>
            <w:pPr>
              <w:jc w:val="right"/>
              <w:ind w:right="20"/>
              <w:spacing w:after="0" w:line="138" w:lineRule="exact"/>
              <w:rPr>
                <w:sz w:val="20"/>
                <w:szCs w:val="20"/>
                <w:color w:val="auto"/>
              </w:rPr>
            </w:pPr>
            <w:r>
              <w:rPr>
                <w:rFonts w:ascii="Arial" w:cs="Arial" w:eastAsia="Arial" w:hAnsi="Arial"/>
                <w:sz w:val="13"/>
                <w:szCs w:val="13"/>
                <w:color w:val="auto"/>
              </w:rPr>
              <w:t>11.13%</w:t>
            </w:r>
          </w:p>
        </w:tc>
        <w:tc>
          <w:tcPr>
            <w:tcW w:w="380" w:type="dxa"/>
            <w:vAlign w:val="bottom"/>
          </w:tcPr>
          <w:p>
            <w:pPr>
              <w:spacing w:after="0"/>
              <w:rPr>
                <w:sz w:val="11"/>
                <w:szCs w:val="11"/>
                <w:color w:val="auto"/>
              </w:rPr>
            </w:pPr>
          </w:p>
        </w:tc>
        <w:tc>
          <w:tcPr>
            <w:tcW w:w="84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10,000,000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9,596,022</w:t>
            </w:r>
          </w:p>
        </w:tc>
        <w:tc>
          <w:tcPr>
            <w:tcW w:w="10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9,975,000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7"/>
              </w:rPr>
              <w:t>Manufacturing</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Consolidated Foundries,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04/17/2015</w:t>
            </w:r>
          </w:p>
        </w:tc>
        <w:tc>
          <w:tcPr>
            <w:tcW w:w="20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14.25%</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8,109,468</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7,957,538</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rPr>
                <w:sz w:val="20"/>
                <w:szCs w:val="20"/>
                <w:color w:val="auto"/>
              </w:rPr>
            </w:pPr>
            <w:r>
              <w:rPr>
                <w:rFonts w:ascii="Arial" w:cs="Arial" w:eastAsia="Arial" w:hAnsi="Arial"/>
                <w:sz w:val="13"/>
                <w:szCs w:val="13"/>
                <w:color w:val="auto"/>
              </w:rPr>
              <w:t>CT Technologies Intermediate Holdings, Inc.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03/22/2014</w:t>
            </w:r>
          </w:p>
        </w:tc>
        <w:tc>
          <w:tcPr>
            <w:tcW w:w="2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14.00%</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20,413,161</w:t>
            </w:r>
          </w:p>
        </w:tc>
        <w:tc>
          <w:tcPr>
            <w:tcW w:w="740" w:type="dxa"/>
            <w:vAlign w:val="bottom"/>
          </w:tcPr>
          <w:p>
            <w:pPr>
              <w:jc w:val="right"/>
              <w:spacing w:after="0"/>
              <w:rPr>
                <w:sz w:val="20"/>
                <w:szCs w:val="20"/>
                <w:color w:val="auto"/>
              </w:rPr>
            </w:pPr>
            <w:r>
              <w:rPr>
                <w:rFonts w:ascii="Arial" w:cs="Arial" w:eastAsia="Arial" w:hAnsi="Arial"/>
                <w:sz w:val="13"/>
                <w:szCs w:val="13"/>
                <w:color w:val="auto"/>
              </w:rPr>
              <w:t>19,995,129</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21,025,556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Digicel Limited </w:t>
            </w:r>
            <w:r>
              <w:rPr>
                <w:rFonts w:ascii="Arial" w:cs="Arial" w:eastAsia="Arial" w:hAnsi="Arial"/>
                <w:sz w:val="17"/>
                <w:szCs w:val="17"/>
                <w:color w:val="auto"/>
                <w:vertAlign w:val="superscript"/>
              </w:rPr>
              <w:t>(5)</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04/01/2014</w:t>
            </w:r>
          </w:p>
        </w:tc>
        <w:tc>
          <w:tcPr>
            <w:tcW w:w="20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12.00%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995,803</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1,110,000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rPr>
                <w:sz w:val="20"/>
                <w:szCs w:val="20"/>
                <w:color w:val="auto"/>
              </w:rPr>
            </w:pPr>
            <w:r>
              <w:rPr>
                <w:rFonts w:ascii="Arial" w:cs="Arial" w:eastAsia="Arial" w:hAnsi="Arial"/>
                <w:sz w:val="13"/>
                <w:szCs w:val="13"/>
                <w:color w:val="auto"/>
              </w:rPr>
              <w:t>i2 Holdings Ltd.</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06/06/2014</w:t>
            </w:r>
          </w:p>
        </w:tc>
        <w:tc>
          <w:tcPr>
            <w:tcW w:w="2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14.75%</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22,810,883</w:t>
            </w:r>
          </w:p>
        </w:tc>
        <w:tc>
          <w:tcPr>
            <w:tcW w:w="740" w:type="dxa"/>
            <w:vAlign w:val="bottom"/>
          </w:tcPr>
          <w:p>
            <w:pPr>
              <w:jc w:val="right"/>
              <w:spacing w:after="0"/>
              <w:rPr>
                <w:sz w:val="20"/>
                <w:szCs w:val="20"/>
                <w:color w:val="auto"/>
              </w:rPr>
            </w:pPr>
            <w:r>
              <w:rPr>
                <w:rFonts w:ascii="Arial" w:cs="Arial" w:eastAsia="Arial" w:hAnsi="Arial"/>
                <w:sz w:val="13"/>
                <w:szCs w:val="13"/>
                <w:color w:val="auto"/>
              </w:rPr>
              <w:t>22,451,159</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22,993,370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IDQ Holdings,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05/20/2012</w:t>
            </w:r>
          </w:p>
        </w:tc>
        <w:tc>
          <w:tcPr>
            <w:tcW w:w="20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Auto Sector</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13.75%</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15,000,000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14,746,483</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rPr>
                <w:sz w:val="20"/>
                <w:szCs w:val="20"/>
                <w:color w:val="auto"/>
              </w:rPr>
            </w:pPr>
            <w:r>
              <w:rPr>
                <w:rFonts w:ascii="Arial" w:cs="Arial" w:eastAsia="Arial" w:hAnsi="Arial"/>
                <w:sz w:val="13"/>
                <w:szCs w:val="13"/>
                <w:color w:val="auto"/>
              </w:rPr>
              <w:t>Learning Care Group, Inc.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12/28/2015</w:t>
            </w:r>
          </w:p>
        </w:tc>
        <w:tc>
          <w:tcPr>
            <w:tcW w:w="2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Education</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13.50%</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10,390,942</w:t>
            </w:r>
          </w:p>
        </w:tc>
        <w:tc>
          <w:tcPr>
            <w:tcW w:w="740" w:type="dxa"/>
            <w:vAlign w:val="bottom"/>
          </w:tcPr>
          <w:p>
            <w:pPr>
              <w:jc w:val="right"/>
              <w:spacing w:after="0"/>
              <w:rPr>
                <w:sz w:val="20"/>
                <w:szCs w:val="20"/>
                <w:color w:val="auto"/>
              </w:rPr>
            </w:pPr>
            <w:r>
              <w:rPr>
                <w:rFonts w:ascii="Arial" w:cs="Arial" w:eastAsia="Arial" w:hAnsi="Arial"/>
                <w:sz w:val="13"/>
                <w:szCs w:val="13"/>
                <w:color w:val="auto"/>
              </w:rPr>
              <w:t>10,267,437</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9,975,304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Realogy Corp.</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04/15/2015</w:t>
            </w:r>
          </w:p>
        </w:tc>
        <w:tc>
          <w:tcPr>
            <w:tcW w:w="20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Buildings and Real Estate</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12.38%</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8,955,185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rPr>
                <w:sz w:val="20"/>
                <w:szCs w:val="20"/>
                <w:color w:val="auto"/>
              </w:rPr>
            </w:pPr>
            <w:r>
              <w:rPr>
                <w:rFonts w:ascii="Arial" w:cs="Arial" w:eastAsia="Arial" w:hAnsi="Arial"/>
                <w:sz w:val="13"/>
                <w:szCs w:val="13"/>
                <w:color w:val="auto"/>
              </w:rPr>
              <w:t>TRAK Acquisition Corp.</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12/29/2015</w:t>
            </w:r>
          </w:p>
        </w:tc>
        <w:tc>
          <w:tcPr>
            <w:tcW w:w="2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15.00%</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11,500,000</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11,126,218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11,470,560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Trizetto Group,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10/01/2016</w:t>
            </w:r>
          </w:p>
        </w:tc>
        <w:tc>
          <w:tcPr>
            <w:tcW w:w="20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Insurance</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13.50%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20,349,340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20,165,943</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20,807,200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80" w:type="dxa"/>
            <w:vAlign w:val="bottom"/>
            <w:gridSpan w:val="2"/>
          </w:tcPr>
          <w:p>
            <w:pPr>
              <w:spacing w:after="0"/>
              <w:rPr>
                <w:sz w:val="20"/>
                <w:szCs w:val="20"/>
                <w:color w:val="auto"/>
              </w:rPr>
            </w:pPr>
            <w:r>
              <w:rPr>
                <w:rFonts w:ascii="Arial" w:cs="Arial" w:eastAsia="Arial" w:hAnsi="Arial"/>
                <w:sz w:val="13"/>
                <w:szCs w:val="13"/>
                <w:color w:val="auto"/>
              </w:rPr>
              <w:t>UP Acquisitions Sub Inc.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02/08/2015</w:t>
            </w:r>
          </w:p>
        </w:tc>
        <w:tc>
          <w:tcPr>
            <w:tcW w:w="2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13.50%</w:t>
            </w:r>
          </w:p>
        </w:tc>
        <w:tc>
          <w:tcPr>
            <w:tcW w:w="3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21,000,000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20,489,864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169,740,266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171,668,935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8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 – 45.5%</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02/07/2015</w:t>
            </w:r>
          </w:p>
        </w:tc>
        <w:tc>
          <w:tcPr>
            <w:tcW w:w="20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Energy/Utilities</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6.31%</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L+600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13,600,000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13,167,599</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12,185,600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rPr>
                <w:sz w:val="20"/>
                <w:szCs w:val="20"/>
                <w:color w:val="auto"/>
              </w:rPr>
            </w:pPr>
            <w:r>
              <w:rPr>
                <w:rFonts w:ascii="Arial" w:cs="Arial" w:eastAsia="Arial" w:hAnsi="Arial"/>
                <w:sz w:val="13"/>
                <w:szCs w:val="13"/>
                <w:color w:val="auto"/>
              </w:rPr>
              <w:t>Brand Energy and Infrastructure Services, Inc.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02/07/2015</w:t>
            </w:r>
          </w:p>
        </w:tc>
        <w:tc>
          <w:tcPr>
            <w:tcW w:w="2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9"/>
              </w:rPr>
              <w:t>Energy/Utilities</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7.29%</w:t>
            </w:r>
          </w:p>
        </w:tc>
        <w:tc>
          <w:tcPr>
            <w:tcW w:w="38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L+700</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12,000,000</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11,745,828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11,124,000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Generics International (U.S.), Inc.</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04/30/2015</w:t>
            </w:r>
          </w:p>
        </w:tc>
        <w:tc>
          <w:tcPr>
            <w:tcW w:w="200" w:type="dxa"/>
            <w:vAlign w:val="bottom"/>
            <w:shd w:val="clear" w:color="auto" w:fill="CCEEFF"/>
          </w:tcPr>
          <w:p>
            <w:pPr>
              <w:spacing w:after="0"/>
              <w:rPr>
                <w:sz w:val="11"/>
                <w:szCs w:val="11"/>
                <w:color w:val="auto"/>
              </w:rPr>
            </w:pPr>
          </w:p>
        </w:tc>
        <w:tc>
          <w:tcPr>
            <w:tcW w:w="17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 Education and</w:t>
            </w:r>
          </w:p>
        </w:tc>
        <w:tc>
          <w:tcPr>
            <w:tcW w:w="80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7.75%</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3"/>
                <w:szCs w:val="13"/>
                <w:color w:val="auto"/>
              </w:rPr>
              <w:t>L+750</w:t>
            </w:r>
          </w:p>
        </w:tc>
        <w:tc>
          <w:tcPr>
            <w:tcW w:w="8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12,000,000</w:t>
            </w:r>
          </w:p>
        </w:tc>
        <w:tc>
          <w:tcPr>
            <w:tcW w:w="8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11,951,224</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11,496,000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Greatwide Logistics Services, L.L.C.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03/01/2014</w:t>
            </w:r>
          </w:p>
        </w:tc>
        <w:tc>
          <w:tcPr>
            <w:tcW w:w="20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Cargo Transport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11.00%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1"/>
                <w:szCs w:val="11"/>
                <w:color w:val="auto"/>
              </w:rPr>
              <w:t xml:space="preserve">L+700 </w:t>
            </w:r>
            <w:r>
              <w:rPr>
                <w:rFonts w:ascii="Arial" w:cs="Arial" w:eastAsia="Arial" w:hAnsi="Arial"/>
                <w:sz w:val="17"/>
                <w:szCs w:val="17"/>
                <w:color w:val="auto"/>
                <w:vertAlign w:val="superscript"/>
              </w:rPr>
              <w:t>(8)</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2,309,343</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2,309,344</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2,309,343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80" w:type="dxa"/>
            <w:vAlign w:val="bottom"/>
            <w:gridSpan w:val="2"/>
          </w:tcPr>
          <w:p>
            <w:pPr>
              <w:spacing w:after="0" w:line="138" w:lineRule="exact"/>
              <w:rPr>
                <w:sz w:val="20"/>
                <w:szCs w:val="20"/>
                <w:color w:val="auto"/>
              </w:rPr>
            </w:pPr>
            <w:r>
              <w:rPr>
                <w:rFonts w:ascii="Arial" w:cs="Arial" w:eastAsia="Arial" w:hAnsi="Arial"/>
                <w:sz w:val="10"/>
                <w:szCs w:val="10"/>
                <w:color w:val="auto"/>
              </w:rPr>
              <w:t>Mohegan Tribal Gaming Authority</w:t>
            </w:r>
            <w:r>
              <w:rPr>
                <w:rFonts w:ascii="Arial" w:cs="Arial" w:eastAsia="Arial" w:hAnsi="Arial"/>
                <w:sz w:val="15"/>
                <w:szCs w:val="15"/>
                <w:color w:val="auto"/>
                <w:vertAlign w:val="superscript"/>
              </w:rPr>
              <w:t>(5)</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2"/>
              </w:rPr>
              <w:t>11/01/2017</w:t>
            </w:r>
          </w:p>
        </w:tc>
        <w:tc>
          <w:tcPr>
            <w:tcW w:w="200" w:type="dxa"/>
            <w:vAlign w:val="bottom"/>
          </w:tcPr>
          <w:p>
            <w:pPr>
              <w:spacing w:after="0"/>
              <w:rPr>
                <w:sz w:val="11"/>
                <w:szCs w:val="11"/>
                <w:color w:val="auto"/>
              </w:rPr>
            </w:pPr>
          </w:p>
        </w:tc>
        <w:tc>
          <w:tcPr>
            <w:tcW w:w="1720" w:type="dxa"/>
            <w:vAlign w:val="bottom"/>
          </w:tcPr>
          <w:p>
            <w:pPr>
              <w:jc w:val="center"/>
              <w:spacing w:after="0" w:line="138" w:lineRule="exact"/>
              <w:rPr>
                <w:sz w:val="20"/>
                <w:szCs w:val="20"/>
                <w:color w:val="auto"/>
              </w:rPr>
            </w:pPr>
            <w:r>
              <w:rPr>
                <w:rFonts w:ascii="Arial" w:cs="Arial" w:eastAsia="Arial" w:hAnsi="Arial"/>
                <w:sz w:val="13"/>
                <w:szCs w:val="13"/>
                <w:color w:val="auto"/>
                <w:w w:val="94"/>
              </w:rPr>
              <w:t>Hotels, Motels, Inns and</w:t>
            </w:r>
          </w:p>
        </w:tc>
        <w:tc>
          <w:tcPr>
            <w:tcW w:w="800" w:type="dxa"/>
            <w:vAlign w:val="bottom"/>
            <w:gridSpan w:val="3"/>
          </w:tcPr>
          <w:p>
            <w:pPr>
              <w:jc w:val="right"/>
              <w:ind w:right="20"/>
              <w:spacing w:after="0" w:line="138" w:lineRule="exact"/>
              <w:rPr>
                <w:sz w:val="20"/>
                <w:szCs w:val="20"/>
                <w:color w:val="auto"/>
              </w:rPr>
            </w:pPr>
            <w:r>
              <w:rPr>
                <w:rFonts w:ascii="Arial" w:cs="Arial" w:eastAsia="Arial" w:hAnsi="Arial"/>
                <w:sz w:val="13"/>
                <w:szCs w:val="13"/>
                <w:color w:val="auto"/>
              </w:rPr>
              <w:t>11.50%</w:t>
            </w:r>
          </w:p>
        </w:tc>
        <w:tc>
          <w:tcPr>
            <w:tcW w:w="380" w:type="dxa"/>
            <w:vAlign w:val="bottom"/>
          </w:tcPr>
          <w:p>
            <w:pPr>
              <w:spacing w:after="0"/>
              <w:rPr>
                <w:sz w:val="11"/>
                <w:szCs w:val="11"/>
                <w:color w:val="auto"/>
              </w:rPr>
            </w:pPr>
          </w:p>
        </w:tc>
        <w:tc>
          <w:tcPr>
            <w:tcW w:w="84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5,000,000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4,814,489</w:t>
            </w:r>
          </w:p>
        </w:tc>
        <w:tc>
          <w:tcPr>
            <w:tcW w:w="10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5,100,000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Gaming</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QMG Acquisition, LLC, Term Loan A</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12/15/2014</w:t>
            </w:r>
          </w:p>
        </w:tc>
        <w:tc>
          <w:tcPr>
            <w:tcW w:w="200" w:type="dxa"/>
            <w:vAlign w:val="bottom"/>
            <w:shd w:val="clear" w:color="auto" w:fill="CCEEFF"/>
          </w:tcPr>
          <w:p>
            <w:pPr>
              <w:spacing w:after="0"/>
              <w:rPr>
                <w:sz w:val="11"/>
                <w:szCs w:val="11"/>
                <w:color w:val="auto"/>
              </w:rPr>
            </w:pPr>
          </w:p>
        </w:tc>
        <w:tc>
          <w:tcPr>
            <w:tcW w:w="17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80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9.50%</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60"/>
              <w:spacing w:after="0" w:line="138" w:lineRule="exact"/>
              <w:rPr>
                <w:sz w:val="20"/>
                <w:szCs w:val="20"/>
                <w:color w:val="auto"/>
              </w:rPr>
            </w:pPr>
            <w:r>
              <w:rPr>
                <w:rFonts w:ascii="Arial" w:cs="Arial" w:eastAsia="Arial" w:hAnsi="Arial"/>
                <w:sz w:val="10"/>
                <w:szCs w:val="10"/>
                <w:color w:val="auto"/>
              </w:rPr>
              <w:t xml:space="preserve">L+650 </w:t>
            </w:r>
            <w:r>
              <w:rPr>
                <w:rFonts w:ascii="Arial" w:cs="Arial" w:eastAsia="Arial" w:hAnsi="Arial"/>
                <w:sz w:val="15"/>
                <w:szCs w:val="15"/>
                <w:color w:val="auto"/>
                <w:vertAlign w:val="superscript"/>
              </w:rPr>
              <w:t>(8)</w:t>
            </w:r>
          </w:p>
        </w:tc>
        <w:tc>
          <w:tcPr>
            <w:tcW w:w="8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3,243,646</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3,243,646</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3,243,646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(formerly Questex Media Group, Inc.)</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080" w:type="dxa"/>
            <w:vAlign w:val="bottom"/>
            <w:gridSpan w:val="2"/>
          </w:tcPr>
          <w:p>
            <w:pPr>
              <w:spacing w:after="0" w:line="138" w:lineRule="exact"/>
              <w:rPr>
                <w:sz w:val="20"/>
                <w:szCs w:val="20"/>
                <w:color w:val="auto"/>
              </w:rPr>
            </w:pPr>
            <w:r>
              <w:rPr>
                <w:rFonts w:ascii="Arial" w:cs="Arial" w:eastAsia="Arial" w:hAnsi="Arial"/>
                <w:sz w:val="13"/>
                <w:szCs w:val="13"/>
                <w:color w:val="auto"/>
              </w:rPr>
              <w:t>QMG Acquisition, LLC, Term Loan B</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5"/>
              </w:rPr>
              <w:t>12/15/2015</w:t>
            </w:r>
          </w:p>
        </w:tc>
        <w:tc>
          <w:tcPr>
            <w:tcW w:w="200" w:type="dxa"/>
            <w:vAlign w:val="bottom"/>
          </w:tcPr>
          <w:p>
            <w:pPr>
              <w:spacing w:after="0"/>
              <w:rPr>
                <w:sz w:val="11"/>
                <w:szCs w:val="11"/>
                <w:color w:val="auto"/>
              </w:rPr>
            </w:pPr>
          </w:p>
        </w:tc>
        <w:tc>
          <w:tcPr>
            <w:tcW w:w="1720" w:type="dxa"/>
            <w:vAlign w:val="bottom"/>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800" w:type="dxa"/>
            <w:vAlign w:val="bottom"/>
            <w:gridSpan w:val="3"/>
          </w:tcPr>
          <w:p>
            <w:pPr>
              <w:jc w:val="right"/>
              <w:ind w:right="20"/>
              <w:spacing w:after="0" w:line="138" w:lineRule="exact"/>
              <w:rPr>
                <w:sz w:val="20"/>
                <w:szCs w:val="20"/>
                <w:color w:val="auto"/>
              </w:rPr>
            </w:pPr>
            <w:r>
              <w:rPr>
                <w:rFonts w:ascii="Arial" w:cs="Arial" w:eastAsia="Arial" w:hAnsi="Arial"/>
                <w:sz w:val="13"/>
                <w:szCs w:val="13"/>
                <w:color w:val="auto"/>
              </w:rPr>
              <w:t>11.50%</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60"/>
              <w:spacing w:after="0" w:line="138" w:lineRule="exact"/>
              <w:rPr>
                <w:sz w:val="20"/>
                <w:szCs w:val="20"/>
                <w:color w:val="auto"/>
              </w:rPr>
            </w:pPr>
            <w:r>
              <w:rPr>
                <w:rFonts w:ascii="Arial" w:cs="Arial" w:eastAsia="Arial" w:hAnsi="Arial"/>
                <w:sz w:val="10"/>
                <w:szCs w:val="10"/>
                <w:color w:val="auto"/>
              </w:rPr>
              <w:t xml:space="preserve">L+850 </w:t>
            </w:r>
            <w:r>
              <w:rPr>
                <w:rFonts w:ascii="Arial" w:cs="Arial" w:eastAsia="Arial" w:hAnsi="Arial"/>
                <w:sz w:val="15"/>
                <w:szCs w:val="15"/>
                <w:color w:val="auto"/>
                <w:vertAlign w:val="superscript"/>
              </w:rPr>
              <w:t>(8)</w:t>
            </w:r>
          </w:p>
        </w:tc>
        <w:tc>
          <w:tcPr>
            <w:tcW w:w="88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1,629,488</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1,629,488</w:t>
            </w:r>
          </w:p>
        </w:tc>
        <w:tc>
          <w:tcPr>
            <w:tcW w:w="10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1,629,488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80" w:type="dxa"/>
            <w:vAlign w:val="bottom"/>
            <w:gridSpan w:val="2"/>
          </w:tcPr>
          <w:p>
            <w:pPr>
              <w:spacing w:after="0"/>
              <w:rPr>
                <w:sz w:val="20"/>
                <w:szCs w:val="20"/>
                <w:color w:val="auto"/>
              </w:rPr>
            </w:pPr>
            <w:r>
              <w:rPr>
                <w:rFonts w:ascii="Arial" w:cs="Arial" w:eastAsia="Arial" w:hAnsi="Arial"/>
                <w:sz w:val="13"/>
                <w:szCs w:val="13"/>
                <w:color w:val="auto"/>
              </w:rPr>
              <w:t>(formerly Questex Media Group, Inc.)</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Realogy Corp.</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10/15/2017</w:t>
            </w:r>
          </w:p>
        </w:tc>
        <w:tc>
          <w:tcPr>
            <w:tcW w:w="20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Buildings and Real Estate</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13.50%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10,566,670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05/15/2015</w:t>
            </w:r>
          </w:p>
        </w:tc>
        <w:tc>
          <w:tcPr>
            <w:tcW w:w="2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Transportation</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8.02%</w:t>
            </w:r>
          </w:p>
        </w:tc>
        <w:tc>
          <w:tcPr>
            <w:tcW w:w="38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L+775</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10,000,000</w:t>
            </w:r>
          </w:p>
        </w:tc>
        <w:tc>
          <w:tcPr>
            <w:tcW w:w="740" w:type="dxa"/>
            <w:vAlign w:val="bottom"/>
          </w:tcPr>
          <w:p>
            <w:pPr>
              <w:jc w:val="right"/>
              <w:spacing w:after="0"/>
              <w:rPr>
                <w:sz w:val="20"/>
                <w:szCs w:val="20"/>
                <w:color w:val="auto"/>
              </w:rPr>
            </w:pPr>
            <w:r>
              <w:rPr>
                <w:rFonts w:ascii="Arial" w:cs="Arial" w:eastAsia="Arial" w:hAnsi="Arial"/>
                <w:sz w:val="13"/>
                <w:szCs w:val="13"/>
                <w:color w:val="auto"/>
              </w:rPr>
              <w:t>9,943,805</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7,512,500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05/15/2017</w:t>
            </w:r>
          </w:p>
        </w:tc>
        <w:tc>
          <w:tcPr>
            <w:tcW w:w="20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Transportation</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12.50%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16,930,027</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15,983,750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80" w:type="dxa"/>
            <w:vAlign w:val="bottom"/>
            <w:gridSpan w:val="2"/>
          </w:tcPr>
          <w:p>
            <w:pPr>
              <w:spacing w:after="0" w:line="138" w:lineRule="exact"/>
              <w:rPr>
                <w:sz w:val="20"/>
                <w:szCs w:val="20"/>
                <w:color w:val="auto"/>
              </w:rPr>
            </w:pPr>
            <w:r>
              <w:rPr>
                <w:rFonts w:ascii="Arial" w:cs="Arial" w:eastAsia="Arial" w:hAnsi="Arial"/>
                <w:sz w:val="13"/>
                <w:szCs w:val="13"/>
                <w:color w:val="auto"/>
              </w:rPr>
              <w:t>Sheridan Holdings, Inc.</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5"/>
              </w:rPr>
              <w:t>06/15/2015</w:t>
            </w:r>
          </w:p>
        </w:tc>
        <w:tc>
          <w:tcPr>
            <w:tcW w:w="200" w:type="dxa"/>
            <w:vAlign w:val="bottom"/>
          </w:tcPr>
          <w:p>
            <w:pPr>
              <w:spacing w:after="0"/>
              <w:rPr>
                <w:sz w:val="11"/>
                <w:szCs w:val="11"/>
                <w:color w:val="auto"/>
              </w:rPr>
            </w:pPr>
          </w:p>
        </w:tc>
        <w:tc>
          <w:tcPr>
            <w:tcW w:w="1720" w:type="dxa"/>
            <w:vAlign w:val="bottom"/>
          </w:tcPr>
          <w:p>
            <w:pPr>
              <w:jc w:val="center"/>
              <w:spacing w:after="0" w:line="138" w:lineRule="exact"/>
              <w:rPr>
                <w:sz w:val="20"/>
                <w:szCs w:val="20"/>
                <w:color w:val="auto"/>
              </w:rPr>
            </w:pPr>
            <w:r>
              <w:rPr>
                <w:rFonts w:ascii="Arial" w:cs="Arial" w:eastAsia="Arial" w:hAnsi="Arial"/>
                <w:sz w:val="13"/>
                <w:szCs w:val="13"/>
                <w:color w:val="auto"/>
                <w:w w:val="93"/>
              </w:rPr>
              <w:t>Healthcare, Education and</w:t>
            </w:r>
          </w:p>
        </w:tc>
        <w:tc>
          <w:tcPr>
            <w:tcW w:w="800" w:type="dxa"/>
            <w:vAlign w:val="bottom"/>
            <w:gridSpan w:val="3"/>
          </w:tcPr>
          <w:p>
            <w:pPr>
              <w:jc w:val="right"/>
              <w:ind w:right="20"/>
              <w:spacing w:after="0" w:line="138" w:lineRule="exact"/>
              <w:rPr>
                <w:sz w:val="20"/>
                <w:szCs w:val="20"/>
                <w:color w:val="auto"/>
              </w:rPr>
            </w:pPr>
            <w:r>
              <w:rPr>
                <w:rFonts w:ascii="Arial" w:cs="Arial" w:eastAsia="Arial" w:hAnsi="Arial"/>
                <w:sz w:val="13"/>
                <w:szCs w:val="13"/>
                <w:color w:val="auto"/>
              </w:rPr>
              <w:t>5.98%</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right"/>
              <w:ind w:right="360"/>
              <w:spacing w:after="0" w:line="138" w:lineRule="exact"/>
              <w:rPr>
                <w:sz w:val="20"/>
                <w:szCs w:val="20"/>
                <w:color w:val="auto"/>
              </w:rPr>
            </w:pPr>
            <w:r>
              <w:rPr>
                <w:rFonts w:ascii="Arial" w:cs="Arial" w:eastAsia="Arial" w:hAnsi="Arial"/>
                <w:sz w:val="13"/>
                <w:szCs w:val="13"/>
                <w:color w:val="auto"/>
              </w:rPr>
              <w:t>L+575</w:t>
            </w:r>
          </w:p>
        </w:tc>
        <w:tc>
          <w:tcPr>
            <w:tcW w:w="88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21,500,000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18,938,779</w:t>
            </w:r>
          </w:p>
        </w:tc>
        <w:tc>
          <w:tcPr>
            <w:tcW w:w="10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19,694,000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Childcare</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Specialized Technology Resources,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12/15/2014</w:t>
            </w:r>
          </w:p>
        </w:tc>
        <w:tc>
          <w:tcPr>
            <w:tcW w:w="20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Chemical, Plastics and Rubber</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7.23%</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L+700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22,500,000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22,488,167</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80" w:type="dxa"/>
            <w:vAlign w:val="bottom"/>
            <w:gridSpan w:val="2"/>
          </w:tcPr>
          <w:p>
            <w:pPr>
              <w:spacing w:after="0"/>
              <w:rPr>
                <w:sz w:val="20"/>
                <w:szCs w:val="20"/>
                <w:color w:val="auto"/>
              </w:rPr>
            </w:pPr>
            <w:r>
              <w:rPr>
                <w:rFonts w:ascii="Arial" w:cs="Arial" w:eastAsia="Arial" w:hAnsi="Arial"/>
                <w:sz w:val="13"/>
                <w:szCs w:val="13"/>
                <w:color w:val="auto"/>
              </w:rPr>
              <w:t>TransFirst Holdings, Inc.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06/15/2015</w:t>
            </w:r>
          </w:p>
        </w:tc>
        <w:tc>
          <w:tcPr>
            <w:tcW w:w="2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Financial Services</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7.01%</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L+675</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17,094,214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16,569,492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15,675,394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143,731,888</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139,020,391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8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8"/>
                <w:szCs w:val="18"/>
                <w:color w:val="auto"/>
                <w:vertAlign w:val="superscript"/>
              </w:rPr>
              <w:t>(7)</w:t>
            </w:r>
            <w:r>
              <w:rPr>
                <w:rFonts w:ascii="Arial" w:cs="Arial" w:eastAsia="Arial" w:hAnsi="Arial"/>
                <w:sz w:val="11"/>
                <w:szCs w:val="11"/>
                <w:b w:val="1"/>
                <w:bCs w:val="1"/>
                <w:color w:val="auto"/>
              </w:rPr>
              <w:t xml:space="preserve"> – 3.6%</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AHC Mezzanine</w:t>
            </w:r>
          </w:p>
        </w:tc>
        <w:tc>
          <w:tcPr>
            <w:tcW w:w="86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2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319</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318,896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(Advanstar Inc.)</w:t>
            </w: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80" w:type="dxa"/>
            <w:vAlign w:val="bottom"/>
            <w:gridSpan w:val="2"/>
          </w:tcPr>
          <w:p>
            <w:pPr>
              <w:spacing w:after="0" w:line="138" w:lineRule="exact"/>
              <w:rPr>
                <w:sz w:val="20"/>
                <w:szCs w:val="20"/>
                <w:color w:val="auto"/>
              </w:rPr>
            </w:pPr>
            <w:r>
              <w:rPr>
                <w:rFonts w:ascii="Arial" w:cs="Arial" w:eastAsia="Arial" w:hAnsi="Arial"/>
                <w:sz w:val="13"/>
                <w:szCs w:val="13"/>
                <w:color w:val="auto"/>
              </w:rPr>
              <w:t>CFHC Holdings, Inc., Class A</w:t>
            </w:r>
          </w:p>
        </w:tc>
        <w:tc>
          <w:tcPr>
            <w:tcW w:w="86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1720" w:type="dxa"/>
            <w:vAlign w:val="bottom"/>
          </w:tcPr>
          <w:p>
            <w:pPr>
              <w:jc w:val="center"/>
              <w:spacing w:after="0" w:line="138" w:lineRule="exact"/>
              <w:rPr>
                <w:sz w:val="20"/>
                <w:szCs w:val="20"/>
                <w:color w:val="auto"/>
              </w:rPr>
            </w:pPr>
            <w:r>
              <w:rPr>
                <w:rFonts w:ascii="Arial" w:cs="Arial" w:eastAsia="Arial" w:hAnsi="Arial"/>
                <w:sz w:val="13"/>
                <w:szCs w:val="13"/>
                <w:color w:val="auto"/>
                <w:w w:val="91"/>
              </w:rPr>
              <w:t>Aerospace and Defense</w:t>
            </w:r>
          </w:p>
        </w:tc>
        <w:tc>
          <w:tcPr>
            <w:tcW w:w="800" w:type="dxa"/>
            <w:vAlign w:val="bottom"/>
            <w:gridSpan w:val="3"/>
          </w:tcPr>
          <w:p>
            <w:pPr>
              <w:jc w:val="right"/>
              <w:ind w:right="20"/>
              <w:spacing w:after="0" w:line="138" w:lineRule="exact"/>
              <w:rPr>
                <w:sz w:val="20"/>
                <w:szCs w:val="20"/>
                <w:color w:val="auto"/>
              </w:rPr>
            </w:pPr>
            <w:r>
              <w:rPr>
                <w:rFonts w:ascii="Arial" w:cs="Arial" w:eastAsia="Arial" w:hAnsi="Arial"/>
                <w:sz w:val="13"/>
                <w:szCs w:val="13"/>
                <w:color w:val="auto"/>
              </w:rPr>
              <w:t>12.00%</w:t>
            </w:r>
          </w:p>
        </w:tc>
        <w:tc>
          <w:tcPr>
            <w:tcW w:w="380" w:type="dxa"/>
            <w:vAlign w:val="bottom"/>
          </w:tcPr>
          <w:p>
            <w:pPr>
              <w:spacing w:after="0"/>
              <w:rPr>
                <w:sz w:val="11"/>
                <w:szCs w:val="11"/>
                <w:color w:val="auto"/>
              </w:rPr>
            </w:pPr>
          </w:p>
        </w:tc>
        <w:tc>
          <w:tcPr>
            <w:tcW w:w="84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797</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797,288</w:t>
            </w:r>
          </w:p>
        </w:tc>
        <w:tc>
          <w:tcPr>
            <w:tcW w:w="10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978,806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80" w:type="dxa"/>
            <w:vAlign w:val="bottom"/>
            <w:gridSpan w:val="2"/>
          </w:tcPr>
          <w:p>
            <w:pPr>
              <w:ind w:left="220"/>
              <w:spacing w:after="0"/>
              <w:rPr>
                <w:sz w:val="20"/>
                <w:szCs w:val="20"/>
                <w:color w:val="auto"/>
              </w:rPr>
            </w:pPr>
            <w:r>
              <w:rPr>
                <w:rFonts w:ascii="Arial" w:cs="Arial" w:eastAsia="Arial" w:hAnsi="Arial"/>
                <w:sz w:val="13"/>
                <w:szCs w:val="13"/>
                <w:color w:val="auto"/>
              </w:rPr>
              <w:t>(Consolidated Foundries, Inc.)</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i2 Holdings Ltd.</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12.00%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4,137,240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4,137,240</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4,927,099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80" w:type="dxa"/>
            <w:vAlign w:val="bottom"/>
            <w:gridSpan w:val="2"/>
          </w:tcPr>
          <w:p>
            <w:pPr>
              <w:spacing w:after="0" w:line="138" w:lineRule="exact"/>
              <w:rPr>
                <w:sz w:val="20"/>
                <w:szCs w:val="20"/>
                <w:color w:val="auto"/>
              </w:rPr>
            </w:pPr>
            <w:r>
              <w:rPr>
                <w:rFonts w:ascii="Arial" w:cs="Arial" w:eastAsia="Arial" w:hAnsi="Arial"/>
                <w:sz w:val="13"/>
                <w:szCs w:val="13"/>
                <w:color w:val="auto"/>
              </w:rPr>
              <w:t>TZ Holdings, L.P., Series A</w:t>
            </w:r>
          </w:p>
        </w:tc>
        <w:tc>
          <w:tcPr>
            <w:tcW w:w="86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1720" w:type="dxa"/>
            <w:vAlign w:val="bottom"/>
          </w:tcPr>
          <w:p>
            <w:pPr>
              <w:jc w:val="center"/>
              <w:spacing w:after="0" w:line="138" w:lineRule="exact"/>
              <w:rPr>
                <w:sz w:val="20"/>
                <w:szCs w:val="20"/>
                <w:color w:val="auto"/>
              </w:rPr>
            </w:pPr>
            <w:r>
              <w:rPr>
                <w:rFonts w:ascii="Arial" w:cs="Arial" w:eastAsia="Arial" w:hAnsi="Arial"/>
                <w:sz w:val="13"/>
                <w:szCs w:val="13"/>
                <w:color w:val="auto"/>
                <w:w w:val="91"/>
              </w:rPr>
              <w:t>Insurance</w:t>
            </w:r>
          </w:p>
        </w:tc>
        <w:tc>
          <w:tcPr>
            <w:tcW w:w="20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686</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685,820</w:t>
            </w:r>
          </w:p>
        </w:tc>
        <w:tc>
          <w:tcPr>
            <w:tcW w:w="10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685,820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80" w:type="dxa"/>
            <w:vAlign w:val="bottom"/>
            <w:gridSpan w:val="2"/>
          </w:tcPr>
          <w:p>
            <w:pPr>
              <w:ind w:left="220"/>
              <w:spacing w:after="0"/>
              <w:rPr>
                <w:sz w:val="20"/>
                <w:szCs w:val="20"/>
                <w:color w:val="auto"/>
              </w:rPr>
            </w:pPr>
            <w:r>
              <w:rPr>
                <w:rFonts w:ascii="Arial" w:cs="Arial" w:eastAsia="Arial" w:hAnsi="Arial"/>
                <w:sz w:val="13"/>
                <w:szCs w:val="13"/>
                <w:color w:val="auto"/>
              </w:rPr>
              <w:t>(Trizetto Group, Inc.)</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TZ Holdings, L.P., Series B</w:t>
            </w:r>
          </w:p>
        </w:tc>
        <w:tc>
          <w:tcPr>
            <w:tcW w:w="86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Insurance</w:t>
            </w:r>
          </w:p>
        </w:tc>
        <w:tc>
          <w:tcPr>
            <w:tcW w:w="80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6.50%</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1,312</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1,312,006</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1,410,604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(Trizetto Group, Inc.)</w:t>
            </w: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80" w:type="dxa"/>
            <w:vAlign w:val="bottom"/>
            <w:gridSpan w:val="2"/>
          </w:tcPr>
          <w:p>
            <w:pPr>
              <w:spacing w:after="0" w:line="138" w:lineRule="exact"/>
              <w:rPr>
                <w:sz w:val="20"/>
                <w:szCs w:val="20"/>
                <w:color w:val="auto"/>
              </w:rPr>
            </w:pPr>
            <w:r>
              <w:rPr>
                <w:rFonts w:ascii="Arial" w:cs="Arial" w:eastAsia="Arial" w:hAnsi="Arial"/>
                <w:sz w:val="13"/>
                <w:szCs w:val="13"/>
                <w:color w:val="auto"/>
              </w:rPr>
              <w:t>UP Holdings Inc., Class A-1</w:t>
            </w:r>
          </w:p>
        </w:tc>
        <w:tc>
          <w:tcPr>
            <w:tcW w:w="86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1720" w:type="dxa"/>
            <w:vAlign w:val="bottom"/>
          </w:tcPr>
          <w:p>
            <w:pPr>
              <w:jc w:val="center"/>
              <w:spacing w:after="0" w:line="138" w:lineRule="exact"/>
              <w:rPr>
                <w:sz w:val="20"/>
                <w:szCs w:val="20"/>
                <w:color w:val="auto"/>
              </w:rPr>
            </w:pPr>
            <w:r>
              <w:rPr>
                <w:rFonts w:ascii="Arial" w:cs="Arial" w:eastAsia="Arial" w:hAnsi="Arial"/>
                <w:sz w:val="13"/>
                <w:szCs w:val="13"/>
                <w:color w:val="auto"/>
                <w:w w:val="93"/>
              </w:rPr>
              <w:t>Oil and Gas</w:t>
            </w:r>
          </w:p>
        </w:tc>
        <w:tc>
          <w:tcPr>
            <w:tcW w:w="800" w:type="dxa"/>
            <w:vAlign w:val="bottom"/>
            <w:gridSpan w:val="3"/>
          </w:tcPr>
          <w:p>
            <w:pPr>
              <w:jc w:val="right"/>
              <w:ind w:right="20"/>
              <w:spacing w:after="0" w:line="138" w:lineRule="exact"/>
              <w:rPr>
                <w:sz w:val="20"/>
                <w:szCs w:val="20"/>
                <w:color w:val="auto"/>
              </w:rPr>
            </w:pPr>
            <w:r>
              <w:rPr>
                <w:rFonts w:ascii="Arial" w:cs="Arial" w:eastAsia="Arial" w:hAnsi="Arial"/>
                <w:sz w:val="13"/>
                <w:szCs w:val="13"/>
                <w:color w:val="auto"/>
              </w:rPr>
              <w:t>8.00%</w:t>
            </w:r>
          </w:p>
        </w:tc>
        <w:tc>
          <w:tcPr>
            <w:tcW w:w="380" w:type="dxa"/>
            <w:vAlign w:val="bottom"/>
          </w:tcPr>
          <w:p>
            <w:pPr>
              <w:spacing w:after="0"/>
              <w:rPr>
                <w:sz w:val="11"/>
                <w:szCs w:val="11"/>
                <w:color w:val="auto"/>
              </w:rPr>
            </w:pPr>
          </w:p>
        </w:tc>
        <w:tc>
          <w:tcPr>
            <w:tcW w:w="84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91,608</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2,499,066</w:t>
            </w:r>
          </w:p>
        </w:tc>
        <w:tc>
          <w:tcPr>
            <w:tcW w:w="10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2,879,746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080" w:type="dxa"/>
            <w:vAlign w:val="bottom"/>
            <w:gridSpan w:val="2"/>
          </w:tcPr>
          <w:p>
            <w:pPr>
              <w:ind w:left="220"/>
              <w:spacing w:after="0"/>
              <w:rPr>
                <w:sz w:val="20"/>
                <w:szCs w:val="20"/>
                <w:color w:val="auto"/>
              </w:rPr>
            </w:pPr>
            <w:r>
              <w:rPr>
                <w:rFonts w:ascii="Arial" w:cs="Arial" w:eastAsia="Arial" w:hAnsi="Arial"/>
                <w:sz w:val="13"/>
                <w:szCs w:val="13"/>
                <w:color w:val="auto"/>
              </w:rPr>
              <w:t>(UP Acquisitions Sub Inc.)</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Preferred Equity/Partnership Interests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9,750,316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10,882,075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tbl>
      <w:tblPr>
        <w:tblLayout w:type="fixed"/>
        <w:tblInd w:w="0" w:type="dxa"/>
        <w:tblCellMar>
          <w:top w:w="0" w:type="dxa"/>
          <w:left w:w="0" w:type="dxa"/>
          <w:bottom w:w="0" w:type="dxa"/>
          <w:right w:w="0" w:type="dxa"/>
        </w:tblCellMar>
      </w:tblPr>
      <w:tr>
        <w:trPr>
          <w:trHeight w:val="147"/>
        </w:trPr>
        <w:tc>
          <w:tcPr>
            <w:tcW w:w="7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center"/>
              <w:ind w:right="360"/>
              <w:spacing w:after="0" w:line="147" w:lineRule="exact"/>
              <w:rPr>
                <w:sz w:val="20"/>
                <w:szCs w:val="20"/>
                <w:color w:val="auto"/>
              </w:rPr>
            </w:pPr>
            <w:r>
              <w:rPr>
                <w:rFonts w:ascii="Arial" w:cs="Arial" w:eastAsia="Arial" w:hAnsi="Arial"/>
                <w:sz w:val="13"/>
                <w:szCs w:val="13"/>
                <w:b w:val="1"/>
                <w:bCs w:val="1"/>
                <w:color w:val="auto"/>
                <w:w w:val="86"/>
              </w:rPr>
              <w:t>Basis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7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8"/>
              </w:rPr>
              <w:t>Point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7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Spread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4"/>
        </w:trPr>
        <w:tc>
          <w:tcPr>
            <w:tcW w:w="7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120"/>
              <w:spacing w:after="0" w:line="134" w:lineRule="exact"/>
              <w:rPr>
                <w:sz w:val="20"/>
                <w:szCs w:val="20"/>
                <w:color w:val="auto"/>
              </w:rPr>
            </w:pPr>
            <w:r>
              <w:rPr>
                <w:rFonts w:ascii="Arial" w:cs="Arial" w:eastAsia="Arial" w:hAnsi="Arial"/>
                <w:sz w:val="13"/>
                <w:szCs w:val="13"/>
                <w:b w:val="1"/>
                <w:bCs w:val="1"/>
                <w:color w:val="auto"/>
                <w:w w:val="97"/>
              </w:rPr>
              <w:t>Current</w:t>
            </w:r>
          </w:p>
        </w:tc>
        <w:tc>
          <w:tcPr>
            <w:tcW w:w="400" w:type="dxa"/>
            <w:vAlign w:val="bottom"/>
          </w:tcPr>
          <w:p>
            <w:pPr>
              <w:spacing w:after="0"/>
              <w:rPr>
                <w:sz w:val="11"/>
                <w:szCs w:val="11"/>
                <w:color w:val="auto"/>
              </w:rPr>
            </w:pPr>
          </w:p>
        </w:tc>
        <w:tc>
          <w:tcPr>
            <w:tcW w:w="860" w:type="dxa"/>
            <w:vAlign w:val="bottom"/>
            <w:gridSpan w:val="2"/>
          </w:tcPr>
          <w:p>
            <w:pPr>
              <w:jc w:val="center"/>
              <w:ind w:right="380"/>
              <w:spacing w:after="0" w:line="134" w:lineRule="exact"/>
              <w:rPr>
                <w:sz w:val="20"/>
                <w:szCs w:val="20"/>
                <w:color w:val="auto"/>
              </w:rPr>
            </w:pPr>
            <w:r>
              <w:rPr>
                <w:rFonts w:ascii="Arial" w:cs="Arial" w:eastAsia="Arial" w:hAnsi="Arial"/>
                <w:sz w:val="13"/>
                <w:szCs w:val="13"/>
                <w:b w:val="1"/>
                <w:bCs w:val="1"/>
                <w:color w:val="auto"/>
                <w:w w:val="90"/>
              </w:rPr>
              <w:t>Above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80"/>
              <w:spacing w:after="0" w:line="134" w:lineRule="exact"/>
              <w:rPr>
                <w:sz w:val="20"/>
                <w:szCs w:val="20"/>
                <w:color w:val="auto"/>
              </w:rPr>
            </w:pPr>
            <w:r>
              <w:rPr>
                <w:rFonts w:ascii="Arial" w:cs="Arial" w:eastAsia="Arial" w:hAnsi="Arial"/>
                <w:sz w:val="13"/>
                <w:szCs w:val="13"/>
                <w:b w:val="1"/>
                <w:bCs w:val="1"/>
                <w:color w:val="auto"/>
              </w:rPr>
              <w:t>Fair</w:t>
            </w: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338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18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8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Coupon</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360" w:type="dxa"/>
            <w:vAlign w:val="bottom"/>
          </w:tcPr>
          <w:p>
            <w:pPr>
              <w:spacing w:after="0"/>
              <w:rPr>
                <w:sz w:val="15"/>
                <w:szCs w:val="15"/>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0"/>
              </w:rPr>
              <w:t>Par / Shares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3"/>
              <w:spacing w:after="0" w:line="176"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20"/>
                <w:szCs w:val="20"/>
                <w:b w:val="1"/>
                <w:bCs w:val="1"/>
                <w:color w:val="auto"/>
                <w:vertAlign w:val="superscript"/>
              </w:rPr>
              <w:t>(3)</w:t>
            </w:r>
          </w:p>
        </w:tc>
        <w:tc>
          <w:tcPr>
            <w:tcW w:w="20" w:type="dxa"/>
            <w:vAlign w:val="bottom"/>
          </w:tcPr>
          <w:p>
            <w:pPr>
              <w:spacing w:after="0"/>
              <w:rPr>
                <w:sz w:val="15"/>
                <w:szCs w:val="15"/>
                <w:color w:val="auto"/>
              </w:rPr>
            </w:pPr>
          </w:p>
        </w:tc>
      </w:tr>
      <w:tr>
        <w:trPr>
          <w:trHeight w:val="142"/>
        </w:trPr>
        <w:tc>
          <w:tcPr>
            <w:tcW w:w="4140" w:type="dxa"/>
            <w:vAlign w:val="bottom"/>
            <w:gridSpan w:val="2"/>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Common Equity/Warrants/Partnership Interests </w:t>
            </w:r>
            <w:r>
              <w:rPr>
                <w:rFonts w:ascii="Arial" w:cs="Arial" w:eastAsia="Arial" w:hAnsi="Arial"/>
                <w:sz w:val="16"/>
                <w:szCs w:val="16"/>
                <w:b w:val="1"/>
                <w:bCs w:val="1"/>
                <w:color w:val="auto"/>
                <w:vertAlign w:val="superscript"/>
              </w:rPr>
              <w:t>(7)</w:t>
            </w:r>
            <w:r>
              <w:rPr>
                <w:rFonts w:ascii="Arial" w:cs="Arial" w:eastAsia="Arial" w:hAnsi="Arial"/>
                <w:sz w:val="10"/>
                <w:szCs w:val="10"/>
                <w:b w:val="1"/>
                <w:bCs w:val="1"/>
                <w:color w:val="auto"/>
              </w:rPr>
              <w:t xml:space="preserve"> – 4.8%</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3"/>
                <w:szCs w:val="13"/>
                <w:color w:val="auto"/>
              </w:rPr>
              <w:t>CFHC Holdings, Inc.</w:t>
            </w:r>
          </w:p>
        </w:tc>
        <w:tc>
          <w:tcPr>
            <w:tcW w:w="660" w:type="dxa"/>
            <w:vAlign w:val="bottom"/>
          </w:tcPr>
          <w:p>
            <w:pPr>
              <w:ind w:left="460"/>
              <w:spacing w:after="0" w:line="13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660" w:type="dxa"/>
            <w:vAlign w:val="bottom"/>
          </w:tcPr>
          <w:p>
            <w:pPr>
              <w:jc w:val="center"/>
              <w:spacing w:after="0" w:line="138" w:lineRule="exact"/>
              <w:rPr>
                <w:sz w:val="20"/>
                <w:szCs w:val="20"/>
                <w:color w:val="auto"/>
              </w:rPr>
            </w:pPr>
            <w:r>
              <w:rPr>
                <w:rFonts w:ascii="Arial" w:cs="Arial" w:eastAsia="Arial" w:hAnsi="Arial"/>
                <w:sz w:val="13"/>
                <w:szCs w:val="13"/>
                <w:color w:val="auto"/>
                <w:w w:val="91"/>
              </w:rPr>
              <w:t>Aerospace and Defense</w:t>
            </w:r>
          </w:p>
        </w:tc>
        <w:tc>
          <w:tcPr>
            <w:tcW w:w="180" w:type="dxa"/>
            <w:vAlign w:val="bottom"/>
          </w:tcPr>
          <w:p>
            <w:pPr>
              <w:spacing w:after="0"/>
              <w:rPr>
                <w:sz w:val="11"/>
                <w:szCs w:val="11"/>
                <w:color w:val="auto"/>
              </w:rPr>
            </w:pPr>
          </w:p>
        </w:tc>
        <w:tc>
          <w:tcPr>
            <w:tcW w:w="60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860" w:type="dxa"/>
            <w:vAlign w:val="bottom"/>
            <w:gridSpan w:val="2"/>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8"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1,627</w:t>
            </w:r>
          </w:p>
        </w:tc>
        <w:tc>
          <w:tcPr>
            <w:tcW w:w="8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16,271</w:t>
            </w:r>
          </w:p>
        </w:tc>
        <w:tc>
          <w:tcPr>
            <w:tcW w:w="100" w:type="dxa"/>
            <w:vAlign w:val="bottom"/>
          </w:tcPr>
          <w:p>
            <w:pPr>
              <w:spacing w:after="0"/>
              <w:rPr>
                <w:sz w:val="11"/>
                <w:szCs w:val="11"/>
                <w:color w:val="auto"/>
              </w:rPr>
            </w:pPr>
          </w:p>
        </w:tc>
        <w:tc>
          <w:tcPr>
            <w:tcW w:w="1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245,762</w:t>
            </w:r>
          </w:p>
        </w:tc>
        <w:tc>
          <w:tcPr>
            <w:tcW w:w="20" w:type="dxa"/>
            <w:vAlign w:val="bottom"/>
          </w:tcPr>
          <w:p>
            <w:pPr>
              <w:spacing w:after="0"/>
              <w:rPr>
                <w:sz w:val="11"/>
                <w:szCs w:val="11"/>
                <w:color w:val="auto"/>
              </w:rPr>
            </w:pPr>
          </w:p>
        </w:tc>
      </w:tr>
      <w:tr>
        <w:trPr>
          <w:trHeight w:val="159"/>
        </w:trPr>
        <w:tc>
          <w:tcPr>
            <w:tcW w:w="4140" w:type="dxa"/>
            <w:vAlign w:val="bottom"/>
            <w:gridSpan w:val="2"/>
          </w:tcPr>
          <w:p>
            <w:pPr>
              <w:ind w:left="220"/>
              <w:spacing w:after="0"/>
              <w:rPr>
                <w:sz w:val="20"/>
                <w:szCs w:val="20"/>
                <w:color w:val="auto"/>
              </w:rPr>
            </w:pPr>
            <w:r>
              <w:rPr>
                <w:rFonts w:ascii="Arial" w:cs="Arial" w:eastAsia="Arial" w:hAnsi="Arial"/>
                <w:sz w:val="13"/>
                <w:szCs w:val="13"/>
                <w:color w:val="auto"/>
              </w:rPr>
              <w:t>(Consolidated Foundries, Inc.)</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CT Technologies Holdings, LLC</w:t>
            </w:r>
          </w:p>
        </w:tc>
        <w:tc>
          <w:tcPr>
            <w:tcW w:w="660" w:type="dxa"/>
            <w:vAlign w:val="bottom"/>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Business Services</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5,556</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3,200,000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6,977,888</w:t>
            </w:r>
          </w:p>
        </w:tc>
        <w:tc>
          <w:tcPr>
            <w:tcW w:w="20" w:type="dxa"/>
            <w:vAlign w:val="bottom"/>
          </w:tcPr>
          <w:p>
            <w:pPr>
              <w:spacing w:after="0"/>
              <w:rPr>
                <w:sz w:val="11"/>
                <w:szCs w:val="11"/>
                <w:color w:val="auto"/>
              </w:rPr>
            </w:pPr>
          </w:p>
        </w:tc>
      </w:tr>
      <w:tr>
        <w:trPr>
          <w:trHeight w:val="159"/>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(CT Technologies Intermediate Holdings, Inc.)</w:t>
            </w: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4140" w:type="dxa"/>
            <w:vAlign w:val="bottom"/>
            <w:gridSpan w:val="2"/>
          </w:tcPr>
          <w:p>
            <w:pPr>
              <w:spacing w:after="0"/>
              <w:rPr>
                <w:sz w:val="20"/>
                <w:szCs w:val="20"/>
                <w:color w:val="auto"/>
              </w:rPr>
            </w:pPr>
            <w:r>
              <w:rPr>
                <w:rFonts w:ascii="Arial" w:cs="Arial" w:eastAsia="Arial" w:hAnsi="Arial"/>
                <w:sz w:val="13"/>
                <w:szCs w:val="13"/>
                <w:color w:val="auto"/>
              </w:rPr>
              <w:t>i2 Holdings Ltd.</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1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457,322</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454,030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1,043,777</w:t>
            </w:r>
          </w:p>
        </w:tc>
        <w:tc>
          <w:tcPr>
            <w:tcW w:w="20" w:type="dxa"/>
            <w:vAlign w:val="bottom"/>
          </w:tcPr>
          <w:p>
            <w:pPr>
              <w:spacing w:after="0"/>
              <w:rPr>
                <w:sz w:val="12"/>
                <w:szCs w:val="12"/>
                <w:color w:val="auto"/>
              </w:rPr>
            </w:pPr>
          </w:p>
        </w:tc>
      </w:tr>
      <w:tr>
        <w:trPr>
          <w:trHeight w:val="138"/>
        </w:trPr>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QMG HoldCo, LLC, Class A</w:t>
            </w:r>
          </w:p>
        </w:tc>
        <w:tc>
          <w:tcPr>
            <w:tcW w:w="660" w:type="dxa"/>
            <w:vAlign w:val="bottom"/>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4,325</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1,306,167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1,306,126</w:t>
            </w:r>
          </w:p>
        </w:tc>
        <w:tc>
          <w:tcPr>
            <w:tcW w:w="20" w:type="dxa"/>
            <w:vAlign w:val="bottom"/>
          </w:tcPr>
          <w:p>
            <w:pPr>
              <w:spacing w:after="0"/>
              <w:rPr>
                <w:sz w:val="11"/>
                <w:szCs w:val="11"/>
                <w:color w:val="auto"/>
              </w:rPr>
            </w:pPr>
          </w:p>
        </w:tc>
      </w:tr>
      <w:tr>
        <w:trPr>
          <w:trHeight w:val="159"/>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(formerly Questex Media Group, Inc.)</w:t>
            </w: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3"/>
                <w:szCs w:val="13"/>
                <w:color w:val="auto"/>
              </w:rPr>
              <w:t>QMG HoldCo, LLC, Class B</w:t>
            </w:r>
          </w:p>
        </w:tc>
        <w:tc>
          <w:tcPr>
            <w:tcW w:w="660" w:type="dxa"/>
            <w:vAlign w:val="bottom"/>
          </w:tcPr>
          <w:p>
            <w:pPr>
              <w:ind w:left="460"/>
              <w:spacing w:after="0" w:line="13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660" w:type="dxa"/>
            <w:vAlign w:val="bottom"/>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180" w:type="dxa"/>
            <w:vAlign w:val="bottom"/>
          </w:tcPr>
          <w:p>
            <w:pPr>
              <w:spacing w:after="0"/>
              <w:rPr>
                <w:sz w:val="11"/>
                <w:szCs w:val="11"/>
                <w:color w:val="auto"/>
              </w:rPr>
            </w:pPr>
          </w:p>
        </w:tc>
        <w:tc>
          <w:tcPr>
            <w:tcW w:w="60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860" w:type="dxa"/>
            <w:vAlign w:val="bottom"/>
            <w:gridSpan w:val="2"/>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531</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160,323</w:t>
            </w:r>
          </w:p>
        </w:tc>
        <w:tc>
          <w:tcPr>
            <w:tcW w:w="20" w:type="dxa"/>
            <w:vAlign w:val="bottom"/>
          </w:tcPr>
          <w:p>
            <w:pPr>
              <w:spacing w:after="0"/>
              <w:rPr>
                <w:sz w:val="11"/>
                <w:szCs w:val="11"/>
                <w:color w:val="auto"/>
              </w:rPr>
            </w:pPr>
          </w:p>
        </w:tc>
      </w:tr>
      <w:tr>
        <w:trPr>
          <w:trHeight w:val="159"/>
        </w:trPr>
        <w:tc>
          <w:tcPr>
            <w:tcW w:w="4140" w:type="dxa"/>
            <w:vAlign w:val="bottom"/>
            <w:gridSpan w:val="2"/>
          </w:tcPr>
          <w:p>
            <w:pPr>
              <w:ind w:left="220"/>
              <w:spacing w:after="0"/>
              <w:rPr>
                <w:sz w:val="20"/>
                <w:szCs w:val="20"/>
                <w:color w:val="auto"/>
              </w:rPr>
            </w:pPr>
            <w:r>
              <w:rPr>
                <w:rFonts w:ascii="Arial" w:cs="Arial" w:eastAsia="Arial" w:hAnsi="Arial"/>
                <w:sz w:val="13"/>
                <w:szCs w:val="13"/>
                <w:color w:val="auto"/>
              </w:rPr>
              <w:t>(formerly Questex Media Group, Inc.)</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TRAK Acquisition Corp., (warrants)</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12/29/2019</w:t>
            </w:r>
          </w:p>
        </w:tc>
        <w:tc>
          <w:tcPr>
            <w:tcW w:w="18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3,500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29,400</w:t>
            </w:r>
          </w:p>
        </w:tc>
        <w:tc>
          <w:tcPr>
            <w:tcW w:w="20" w:type="dxa"/>
            <w:vAlign w:val="bottom"/>
          </w:tcPr>
          <w:p>
            <w:pPr>
              <w:spacing w:after="0"/>
              <w:rPr>
                <w:sz w:val="12"/>
                <w:szCs w:val="12"/>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3"/>
                <w:szCs w:val="13"/>
                <w:color w:val="auto"/>
              </w:rPr>
              <w:t>Transportation 100 Holdco, L.L.C.</w:t>
            </w:r>
          </w:p>
        </w:tc>
        <w:tc>
          <w:tcPr>
            <w:tcW w:w="660" w:type="dxa"/>
            <w:vAlign w:val="bottom"/>
          </w:tcPr>
          <w:p>
            <w:pPr>
              <w:ind w:left="460"/>
              <w:spacing w:after="0" w:line="13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660" w:type="dxa"/>
            <w:vAlign w:val="bottom"/>
          </w:tcPr>
          <w:p>
            <w:pPr>
              <w:jc w:val="center"/>
              <w:spacing w:after="0" w:line="138" w:lineRule="exact"/>
              <w:rPr>
                <w:sz w:val="20"/>
                <w:szCs w:val="20"/>
                <w:color w:val="auto"/>
              </w:rPr>
            </w:pPr>
            <w:r>
              <w:rPr>
                <w:rFonts w:ascii="Arial" w:cs="Arial" w:eastAsia="Arial" w:hAnsi="Arial"/>
                <w:sz w:val="13"/>
                <w:szCs w:val="13"/>
                <w:color w:val="auto"/>
                <w:w w:val="92"/>
              </w:rPr>
              <w:t>Cargo Transport</w:t>
            </w:r>
          </w:p>
        </w:tc>
        <w:tc>
          <w:tcPr>
            <w:tcW w:w="180" w:type="dxa"/>
            <w:vAlign w:val="bottom"/>
          </w:tcPr>
          <w:p>
            <w:pPr>
              <w:spacing w:after="0"/>
              <w:rPr>
                <w:sz w:val="11"/>
                <w:szCs w:val="11"/>
                <w:color w:val="auto"/>
              </w:rPr>
            </w:pPr>
          </w:p>
        </w:tc>
        <w:tc>
          <w:tcPr>
            <w:tcW w:w="60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860" w:type="dxa"/>
            <w:vAlign w:val="bottom"/>
            <w:gridSpan w:val="2"/>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137,923</w:t>
            </w: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2,433,112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3,449,041</w:t>
            </w:r>
          </w:p>
        </w:tc>
        <w:tc>
          <w:tcPr>
            <w:tcW w:w="20" w:type="dxa"/>
            <w:vAlign w:val="bottom"/>
          </w:tcPr>
          <w:p>
            <w:pPr>
              <w:spacing w:after="0"/>
              <w:rPr>
                <w:sz w:val="11"/>
                <w:szCs w:val="11"/>
                <w:color w:val="auto"/>
              </w:rPr>
            </w:pPr>
          </w:p>
        </w:tc>
      </w:tr>
      <w:tr>
        <w:trPr>
          <w:trHeight w:val="159"/>
        </w:trPr>
        <w:tc>
          <w:tcPr>
            <w:tcW w:w="4140" w:type="dxa"/>
            <w:vAlign w:val="bottom"/>
            <w:gridSpan w:val="2"/>
          </w:tcPr>
          <w:p>
            <w:pPr>
              <w:ind w:left="220"/>
              <w:spacing w:after="0"/>
              <w:rPr>
                <w:sz w:val="20"/>
                <w:szCs w:val="20"/>
                <w:color w:val="auto"/>
              </w:rPr>
            </w:pPr>
            <w:r>
              <w:rPr>
                <w:rFonts w:ascii="Arial" w:cs="Arial" w:eastAsia="Arial" w:hAnsi="Arial"/>
                <w:sz w:val="13"/>
                <w:szCs w:val="13"/>
                <w:color w:val="auto"/>
              </w:rPr>
              <w:t>(Greatwide Logistics Services, L.L.C)</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TZ Holdings, L.P.</w:t>
            </w:r>
          </w:p>
        </w:tc>
        <w:tc>
          <w:tcPr>
            <w:tcW w:w="660" w:type="dxa"/>
            <w:vAlign w:val="bottom"/>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Insurance</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6,467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1,242,185</w:t>
            </w:r>
          </w:p>
        </w:tc>
        <w:tc>
          <w:tcPr>
            <w:tcW w:w="20" w:type="dxa"/>
            <w:vAlign w:val="bottom"/>
          </w:tcPr>
          <w:p>
            <w:pPr>
              <w:spacing w:after="0"/>
              <w:rPr>
                <w:sz w:val="11"/>
                <w:szCs w:val="11"/>
                <w:color w:val="auto"/>
              </w:rPr>
            </w:pPr>
          </w:p>
        </w:tc>
      </w:tr>
      <w:tr>
        <w:trPr>
          <w:trHeight w:val="159"/>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(Trizetto Group, Inc.)</w:t>
            </w: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3"/>
                <w:szCs w:val="13"/>
                <w:color w:val="auto"/>
              </w:rPr>
              <w:t>UP Holdings Inc.</w:t>
            </w:r>
          </w:p>
        </w:tc>
        <w:tc>
          <w:tcPr>
            <w:tcW w:w="660" w:type="dxa"/>
            <w:vAlign w:val="bottom"/>
          </w:tcPr>
          <w:p>
            <w:pPr>
              <w:ind w:left="460"/>
              <w:spacing w:after="0" w:line="13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660" w:type="dxa"/>
            <w:vAlign w:val="bottom"/>
          </w:tcPr>
          <w:p>
            <w:pPr>
              <w:jc w:val="center"/>
              <w:spacing w:after="0" w:line="138" w:lineRule="exact"/>
              <w:rPr>
                <w:sz w:val="20"/>
                <w:szCs w:val="20"/>
                <w:color w:val="auto"/>
              </w:rPr>
            </w:pPr>
            <w:r>
              <w:rPr>
                <w:rFonts w:ascii="Arial" w:cs="Arial" w:eastAsia="Arial" w:hAnsi="Arial"/>
                <w:sz w:val="13"/>
                <w:szCs w:val="13"/>
                <w:color w:val="auto"/>
                <w:w w:val="93"/>
              </w:rPr>
              <w:t>Oil and Gas</w:t>
            </w:r>
          </w:p>
        </w:tc>
        <w:tc>
          <w:tcPr>
            <w:tcW w:w="180" w:type="dxa"/>
            <w:vAlign w:val="bottom"/>
          </w:tcPr>
          <w:p>
            <w:pPr>
              <w:spacing w:after="0"/>
              <w:rPr>
                <w:sz w:val="11"/>
                <w:szCs w:val="11"/>
                <w:color w:val="auto"/>
              </w:rPr>
            </w:pPr>
          </w:p>
        </w:tc>
        <w:tc>
          <w:tcPr>
            <w:tcW w:w="60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860" w:type="dxa"/>
            <w:vAlign w:val="bottom"/>
            <w:gridSpan w:val="2"/>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91,608</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916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312,765</w:t>
            </w:r>
          </w:p>
        </w:tc>
        <w:tc>
          <w:tcPr>
            <w:tcW w:w="20" w:type="dxa"/>
            <w:vAlign w:val="bottom"/>
          </w:tcPr>
          <w:p>
            <w:pPr>
              <w:spacing w:after="0"/>
              <w:rPr>
                <w:sz w:val="11"/>
                <w:szCs w:val="11"/>
                <w:color w:val="auto"/>
              </w:rPr>
            </w:pPr>
          </w:p>
        </w:tc>
      </w:tr>
      <w:tr>
        <w:trPr>
          <w:trHeight w:val="166"/>
        </w:trPr>
        <w:tc>
          <w:tcPr>
            <w:tcW w:w="4140" w:type="dxa"/>
            <w:vAlign w:val="bottom"/>
            <w:gridSpan w:val="2"/>
          </w:tcPr>
          <w:p>
            <w:pPr>
              <w:ind w:left="220"/>
              <w:spacing w:after="0"/>
              <w:rPr>
                <w:sz w:val="20"/>
                <w:szCs w:val="20"/>
                <w:color w:val="auto"/>
              </w:rPr>
            </w:pPr>
            <w:r>
              <w:rPr>
                <w:rFonts w:ascii="Arial" w:cs="Arial" w:eastAsia="Arial" w:hAnsi="Arial"/>
                <w:sz w:val="13"/>
                <w:szCs w:val="13"/>
                <w:color w:val="auto"/>
              </w:rPr>
              <w:t>(UP Acquisitions Sub Inc.)</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Common Equity/Warrants/Partnership Interests</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7,446,363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14,767,267</w:t>
            </w:r>
          </w:p>
        </w:tc>
        <w:tc>
          <w:tcPr>
            <w:tcW w:w="20" w:type="dxa"/>
            <w:vAlign w:val="bottom"/>
          </w:tcPr>
          <w:p>
            <w:pPr>
              <w:spacing w:after="0"/>
              <w:rPr>
                <w:sz w:val="12"/>
                <w:szCs w:val="12"/>
                <w:color w:val="auto"/>
              </w:rPr>
            </w:pPr>
          </w:p>
        </w:tc>
      </w:tr>
      <w:tr>
        <w:trPr>
          <w:trHeight w:val="263"/>
        </w:trPr>
        <w:tc>
          <w:tcPr>
            <w:tcW w:w="4140" w:type="dxa"/>
            <w:vAlign w:val="bottom"/>
            <w:gridSpan w:val="2"/>
          </w:tcPr>
          <w:p>
            <w:pPr>
              <w:spacing w:after="0"/>
              <w:rPr>
                <w:sz w:val="20"/>
                <w:szCs w:val="20"/>
                <w:color w:val="auto"/>
              </w:rPr>
            </w:pPr>
            <w:r>
              <w:rPr>
                <w:rFonts w:ascii="Arial" w:cs="Arial" w:eastAsia="Arial" w:hAnsi="Arial"/>
                <w:sz w:val="13"/>
                <w:szCs w:val="13"/>
                <w:b w:val="1"/>
                <w:bCs w:val="1"/>
                <w:color w:val="auto"/>
              </w:rPr>
              <w:t>First Lien Secured Debt – 52.2%</w:t>
            </w: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48"/>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1-800 Contacts,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03/04/2015</w:t>
            </w:r>
          </w:p>
        </w:tc>
        <w:tc>
          <w:tcPr>
            <w:tcW w:w="18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Distribution</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7.70%</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1"/>
                <w:szCs w:val="11"/>
                <w:color w:val="auto"/>
              </w:rPr>
              <w:t xml:space="preserve">P+295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2"/>
              </w:rPr>
              <w:t>13,894,737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11,907,829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13,269,474</w:t>
            </w:r>
          </w:p>
        </w:tc>
        <w:tc>
          <w:tcPr>
            <w:tcW w:w="20" w:type="dxa"/>
            <w:vAlign w:val="bottom"/>
          </w:tcPr>
          <w:p>
            <w:pPr>
              <w:spacing w:after="0"/>
              <w:rPr>
                <w:sz w:val="12"/>
                <w:szCs w:val="12"/>
                <w:color w:val="auto"/>
              </w:rPr>
            </w:pPr>
          </w:p>
        </w:tc>
      </w:tr>
      <w:tr>
        <w:trPr>
          <w:trHeight w:val="148"/>
        </w:trPr>
        <w:tc>
          <w:tcPr>
            <w:tcW w:w="414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10/01/2016</w:t>
            </w:r>
          </w:p>
        </w:tc>
        <w:tc>
          <w:tcPr>
            <w:tcW w:w="18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8"/>
              </w:rPr>
              <w:t>Logistics</w:t>
            </w: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11.63%</w:t>
            </w:r>
          </w:p>
        </w:tc>
        <w:tc>
          <w:tcPr>
            <w:tcW w:w="40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7,500,000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7,289,802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7,696,875</w:t>
            </w:r>
          </w:p>
        </w:tc>
        <w:tc>
          <w:tcPr>
            <w:tcW w:w="20" w:type="dxa"/>
            <w:vAlign w:val="bottom"/>
          </w:tcPr>
          <w:p>
            <w:pPr>
              <w:spacing w:after="0"/>
              <w:rPr>
                <w:sz w:val="12"/>
                <w:szCs w:val="12"/>
                <w:color w:val="auto"/>
              </w:rPr>
            </w:pPr>
          </w:p>
        </w:tc>
      </w:tr>
      <w:tr>
        <w:trPr>
          <w:trHeight w:val="138"/>
        </w:trPr>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Chester Downs and Marina, LLC</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07/31/2016</w:t>
            </w: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Hotels, Motels, Inns and</w:t>
            </w:r>
          </w:p>
        </w:tc>
        <w:tc>
          <w:tcPr>
            <w:tcW w:w="7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12.38%</w:t>
            </w: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0"/>
                <w:szCs w:val="10"/>
                <w:color w:val="auto"/>
              </w:rPr>
              <w:t xml:space="preserve">L+988 </w:t>
            </w:r>
            <w:r>
              <w:rPr>
                <w:rFonts w:ascii="Arial" w:cs="Arial" w:eastAsia="Arial" w:hAnsi="Arial"/>
                <w:sz w:val="15"/>
                <w:szCs w:val="15"/>
                <w:color w:val="auto"/>
                <w:vertAlign w:val="superscript"/>
              </w:rPr>
              <w:t>(8)</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w w:val="92"/>
              </w:rPr>
              <w:t>10,000,000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9,436,259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10,037,500</w:t>
            </w:r>
          </w:p>
        </w:tc>
        <w:tc>
          <w:tcPr>
            <w:tcW w:w="20" w:type="dxa"/>
            <w:vAlign w:val="bottom"/>
          </w:tcPr>
          <w:p>
            <w:pPr>
              <w:spacing w:after="0"/>
              <w:rPr>
                <w:sz w:val="11"/>
                <w:szCs w:val="11"/>
                <w:color w:val="auto"/>
              </w:rPr>
            </w:pPr>
          </w:p>
        </w:tc>
      </w:tr>
      <w:tr>
        <w:trPr>
          <w:trHeight w:val="159"/>
        </w:trPr>
        <w:tc>
          <w:tcPr>
            <w:tcW w:w="76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Gaming</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41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Columbus International, Inc. </w:t>
            </w:r>
            <w:r>
              <w:rPr>
                <w:rFonts w:ascii="Arial" w:cs="Arial" w:eastAsia="Arial" w:hAnsi="Arial"/>
                <w:sz w:val="17"/>
                <w:szCs w:val="17"/>
                <w:color w:val="auto"/>
                <w:vertAlign w:val="superscript"/>
              </w:rPr>
              <w:t>(5)</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11/20/2014</w:t>
            </w:r>
          </w:p>
        </w:tc>
        <w:tc>
          <w:tcPr>
            <w:tcW w:w="18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5"/>
              </w:rPr>
              <w:t>Communication</w:t>
            </w: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11.50%</w:t>
            </w:r>
          </w:p>
        </w:tc>
        <w:tc>
          <w:tcPr>
            <w:tcW w:w="40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w w:val="92"/>
              </w:rPr>
              <w:t>10,000,000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10,000,000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10,500,000</w:t>
            </w:r>
          </w:p>
        </w:tc>
        <w:tc>
          <w:tcPr>
            <w:tcW w:w="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EnviroSolutions,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07/07/2012</w:t>
            </w:r>
          </w:p>
        </w:tc>
        <w:tc>
          <w:tcPr>
            <w:tcW w:w="18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Environmental Services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40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rPr>
              <w:t>(6)</w:t>
            </w:r>
          </w:p>
        </w:tc>
        <w:tc>
          <w:tcPr>
            <w:tcW w:w="86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1"/>
                <w:szCs w:val="11"/>
                <w:color w:val="auto"/>
              </w:rPr>
              <w:t xml:space="preserve">P+775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2"/>
              </w:rPr>
              <w:t>14,228,928</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13,502,355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10,628,954</w:t>
            </w:r>
          </w:p>
        </w:tc>
        <w:tc>
          <w:tcPr>
            <w:tcW w:w="20" w:type="dxa"/>
            <w:vAlign w:val="bottom"/>
          </w:tcPr>
          <w:p>
            <w:pPr>
              <w:spacing w:after="0"/>
              <w:rPr>
                <w:sz w:val="12"/>
                <w:szCs w:val="12"/>
                <w:color w:val="auto"/>
              </w:rPr>
            </w:pPr>
          </w:p>
        </w:tc>
      </w:tr>
      <w:tr>
        <w:trPr>
          <w:trHeight w:val="148"/>
        </w:trPr>
        <w:tc>
          <w:tcPr>
            <w:tcW w:w="4140" w:type="dxa"/>
            <w:vAlign w:val="bottom"/>
            <w:gridSpan w:val="2"/>
          </w:tcPr>
          <w:p>
            <w:pPr>
              <w:spacing w:after="0"/>
              <w:rPr>
                <w:sz w:val="20"/>
                <w:szCs w:val="20"/>
                <w:color w:val="auto"/>
              </w:rPr>
            </w:pPr>
            <w:r>
              <w:rPr>
                <w:rFonts w:ascii="Arial" w:cs="Arial" w:eastAsia="Arial" w:hAnsi="Arial"/>
                <w:sz w:val="13"/>
                <w:szCs w:val="13"/>
                <w:color w:val="auto"/>
              </w:rPr>
              <w:t>Fairway Group Acquisition Company</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10/01/2014</w:t>
            </w:r>
          </w:p>
        </w:tc>
        <w:tc>
          <w:tcPr>
            <w:tcW w:w="18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5"/>
              </w:rPr>
              <w:t>Grocery</w:t>
            </w: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12.00%</w:t>
            </w:r>
          </w:p>
        </w:tc>
        <w:tc>
          <w:tcPr>
            <w:tcW w:w="40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color w:val="auto"/>
              </w:rPr>
              <w:t>L+950</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w w:val="92"/>
              </w:rPr>
              <w:t>10,000,000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9,701,353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9,800,000</w:t>
            </w:r>
          </w:p>
        </w:tc>
        <w:tc>
          <w:tcPr>
            <w:tcW w:w="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Hanley-Wood, L.L.C.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03/08/2014</w:t>
            </w:r>
          </w:p>
        </w:tc>
        <w:tc>
          <w:tcPr>
            <w:tcW w:w="18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auto"/>
              </w:rPr>
              <w:t>L+225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8,797,500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8,797,500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5,225,715</w:t>
            </w:r>
          </w:p>
        </w:tc>
        <w:tc>
          <w:tcPr>
            <w:tcW w:w="20" w:type="dxa"/>
            <w:vAlign w:val="bottom"/>
          </w:tcPr>
          <w:p>
            <w:pPr>
              <w:spacing w:after="0"/>
              <w:rPr>
                <w:sz w:val="12"/>
                <w:szCs w:val="12"/>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Headwaters Incorporated </w:t>
            </w:r>
            <w:r>
              <w:rPr>
                <w:rFonts w:ascii="Arial" w:cs="Arial" w:eastAsia="Arial" w:hAnsi="Arial"/>
                <w:sz w:val="15"/>
                <w:szCs w:val="15"/>
                <w:color w:val="auto"/>
                <w:vertAlign w:val="superscript"/>
              </w:rPr>
              <w:t>(5)</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5"/>
              </w:rPr>
              <w:t>11/01/2014</w:t>
            </w:r>
          </w:p>
        </w:tc>
        <w:tc>
          <w:tcPr>
            <w:tcW w:w="180" w:type="dxa"/>
            <w:vAlign w:val="bottom"/>
          </w:tcPr>
          <w:p>
            <w:pPr>
              <w:spacing w:after="0"/>
              <w:rPr>
                <w:sz w:val="11"/>
                <w:szCs w:val="11"/>
                <w:color w:val="auto"/>
              </w:rPr>
            </w:pPr>
          </w:p>
        </w:tc>
        <w:tc>
          <w:tcPr>
            <w:tcW w:w="1660" w:type="dxa"/>
            <w:vAlign w:val="bottom"/>
          </w:tcPr>
          <w:p>
            <w:pPr>
              <w:jc w:val="center"/>
              <w:spacing w:after="0" w:line="138" w:lineRule="exact"/>
              <w:rPr>
                <w:sz w:val="20"/>
                <w:szCs w:val="20"/>
                <w:color w:val="auto"/>
              </w:rPr>
            </w:pPr>
            <w:r>
              <w:rPr>
                <w:rFonts w:ascii="Arial" w:cs="Arial" w:eastAsia="Arial" w:hAnsi="Arial"/>
                <w:sz w:val="13"/>
                <w:szCs w:val="13"/>
                <w:color w:val="auto"/>
                <w:w w:val="96"/>
              </w:rPr>
              <w:t>Diversified /Conglomerate</w:t>
            </w:r>
          </w:p>
        </w:tc>
        <w:tc>
          <w:tcPr>
            <w:tcW w:w="78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11.38%</w:t>
            </w:r>
          </w:p>
        </w:tc>
        <w:tc>
          <w:tcPr>
            <w:tcW w:w="400" w:type="dxa"/>
            <w:vAlign w:val="bottom"/>
          </w:tcPr>
          <w:p>
            <w:pPr>
              <w:spacing w:after="0"/>
              <w:rPr>
                <w:sz w:val="11"/>
                <w:szCs w:val="11"/>
                <w:color w:val="auto"/>
              </w:rPr>
            </w:pPr>
          </w:p>
        </w:tc>
        <w:tc>
          <w:tcPr>
            <w:tcW w:w="860" w:type="dxa"/>
            <w:vAlign w:val="bottom"/>
            <w:gridSpan w:val="2"/>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3,000,000</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2,972,827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3,127,500</w:t>
            </w:r>
          </w:p>
        </w:tc>
        <w:tc>
          <w:tcPr>
            <w:tcW w:w="20" w:type="dxa"/>
            <w:vAlign w:val="bottom"/>
          </w:tcPr>
          <w:p>
            <w:pPr>
              <w:spacing w:after="0"/>
              <w:rPr>
                <w:sz w:val="11"/>
                <w:szCs w:val="11"/>
                <w:color w:val="auto"/>
              </w:rPr>
            </w:pPr>
          </w:p>
        </w:tc>
      </w:tr>
      <w:tr>
        <w:trPr>
          <w:trHeight w:val="172"/>
        </w:trPr>
        <w:tc>
          <w:tcPr>
            <w:tcW w:w="7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7"/>
              </w:rPr>
              <w:t>Manufacturing</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Hughes Network Systems, L.L.C.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04/15/2014</w:t>
            </w:r>
          </w:p>
        </w:tc>
        <w:tc>
          <w:tcPr>
            <w:tcW w:w="18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auto"/>
              </w:rPr>
              <w:t>L+250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5,000,000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4,587,500</w:t>
            </w:r>
          </w:p>
        </w:tc>
        <w:tc>
          <w:tcPr>
            <w:tcW w:w="20" w:type="dxa"/>
            <w:vAlign w:val="bottom"/>
          </w:tcPr>
          <w:p>
            <w:pPr>
              <w:spacing w:after="0"/>
              <w:rPr>
                <w:sz w:val="12"/>
                <w:szCs w:val="12"/>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3"/>
                <w:szCs w:val="13"/>
                <w:color w:val="auto"/>
              </w:rPr>
              <w:t>Jacuzzi Brands Corp.</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5"/>
              </w:rPr>
              <w:t>02/07/2014</w:t>
            </w:r>
          </w:p>
        </w:tc>
        <w:tc>
          <w:tcPr>
            <w:tcW w:w="180" w:type="dxa"/>
            <w:vAlign w:val="bottom"/>
          </w:tcPr>
          <w:p>
            <w:pPr>
              <w:spacing w:after="0"/>
              <w:rPr>
                <w:sz w:val="11"/>
                <w:szCs w:val="11"/>
                <w:color w:val="auto"/>
              </w:rPr>
            </w:pPr>
          </w:p>
        </w:tc>
        <w:tc>
          <w:tcPr>
            <w:tcW w:w="1660" w:type="dxa"/>
            <w:vAlign w:val="bottom"/>
          </w:tcPr>
          <w:p>
            <w:pPr>
              <w:jc w:val="center"/>
              <w:spacing w:after="0" w:line="138" w:lineRule="exact"/>
              <w:rPr>
                <w:sz w:val="20"/>
                <w:szCs w:val="20"/>
                <w:color w:val="auto"/>
              </w:rPr>
            </w:pPr>
            <w:r>
              <w:rPr>
                <w:rFonts w:ascii="Arial" w:cs="Arial" w:eastAsia="Arial" w:hAnsi="Arial"/>
                <w:sz w:val="13"/>
                <w:szCs w:val="13"/>
                <w:color w:val="auto"/>
                <w:w w:val="95"/>
              </w:rPr>
              <w:t>Home and Office Furnishings,</w:t>
            </w:r>
          </w:p>
        </w:tc>
        <w:tc>
          <w:tcPr>
            <w:tcW w:w="78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2.53%</w:t>
            </w:r>
          </w:p>
        </w:tc>
        <w:tc>
          <w:tcPr>
            <w:tcW w:w="400" w:type="dxa"/>
            <w:vAlign w:val="bottom"/>
          </w:tcPr>
          <w:p>
            <w:pPr>
              <w:spacing w:after="0"/>
              <w:rPr>
                <w:sz w:val="11"/>
                <w:szCs w:val="11"/>
                <w:color w:val="auto"/>
              </w:rPr>
            </w:pPr>
          </w:p>
        </w:tc>
        <w:tc>
          <w:tcPr>
            <w:tcW w:w="860" w:type="dxa"/>
            <w:vAlign w:val="bottom"/>
            <w:gridSpan w:val="2"/>
          </w:tcPr>
          <w:p>
            <w:pPr>
              <w:jc w:val="center"/>
              <w:ind w:right="240"/>
              <w:spacing w:after="0" w:line="138" w:lineRule="exact"/>
              <w:rPr>
                <w:sz w:val="20"/>
                <w:szCs w:val="20"/>
                <w:color w:val="auto"/>
              </w:rPr>
            </w:pPr>
            <w:r>
              <w:rPr>
                <w:rFonts w:ascii="Arial" w:cs="Arial" w:eastAsia="Arial" w:hAnsi="Arial"/>
                <w:sz w:val="13"/>
                <w:szCs w:val="13"/>
                <w:color w:val="auto"/>
              </w:rPr>
              <w:t>L+225</w:t>
            </w: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9,799,324</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9,799,324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6,712,537</w:t>
            </w:r>
          </w:p>
        </w:tc>
        <w:tc>
          <w:tcPr>
            <w:tcW w:w="20" w:type="dxa"/>
            <w:vAlign w:val="bottom"/>
          </w:tcPr>
          <w:p>
            <w:pPr>
              <w:spacing w:after="0"/>
              <w:rPr>
                <w:sz w:val="11"/>
                <w:szCs w:val="11"/>
                <w:color w:val="auto"/>
              </w:rPr>
            </w:pPr>
          </w:p>
        </w:tc>
      </w:tr>
      <w:tr>
        <w:trPr>
          <w:trHeight w:val="149"/>
        </w:trPr>
        <w:tc>
          <w:tcPr>
            <w:tcW w:w="7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2"/>
              </w:rPr>
              <w:t>Housewares and Durable</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7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Lyondell Chemical Co.</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04/06/2010</w:t>
            </w: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Chemicals, Plastics and</w:t>
            </w:r>
          </w:p>
        </w:tc>
        <w:tc>
          <w:tcPr>
            <w:tcW w:w="7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13.00%</w:t>
            </w: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240"/>
              <w:spacing w:after="0" w:line="138" w:lineRule="exact"/>
              <w:rPr>
                <w:sz w:val="20"/>
                <w:szCs w:val="20"/>
                <w:color w:val="auto"/>
              </w:rPr>
            </w:pPr>
            <w:r>
              <w:rPr>
                <w:rFonts w:ascii="Arial" w:cs="Arial" w:eastAsia="Arial" w:hAnsi="Arial"/>
                <w:sz w:val="10"/>
                <w:szCs w:val="10"/>
                <w:color w:val="auto"/>
              </w:rPr>
              <w:t xml:space="preserve">L+1,000 </w:t>
            </w:r>
            <w:r>
              <w:rPr>
                <w:rFonts w:ascii="Arial" w:cs="Arial" w:eastAsia="Arial" w:hAnsi="Arial"/>
                <w:sz w:val="15"/>
                <w:szCs w:val="15"/>
                <w:color w:val="auto"/>
                <w:vertAlign w:val="superscript"/>
              </w:rPr>
              <w:t>(8)</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w w:val="92"/>
              </w:rPr>
              <w:t>12,668,615</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13,002,337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13,175,360</w:t>
            </w:r>
          </w:p>
        </w:tc>
        <w:tc>
          <w:tcPr>
            <w:tcW w:w="20" w:type="dxa"/>
            <w:vAlign w:val="bottom"/>
          </w:tcPr>
          <w:p>
            <w:pPr>
              <w:spacing w:after="0"/>
              <w:rPr>
                <w:sz w:val="11"/>
                <w:szCs w:val="11"/>
                <w:color w:val="auto"/>
              </w:rPr>
            </w:pPr>
          </w:p>
        </w:tc>
      </w:tr>
      <w:tr>
        <w:trPr>
          <w:trHeight w:val="159"/>
        </w:trPr>
        <w:tc>
          <w:tcPr>
            <w:tcW w:w="76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Rubber</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Lyondell Chemical Co. </w:t>
            </w:r>
            <w:r>
              <w:rPr>
                <w:rFonts w:ascii="Arial" w:cs="Arial" w:eastAsia="Arial" w:hAnsi="Arial"/>
                <w:sz w:val="15"/>
                <w:szCs w:val="15"/>
                <w:color w:val="auto"/>
                <w:vertAlign w:val="superscript"/>
              </w:rPr>
              <w:t>(9)</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5"/>
              </w:rPr>
              <w:t>04/06/2010</w:t>
            </w:r>
          </w:p>
        </w:tc>
        <w:tc>
          <w:tcPr>
            <w:tcW w:w="180" w:type="dxa"/>
            <w:vAlign w:val="bottom"/>
          </w:tcPr>
          <w:p>
            <w:pPr>
              <w:spacing w:after="0"/>
              <w:rPr>
                <w:sz w:val="11"/>
                <w:szCs w:val="11"/>
                <w:color w:val="auto"/>
              </w:rPr>
            </w:pPr>
          </w:p>
        </w:tc>
        <w:tc>
          <w:tcPr>
            <w:tcW w:w="1660" w:type="dxa"/>
            <w:vAlign w:val="bottom"/>
          </w:tcPr>
          <w:p>
            <w:pPr>
              <w:jc w:val="center"/>
              <w:spacing w:after="0" w:line="138" w:lineRule="exact"/>
              <w:rPr>
                <w:sz w:val="20"/>
                <w:szCs w:val="20"/>
                <w:color w:val="auto"/>
              </w:rPr>
            </w:pPr>
            <w:r>
              <w:rPr>
                <w:rFonts w:ascii="Arial" w:cs="Arial" w:eastAsia="Arial" w:hAnsi="Arial"/>
                <w:sz w:val="13"/>
                <w:szCs w:val="13"/>
                <w:color w:val="auto"/>
                <w:w w:val="92"/>
              </w:rPr>
              <w:t>Chemicals, Plastics and</w:t>
            </w:r>
          </w:p>
        </w:tc>
        <w:tc>
          <w:tcPr>
            <w:tcW w:w="180" w:type="dxa"/>
            <w:vAlign w:val="bottom"/>
          </w:tcPr>
          <w:p>
            <w:pPr>
              <w:spacing w:after="0"/>
              <w:rPr>
                <w:sz w:val="11"/>
                <w:szCs w:val="11"/>
                <w:color w:val="auto"/>
              </w:rPr>
            </w:pPr>
          </w:p>
        </w:tc>
        <w:tc>
          <w:tcPr>
            <w:tcW w:w="60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860" w:type="dxa"/>
            <w:vAlign w:val="bottom"/>
            <w:gridSpan w:val="2"/>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6,331,385</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6,488,872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6,584,640</w:t>
            </w:r>
          </w:p>
        </w:tc>
        <w:tc>
          <w:tcPr>
            <w:tcW w:w="20" w:type="dxa"/>
            <w:vAlign w:val="bottom"/>
          </w:tcPr>
          <w:p>
            <w:pPr>
              <w:spacing w:after="0"/>
              <w:rPr>
                <w:sz w:val="11"/>
                <w:szCs w:val="11"/>
                <w:color w:val="auto"/>
              </w:rPr>
            </w:pPr>
          </w:p>
        </w:tc>
      </w:tr>
      <w:tr>
        <w:trPr>
          <w:trHeight w:val="159"/>
        </w:trPr>
        <w:tc>
          <w:tcPr>
            <w:tcW w:w="7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3"/>
              </w:rPr>
              <w:t>Rubber</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Mattress Holding Corp.</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01/18/2014</w:t>
            </w: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Home and Office Furnishings,</w:t>
            </w:r>
          </w:p>
        </w:tc>
        <w:tc>
          <w:tcPr>
            <w:tcW w:w="7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2.51%</w:t>
            </w: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240"/>
              <w:spacing w:after="0" w:line="138" w:lineRule="exact"/>
              <w:rPr>
                <w:sz w:val="20"/>
                <w:szCs w:val="20"/>
                <w:color w:val="auto"/>
              </w:rPr>
            </w:pPr>
            <w:r>
              <w:rPr>
                <w:rFonts w:ascii="Arial" w:cs="Arial" w:eastAsia="Arial" w:hAnsi="Arial"/>
                <w:sz w:val="13"/>
                <w:szCs w:val="13"/>
                <w:color w:val="auto"/>
              </w:rPr>
              <w:t>L+225</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3,900,225</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3,900,225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2,730,158</w:t>
            </w:r>
          </w:p>
        </w:tc>
        <w:tc>
          <w:tcPr>
            <w:tcW w:w="20" w:type="dxa"/>
            <w:vAlign w:val="bottom"/>
          </w:tcPr>
          <w:p>
            <w:pPr>
              <w:spacing w:after="0"/>
              <w:rPr>
                <w:sz w:val="11"/>
                <w:szCs w:val="11"/>
                <w:color w:val="auto"/>
              </w:rPr>
            </w:pPr>
          </w:p>
        </w:tc>
      </w:tr>
      <w:tr>
        <w:trPr>
          <w:trHeight w:val="148"/>
        </w:trPr>
        <w:tc>
          <w:tcPr>
            <w:tcW w:w="76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Housewares and Durable</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76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3"/>
                <w:szCs w:val="13"/>
                <w:color w:val="auto"/>
              </w:rPr>
              <w:t>National Bedding Co., L.L.C.</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5"/>
              </w:rPr>
              <w:t>02/28/2013</w:t>
            </w:r>
          </w:p>
        </w:tc>
        <w:tc>
          <w:tcPr>
            <w:tcW w:w="180" w:type="dxa"/>
            <w:vAlign w:val="bottom"/>
          </w:tcPr>
          <w:p>
            <w:pPr>
              <w:spacing w:after="0"/>
              <w:rPr>
                <w:sz w:val="11"/>
                <w:szCs w:val="11"/>
                <w:color w:val="auto"/>
              </w:rPr>
            </w:pPr>
          </w:p>
        </w:tc>
        <w:tc>
          <w:tcPr>
            <w:tcW w:w="1660" w:type="dxa"/>
            <w:vAlign w:val="bottom"/>
          </w:tcPr>
          <w:p>
            <w:pPr>
              <w:jc w:val="center"/>
              <w:spacing w:after="0" w:line="138" w:lineRule="exact"/>
              <w:rPr>
                <w:sz w:val="20"/>
                <w:szCs w:val="20"/>
                <w:color w:val="auto"/>
              </w:rPr>
            </w:pPr>
            <w:r>
              <w:rPr>
                <w:rFonts w:ascii="Arial" w:cs="Arial" w:eastAsia="Arial" w:hAnsi="Arial"/>
                <w:sz w:val="13"/>
                <w:szCs w:val="13"/>
                <w:color w:val="auto"/>
                <w:w w:val="95"/>
              </w:rPr>
              <w:t>Home and Office Furnishings,</w:t>
            </w:r>
          </w:p>
        </w:tc>
        <w:tc>
          <w:tcPr>
            <w:tcW w:w="78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2.31%</w:t>
            </w:r>
          </w:p>
        </w:tc>
        <w:tc>
          <w:tcPr>
            <w:tcW w:w="400" w:type="dxa"/>
            <w:vAlign w:val="bottom"/>
          </w:tcPr>
          <w:p>
            <w:pPr>
              <w:spacing w:after="0"/>
              <w:rPr>
                <w:sz w:val="11"/>
                <w:szCs w:val="11"/>
                <w:color w:val="auto"/>
              </w:rPr>
            </w:pPr>
          </w:p>
        </w:tc>
        <w:tc>
          <w:tcPr>
            <w:tcW w:w="860" w:type="dxa"/>
            <w:vAlign w:val="bottom"/>
            <w:gridSpan w:val="2"/>
          </w:tcPr>
          <w:p>
            <w:pPr>
              <w:jc w:val="center"/>
              <w:ind w:right="240"/>
              <w:spacing w:after="0" w:line="138" w:lineRule="exact"/>
              <w:rPr>
                <w:sz w:val="20"/>
                <w:szCs w:val="20"/>
                <w:color w:val="auto"/>
              </w:rPr>
            </w:pPr>
            <w:r>
              <w:rPr>
                <w:rFonts w:ascii="Arial" w:cs="Arial" w:eastAsia="Arial" w:hAnsi="Arial"/>
                <w:sz w:val="13"/>
                <w:szCs w:val="13"/>
                <w:color w:val="auto"/>
              </w:rPr>
              <w:t>L+200</w:t>
            </w: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6,790,000</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6,793,783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6,207,194</w:t>
            </w:r>
          </w:p>
        </w:tc>
        <w:tc>
          <w:tcPr>
            <w:tcW w:w="20" w:type="dxa"/>
            <w:vAlign w:val="bottom"/>
          </w:tcPr>
          <w:p>
            <w:pPr>
              <w:spacing w:after="0"/>
              <w:rPr>
                <w:sz w:val="11"/>
                <w:szCs w:val="11"/>
                <w:color w:val="auto"/>
              </w:rPr>
            </w:pPr>
          </w:p>
        </w:tc>
      </w:tr>
      <w:tr>
        <w:trPr>
          <w:trHeight w:val="148"/>
        </w:trPr>
        <w:tc>
          <w:tcPr>
            <w:tcW w:w="7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2"/>
              </w:rPr>
              <w:t>Housewares and Durable</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7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Penton Media,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02/01/2013</w:t>
            </w:r>
          </w:p>
        </w:tc>
        <w:tc>
          <w:tcPr>
            <w:tcW w:w="18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auto"/>
              </w:rPr>
              <w:t>L+225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4,862,500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4,862,500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3,215,328</w:t>
            </w:r>
          </w:p>
        </w:tc>
        <w:tc>
          <w:tcPr>
            <w:tcW w:w="20" w:type="dxa"/>
            <w:vAlign w:val="bottom"/>
          </w:tcPr>
          <w:p>
            <w:pPr>
              <w:spacing w:after="0"/>
              <w:rPr>
                <w:sz w:val="12"/>
                <w:szCs w:val="12"/>
                <w:color w:val="auto"/>
              </w:rPr>
            </w:pPr>
          </w:p>
        </w:tc>
      </w:tr>
      <w:tr>
        <w:trPr>
          <w:trHeight w:val="149"/>
        </w:trPr>
        <w:tc>
          <w:tcPr>
            <w:tcW w:w="4140" w:type="dxa"/>
            <w:vAlign w:val="bottom"/>
            <w:gridSpan w:val="2"/>
          </w:tcPr>
          <w:p>
            <w:pPr>
              <w:spacing w:after="0"/>
              <w:rPr>
                <w:sz w:val="20"/>
                <w:szCs w:val="20"/>
                <w:color w:val="auto"/>
              </w:rPr>
            </w:pPr>
            <w:r>
              <w:rPr>
                <w:rFonts w:ascii="Arial" w:cs="Arial" w:eastAsia="Arial" w:hAnsi="Arial"/>
                <w:sz w:val="13"/>
                <w:szCs w:val="13"/>
                <w:color w:val="auto"/>
              </w:rPr>
              <w:t>Philosophy, Inc.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03/16/2014</w:t>
            </w:r>
          </w:p>
        </w:tc>
        <w:tc>
          <w:tcPr>
            <w:tcW w:w="18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2.24%</w:t>
            </w:r>
          </w:p>
        </w:tc>
        <w:tc>
          <w:tcPr>
            <w:tcW w:w="40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color w:val="auto"/>
              </w:rPr>
              <w:t>L+200</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1,426,506</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1,426,506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1,184,000</w:t>
            </w:r>
          </w:p>
        </w:tc>
        <w:tc>
          <w:tcPr>
            <w:tcW w:w="20" w:type="dxa"/>
            <w:vAlign w:val="bottom"/>
          </w:tcPr>
          <w:p>
            <w:pPr>
              <w:spacing w:after="0"/>
              <w:rPr>
                <w:sz w:val="12"/>
                <w:szCs w:val="12"/>
                <w:color w:val="auto"/>
              </w:rPr>
            </w:pPr>
          </w:p>
        </w:tc>
      </w:tr>
      <w:tr>
        <w:trPr>
          <w:trHeight w:val="138"/>
        </w:trPr>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QMG Acquisition, LLC</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04/03/2010</w:t>
            </w: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7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10.50%</w:t>
            </w: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0"/>
                <w:szCs w:val="10"/>
                <w:color w:val="auto"/>
              </w:rPr>
              <w:t xml:space="preserve">L+650 </w:t>
            </w:r>
            <w:r>
              <w:rPr>
                <w:rFonts w:ascii="Arial" w:cs="Arial" w:eastAsia="Arial" w:hAnsi="Arial"/>
                <w:sz w:val="15"/>
                <w:szCs w:val="15"/>
                <w:color w:val="auto"/>
                <w:vertAlign w:val="superscript"/>
              </w:rPr>
              <w:t>(8)</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277,174</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277,174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277,174</w:t>
            </w:r>
          </w:p>
        </w:tc>
        <w:tc>
          <w:tcPr>
            <w:tcW w:w="20" w:type="dxa"/>
            <w:vAlign w:val="bottom"/>
          </w:tcPr>
          <w:p>
            <w:pPr>
              <w:spacing w:after="0"/>
              <w:rPr>
                <w:sz w:val="11"/>
                <w:szCs w:val="11"/>
                <w:color w:val="auto"/>
              </w:rPr>
            </w:pPr>
          </w:p>
        </w:tc>
      </w:tr>
      <w:tr>
        <w:trPr>
          <w:trHeight w:val="173"/>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(formerly Questex Media Group, Inc.)</w:t>
            </w: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0"/>
                <w:szCs w:val="10"/>
                <w:color w:val="auto"/>
              </w:rPr>
              <w:t>QMG Acquisition, LLC</w:t>
            </w:r>
            <w:r>
              <w:rPr>
                <w:rFonts w:ascii="Arial" w:cs="Arial" w:eastAsia="Arial" w:hAnsi="Arial"/>
                <w:sz w:val="15"/>
                <w:szCs w:val="15"/>
                <w:color w:val="auto"/>
                <w:vertAlign w:val="superscript"/>
              </w:rPr>
              <w:t>(9)</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5"/>
              </w:rPr>
              <w:t>04/03/2010</w:t>
            </w:r>
          </w:p>
        </w:tc>
        <w:tc>
          <w:tcPr>
            <w:tcW w:w="180" w:type="dxa"/>
            <w:vAlign w:val="bottom"/>
          </w:tcPr>
          <w:p>
            <w:pPr>
              <w:spacing w:after="0"/>
              <w:rPr>
                <w:sz w:val="11"/>
                <w:szCs w:val="11"/>
                <w:color w:val="auto"/>
              </w:rPr>
            </w:pPr>
          </w:p>
        </w:tc>
        <w:tc>
          <w:tcPr>
            <w:tcW w:w="1660" w:type="dxa"/>
            <w:vAlign w:val="bottom"/>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180" w:type="dxa"/>
            <w:vAlign w:val="bottom"/>
          </w:tcPr>
          <w:p>
            <w:pPr>
              <w:spacing w:after="0"/>
              <w:rPr>
                <w:sz w:val="11"/>
                <w:szCs w:val="11"/>
                <w:color w:val="auto"/>
              </w:rPr>
            </w:pPr>
          </w:p>
        </w:tc>
        <w:tc>
          <w:tcPr>
            <w:tcW w:w="60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860" w:type="dxa"/>
            <w:vAlign w:val="bottom"/>
            <w:gridSpan w:val="2"/>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123,634</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123,634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123,634</w:t>
            </w:r>
          </w:p>
        </w:tc>
        <w:tc>
          <w:tcPr>
            <w:tcW w:w="20" w:type="dxa"/>
            <w:vAlign w:val="bottom"/>
          </w:tcPr>
          <w:p>
            <w:pPr>
              <w:spacing w:after="0"/>
              <w:rPr>
                <w:sz w:val="11"/>
                <w:szCs w:val="11"/>
                <w:color w:val="auto"/>
              </w:rPr>
            </w:pPr>
          </w:p>
        </w:tc>
      </w:tr>
      <w:tr>
        <w:trPr>
          <w:trHeight w:val="172"/>
        </w:trPr>
        <w:tc>
          <w:tcPr>
            <w:tcW w:w="4140" w:type="dxa"/>
            <w:vAlign w:val="bottom"/>
            <w:gridSpan w:val="2"/>
          </w:tcPr>
          <w:p>
            <w:pPr>
              <w:spacing w:after="0"/>
              <w:rPr>
                <w:sz w:val="20"/>
                <w:szCs w:val="20"/>
                <w:color w:val="auto"/>
              </w:rPr>
            </w:pPr>
            <w:r>
              <w:rPr>
                <w:rFonts w:ascii="Arial" w:cs="Arial" w:eastAsia="Arial" w:hAnsi="Arial"/>
                <w:sz w:val="13"/>
                <w:szCs w:val="13"/>
                <w:color w:val="auto"/>
              </w:rPr>
              <w:t>(formerly Questex Media Group, Inc.)</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Rexnord, L.L.C.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07/19/2013</w:t>
            </w:r>
          </w:p>
        </w:tc>
        <w:tc>
          <w:tcPr>
            <w:tcW w:w="18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Manufacturing/Basic Industry</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auto"/>
              </w:rPr>
              <w:t>L+225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2,880,457</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2,880,457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2,698,628</w:t>
            </w:r>
          </w:p>
        </w:tc>
        <w:tc>
          <w:tcPr>
            <w:tcW w:w="20" w:type="dxa"/>
            <w:vAlign w:val="bottom"/>
          </w:tcPr>
          <w:p>
            <w:pPr>
              <w:spacing w:after="0"/>
              <w:rPr>
                <w:sz w:val="12"/>
                <w:szCs w:val="12"/>
                <w:color w:val="auto"/>
              </w:rPr>
            </w:pPr>
          </w:p>
        </w:tc>
      </w:tr>
      <w:tr>
        <w:trPr>
          <w:trHeight w:val="149"/>
        </w:trPr>
        <w:tc>
          <w:tcPr>
            <w:tcW w:w="4140" w:type="dxa"/>
            <w:vAlign w:val="bottom"/>
            <w:gridSpan w:val="2"/>
          </w:tcPr>
          <w:p>
            <w:pPr>
              <w:spacing w:after="0"/>
              <w:rPr>
                <w:sz w:val="20"/>
                <w:szCs w:val="20"/>
                <w:color w:val="auto"/>
              </w:rPr>
            </w:pPr>
            <w:r>
              <w:rPr>
                <w:rFonts w:ascii="Arial" w:cs="Arial" w:eastAsia="Arial" w:hAnsi="Arial"/>
                <w:sz w:val="13"/>
                <w:szCs w:val="13"/>
                <w:color w:val="auto"/>
              </w:rPr>
              <w:t>Sitel, L.L.C.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01/30/2014</w:t>
            </w:r>
          </w:p>
        </w:tc>
        <w:tc>
          <w:tcPr>
            <w:tcW w:w="18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5.77%</w:t>
            </w:r>
          </w:p>
        </w:tc>
        <w:tc>
          <w:tcPr>
            <w:tcW w:w="40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color w:val="auto"/>
              </w:rPr>
              <w:t>L+550</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2,682,328</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2,682,328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2,320,214</w:t>
            </w:r>
          </w:p>
        </w:tc>
        <w:tc>
          <w:tcPr>
            <w:tcW w:w="20" w:type="dxa"/>
            <w:vAlign w:val="bottom"/>
          </w:tcPr>
          <w:p>
            <w:pPr>
              <w:spacing w:after="0"/>
              <w:rPr>
                <w:sz w:val="12"/>
                <w:szCs w:val="12"/>
                <w:color w:val="auto"/>
              </w:rPr>
            </w:pPr>
          </w:p>
        </w:tc>
      </w:tr>
      <w:tr>
        <w:trPr>
          <w:trHeight w:val="138"/>
        </w:trPr>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Sugarhouse HSP Gaming Prop.</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09/23/2014</w:t>
            </w: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Hotels, Motels, Inns and</w:t>
            </w:r>
          </w:p>
        </w:tc>
        <w:tc>
          <w:tcPr>
            <w:tcW w:w="7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11.25%</w:t>
            </w: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0"/>
                <w:szCs w:val="10"/>
                <w:color w:val="auto"/>
              </w:rPr>
              <w:t xml:space="preserve">L+825 </w:t>
            </w:r>
            <w:r>
              <w:rPr>
                <w:rFonts w:ascii="Arial" w:cs="Arial" w:eastAsia="Arial" w:hAnsi="Arial"/>
                <w:sz w:val="15"/>
                <w:szCs w:val="15"/>
                <w:color w:val="auto"/>
                <w:vertAlign w:val="superscript"/>
              </w:rPr>
              <w:t>(8)</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w w:val="92"/>
              </w:rPr>
              <w:t>20,000,000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19,241,573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19,625,000</w:t>
            </w:r>
          </w:p>
        </w:tc>
        <w:tc>
          <w:tcPr>
            <w:tcW w:w="20" w:type="dxa"/>
            <w:vAlign w:val="bottom"/>
          </w:tcPr>
          <w:p>
            <w:pPr>
              <w:spacing w:after="0"/>
              <w:rPr>
                <w:sz w:val="11"/>
                <w:szCs w:val="11"/>
                <w:color w:val="auto"/>
              </w:rPr>
            </w:pPr>
          </w:p>
        </w:tc>
      </w:tr>
      <w:tr>
        <w:trPr>
          <w:trHeight w:val="159"/>
        </w:trPr>
        <w:tc>
          <w:tcPr>
            <w:tcW w:w="76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Gaming</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4140" w:type="dxa"/>
            <w:vAlign w:val="bottom"/>
            <w:gridSpan w:val="2"/>
          </w:tcPr>
          <w:p>
            <w:pPr>
              <w:spacing w:after="0"/>
              <w:rPr>
                <w:sz w:val="20"/>
                <w:szCs w:val="20"/>
                <w:color w:val="auto"/>
              </w:rPr>
            </w:pPr>
            <w:r>
              <w:rPr>
                <w:rFonts w:ascii="Arial" w:cs="Arial" w:eastAsia="Arial" w:hAnsi="Arial"/>
                <w:sz w:val="13"/>
                <w:szCs w:val="13"/>
                <w:color w:val="auto"/>
              </w:rPr>
              <w:t>U.S. Xpress Enterprises, Inc.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10/12/2014</w:t>
            </w:r>
          </w:p>
        </w:tc>
        <w:tc>
          <w:tcPr>
            <w:tcW w:w="18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2"/>
              </w:rPr>
              <w:t>Cargo Transportation</w:t>
            </w: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6.50%</w:t>
            </w:r>
          </w:p>
        </w:tc>
        <w:tc>
          <w:tcPr>
            <w:tcW w:w="4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1"/>
                <w:szCs w:val="11"/>
                <w:color w:val="auto"/>
              </w:rPr>
              <w:t xml:space="preserve">L+450 </w:t>
            </w:r>
            <w:r>
              <w:rPr>
                <w:rFonts w:ascii="Arial" w:cs="Arial" w:eastAsia="Arial" w:hAnsi="Arial"/>
                <w:sz w:val="17"/>
                <w:szCs w:val="17"/>
                <w:color w:val="auto"/>
                <w:vertAlign w:val="superscript"/>
              </w:rPr>
              <w:t>(8)</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w w:val="92"/>
              </w:rPr>
              <w:t>14,915,634</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10,407,364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12,230,820</w:t>
            </w:r>
          </w:p>
        </w:tc>
        <w:tc>
          <w:tcPr>
            <w:tcW w:w="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World Color Press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07/21/2012</w:t>
            </w:r>
          </w:p>
        </w:tc>
        <w:tc>
          <w:tcPr>
            <w:tcW w:w="18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Printing</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9.00%</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1"/>
                <w:szCs w:val="11"/>
                <w:color w:val="auto"/>
              </w:rPr>
              <w:t xml:space="preserve">P+500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3,493,681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3,196,579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3,502,415</w:t>
            </w:r>
          </w:p>
        </w:tc>
        <w:tc>
          <w:tcPr>
            <w:tcW w:w="20" w:type="dxa"/>
            <w:vAlign w:val="bottom"/>
          </w:tcPr>
          <w:p>
            <w:pPr>
              <w:spacing w:after="0"/>
              <w:rPr>
                <w:sz w:val="12"/>
                <w:szCs w:val="12"/>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Yonkers Racing Corp. </w:t>
            </w:r>
            <w:r>
              <w:rPr>
                <w:rFonts w:ascii="Arial" w:cs="Arial" w:eastAsia="Arial" w:hAnsi="Arial"/>
                <w:sz w:val="15"/>
                <w:szCs w:val="15"/>
                <w:color w:val="auto"/>
                <w:vertAlign w:val="superscript"/>
              </w:rPr>
              <w:t>(5)</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5"/>
              </w:rPr>
              <w:t>07/15/2016</w:t>
            </w:r>
          </w:p>
        </w:tc>
        <w:tc>
          <w:tcPr>
            <w:tcW w:w="180" w:type="dxa"/>
            <w:vAlign w:val="bottom"/>
          </w:tcPr>
          <w:p>
            <w:pPr>
              <w:spacing w:after="0"/>
              <w:rPr>
                <w:sz w:val="11"/>
                <w:szCs w:val="11"/>
                <w:color w:val="auto"/>
              </w:rPr>
            </w:pPr>
          </w:p>
        </w:tc>
        <w:tc>
          <w:tcPr>
            <w:tcW w:w="1660" w:type="dxa"/>
            <w:vAlign w:val="bottom"/>
          </w:tcPr>
          <w:p>
            <w:pPr>
              <w:jc w:val="center"/>
              <w:spacing w:after="0" w:line="138" w:lineRule="exact"/>
              <w:rPr>
                <w:sz w:val="20"/>
                <w:szCs w:val="20"/>
                <w:color w:val="auto"/>
              </w:rPr>
            </w:pPr>
            <w:r>
              <w:rPr>
                <w:rFonts w:ascii="Arial" w:cs="Arial" w:eastAsia="Arial" w:hAnsi="Arial"/>
                <w:sz w:val="13"/>
                <w:szCs w:val="13"/>
                <w:color w:val="auto"/>
                <w:w w:val="94"/>
              </w:rPr>
              <w:t>Hotels, Motels, Inns and</w:t>
            </w:r>
          </w:p>
        </w:tc>
        <w:tc>
          <w:tcPr>
            <w:tcW w:w="78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11.38%</w:t>
            </w:r>
          </w:p>
        </w:tc>
        <w:tc>
          <w:tcPr>
            <w:tcW w:w="400" w:type="dxa"/>
            <w:vAlign w:val="bottom"/>
          </w:tcPr>
          <w:p>
            <w:pPr>
              <w:spacing w:after="0"/>
              <w:rPr>
                <w:sz w:val="11"/>
                <w:szCs w:val="11"/>
                <w:color w:val="auto"/>
              </w:rPr>
            </w:pPr>
          </w:p>
        </w:tc>
        <w:tc>
          <w:tcPr>
            <w:tcW w:w="860" w:type="dxa"/>
            <w:vAlign w:val="bottom"/>
            <w:gridSpan w:val="2"/>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5,000,000</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4,861,682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5,250,000</w:t>
            </w:r>
          </w:p>
        </w:tc>
        <w:tc>
          <w:tcPr>
            <w:tcW w:w="20" w:type="dxa"/>
            <w:vAlign w:val="bottom"/>
          </w:tcPr>
          <w:p>
            <w:pPr>
              <w:spacing w:after="0"/>
              <w:rPr>
                <w:sz w:val="11"/>
                <w:szCs w:val="11"/>
                <w:color w:val="auto"/>
              </w:rPr>
            </w:pPr>
          </w:p>
        </w:tc>
      </w:tr>
      <w:tr>
        <w:trPr>
          <w:trHeight w:val="166"/>
        </w:trPr>
        <w:tc>
          <w:tcPr>
            <w:tcW w:w="7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6"/>
              </w:rPr>
              <w:t>Gaming</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First Lien Secured Debt</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8"/>
              </w:rPr>
              <w:t>168,552,263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160,710,620</w:t>
            </w:r>
          </w:p>
        </w:tc>
        <w:tc>
          <w:tcPr>
            <w:tcW w:w="20" w:type="dxa"/>
            <w:vAlign w:val="bottom"/>
          </w:tcPr>
          <w:p>
            <w:pPr>
              <w:spacing w:after="0"/>
              <w:rPr>
                <w:sz w:val="12"/>
                <w:szCs w:val="12"/>
                <w:color w:val="auto"/>
              </w:rPr>
            </w:pPr>
          </w:p>
        </w:tc>
      </w:tr>
      <w:tr>
        <w:trPr>
          <w:trHeight w:val="155"/>
        </w:trPr>
        <w:tc>
          <w:tcPr>
            <w:tcW w:w="4140" w:type="dxa"/>
            <w:vAlign w:val="bottom"/>
            <w:gridSpan w:val="2"/>
          </w:tcPr>
          <w:p>
            <w:pPr>
              <w:spacing w:after="0"/>
              <w:rPr>
                <w:sz w:val="20"/>
                <w:szCs w:val="20"/>
                <w:color w:val="auto"/>
              </w:rPr>
            </w:pPr>
            <w:r>
              <w:rPr>
                <w:rFonts w:ascii="Arial" w:cs="Arial" w:eastAsia="Arial" w:hAnsi="Arial"/>
                <w:sz w:val="13"/>
                <w:szCs w:val="13"/>
                <w:b w:val="1"/>
                <w:bCs w:val="1"/>
                <w:color w:val="auto"/>
                <w:w w:val="99"/>
              </w:rPr>
              <w:t>Investments in Non-Controlled, Non-Affiliated Portfolio Companies</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8"/>
              </w:rPr>
              <w:t>499,221,096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497,049,288</w:t>
            </w:r>
          </w:p>
        </w:tc>
        <w:tc>
          <w:tcPr>
            <w:tcW w:w="20" w:type="dxa"/>
            <w:vAlign w:val="bottom"/>
          </w:tcPr>
          <w:p>
            <w:pPr>
              <w:spacing w:after="0"/>
              <w:rPr>
                <w:sz w:val="13"/>
                <w:szCs w:val="13"/>
                <w:color w:val="auto"/>
              </w:rPr>
            </w:pP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Basis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Point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Spread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500"/>
              <w:spacing w:after="0" w:line="134" w:lineRule="exact"/>
              <w:rPr>
                <w:sz w:val="20"/>
                <w:szCs w:val="20"/>
                <w:color w:val="auto"/>
              </w:rPr>
            </w:pPr>
            <w:r>
              <w:rPr>
                <w:rFonts w:ascii="Arial" w:cs="Arial" w:eastAsia="Arial" w:hAnsi="Arial"/>
                <w:sz w:val="13"/>
                <w:szCs w:val="13"/>
                <w:b w:val="1"/>
                <w:bCs w:val="1"/>
                <w:color w:val="auto"/>
                <w:w w:val="93"/>
              </w:rPr>
              <w:t>Current</w:t>
            </w:r>
          </w:p>
        </w:tc>
        <w:tc>
          <w:tcPr>
            <w:tcW w:w="66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0"/>
              </w:rPr>
              <w:t>Above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500"/>
              <w:spacing w:after="0" w:line="134"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6"/>
        </w:trPr>
        <w:tc>
          <w:tcPr>
            <w:tcW w:w="398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18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8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89"/>
              </w:rPr>
              <w:t>Coupon</w:t>
            </w:r>
          </w:p>
        </w:tc>
        <w:tc>
          <w:tcPr>
            <w:tcW w:w="660" w:type="dxa"/>
            <w:vAlign w:val="bottom"/>
            <w:gridSpan w:val="2"/>
          </w:tcPr>
          <w:p>
            <w:pPr>
              <w:jc w:val="center"/>
              <w:ind w:right="180"/>
              <w:spacing w:after="0" w:line="176"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20"/>
                <w:szCs w:val="20"/>
                <w:b w:val="1"/>
                <w:bCs w:val="1"/>
                <w:color w:val="auto"/>
                <w:vertAlign w:val="superscript"/>
              </w:rPr>
              <w:t>(4)</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Par / 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380"/>
              <w:spacing w:after="0" w:line="176"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102"/>
        </w:trPr>
        <w:tc>
          <w:tcPr>
            <w:tcW w:w="760" w:type="dxa"/>
            <w:vAlign w:val="bottom"/>
            <w:tcBorders>
              <w:top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4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Affiliated Portfolio Companies – 5.3% </w:t>
            </w:r>
            <w:r>
              <w:rPr>
                <w:rFonts w:ascii="Arial" w:cs="Arial" w:eastAsia="Arial" w:hAnsi="Arial"/>
                <w:sz w:val="17"/>
                <w:szCs w:val="17"/>
                <w:b w:val="1"/>
                <w:bCs w:val="1"/>
                <w:color w:val="auto"/>
                <w:vertAlign w:val="superscript"/>
              </w:rPr>
              <w:t>(1),(2)</w:t>
            </w: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Debt/Corporate Notes – 1.7%</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Performance Holdings, Inc.</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07/02/2014</w:t>
            </w: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Leisure, Amusement, Motion</w:t>
            </w:r>
          </w:p>
        </w:tc>
        <w:tc>
          <w:tcPr>
            <w:tcW w:w="114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 xml:space="preserve">14.25% </w:t>
            </w:r>
            <w:r>
              <w:rPr>
                <w:rFonts w:ascii="Arial" w:cs="Arial" w:eastAsia="Arial" w:hAnsi="Arial"/>
                <w:sz w:val="15"/>
                <w:szCs w:val="15"/>
                <w:color w:val="auto"/>
                <w:vertAlign w:val="superscript"/>
              </w:rPr>
              <w:t>(6)</w:t>
            </w:r>
          </w:p>
        </w:tc>
        <w:tc>
          <w:tcPr>
            <w:tcW w:w="6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5,258,719</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5,066,905</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5,127,251</w:t>
            </w: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Pictures and Entertainment</w:t>
            </w: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 – 2.7%</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Performance, Inc.</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07/02/2013</w:t>
            </w: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Leisure, Amusement, Motion</w:t>
            </w:r>
          </w:p>
        </w:tc>
        <w:tc>
          <w:tcPr>
            <w:tcW w:w="114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6.04%</w:t>
            </w:r>
          </w:p>
        </w:tc>
        <w:tc>
          <w:tcPr>
            <w:tcW w:w="66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L+575</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8,750,000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8,750,000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8,115,625</w:t>
            </w: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Pictures and Entertainment</w:t>
            </w: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8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Common Equity/Partnership Interest </w:t>
            </w:r>
            <w:r>
              <w:rPr>
                <w:rFonts w:ascii="Arial" w:cs="Arial" w:eastAsia="Arial" w:hAnsi="Arial"/>
                <w:sz w:val="18"/>
                <w:szCs w:val="18"/>
                <w:b w:val="1"/>
                <w:bCs w:val="1"/>
                <w:color w:val="auto"/>
                <w:vertAlign w:val="superscript"/>
              </w:rPr>
              <w:t>(7)</w:t>
            </w:r>
            <w:r>
              <w:rPr>
                <w:rFonts w:ascii="Arial" w:cs="Arial" w:eastAsia="Arial" w:hAnsi="Arial"/>
                <w:sz w:val="11"/>
                <w:szCs w:val="11"/>
                <w:b w:val="1"/>
                <w:bCs w:val="1"/>
                <w:color w:val="auto"/>
              </w:rPr>
              <w:t xml:space="preserve"> – 0.9%</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NCP-Performance</w:t>
            </w:r>
          </w:p>
        </w:tc>
        <w:tc>
          <w:tcPr>
            <w:tcW w:w="660" w:type="dxa"/>
            <w:vAlign w:val="bottom"/>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Leisure, Amusement, Motion</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560"/>
              <w:spacing w:after="0" w:line="13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37,500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3,750,000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2,849,162</w:t>
            </w:r>
          </w:p>
        </w:tc>
        <w:tc>
          <w:tcPr>
            <w:tcW w:w="0" w:type="dxa"/>
            <w:vAlign w:val="bottom"/>
          </w:tcPr>
          <w:p>
            <w:pPr>
              <w:spacing w:after="0"/>
              <w:rPr>
                <w:sz w:val="1"/>
                <w:szCs w:val="1"/>
                <w:color w:val="auto"/>
              </w:rPr>
            </w:pPr>
          </w:p>
        </w:tc>
      </w:tr>
      <w:tr>
        <w:trPr>
          <w:trHeight w:val="173"/>
        </w:trPr>
        <w:tc>
          <w:tcPr>
            <w:tcW w:w="3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(Performance Holdings, Inc.)</w:t>
            </w: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Pictures and Entertainment</w:t>
            </w: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80" w:type="dxa"/>
            <w:vAlign w:val="bottom"/>
            <w:gridSpan w:val="2"/>
          </w:tcPr>
          <w:p>
            <w:pPr>
              <w:spacing w:after="0"/>
              <w:rPr>
                <w:sz w:val="20"/>
                <w:szCs w:val="20"/>
                <w:color w:val="auto"/>
              </w:rPr>
            </w:pPr>
            <w:r>
              <w:rPr>
                <w:rFonts w:ascii="Arial" w:cs="Arial" w:eastAsia="Arial" w:hAnsi="Arial"/>
                <w:sz w:val="13"/>
                <w:szCs w:val="13"/>
                <w:b w:val="1"/>
                <w:bCs w:val="1"/>
                <w:color w:val="auto"/>
              </w:rPr>
              <w:t>Investments in Non-Controlled, Affiliated Portfolio Companies</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17,566,905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16,092,038</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 167.6%</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516,788,001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513,141,326</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Cash Equivalents – 2.3%</w:t>
            </w: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7,051,165</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8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7,051,165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7,051,165</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 – 169.9%</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523,839,166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520,192,491</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 – (69.9%)</w:t>
            </w: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w w:val="91"/>
              </w:rPr>
              <w:t>(214,044,169)</w:t>
            </w: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 – 100.0%</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306,148,322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2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As used in this Schedule of Investments and in accordance with the 1940 Act, “non-controlled” means we own less than 25% of a portfolio company’s voting securities.</w:t>
      </w:r>
    </w:p>
    <w:p>
      <w:pPr>
        <w:spacing w:after="0" w:line="11" w:lineRule="exact"/>
        <w:rPr>
          <w:rFonts w:ascii="Arial" w:cs="Arial" w:eastAsia="Arial" w:hAnsi="Arial"/>
          <w:sz w:val="13"/>
          <w:szCs w:val="13"/>
          <w:color w:val="auto"/>
        </w:rPr>
      </w:pPr>
    </w:p>
    <w:p>
      <w:pPr>
        <w:ind w:left="340" w:right="4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 to our financial statements).</w:t>
      </w:r>
    </w:p>
    <w:p>
      <w:pPr>
        <w:ind w:left="340" w:right="24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 Rate (LIBOR or “L”) or Prime Rate (Prime or “P”).</w:t>
      </w:r>
    </w:p>
    <w:p>
      <w:pPr>
        <w:ind w:left="340" w:right="12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payable in cash and/or in-kind (“PIK”).</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subject to a LIBOR or Prime rate floor.</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This security does not have a basis point spread above an index.</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Basis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7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Point</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7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Spread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4"/>
        </w:trPr>
        <w:tc>
          <w:tcPr>
            <w:tcW w:w="7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34" w:lineRule="exact"/>
              <w:rPr>
                <w:sz w:val="20"/>
                <w:szCs w:val="20"/>
                <w:color w:val="auto"/>
              </w:rPr>
            </w:pPr>
            <w:r>
              <w:rPr>
                <w:rFonts w:ascii="Arial" w:cs="Arial" w:eastAsia="Arial" w:hAnsi="Arial"/>
                <w:sz w:val="13"/>
                <w:szCs w:val="13"/>
                <w:b w:val="1"/>
                <w:bCs w:val="1"/>
                <w:color w:val="auto"/>
                <w:w w:val="97"/>
              </w:rPr>
              <w:t>Current</w:t>
            </w:r>
          </w:p>
        </w:tc>
        <w:tc>
          <w:tcPr>
            <w:tcW w:w="380" w:type="dxa"/>
            <w:vAlign w:val="bottom"/>
          </w:tcPr>
          <w:p>
            <w:pPr>
              <w:spacing w:after="0"/>
              <w:rPr>
                <w:sz w:val="11"/>
                <w:szCs w:val="11"/>
                <w:color w:val="auto"/>
              </w:rPr>
            </w:pPr>
          </w:p>
        </w:tc>
        <w:tc>
          <w:tcPr>
            <w:tcW w:w="820" w:type="dxa"/>
            <w:vAlign w:val="bottom"/>
            <w:gridSpan w:val="2"/>
          </w:tcPr>
          <w:p>
            <w:pPr>
              <w:jc w:val="center"/>
              <w:ind w:right="340"/>
              <w:spacing w:after="0" w:line="134" w:lineRule="exact"/>
              <w:rPr>
                <w:sz w:val="20"/>
                <w:szCs w:val="20"/>
                <w:color w:val="auto"/>
              </w:rPr>
            </w:pPr>
            <w:r>
              <w:rPr>
                <w:rFonts w:ascii="Arial" w:cs="Arial" w:eastAsia="Arial" w:hAnsi="Arial"/>
                <w:sz w:val="13"/>
                <w:szCs w:val="13"/>
                <w:b w:val="1"/>
                <w:bCs w:val="1"/>
                <w:color w:val="auto"/>
                <w:w w:val="90"/>
              </w:rPr>
              <w:t>Above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260"/>
              <w:spacing w:after="0" w:line="134" w:lineRule="exact"/>
              <w:rPr>
                <w:sz w:val="20"/>
                <w:szCs w:val="20"/>
                <w:color w:val="auto"/>
              </w:rPr>
            </w:pPr>
            <w:r>
              <w:rPr>
                <w:rFonts w:ascii="Arial" w:cs="Arial" w:eastAsia="Arial" w:hAnsi="Arial"/>
                <w:sz w:val="13"/>
                <w:szCs w:val="13"/>
                <w:b w:val="1"/>
                <w:bCs w:val="1"/>
                <w:color w:val="auto"/>
              </w:rPr>
              <w:t>Fair</w:t>
            </w:r>
          </w:p>
        </w:tc>
      </w:tr>
      <w:tr>
        <w:trPr>
          <w:trHeight w:val="175"/>
        </w:trPr>
        <w:tc>
          <w:tcPr>
            <w:tcW w:w="760" w:type="dxa"/>
            <w:vAlign w:val="bottom"/>
          </w:tcPr>
          <w:p>
            <w:pPr>
              <w:spacing w:after="0"/>
              <w:rPr>
                <w:sz w:val="20"/>
                <w:szCs w:val="20"/>
                <w:color w:val="auto"/>
              </w:rPr>
            </w:pPr>
            <w:r>
              <w:rPr>
                <w:rFonts w:ascii="Arial" w:cs="Arial" w:eastAsia="Arial" w:hAnsi="Arial"/>
                <w:sz w:val="13"/>
                <w:szCs w:val="13"/>
                <w:b w:val="1"/>
                <w:bCs w:val="1"/>
                <w:color w:val="auto"/>
                <w:w w:val="95"/>
              </w:rPr>
              <w:t>Issuer Name</w:t>
            </w:r>
          </w:p>
        </w:tc>
        <w:tc>
          <w:tcPr>
            <w:tcW w:w="35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1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rPr>
              <w:t>Industry</w:t>
            </w: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3"/>
              </w:rPr>
              <w:t>Coupon</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2"/>
                <w:szCs w:val="12"/>
                <w:b w:val="1"/>
                <w:bCs w:val="1"/>
                <w:color w:val="auto"/>
                <w:w w:val="92"/>
              </w:rPr>
              <w:t>Index</w:t>
            </w:r>
            <w:r>
              <w:rPr>
                <w:rFonts w:ascii="Arial" w:cs="Arial" w:eastAsia="Arial" w:hAnsi="Arial"/>
                <w:sz w:val="20"/>
                <w:szCs w:val="20"/>
                <w:b w:val="1"/>
                <w:bCs w:val="1"/>
                <w:color w:val="auto"/>
                <w:w w:val="92"/>
                <w:vertAlign w:val="superscript"/>
              </w:rPr>
              <w:t>(4)</w:t>
            </w:r>
          </w:p>
        </w:tc>
        <w:tc>
          <w:tcPr>
            <w:tcW w:w="3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0"/>
              </w:rPr>
              <w:t>Par / Shares</w:t>
            </w:r>
          </w:p>
        </w:tc>
        <w:tc>
          <w:tcPr>
            <w:tcW w:w="80" w:type="dxa"/>
            <w:vAlign w:val="bottom"/>
          </w:tcPr>
          <w:p>
            <w:pPr>
              <w:spacing w:after="0"/>
              <w:rPr>
                <w:sz w:val="15"/>
                <w:szCs w:val="15"/>
                <w:color w:val="auto"/>
              </w:rPr>
            </w:pPr>
          </w:p>
        </w:tc>
        <w:tc>
          <w:tcPr>
            <w:tcW w:w="740" w:type="dxa"/>
            <w:vAlign w:val="bottom"/>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5"/>
                <w:szCs w:val="15"/>
                <w:color w:val="auto"/>
              </w:rPr>
            </w:pPr>
          </w:p>
        </w:tc>
        <w:tc>
          <w:tcPr>
            <w:tcW w:w="760" w:type="dxa"/>
            <w:vAlign w:val="bottom"/>
            <w:gridSpan w:val="2"/>
          </w:tcPr>
          <w:p>
            <w:pPr>
              <w:jc w:val="right"/>
              <w:ind w:right="140"/>
              <w:spacing w:after="0" w:line="176"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20"/>
                <w:szCs w:val="20"/>
                <w:b w:val="1"/>
                <w:bCs w:val="1"/>
                <w:color w:val="auto"/>
                <w:vertAlign w:val="superscript"/>
              </w:rPr>
              <w:t>(3)</w:t>
            </w:r>
          </w:p>
        </w:tc>
      </w:tr>
      <w:tr>
        <w:trPr>
          <w:trHeight w:val="20"/>
        </w:trPr>
        <w:tc>
          <w:tcPr>
            <w:tcW w:w="7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4940" w:type="dxa"/>
            <w:vAlign w:val="bottom"/>
            <w:gridSpan w:val="3"/>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 – 150.9% </w:t>
            </w:r>
            <w:r>
              <w:rPr>
                <w:rFonts w:ascii="Arial" w:cs="Arial" w:eastAsia="Arial" w:hAnsi="Arial"/>
                <w:sz w:val="16"/>
                <w:szCs w:val="16"/>
                <w:b w:val="1"/>
                <w:bCs w:val="1"/>
                <w:color w:val="auto"/>
                <w:vertAlign w:val="superscript"/>
              </w:rPr>
              <w:t>(1),(2)</w:t>
            </w: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Debt/Corporate Notes – 50.6%</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03/01/2012</w:t>
            </w: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8.27%</w:t>
            </w:r>
          </w:p>
        </w:tc>
        <w:tc>
          <w:tcPr>
            <w:tcW w:w="38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(6)</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L+750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$ 23,572,133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$ 22,930,475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$ 21,497,875</w:t>
            </w:r>
          </w:p>
        </w:tc>
        <w:tc>
          <w:tcPr>
            <w:tcW w:w="20" w:type="dxa"/>
            <w:vAlign w:val="bottom"/>
          </w:tcPr>
          <w:p>
            <w:pPr>
              <w:spacing w:after="0"/>
              <w:rPr>
                <w:sz w:val="12"/>
                <w:szCs w:val="12"/>
                <w:color w:val="auto"/>
              </w:rPr>
            </w:pPr>
          </w:p>
        </w:tc>
      </w:tr>
      <w:tr>
        <w:trPr>
          <w:trHeight w:val="148"/>
        </w:trPr>
        <w:tc>
          <w:tcPr>
            <w:tcW w:w="4280" w:type="dxa"/>
            <w:vAlign w:val="bottom"/>
            <w:gridSpan w:val="2"/>
          </w:tcPr>
          <w:p>
            <w:pPr>
              <w:spacing w:after="0"/>
              <w:rPr>
                <w:sz w:val="20"/>
                <w:szCs w:val="20"/>
                <w:color w:val="auto"/>
              </w:rPr>
            </w:pPr>
            <w:r>
              <w:rPr>
                <w:rFonts w:ascii="Arial" w:cs="Arial" w:eastAsia="Arial" w:hAnsi="Arial"/>
                <w:sz w:val="13"/>
                <w:szCs w:val="13"/>
                <w:color w:val="auto"/>
              </w:rPr>
              <w:t>Consolidated Foundries, Inc.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04/17/2015</w:t>
            </w:r>
          </w:p>
        </w:tc>
        <w:tc>
          <w:tcPr>
            <w:tcW w:w="18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14.25%</w:t>
            </w:r>
          </w:p>
        </w:tc>
        <w:tc>
          <w:tcPr>
            <w:tcW w:w="380" w:type="dxa"/>
            <w:vAlign w:val="bottom"/>
          </w:tcPr>
          <w:p>
            <w:pPr>
              <w:jc w:val="right"/>
              <w:ind w:right="164"/>
              <w:spacing w:after="0"/>
              <w:rPr>
                <w:sz w:val="20"/>
                <w:szCs w:val="20"/>
                <w:color w:val="auto"/>
              </w:rPr>
            </w:pPr>
            <w:r>
              <w:rPr>
                <w:rFonts w:ascii="Arial" w:cs="Arial" w:eastAsia="Arial" w:hAnsi="Arial"/>
                <w:sz w:val="11"/>
                <w:szCs w:val="11"/>
                <w:color w:val="auto"/>
              </w:rPr>
              <w:t>(6)</w:t>
            </w:r>
          </w:p>
        </w:tc>
        <w:tc>
          <w:tcPr>
            <w:tcW w:w="820" w:type="dxa"/>
            <w:vAlign w:val="bottom"/>
            <w:gridSpan w:val="2"/>
          </w:tcPr>
          <w:p>
            <w:pPr>
              <w:jc w:val="center"/>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8,109,468</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7,952,769</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8,190,563</w:t>
            </w:r>
          </w:p>
        </w:tc>
        <w:tc>
          <w:tcPr>
            <w:tcW w:w="20" w:type="dxa"/>
            <w:vAlign w:val="bottom"/>
          </w:tcPr>
          <w:p>
            <w:pPr>
              <w:spacing w:after="0"/>
              <w:rPr>
                <w:sz w:val="12"/>
                <w:szCs w:val="12"/>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CT Technologies Intermediate Holdings,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03/22/2014</w:t>
            </w: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14.00%</w:t>
            </w:r>
          </w:p>
        </w:tc>
        <w:tc>
          <w:tcPr>
            <w:tcW w:w="38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(6)</w:t>
            </w: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20,311,603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19,875,880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20,463,940</w:t>
            </w:r>
          </w:p>
        </w:tc>
        <w:tc>
          <w:tcPr>
            <w:tcW w:w="20" w:type="dxa"/>
            <w:vAlign w:val="bottom"/>
          </w:tcPr>
          <w:p>
            <w:pPr>
              <w:spacing w:after="0"/>
              <w:rPr>
                <w:sz w:val="12"/>
                <w:szCs w:val="12"/>
                <w:color w:val="auto"/>
              </w:rPr>
            </w:pPr>
          </w:p>
        </w:tc>
      </w:tr>
      <w:tr>
        <w:trPr>
          <w:trHeight w:val="149"/>
        </w:trPr>
        <w:tc>
          <w:tcPr>
            <w:tcW w:w="42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Digicel Limited </w:t>
            </w:r>
            <w:r>
              <w:rPr>
                <w:rFonts w:ascii="Arial" w:cs="Arial" w:eastAsia="Arial" w:hAnsi="Arial"/>
                <w:sz w:val="17"/>
                <w:szCs w:val="17"/>
                <w:color w:val="auto"/>
                <w:vertAlign w:val="superscript"/>
              </w:rPr>
              <w:t>(5)</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04/01/2014</w:t>
            </w:r>
          </w:p>
        </w:tc>
        <w:tc>
          <w:tcPr>
            <w:tcW w:w="18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12.00%</w:t>
            </w:r>
          </w:p>
        </w:tc>
        <w:tc>
          <w:tcPr>
            <w:tcW w:w="3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1,000,000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995,610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1,115,000</w:t>
            </w:r>
          </w:p>
        </w:tc>
        <w:tc>
          <w:tcPr>
            <w:tcW w:w="20" w:type="dxa"/>
            <w:vAlign w:val="bottom"/>
          </w:tcPr>
          <w:p>
            <w:pPr>
              <w:spacing w:after="0"/>
              <w:rPr>
                <w:sz w:val="12"/>
                <w:szCs w:val="12"/>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i2 Holdings Ltd.</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06/06/2014</w:t>
            </w: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14.75%</w:t>
            </w:r>
          </w:p>
        </w:tc>
        <w:tc>
          <w:tcPr>
            <w:tcW w:w="38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(6)</w:t>
            </w: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22,653,857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22,279,800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22,880,395</w:t>
            </w:r>
          </w:p>
        </w:tc>
        <w:tc>
          <w:tcPr>
            <w:tcW w:w="20" w:type="dxa"/>
            <w:vAlign w:val="bottom"/>
          </w:tcPr>
          <w:p>
            <w:pPr>
              <w:spacing w:after="0"/>
              <w:rPr>
                <w:sz w:val="12"/>
                <w:szCs w:val="12"/>
                <w:color w:val="auto"/>
              </w:rPr>
            </w:pPr>
          </w:p>
        </w:tc>
      </w:tr>
      <w:tr>
        <w:trPr>
          <w:trHeight w:val="148"/>
        </w:trPr>
        <w:tc>
          <w:tcPr>
            <w:tcW w:w="4280" w:type="dxa"/>
            <w:vAlign w:val="bottom"/>
            <w:gridSpan w:val="2"/>
          </w:tcPr>
          <w:p>
            <w:pPr>
              <w:spacing w:after="0"/>
              <w:rPr>
                <w:sz w:val="20"/>
                <w:szCs w:val="20"/>
                <w:color w:val="auto"/>
              </w:rPr>
            </w:pPr>
            <w:r>
              <w:rPr>
                <w:rFonts w:ascii="Arial" w:cs="Arial" w:eastAsia="Arial" w:hAnsi="Arial"/>
                <w:sz w:val="13"/>
                <w:szCs w:val="13"/>
                <w:color w:val="auto"/>
              </w:rPr>
              <w:t>IDQ Holdings, Inc.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05/20/2012</w:t>
            </w:r>
          </w:p>
        </w:tc>
        <w:tc>
          <w:tcPr>
            <w:tcW w:w="18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94"/>
              </w:rPr>
              <w:t>Auto Sector</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13.75%</w:t>
            </w:r>
          </w:p>
        </w:tc>
        <w:tc>
          <w:tcPr>
            <w:tcW w:w="3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20,000,000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19,632,400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20,060,000</w:t>
            </w:r>
          </w:p>
        </w:tc>
        <w:tc>
          <w:tcPr>
            <w:tcW w:w="20" w:type="dxa"/>
            <w:vAlign w:val="bottom"/>
          </w:tcPr>
          <w:p>
            <w:pPr>
              <w:spacing w:after="0"/>
              <w:rPr>
                <w:sz w:val="12"/>
                <w:szCs w:val="12"/>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Learning Care Group,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12/28/2015</w:t>
            </w: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Education</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13.50%</w:t>
            </w:r>
          </w:p>
        </w:tc>
        <w:tc>
          <w:tcPr>
            <w:tcW w:w="38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(6)</w:t>
            </w: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10,324,976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10,190,682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10,324,976</w:t>
            </w:r>
          </w:p>
        </w:tc>
        <w:tc>
          <w:tcPr>
            <w:tcW w:w="20" w:type="dxa"/>
            <w:vAlign w:val="bottom"/>
          </w:tcPr>
          <w:p>
            <w:pPr>
              <w:spacing w:after="0"/>
              <w:rPr>
                <w:sz w:val="12"/>
                <w:szCs w:val="12"/>
                <w:color w:val="auto"/>
              </w:rPr>
            </w:pPr>
          </w:p>
        </w:tc>
      </w:tr>
      <w:tr>
        <w:trPr>
          <w:trHeight w:val="148"/>
        </w:trPr>
        <w:tc>
          <w:tcPr>
            <w:tcW w:w="4280" w:type="dxa"/>
            <w:vAlign w:val="bottom"/>
            <w:gridSpan w:val="2"/>
          </w:tcPr>
          <w:p>
            <w:pPr>
              <w:spacing w:after="0"/>
              <w:rPr>
                <w:sz w:val="20"/>
                <w:szCs w:val="20"/>
                <w:color w:val="auto"/>
              </w:rPr>
            </w:pPr>
            <w:r>
              <w:rPr>
                <w:rFonts w:ascii="Arial" w:cs="Arial" w:eastAsia="Arial" w:hAnsi="Arial"/>
                <w:sz w:val="13"/>
                <w:szCs w:val="13"/>
                <w:color w:val="auto"/>
              </w:rPr>
              <w:t>Realogy Corp.</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04/15/2015</w:t>
            </w:r>
          </w:p>
        </w:tc>
        <w:tc>
          <w:tcPr>
            <w:tcW w:w="18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94"/>
              </w:rPr>
              <w:t>Buildings and Real Estate</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12.38%</w:t>
            </w:r>
          </w:p>
        </w:tc>
        <w:tc>
          <w:tcPr>
            <w:tcW w:w="3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10,000,000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8,921,187</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5,525,000</w:t>
            </w:r>
          </w:p>
        </w:tc>
        <w:tc>
          <w:tcPr>
            <w:tcW w:w="20" w:type="dxa"/>
            <w:vAlign w:val="bottom"/>
          </w:tcPr>
          <w:p>
            <w:pPr>
              <w:spacing w:after="0"/>
              <w:rPr>
                <w:sz w:val="12"/>
                <w:szCs w:val="12"/>
                <w:color w:val="auto"/>
              </w:rPr>
            </w:pPr>
          </w:p>
        </w:tc>
      </w:tr>
      <w:tr>
        <w:trPr>
          <w:trHeight w:val="149"/>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Trizetto Group,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10/01/2016</w:t>
            </w: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Insurance</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13.50%</w:t>
            </w:r>
          </w:p>
        </w:tc>
        <w:tc>
          <w:tcPr>
            <w:tcW w:w="38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(6)</w:t>
            </w: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20,197,856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20,010,210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20,652,308</w:t>
            </w:r>
          </w:p>
        </w:tc>
        <w:tc>
          <w:tcPr>
            <w:tcW w:w="20" w:type="dxa"/>
            <w:vAlign w:val="bottom"/>
          </w:tcPr>
          <w:p>
            <w:pPr>
              <w:spacing w:after="0"/>
              <w:rPr>
                <w:sz w:val="12"/>
                <w:szCs w:val="12"/>
                <w:color w:val="auto"/>
              </w:rPr>
            </w:pPr>
          </w:p>
        </w:tc>
      </w:tr>
      <w:tr>
        <w:trPr>
          <w:trHeight w:val="155"/>
        </w:trPr>
        <w:tc>
          <w:tcPr>
            <w:tcW w:w="4280" w:type="dxa"/>
            <w:vAlign w:val="bottom"/>
            <w:gridSpan w:val="2"/>
          </w:tcPr>
          <w:p>
            <w:pPr>
              <w:spacing w:after="0"/>
              <w:rPr>
                <w:sz w:val="20"/>
                <w:szCs w:val="20"/>
                <w:color w:val="auto"/>
              </w:rPr>
            </w:pPr>
            <w:r>
              <w:rPr>
                <w:rFonts w:ascii="Arial" w:cs="Arial" w:eastAsia="Arial" w:hAnsi="Arial"/>
                <w:sz w:val="13"/>
                <w:szCs w:val="13"/>
                <w:color w:val="auto"/>
              </w:rPr>
              <w:t>UP Acquisitions Sub Inc.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02/08/2015</w:t>
            </w:r>
          </w:p>
        </w:tc>
        <w:tc>
          <w:tcPr>
            <w:tcW w:w="18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13.50%</w:t>
            </w:r>
          </w:p>
        </w:tc>
        <w:tc>
          <w:tcPr>
            <w:tcW w:w="38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21,000,000</w:t>
            </w:r>
          </w:p>
        </w:tc>
        <w:tc>
          <w:tcPr>
            <w:tcW w:w="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20,472,809</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21,420,000</w:t>
            </w:r>
          </w:p>
        </w:tc>
        <w:tc>
          <w:tcPr>
            <w:tcW w:w="20" w:type="dxa"/>
            <w:vAlign w:val="bottom"/>
          </w:tcPr>
          <w:p>
            <w:pPr>
              <w:spacing w:after="0"/>
              <w:rPr>
                <w:sz w:val="13"/>
                <w:szCs w:val="13"/>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153,261,822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152,130,057</w:t>
            </w:r>
          </w:p>
        </w:tc>
        <w:tc>
          <w:tcPr>
            <w:tcW w:w="20" w:type="dxa"/>
            <w:vAlign w:val="bottom"/>
          </w:tcPr>
          <w:p>
            <w:pPr>
              <w:spacing w:after="0"/>
              <w:rPr>
                <w:sz w:val="12"/>
                <w:szCs w:val="12"/>
                <w:color w:val="auto"/>
              </w:rPr>
            </w:pPr>
          </w:p>
        </w:tc>
      </w:tr>
      <w:tr>
        <w:trPr>
          <w:trHeight w:val="156"/>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 – 42.1%</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02/07/2015</w:t>
            </w: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Energy/Utilities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6.36%</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L+600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13,153,077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12,416,800</w:t>
            </w:r>
          </w:p>
        </w:tc>
        <w:tc>
          <w:tcPr>
            <w:tcW w:w="20" w:type="dxa"/>
            <w:vAlign w:val="bottom"/>
          </w:tcPr>
          <w:p>
            <w:pPr>
              <w:spacing w:after="0"/>
              <w:rPr>
                <w:sz w:val="12"/>
                <w:szCs w:val="12"/>
                <w:color w:val="auto"/>
              </w:rPr>
            </w:pPr>
          </w:p>
        </w:tc>
      </w:tr>
      <w:tr>
        <w:trPr>
          <w:trHeight w:val="148"/>
        </w:trPr>
        <w:tc>
          <w:tcPr>
            <w:tcW w:w="4280" w:type="dxa"/>
            <w:vAlign w:val="bottom"/>
            <w:gridSpan w:val="2"/>
          </w:tcPr>
          <w:p>
            <w:pPr>
              <w:spacing w:after="0"/>
              <w:rPr>
                <w:sz w:val="20"/>
                <w:szCs w:val="20"/>
                <w:color w:val="auto"/>
              </w:rPr>
            </w:pPr>
            <w:r>
              <w:rPr>
                <w:rFonts w:ascii="Arial" w:cs="Arial" w:eastAsia="Arial" w:hAnsi="Arial"/>
                <w:sz w:val="13"/>
                <w:szCs w:val="13"/>
                <w:color w:val="auto"/>
              </w:rPr>
              <w:t>Brand Energy and Infrastructure Services, Inc.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02/07/2015</w:t>
            </w:r>
          </w:p>
        </w:tc>
        <w:tc>
          <w:tcPr>
            <w:tcW w:w="18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99"/>
              </w:rPr>
              <w:t>Energy/Utilities</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7.44%</w:t>
            </w:r>
          </w:p>
        </w:tc>
        <w:tc>
          <w:tcPr>
            <w:tcW w:w="38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color w:val="auto"/>
              </w:rPr>
              <w:t>L+700</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12,000,000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11,735,965</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11,364,000</w:t>
            </w:r>
          </w:p>
        </w:tc>
        <w:tc>
          <w:tcPr>
            <w:tcW w:w="20" w:type="dxa"/>
            <w:vAlign w:val="bottom"/>
          </w:tcPr>
          <w:p>
            <w:pPr>
              <w:spacing w:after="0"/>
              <w:rPr>
                <w:sz w:val="12"/>
                <w:szCs w:val="12"/>
                <w:color w:val="auto"/>
              </w:rPr>
            </w:pPr>
          </w:p>
        </w:tc>
      </w:tr>
      <w:tr>
        <w:trPr>
          <w:trHeight w:val="138"/>
        </w:trPr>
        <w:tc>
          <w:tcPr>
            <w:tcW w:w="4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Generics International (U.S.), Inc.</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04/30/2015</w:t>
            </w:r>
          </w:p>
        </w:tc>
        <w:tc>
          <w:tcPr>
            <w:tcW w:w="180" w:type="dxa"/>
            <w:vAlign w:val="bottom"/>
            <w:shd w:val="clear" w:color="auto" w:fill="CCEEFF"/>
          </w:tcPr>
          <w:p>
            <w:pPr>
              <w:spacing w:after="0"/>
              <w:rPr>
                <w:sz w:val="11"/>
                <w:szCs w:val="11"/>
                <w:color w:val="auto"/>
              </w:rPr>
            </w:pPr>
          </w:p>
        </w:tc>
        <w:tc>
          <w:tcPr>
            <w:tcW w:w="1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 Education and</w:t>
            </w:r>
          </w:p>
        </w:tc>
        <w:tc>
          <w:tcPr>
            <w:tcW w:w="76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7.78%</w:t>
            </w:r>
          </w:p>
        </w:tc>
        <w:tc>
          <w:tcPr>
            <w:tcW w:w="3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L+750</w:t>
            </w:r>
          </w:p>
        </w:tc>
        <w:tc>
          <w:tcPr>
            <w:tcW w:w="8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12,000,000</w:t>
            </w: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11,949,634</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11,376,000</w:t>
            </w:r>
          </w:p>
        </w:tc>
        <w:tc>
          <w:tcPr>
            <w:tcW w:w="20" w:type="dxa"/>
            <w:vAlign w:val="bottom"/>
          </w:tcPr>
          <w:p>
            <w:pPr>
              <w:spacing w:after="0"/>
              <w:rPr>
                <w:sz w:val="11"/>
                <w:szCs w:val="11"/>
                <w:color w:val="auto"/>
              </w:rPr>
            </w:pPr>
          </w:p>
        </w:tc>
      </w:tr>
      <w:tr>
        <w:trPr>
          <w:trHeight w:val="173"/>
        </w:trPr>
        <w:tc>
          <w:tcPr>
            <w:tcW w:w="76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48"/>
        </w:trPr>
        <w:tc>
          <w:tcPr>
            <w:tcW w:w="4280" w:type="dxa"/>
            <w:vAlign w:val="bottom"/>
            <w:gridSpan w:val="2"/>
          </w:tcPr>
          <w:p>
            <w:pPr>
              <w:spacing w:after="0"/>
              <w:rPr>
                <w:sz w:val="20"/>
                <w:szCs w:val="20"/>
                <w:color w:val="auto"/>
              </w:rPr>
            </w:pPr>
            <w:r>
              <w:rPr>
                <w:rFonts w:ascii="Arial" w:cs="Arial" w:eastAsia="Arial" w:hAnsi="Arial"/>
                <w:sz w:val="13"/>
                <w:szCs w:val="13"/>
                <w:color w:val="auto"/>
              </w:rPr>
              <w:t>Greatwide Logistics Services, L.L.C.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03/01/2014</w:t>
            </w:r>
          </w:p>
        </w:tc>
        <w:tc>
          <w:tcPr>
            <w:tcW w:w="18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92"/>
              </w:rPr>
              <w:t>Cargo Transport</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11.00%</w:t>
            </w:r>
          </w:p>
        </w:tc>
        <w:tc>
          <w:tcPr>
            <w:tcW w:w="380" w:type="dxa"/>
            <w:vAlign w:val="bottom"/>
          </w:tcPr>
          <w:p>
            <w:pPr>
              <w:jc w:val="right"/>
              <w:ind w:right="164"/>
              <w:spacing w:after="0"/>
              <w:rPr>
                <w:sz w:val="20"/>
                <w:szCs w:val="20"/>
                <w:color w:val="auto"/>
              </w:rPr>
            </w:pPr>
            <w:r>
              <w:rPr>
                <w:rFonts w:ascii="Arial" w:cs="Arial" w:eastAsia="Arial" w:hAnsi="Arial"/>
                <w:sz w:val="11"/>
                <w:szCs w:val="11"/>
                <w:color w:val="auto"/>
              </w:rPr>
              <w:t>(6)</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1"/>
                <w:szCs w:val="11"/>
                <w:color w:val="auto"/>
              </w:rPr>
              <w:t xml:space="preserve">L+700 </w:t>
            </w:r>
            <w:r>
              <w:rPr>
                <w:rFonts w:ascii="Arial" w:cs="Arial" w:eastAsia="Arial" w:hAnsi="Arial"/>
                <w:sz w:val="17"/>
                <w:szCs w:val="17"/>
                <w:color w:val="auto"/>
                <w:vertAlign w:val="superscript"/>
              </w:rPr>
              <w:t>(8)</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2,309,343</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2,309,344</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2,309,344</w:t>
            </w:r>
          </w:p>
        </w:tc>
        <w:tc>
          <w:tcPr>
            <w:tcW w:w="20" w:type="dxa"/>
            <w:vAlign w:val="bottom"/>
          </w:tcPr>
          <w:p>
            <w:pPr>
              <w:spacing w:after="0"/>
              <w:rPr>
                <w:sz w:val="12"/>
                <w:szCs w:val="12"/>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Questex Media Group,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11/04/2014</w:t>
            </w: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6.91%</w:t>
            </w:r>
          </w:p>
        </w:tc>
        <w:tc>
          <w:tcPr>
            <w:tcW w:w="38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(7)</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L+650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8"/>
        </w:trPr>
        <w:tc>
          <w:tcPr>
            <w:tcW w:w="4280" w:type="dxa"/>
            <w:vAlign w:val="bottom"/>
            <w:gridSpan w:val="2"/>
          </w:tcPr>
          <w:p>
            <w:pPr>
              <w:spacing w:after="0"/>
              <w:rPr>
                <w:sz w:val="20"/>
                <w:szCs w:val="20"/>
                <w:color w:val="auto"/>
              </w:rPr>
            </w:pPr>
            <w:r>
              <w:rPr>
                <w:rFonts w:ascii="Arial" w:cs="Arial" w:eastAsia="Arial" w:hAnsi="Arial"/>
                <w:sz w:val="13"/>
                <w:szCs w:val="13"/>
                <w:color w:val="auto"/>
              </w:rPr>
              <w:t>Realogy Corp.</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10/15/2017</w:t>
            </w:r>
          </w:p>
        </w:tc>
        <w:tc>
          <w:tcPr>
            <w:tcW w:w="18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94"/>
              </w:rPr>
              <w:t>Buildings and Real Estate</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13.50%</w:t>
            </w:r>
          </w:p>
        </w:tc>
        <w:tc>
          <w:tcPr>
            <w:tcW w:w="3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10,000,000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10,000,000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10,387,500</w:t>
            </w:r>
          </w:p>
        </w:tc>
        <w:tc>
          <w:tcPr>
            <w:tcW w:w="20" w:type="dxa"/>
            <w:vAlign w:val="bottom"/>
          </w:tcPr>
          <w:p>
            <w:pPr>
              <w:spacing w:after="0"/>
              <w:rPr>
                <w:sz w:val="12"/>
                <w:szCs w:val="12"/>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05/15/2015</w:t>
            </w: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Transportation</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8.19%</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L+775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9,941,121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7,100,000</w:t>
            </w:r>
          </w:p>
        </w:tc>
        <w:tc>
          <w:tcPr>
            <w:tcW w:w="20" w:type="dxa"/>
            <w:vAlign w:val="bottom"/>
          </w:tcPr>
          <w:p>
            <w:pPr>
              <w:spacing w:after="0"/>
              <w:rPr>
                <w:sz w:val="12"/>
                <w:szCs w:val="12"/>
                <w:color w:val="auto"/>
              </w:rPr>
            </w:pPr>
          </w:p>
        </w:tc>
      </w:tr>
      <w:tr>
        <w:trPr>
          <w:trHeight w:val="148"/>
        </w:trPr>
        <w:tc>
          <w:tcPr>
            <w:tcW w:w="428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05/15/2017</w:t>
            </w:r>
          </w:p>
        </w:tc>
        <w:tc>
          <w:tcPr>
            <w:tcW w:w="18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95"/>
              </w:rPr>
              <w:t>Transportation</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12.50%</w:t>
            </w:r>
          </w:p>
        </w:tc>
        <w:tc>
          <w:tcPr>
            <w:tcW w:w="3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19,000,000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16,890,972</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14,250,000</w:t>
            </w:r>
          </w:p>
        </w:tc>
        <w:tc>
          <w:tcPr>
            <w:tcW w:w="20" w:type="dxa"/>
            <w:vAlign w:val="bottom"/>
          </w:tcPr>
          <w:p>
            <w:pPr>
              <w:spacing w:after="0"/>
              <w:rPr>
                <w:sz w:val="12"/>
                <w:szCs w:val="12"/>
                <w:color w:val="auto"/>
              </w:rPr>
            </w:pPr>
          </w:p>
        </w:tc>
      </w:tr>
      <w:tr>
        <w:trPr>
          <w:trHeight w:val="138"/>
        </w:trPr>
        <w:tc>
          <w:tcPr>
            <w:tcW w:w="4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Sheridan Holdings, Inc.</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06/15/2015</w:t>
            </w:r>
          </w:p>
        </w:tc>
        <w:tc>
          <w:tcPr>
            <w:tcW w:w="180" w:type="dxa"/>
            <w:vAlign w:val="bottom"/>
            <w:shd w:val="clear" w:color="auto" w:fill="CCEEFF"/>
          </w:tcPr>
          <w:p>
            <w:pPr>
              <w:spacing w:after="0"/>
              <w:rPr>
                <w:sz w:val="11"/>
                <w:szCs w:val="11"/>
                <w:color w:val="auto"/>
              </w:rPr>
            </w:pPr>
          </w:p>
        </w:tc>
        <w:tc>
          <w:tcPr>
            <w:tcW w:w="1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 Education and</w:t>
            </w:r>
          </w:p>
        </w:tc>
        <w:tc>
          <w:tcPr>
            <w:tcW w:w="76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6.00%</w:t>
            </w:r>
          </w:p>
        </w:tc>
        <w:tc>
          <w:tcPr>
            <w:tcW w:w="38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(6)</w:t>
            </w:r>
          </w:p>
        </w:tc>
        <w:tc>
          <w:tcPr>
            <w:tcW w:w="82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L+575</w:t>
            </w:r>
          </w:p>
        </w:tc>
        <w:tc>
          <w:tcPr>
            <w:tcW w:w="8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21,500,000</w:t>
            </w: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18,855,728</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19,414,500</w:t>
            </w:r>
          </w:p>
        </w:tc>
        <w:tc>
          <w:tcPr>
            <w:tcW w:w="20" w:type="dxa"/>
            <w:vAlign w:val="bottom"/>
          </w:tcPr>
          <w:p>
            <w:pPr>
              <w:spacing w:after="0"/>
              <w:rPr>
                <w:sz w:val="11"/>
                <w:szCs w:val="11"/>
                <w:color w:val="auto"/>
              </w:rPr>
            </w:pPr>
          </w:p>
        </w:tc>
      </w:tr>
      <w:tr>
        <w:trPr>
          <w:trHeight w:val="173"/>
        </w:trPr>
        <w:tc>
          <w:tcPr>
            <w:tcW w:w="76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38"/>
        </w:trPr>
        <w:tc>
          <w:tcPr>
            <w:tcW w:w="4280" w:type="dxa"/>
            <w:vAlign w:val="bottom"/>
            <w:gridSpan w:val="2"/>
          </w:tcPr>
          <w:p>
            <w:pPr>
              <w:spacing w:after="0" w:line="138" w:lineRule="exact"/>
              <w:rPr>
                <w:sz w:val="20"/>
                <w:szCs w:val="20"/>
                <w:color w:val="auto"/>
              </w:rPr>
            </w:pPr>
            <w:r>
              <w:rPr>
                <w:rFonts w:ascii="Arial" w:cs="Arial" w:eastAsia="Arial" w:hAnsi="Arial"/>
                <w:sz w:val="13"/>
                <w:szCs w:val="13"/>
                <w:color w:val="auto"/>
              </w:rPr>
              <w:t>Specialized Technology Resources, Inc.</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5"/>
              </w:rPr>
              <w:t>12/15/2014</w:t>
            </w:r>
          </w:p>
        </w:tc>
        <w:tc>
          <w:tcPr>
            <w:tcW w:w="180" w:type="dxa"/>
            <w:vAlign w:val="bottom"/>
          </w:tcPr>
          <w:p>
            <w:pPr>
              <w:spacing w:after="0"/>
              <w:rPr>
                <w:sz w:val="11"/>
                <w:szCs w:val="11"/>
                <w:color w:val="auto"/>
              </w:rPr>
            </w:pPr>
          </w:p>
        </w:tc>
        <w:tc>
          <w:tcPr>
            <w:tcW w:w="1620" w:type="dxa"/>
            <w:vAlign w:val="bottom"/>
          </w:tcPr>
          <w:p>
            <w:pPr>
              <w:jc w:val="center"/>
              <w:spacing w:after="0" w:line="138" w:lineRule="exact"/>
              <w:rPr>
                <w:sz w:val="20"/>
                <w:szCs w:val="20"/>
                <w:color w:val="auto"/>
              </w:rPr>
            </w:pPr>
            <w:r>
              <w:rPr>
                <w:rFonts w:ascii="Arial" w:cs="Arial" w:eastAsia="Arial" w:hAnsi="Arial"/>
                <w:sz w:val="13"/>
                <w:szCs w:val="13"/>
                <w:color w:val="auto"/>
                <w:w w:val="94"/>
              </w:rPr>
              <w:t>Chemical, Plastics and</w:t>
            </w:r>
          </w:p>
        </w:tc>
        <w:tc>
          <w:tcPr>
            <w:tcW w:w="76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7.25%</w:t>
            </w:r>
          </w:p>
        </w:tc>
        <w:tc>
          <w:tcPr>
            <w:tcW w:w="380" w:type="dxa"/>
            <w:vAlign w:val="bottom"/>
          </w:tcPr>
          <w:p>
            <w:pPr>
              <w:jc w:val="right"/>
              <w:ind w:right="164"/>
              <w:spacing w:after="0"/>
              <w:rPr>
                <w:sz w:val="20"/>
                <w:szCs w:val="20"/>
                <w:color w:val="auto"/>
              </w:rPr>
            </w:pPr>
            <w:r>
              <w:rPr>
                <w:rFonts w:ascii="Arial" w:cs="Arial" w:eastAsia="Arial" w:hAnsi="Arial"/>
                <w:sz w:val="11"/>
                <w:szCs w:val="11"/>
                <w:color w:val="auto"/>
              </w:rPr>
              <w:t>(6)</w:t>
            </w:r>
          </w:p>
        </w:tc>
        <w:tc>
          <w:tcPr>
            <w:tcW w:w="820" w:type="dxa"/>
            <w:vAlign w:val="bottom"/>
            <w:gridSpan w:val="2"/>
          </w:tcPr>
          <w:p>
            <w:pPr>
              <w:jc w:val="right"/>
              <w:ind w:right="340"/>
              <w:spacing w:after="0" w:line="138" w:lineRule="exact"/>
              <w:rPr>
                <w:sz w:val="20"/>
                <w:szCs w:val="20"/>
                <w:color w:val="auto"/>
              </w:rPr>
            </w:pPr>
            <w:r>
              <w:rPr>
                <w:rFonts w:ascii="Arial" w:cs="Arial" w:eastAsia="Arial" w:hAnsi="Arial"/>
                <w:sz w:val="13"/>
                <w:szCs w:val="13"/>
                <w:color w:val="auto"/>
              </w:rPr>
              <w:t>L+700</w:t>
            </w:r>
          </w:p>
        </w:tc>
        <w:tc>
          <w:tcPr>
            <w:tcW w:w="80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22,500,000</w:t>
            </w:r>
          </w:p>
        </w:tc>
        <w:tc>
          <w:tcPr>
            <w:tcW w:w="8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22,488,166</w:t>
            </w:r>
          </w:p>
        </w:tc>
        <w:tc>
          <w:tcPr>
            <w:tcW w:w="9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22,500,000</w:t>
            </w:r>
          </w:p>
        </w:tc>
        <w:tc>
          <w:tcPr>
            <w:tcW w:w="20" w:type="dxa"/>
            <w:vAlign w:val="bottom"/>
          </w:tcPr>
          <w:p>
            <w:pPr>
              <w:spacing w:after="0"/>
              <w:rPr>
                <w:sz w:val="11"/>
                <w:szCs w:val="11"/>
                <w:color w:val="auto"/>
              </w:rPr>
            </w:pPr>
          </w:p>
        </w:tc>
      </w:tr>
      <w:tr>
        <w:trPr>
          <w:trHeight w:val="159"/>
        </w:trPr>
        <w:tc>
          <w:tcPr>
            <w:tcW w:w="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93"/>
              </w:rPr>
              <w:t>Rubber</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TransFirst Holdings,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06/15/2015</w:t>
            </w: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Financial Services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7.04%</w:t>
            </w:r>
          </w:p>
        </w:tc>
        <w:tc>
          <w:tcPr>
            <w:tcW w:w="38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(6)</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L+675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16,792,105</w:t>
            </w:r>
          </w:p>
        </w:tc>
        <w:tc>
          <w:tcPr>
            <w:tcW w:w="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16,247,489</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15,264,023</w:t>
            </w:r>
          </w:p>
        </w:tc>
        <w:tc>
          <w:tcPr>
            <w:tcW w:w="20" w:type="dxa"/>
            <w:vAlign w:val="bottom"/>
          </w:tcPr>
          <w:p>
            <w:pPr>
              <w:spacing w:after="0"/>
              <w:rPr>
                <w:sz w:val="12"/>
                <w:szCs w:val="12"/>
                <w:color w:val="auto"/>
              </w:rPr>
            </w:pPr>
          </w:p>
        </w:tc>
      </w:tr>
      <w:tr>
        <w:trPr>
          <w:trHeight w:val="163"/>
        </w:trPr>
        <w:tc>
          <w:tcPr>
            <w:tcW w:w="4280" w:type="dxa"/>
            <w:vAlign w:val="bottom"/>
            <w:gridSpan w:val="2"/>
          </w:tcPr>
          <w:p>
            <w:pPr>
              <w:spacing w:after="0"/>
              <w:rPr>
                <w:sz w:val="20"/>
                <w:szCs w:val="20"/>
                <w:color w:val="auto"/>
              </w:rPr>
            </w:pPr>
            <w:r>
              <w:rPr>
                <w:rFonts w:ascii="Arial" w:cs="Arial" w:eastAsia="Arial" w:hAnsi="Arial"/>
                <w:sz w:val="13"/>
                <w:szCs w:val="13"/>
                <w:color w:val="auto"/>
              </w:rPr>
              <w:t>Total Second Lien Secured Debt</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143,571,496</w:t>
            </w:r>
          </w:p>
        </w:tc>
        <w:tc>
          <w:tcPr>
            <w:tcW w:w="940" w:type="dxa"/>
            <w:vAlign w:val="bottom"/>
            <w:gridSpan w:val="3"/>
          </w:tcPr>
          <w:p>
            <w:pPr>
              <w:jc w:val="right"/>
              <w:ind w:right="20"/>
              <w:spacing w:after="0"/>
              <w:rPr>
                <w:sz w:val="20"/>
                <w:szCs w:val="20"/>
                <w:color w:val="auto"/>
              </w:rPr>
            </w:pPr>
            <w:r>
              <w:rPr>
                <w:rFonts w:ascii="Arial" w:cs="Arial" w:eastAsia="Arial" w:hAnsi="Arial"/>
                <w:sz w:val="13"/>
                <w:szCs w:val="13"/>
                <w:color w:val="auto"/>
              </w:rPr>
              <w:t>126,382,167</w:t>
            </w:r>
          </w:p>
        </w:tc>
      </w:tr>
      <w:tr>
        <w:trPr>
          <w:trHeight w:val="148"/>
        </w:trPr>
        <w:tc>
          <w:tcPr>
            <w:tcW w:w="42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 xml:space="preserve"> – 3.6%</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280" w:type="dxa"/>
            <w:vAlign w:val="bottom"/>
            <w:gridSpan w:val="2"/>
          </w:tcPr>
          <w:p>
            <w:pPr>
              <w:spacing w:after="0"/>
              <w:rPr>
                <w:sz w:val="20"/>
                <w:szCs w:val="20"/>
                <w:color w:val="auto"/>
              </w:rPr>
            </w:pPr>
            <w:r>
              <w:rPr>
                <w:rFonts w:ascii="Arial" w:cs="Arial" w:eastAsia="Arial" w:hAnsi="Arial"/>
                <w:sz w:val="13"/>
                <w:szCs w:val="13"/>
                <w:color w:val="auto"/>
              </w:rPr>
              <w:t>CFHC Holdings, Inc., Class A (Consolidated Foundries, Inc.)</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12.00%</w:t>
            </w:r>
          </w:p>
        </w:tc>
        <w:tc>
          <w:tcPr>
            <w:tcW w:w="3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797</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797,288</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949,648</w:t>
            </w:r>
          </w:p>
        </w:tc>
        <w:tc>
          <w:tcPr>
            <w:tcW w:w="20" w:type="dxa"/>
            <w:vAlign w:val="bottom"/>
          </w:tcPr>
          <w:p>
            <w:pPr>
              <w:spacing w:after="0"/>
              <w:rPr>
                <w:sz w:val="12"/>
                <w:szCs w:val="12"/>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i2 Holdings Ltd.</w:t>
            </w:r>
          </w:p>
        </w:tc>
        <w:tc>
          <w:tcPr>
            <w:tcW w:w="6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12.00%</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4,137,240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4,137,240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4,793,729</w:t>
            </w:r>
          </w:p>
        </w:tc>
        <w:tc>
          <w:tcPr>
            <w:tcW w:w="20" w:type="dxa"/>
            <w:vAlign w:val="bottom"/>
          </w:tcPr>
          <w:p>
            <w:pPr>
              <w:spacing w:after="0"/>
              <w:rPr>
                <w:sz w:val="12"/>
                <w:szCs w:val="12"/>
                <w:color w:val="auto"/>
              </w:rPr>
            </w:pPr>
          </w:p>
        </w:tc>
      </w:tr>
      <w:tr>
        <w:trPr>
          <w:trHeight w:val="148"/>
        </w:trPr>
        <w:tc>
          <w:tcPr>
            <w:tcW w:w="4280" w:type="dxa"/>
            <w:vAlign w:val="bottom"/>
            <w:gridSpan w:val="2"/>
          </w:tcPr>
          <w:p>
            <w:pPr>
              <w:spacing w:after="0"/>
              <w:rPr>
                <w:sz w:val="20"/>
                <w:szCs w:val="20"/>
                <w:color w:val="auto"/>
              </w:rPr>
            </w:pPr>
            <w:r>
              <w:rPr>
                <w:rFonts w:ascii="Arial" w:cs="Arial" w:eastAsia="Arial" w:hAnsi="Arial"/>
                <w:sz w:val="13"/>
                <w:szCs w:val="13"/>
                <w:color w:val="auto"/>
              </w:rPr>
              <w:t>TZ Holdings, L.P., Series A (Trizetto Group, Inc.)</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91"/>
              </w:rPr>
              <w:t>Insurance</w:t>
            </w:r>
          </w:p>
        </w:tc>
        <w:tc>
          <w:tcPr>
            <w:tcW w:w="16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686</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685,820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685,820</w:t>
            </w:r>
          </w:p>
        </w:tc>
        <w:tc>
          <w:tcPr>
            <w:tcW w:w="20" w:type="dxa"/>
            <w:vAlign w:val="bottom"/>
          </w:tcPr>
          <w:p>
            <w:pPr>
              <w:spacing w:after="0"/>
              <w:rPr>
                <w:sz w:val="12"/>
                <w:szCs w:val="12"/>
                <w:color w:val="auto"/>
              </w:rPr>
            </w:pPr>
          </w:p>
        </w:tc>
      </w:tr>
      <w:tr>
        <w:trPr>
          <w:trHeight w:val="149"/>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TZ Holdings, L.P., Series B (Trizetto Group, Inc.)</w:t>
            </w:r>
          </w:p>
        </w:tc>
        <w:tc>
          <w:tcPr>
            <w:tcW w:w="6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Insurance</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1,312,006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1,410,604</w:t>
            </w:r>
          </w:p>
        </w:tc>
        <w:tc>
          <w:tcPr>
            <w:tcW w:w="20" w:type="dxa"/>
            <w:vAlign w:val="bottom"/>
          </w:tcPr>
          <w:p>
            <w:pPr>
              <w:spacing w:after="0"/>
              <w:rPr>
                <w:sz w:val="12"/>
                <w:szCs w:val="12"/>
                <w:color w:val="auto"/>
              </w:rPr>
            </w:pPr>
          </w:p>
        </w:tc>
      </w:tr>
      <w:tr>
        <w:trPr>
          <w:trHeight w:val="148"/>
        </w:trPr>
        <w:tc>
          <w:tcPr>
            <w:tcW w:w="4280" w:type="dxa"/>
            <w:vAlign w:val="bottom"/>
            <w:gridSpan w:val="2"/>
          </w:tcPr>
          <w:p>
            <w:pPr>
              <w:spacing w:after="0"/>
              <w:rPr>
                <w:sz w:val="20"/>
                <w:szCs w:val="20"/>
                <w:color w:val="auto"/>
              </w:rPr>
            </w:pPr>
            <w:r>
              <w:rPr>
                <w:rFonts w:ascii="Arial" w:cs="Arial" w:eastAsia="Arial" w:hAnsi="Arial"/>
                <w:sz w:val="13"/>
                <w:szCs w:val="13"/>
                <w:color w:val="auto"/>
              </w:rPr>
              <w:t>UP Holdings Inc., Class A-1 (UP Acquisitions Sub Inc.)</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8.00%</w:t>
            </w:r>
          </w:p>
        </w:tc>
        <w:tc>
          <w:tcPr>
            <w:tcW w:w="3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91,608</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2,499,067</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3,094,252</w:t>
            </w:r>
          </w:p>
        </w:tc>
        <w:tc>
          <w:tcPr>
            <w:tcW w:w="20" w:type="dxa"/>
            <w:vAlign w:val="bottom"/>
          </w:tcPr>
          <w:p>
            <w:pPr>
              <w:spacing w:after="0"/>
              <w:rPr>
                <w:sz w:val="12"/>
                <w:szCs w:val="12"/>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VSS-AHC Holdings, LLC (Advanstar Inc.)</w:t>
            </w:r>
          </w:p>
        </w:tc>
        <w:tc>
          <w:tcPr>
            <w:tcW w:w="6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319</w:t>
            </w:r>
          </w:p>
        </w:tc>
        <w:tc>
          <w:tcPr>
            <w:tcW w:w="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318,896</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56"/>
        </w:trPr>
        <w:tc>
          <w:tcPr>
            <w:tcW w:w="4280" w:type="dxa"/>
            <w:vAlign w:val="bottom"/>
            <w:gridSpan w:val="2"/>
          </w:tcPr>
          <w:p>
            <w:pPr>
              <w:spacing w:after="0"/>
              <w:rPr>
                <w:sz w:val="20"/>
                <w:szCs w:val="20"/>
                <w:color w:val="auto"/>
              </w:rPr>
            </w:pPr>
            <w:r>
              <w:rPr>
                <w:rFonts w:ascii="Arial" w:cs="Arial" w:eastAsia="Arial" w:hAnsi="Arial"/>
                <w:sz w:val="13"/>
                <w:szCs w:val="13"/>
                <w:color w:val="auto"/>
              </w:rPr>
              <w:t>Total Preferred Equity/Partnership Interests</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9,750,317</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10,934,053</w:t>
            </w:r>
          </w:p>
        </w:tc>
        <w:tc>
          <w:tcPr>
            <w:tcW w:w="20" w:type="dxa"/>
            <w:vAlign w:val="bottom"/>
          </w:tcPr>
          <w:p>
            <w:pPr>
              <w:spacing w:after="0"/>
              <w:rPr>
                <w:sz w:val="13"/>
                <w:szCs w:val="13"/>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gridSpan w:val="2"/>
          </w:tcPr>
          <w:p>
            <w:pPr>
              <w:ind w:left="100"/>
              <w:spacing w:after="0"/>
              <w:rPr>
                <w:sz w:val="20"/>
                <w:szCs w:val="20"/>
                <w:color w:val="auto"/>
              </w:rPr>
            </w:pPr>
            <w:r>
              <w:rPr>
                <w:rFonts w:ascii="Arial" w:cs="Arial" w:eastAsia="Arial" w:hAnsi="Arial"/>
                <w:sz w:val="13"/>
                <w:szCs w:val="13"/>
                <w:b w:val="1"/>
                <w:bCs w:val="1"/>
                <w:color w:val="auto"/>
              </w:rPr>
              <w:t>Basis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7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b w:val="1"/>
                <w:bCs w:val="1"/>
                <w:color w:val="auto"/>
              </w:rPr>
              <w:t>Point</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7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Spread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4"/>
        </w:trPr>
        <w:tc>
          <w:tcPr>
            <w:tcW w:w="7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right"/>
              <w:ind w:right="140"/>
              <w:spacing w:after="0" w:line="134" w:lineRule="exact"/>
              <w:rPr>
                <w:sz w:val="20"/>
                <w:szCs w:val="20"/>
                <w:color w:val="auto"/>
              </w:rPr>
            </w:pPr>
            <w:r>
              <w:rPr>
                <w:rFonts w:ascii="Arial" w:cs="Arial" w:eastAsia="Arial" w:hAnsi="Arial"/>
                <w:sz w:val="13"/>
                <w:szCs w:val="13"/>
                <w:b w:val="1"/>
                <w:bCs w:val="1"/>
                <w:color w:val="auto"/>
                <w:w w:val="93"/>
              </w:rPr>
              <w:t>Current</w:t>
            </w:r>
          </w:p>
        </w:tc>
        <w:tc>
          <w:tcPr>
            <w:tcW w:w="400" w:type="dxa"/>
            <w:vAlign w:val="bottom"/>
          </w:tcPr>
          <w:p>
            <w:pPr>
              <w:spacing w:after="0"/>
              <w:rPr>
                <w:sz w:val="11"/>
                <w:szCs w:val="11"/>
                <w:color w:val="auto"/>
              </w:rPr>
            </w:pPr>
          </w:p>
        </w:tc>
        <w:tc>
          <w:tcPr>
            <w:tcW w:w="860" w:type="dxa"/>
            <w:vAlign w:val="bottom"/>
            <w:gridSpan w:val="2"/>
          </w:tcPr>
          <w:p>
            <w:pPr>
              <w:jc w:val="center"/>
              <w:ind w:right="380"/>
              <w:spacing w:after="0" w:line="134" w:lineRule="exact"/>
              <w:rPr>
                <w:sz w:val="20"/>
                <w:szCs w:val="20"/>
                <w:color w:val="auto"/>
              </w:rPr>
            </w:pPr>
            <w:r>
              <w:rPr>
                <w:rFonts w:ascii="Arial" w:cs="Arial" w:eastAsia="Arial" w:hAnsi="Arial"/>
                <w:sz w:val="13"/>
                <w:szCs w:val="13"/>
                <w:b w:val="1"/>
                <w:bCs w:val="1"/>
                <w:color w:val="auto"/>
                <w:w w:val="90"/>
              </w:rPr>
              <w:t>Above</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260"/>
              <w:spacing w:after="0" w:line="134" w:lineRule="exact"/>
              <w:rPr>
                <w:sz w:val="20"/>
                <w:szCs w:val="20"/>
                <w:color w:val="auto"/>
              </w:rPr>
            </w:pPr>
            <w:r>
              <w:rPr>
                <w:rFonts w:ascii="Arial" w:cs="Arial" w:eastAsia="Arial" w:hAnsi="Arial"/>
                <w:sz w:val="13"/>
                <w:szCs w:val="13"/>
                <w:b w:val="1"/>
                <w:bCs w:val="1"/>
                <w:color w:val="auto"/>
              </w:rPr>
              <w:t>Fair</w:t>
            </w:r>
          </w:p>
        </w:tc>
      </w:tr>
      <w:tr>
        <w:trPr>
          <w:trHeight w:val="175"/>
        </w:trPr>
        <w:tc>
          <w:tcPr>
            <w:tcW w:w="760" w:type="dxa"/>
            <w:vAlign w:val="bottom"/>
          </w:tcPr>
          <w:p>
            <w:pPr>
              <w:spacing w:after="0"/>
              <w:rPr>
                <w:sz w:val="20"/>
                <w:szCs w:val="20"/>
                <w:color w:val="auto"/>
              </w:rPr>
            </w:pPr>
            <w:r>
              <w:rPr>
                <w:rFonts w:ascii="Arial" w:cs="Arial" w:eastAsia="Arial" w:hAnsi="Arial"/>
                <w:sz w:val="13"/>
                <w:szCs w:val="13"/>
                <w:b w:val="1"/>
                <w:bCs w:val="1"/>
                <w:color w:val="auto"/>
                <w:w w:val="95"/>
              </w:rPr>
              <w:t>Issuer Name</w:t>
            </w:r>
          </w:p>
        </w:tc>
        <w:tc>
          <w:tcPr>
            <w:tcW w:w="33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w w:val="89"/>
              </w:rPr>
              <w:t>Coupon</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20"/>
                <w:szCs w:val="20"/>
                <w:b w:val="1"/>
                <w:bCs w:val="1"/>
                <w:color w:val="auto"/>
                <w:vertAlign w:val="superscript"/>
              </w:rPr>
              <w:t>(4)</w:t>
            </w:r>
          </w:p>
        </w:tc>
        <w:tc>
          <w:tcPr>
            <w:tcW w:w="3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0"/>
              </w:rPr>
              <w:t>Par / Shares</w:t>
            </w:r>
          </w:p>
        </w:tc>
        <w:tc>
          <w:tcPr>
            <w:tcW w:w="100" w:type="dxa"/>
            <w:vAlign w:val="bottom"/>
          </w:tcPr>
          <w:p>
            <w:pPr>
              <w:spacing w:after="0"/>
              <w:rPr>
                <w:sz w:val="15"/>
                <w:szCs w:val="15"/>
                <w:color w:val="auto"/>
              </w:rPr>
            </w:pPr>
          </w:p>
        </w:tc>
        <w:tc>
          <w:tcPr>
            <w:tcW w:w="840" w:type="dxa"/>
            <w:vAlign w:val="bottom"/>
            <w:gridSpan w:val="2"/>
          </w:tcPr>
          <w:p>
            <w:pPr>
              <w:ind w:left="24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5"/>
                <w:szCs w:val="15"/>
                <w:color w:val="auto"/>
              </w:rPr>
            </w:pPr>
          </w:p>
        </w:tc>
        <w:tc>
          <w:tcPr>
            <w:tcW w:w="700" w:type="dxa"/>
            <w:vAlign w:val="bottom"/>
            <w:gridSpan w:val="2"/>
          </w:tcPr>
          <w:p>
            <w:pPr>
              <w:jc w:val="right"/>
              <w:ind w:right="140"/>
              <w:spacing w:after="0" w:line="176"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20"/>
                <w:szCs w:val="20"/>
                <w:b w:val="1"/>
                <w:bCs w:val="1"/>
                <w:color w:val="auto"/>
                <w:vertAlign w:val="superscript"/>
              </w:rPr>
              <w:t>(3)</w:t>
            </w:r>
          </w:p>
        </w:tc>
      </w:tr>
      <w:tr>
        <w:trPr>
          <w:trHeight w:val="20"/>
        </w:trPr>
        <w:tc>
          <w:tcPr>
            <w:tcW w:w="7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4060" w:type="dxa"/>
            <w:vAlign w:val="bottom"/>
            <w:gridSpan w:val="2"/>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Common Equity/Warrants/Partnership Interests </w:t>
            </w:r>
            <w:r>
              <w:rPr>
                <w:rFonts w:ascii="Arial" w:cs="Arial" w:eastAsia="Arial" w:hAnsi="Arial"/>
                <w:sz w:val="16"/>
                <w:szCs w:val="16"/>
                <w:b w:val="1"/>
                <w:bCs w:val="1"/>
                <w:color w:val="auto"/>
                <w:vertAlign w:val="superscript"/>
              </w:rPr>
              <w:t>(7)</w:t>
            </w:r>
            <w:r>
              <w:rPr>
                <w:rFonts w:ascii="Arial" w:cs="Arial" w:eastAsia="Arial" w:hAnsi="Arial"/>
                <w:sz w:val="10"/>
                <w:szCs w:val="10"/>
                <w:b w:val="1"/>
                <w:bCs w:val="1"/>
                <w:color w:val="auto"/>
              </w:rPr>
              <w:t xml:space="preserve"> – 4.5%</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4060" w:type="dxa"/>
            <w:vAlign w:val="bottom"/>
            <w:gridSpan w:val="2"/>
          </w:tcPr>
          <w:p>
            <w:pPr>
              <w:spacing w:after="0" w:line="138" w:lineRule="exact"/>
              <w:rPr>
                <w:sz w:val="20"/>
                <w:szCs w:val="20"/>
                <w:color w:val="auto"/>
              </w:rPr>
            </w:pPr>
            <w:r>
              <w:rPr>
                <w:rFonts w:ascii="Arial" w:cs="Arial" w:eastAsia="Arial" w:hAnsi="Arial"/>
                <w:sz w:val="13"/>
                <w:szCs w:val="13"/>
                <w:color w:val="auto"/>
              </w:rPr>
              <w:t>AHC Mezzanine</w:t>
            </w:r>
          </w:p>
        </w:tc>
        <w:tc>
          <w:tcPr>
            <w:tcW w:w="660" w:type="dxa"/>
            <w:vAlign w:val="bottom"/>
          </w:tcPr>
          <w:p>
            <w:pPr>
              <w:ind w:left="460"/>
              <w:spacing w:after="0" w:line="13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40" w:type="dxa"/>
            <w:vAlign w:val="bottom"/>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22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860" w:type="dxa"/>
            <w:vAlign w:val="bottom"/>
            <w:gridSpan w:val="2"/>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3,000</w:t>
            </w:r>
          </w:p>
        </w:tc>
        <w:tc>
          <w:tcPr>
            <w:tcW w:w="940" w:type="dxa"/>
            <w:vAlign w:val="bottom"/>
            <w:gridSpan w:val="3"/>
          </w:tcPr>
          <w:p>
            <w:pPr>
              <w:jc w:val="right"/>
              <w:ind w:right="100"/>
              <w:spacing w:after="0" w:line="138" w:lineRule="exact"/>
              <w:rPr>
                <w:sz w:val="20"/>
                <w:szCs w:val="20"/>
                <w:color w:val="auto"/>
              </w:rPr>
            </w:pPr>
            <w:r>
              <w:rPr>
                <w:rFonts w:ascii="Arial" w:cs="Arial" w:eastAsia="Arial" w:hAnsi="Arial"/>
                <w:sz w:val="13"/>
                <w:szCs w:val="13"/>
                <w:color w:val="auto"/>
              </w:rPr>
              <w:t>$  3,005,163</w:t>
            </w:r>
          </w:p>
        </w:tc>
        <w:tc>
          <w:tcPr>
            <w:tcW w:w="16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59"/>
        </w:trPr>
        <w:tc>
          <w:tcPr>
            <w:tcW w:w="4060" w:type="dxa"/>
            <w:vAlign w:val="bottom"/>
            <w:gridSpan w:val="2"/>
          </w:tcPr>
          <w:p>
            <w:pPr>
              <w:ind w:left="220"/>
              <w:spacing w:after="0"/>
              <w:rPr>
                <w:sz w:val="20"/>
                <w:szCs w:val="20"/>
                <w:color w:val="auto"/>
              </w:rPr>
            </w:pPr>
            <w:r>
              <w:rPr>
                <w:rFonts w:ascii="Arial" w:cs="Arial" w:eastAsia="Arial" w:hAnsi="Arial"/>
                <w:sz w:val="13"/>
                <w:szCs w:val="13"/>
                <w:color w:val="auto"/>
              </w:rPr>
              <w:t>(Advanstar Inc.)</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CFHC Holdings, Inc.</w:t>
            </w:r>
          </w:p>
        </w:tc>
        <w:tc>
          <w:tcPr>
            <w:tcW w:w="660" w:type="dxa"/>
            <w:vAlign w:val="bottom"/>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Aerospace and Defense</w:t>
            </w:r>
          </w:p>
        </w:tc>
        <w:tc>
          <w:tcPr>
            <w:tcW w:w="2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1,627</w:t>
            </w:r>
          </w:p>
        </w:tc>
        <w:tc>
          <w:tcPr>
            <w:tcW w:w="9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16,271</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215,547</w:t>
            </w:r>
          </w:p>
        </w:tc>
        <w:tc>
          <w:tcPr>
            <w:tcW w:w="20" w:type="dxa"/>
            <w:vAlign w:val="bottom"/>
          </w:tcPr>
          <w:p>
            <w:pPr>
              <w:spacing w:after="0"/>
              <w:rPr>
                <w:sz w:val="11"/>
                <w:szCs w:val="11"/>
                <w:color w:val="auto"/>
              </w:rPr>
            </w:pPr>
          </w:p>
        </w:tc>
      </w:tr>
      <w:tr>
        <w:trPr>
          <w:trHeight w:val="159"/>
        </w:trPr>
        <w:tc>
          <w:tcPr>
            <w:tcW w:w="40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(Consolidated Foundries, Inc.)</w:t>
            </w: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4060" w:type="dxa"/>
            <w:vAlign w:val="bottom"/>
            <w:gridSpan w:val="2"/>
          </w:tcPr>
          <w:p>
            <w:pPr>
              <w:spacing w:after="0" w:line="138" w:lineRule="exact"/>
              <w:rPr>
                <w:sz w:val="20"/>
                <w:szCs w:val="20"/>
                <w:color w:val="auto"/>
              </w:rPr>
            </w:pPr>
            <w:r>
              <w:rPr>
                <w:rFonts w:ascii="Arial" w:cs="Arial" w:eastAsia="Arial" w:hAnsi="Arial"/>
                <w:sz w:val="13"/>
                <w:szCs w:val="13"/>
                <w:color w:val="auto"/>
              </w:rPr>
              <w:t>CT Technologies Holdings, LLC</w:t>
            </w:r>
          </w:p>
        </w:tc>
        <w:tc>
          <w:tcPr>
            <w:tcW w:w="660" w:type="dxa"/>
            <w:vAlign w:val="bottom"/>
          </w:tcPr>
          <w:p>
            <w:pPr>
              <w:ind w:left="460"/>
              <w:spacing w:after="0" w:line="13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40" w:type="dxa"/>
            <w:vAlign w:val="bottom"/>
          </w:tcPr>
          <w:p>
            <w:pPr>
              <w:jc w:val="center"/>
              <w:spacing w:after="0" w:line="138" w:lineRule="exact"/>
              <w:rPr>
                <w:sz w:val="20"/>
                <w:szCs w:val="20"/>
                <w:color w:val="auto"/>
              </w:rPr>
            </w:pPr>
            <w:r>
              <w:rPr>
                <w:rFonts w:ascii="Arial" w:cs="Arial" w:eastAsia="Arial" w:hAnsi="Arial"/>
                <w:sz w:val="13"/>
                <w:szCs w:val="13"/>
                <w:color w:val="auto"/>
                <w:w w:val="92"/>
              </w:rPr>
              <w:t>Business Services</w:t>
            </w:r>
          </w:p>
        </w:tc>
        <w:tc>
          <w:tcPr>
            <w:tcW w:w="22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860" w:type="dxa"/>
            <w:vAlign w:val="bottom"/>
            <w:gridSpan w:val="2"/>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5,556</w:t>
            </w:r>
          </w:p>
        </w:tc>
        <w:tc>
          <w:tcPr>
            <w:tcW w:w="940" w:type="dxa"/>
            <w:vAlign w:val="bottom"/>
            <w:gridSpan w:val="3"/>
          </w:tcPr>
          <w:p>
            <w:pPr>
              <w:jc w:val="right"/>
              <w:ind w:right="100"/>
              <w:spacing w:after="0" w:line="138" w:lineRule="exact"/>
              <w:rPr>
                <w:sz w:val="20"/>
                <w:szCs w:val="20"/>
                <w:color w:val="auto"/>
              </w:rPr>
            </w:pPr>
            <w:r>
              <w:rPr>
                <w:rFonts w:ascii="Arial" w:cs="Arial" w:eastAsia="Arial" w:hAnsi="Arial"/>
                <w:sz w:val="13"/>
                <w:szCs w:val="13"/>
                <w:color w:val="auto"/>
              </w:rPr>
              <w:t>3,200,000</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6,696,281</w:t>
            </w:r>
          </w:p>
        </w:tc>
        <w:tc>
          <w:tcPr>
            <w:tcW w:w="20" w:type="dxa"/>
            <w:vAlign w:val="bottom"/>
          </w:tcPr>
          <w:p>
            <w:pPr>
              <w:spacing w:after="0"/>
              <w:rPr>
                <w:sz w:val="11"/>
                <w:szCs w:val="11"/>
                <w:color w:val="auto"/>
              </w:rPr>
            </w:pPr>
          </w:p>
        </w:tc>
      </w:tr>
      <w:tr>
        <w:trPr>
          <w:trHeight w:val="159"/>
        </w:trPr>
        <w:tc>
          <w:tcPr>
            <w:tcW w:w="4060" w:type="dxa"/>
            <w:vAlign w:val="bottom"/>
            <w:gridSpan w:val="2"/>
          </w:tcPr>
          <w:p>
            <w:pPr>
              <w:ind w:left="220"/>
              <w:spacing w:after="0"/>
              <w:rPr>
                <w:sz w:val="20"/>
                <w:szCs w:val="20"/>
                <w:color w:val="auto"/>
              </w:rPr>
            </w:pPr>
            <w:r>
              <w:rPr>
                <w:rFonts w:ascii="Arial" w:cs="Arial" w:eastAsia="Arial" w:hAnsi="Arial"/>
                <w:sz w:val="13"/>
                <w:szCs w:val="13"/>
                <w:color w:val="auto"/>
              </w:rPr>
              <w:t>(CT Technologies Intermediate Holdings, Inc.)</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i2 Holdings Ltd.</w:t>
            </w:r>
          </w:p>
        </w:tc>
        <w:tc>
          <w:tcPr>
            <w:tcW w:w="6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457,322</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454,030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1,293,476</w:t>
            </w:r>
          </w:p>
        </w:tc>
        <w:tc>
          <w:tcPr>
            <w:tcW w:w="20" w:type="dxa"/>
            <w:vAlign w:val="bottom"/>
          </w:tcPr>
          <w:p>
            <w:pPr>
              <w:spacing w:after="0"/>
              <w:rPr>
                <w:sz w:val="12"/>
                <w:szCs w:val="12"/>
                <w:color w:val="auto"/>
              </w:rPr>
            </w:pPr>
          </w:p>
        </w:tc>
      </w:tr>
      <w:tr>
        <w:trPr>
          <w:trHeight w:val="138"/>
        </w:trPr>
        <w:tc>
          <w:tcPr>
            <w:tcW w:w="4060" w:type="dxa"/>
            <w:vAlign w:val="bottom"/>
            <w:gridSpan w:val="2"/>
          </w:tcPr>
          <w:p>
            <w:pPr>
              <w:spacing w:after="0" w:line="138" w:lineRule="exact"/>
              <w:rPr>
                <w:sz w:val="20"/>
                <w:szCs w:val="20"/>
                <w:color w:val="auto"/>
              </w:rPr>
            </w:pPr>
            <w:r>
              <w:rPr>
                <w:rFonts w:ascii="Arial" w:cs="Arial" w:eastAsia="Arial" w:hAnsi="Arial"/>
                <w:sz w:val="13"/>
                <w:szCs w:val="13"/>
                <w:color w:val="auto"/>
              </w:rPr>
              <w:t>Transportation 100 Holdco, L.L.C.</w:t>
            </w:r>
          </w:p>
        </w:tc>
        <w:tc>
          <w:tcPr>
            <w:tcW w:w="660" w:type="dxa"/>
            <w:vAlign w:val="bottom"/>
          </w:tcPr>
          <w:p>
            <w:pPr>
              <w:ind w:left="460"/>
              <w:spacing w:after="0" w:line="13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40" w:type="dxa"/>
            <w:vAlign w:val="bottom"/>
          </w:tcPr>
          <w:p>
            <w:pPr>
              <w:jc w:val="center"/>
              <w:spacing w:after="0" w:line="138" w:lineRule="exact"/>
              <w:rPr>
                <w:sz w:val="20"/>
                <w:szCs w:val="20"/>
                <w:color w:val="auto"/>
              </w:rPr>
            </w:pPr>
            <w:r>
              <w:rPr>
                <w:rFonts w:ascii="Arial" w:cs="Arial" w:eastAsia="Arial" w:hAnsi="Arial"/>
                <w:sz w:val="13"/>
                <w:szCs w:val="13"/>
                <w:color w:val="auto"/>
                <w:w w:val="92"/>
              </w:rPr>
              <w:t>Cargo Transport</w:t>
            </w:r>
          </w:p>
        </w:tc>
        <w:tc>
          <w:tcPr>
            <w:tcW w:w="22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860" w:type="dxa"/>
            <w:vAlign w:val="bottom"/>
            <w:gridSpan w:val="2"/>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106,299</w:t>
            </w:r>
          </w:p>
        </w:tc>
        <w:tc>
          <w:tcPr>
            <w:tcW w:w="940" w:type="dxa"/>
            <w:vAlign w:val="bottom"/>
            <w:gridSpan w:val="3"/>
          </w:tcPr>
          <w:p>
            <w:pPr>
              <w:jc w:val="right"/>
              <w:ind w:right="100"/>
              <w:spacing w:after="0" w:line="138" w:lineRule="exact"/>
              <w:rPr>
                <w:sz w:val="20"/>
                <w:szCs w:val="20"/>
                <w:color w:val="auto"/>
              </w:rPr>
            </w:pPr>
            <w:r>
              <w:rPr>
                <w:rFonts w:ascii="Arial" w:cs="Arial" w:eastAsia="Arial" w:hAnsi="Arial"/>
                <w:sz w:val="13"/>
                <w:szCs w:val="13"/>
                <w:color w:val="auto"/>
              </w:rPr>
              <w:t>1,779,455</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2,391,463</w:t>
            </w:r>
          </w:p>
        </w:tc>
        <w:tc>
          <w:tcPr>
            <w:tcW w:w="20" w:type="dxa"/>
            <w:vAlign w:val="bottom"/>
          </w:tcPr>
          <w:p>
            <w:pPr>
              <w:spacing w:after="0"/>
              <w:rPr>
                <w:sz w:val="11"/>
                <w:szCs w:val="11"/>
                <w:color w:val="auto"/>
              </w:rPr>
            </w:pPr>
          </w:p>
        </w:tc>
      </w:tr>
      <w:tr>
        <w:trPr>
          <w:trHeight w:val="159"/>
        </w:trPr>
        <w:tc>
          <w:tcPr>
            <w:tcW w:w="4060" w:type="dxa"/>
            <w:vAlign w:val="bottom"/>
            <w:gridSpan w:val="2"/>
          </w:tcPr>
          <w:p>
            <w:pPr>
              <w:ind w:left="220"/>
              <w:spacing w:after="0"/>
              <w:rPr>
                <w:sz w:val="20"/>
                <w:szCs w:val="20"/>
                <w:color w:val="auto"/>
              </w:rPr>
            </w:pPr>
            <w:r>
              <w:rPr>
                <w:rFonts w:ascii="Arial" w:cs="Arial" w:eastAsia="Arial" w:hAnsi="Arial"/>
                <w:sz w:val="13"/>
                <w:szCs w:val="13"/>
                <w:color w:val="auto"/>
              </w:rPr>
              <w:t>(Greatwide Logistics Services, L.L.C)</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TZ Holdings, L.P.</w:t>
            </w:r>
          </w:p>
        </w:tc>
        <w:tc>
          <w:tcPr>
            <w:tcW w:w="660" w:type="dxa"/>
            <w:vAlign w:val="bottom"/>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Insurance</w:t>
            </w:r>
          </w:p>
        </w:tc>
        <w:tc>
          <w:tcPr>
            <w:tcW w:w="2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w:t>
            </w:r>
          </w:p>
        </w:tc>
        <w:tc>
          <w:tcPr>
            <w:tcW w:w="9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6,467</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1,337,451</w:t>
            </w:r>
          </w:p>
        </w:tc>
        <w:tc>
          <w:tcPr>
            <w:tcW w:w="20" w:type="dxa"/>
            <w:vAlign w:val="bottom"/>
          </w:tcPr>
          <w:p>
            <w:pPr>
              <w:spacing w:after="0"/>
              <w:rPr>
                <w:sz w:val="11"/>
                <w:szCs w:val="11"/>
                <w:color w:val="auto"/>
              </w:rPr>
            </w:pPr>
          </w:p>
        </w:tc>
      </w:tr>
      <w:tr>
        <w:trPr>
          <w:trHeight w:val="159"/>
        </w:trPr>
        <w:tc>
          <w:tcPr>
            <w:tcW w:w="40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(Trizetto Group, Inc.)</w:t>
            </w: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4060" w:type="dxa"/>
            <w:vAlign w:val="bottom"/>
            <w:gridSpan w:val="2"/>
          </w:tcPr>
          <w:p>
            <w:pPr>
              <w:spacing w:after="0" w:line="138" w:lineRule="exact"/>
              <w:rPr>
                <w:sz w:val="20"/>
                <w:szCs w:val="20"/>
                <w:color w:val="auto"/>
              </w:rPr>
            </w:pPr>
            <w:r>
              <w:rPr>
                <w:rFonts w:ascii="Arial" w:cs="Arial" w:eastAsia="Arial" w:hAnsi="Arial"/>
                <w:sz w:val="13"/>
                <w:szCs w:val="13"/>
                <w:color w:val="auto"/>
              </w:rPr>
              <w:t>UP Holdings Inc.</w:t>
            </w:r>
          </w:p>
        </w:tc>
        <w:tc>
          <w:tcPr>
            <w:tcW w:w="660" w:type="dxa"/>
            <w:vAlign w:val="bottom"/>
          </w:tcPr>
          <w:p>
            <w:pPr>
              <w:ind w:left="460"/>
              <w:spacing w:after="0" w:line="13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40" w:type="dxa"/>
            <w:vAlign w:val="bottom"/>
          </w:tcPr>
          <w:p>
            <w:pPr>
              <w:jc w:val="center"/>
              <w:spacing w:after="0" w:line="138" w:lineRule="exact"/>
              <w:rPr>
                <w:sz w:val="20"/>
                <w:szCs w:val="20"/>
                <w:color w:val="auto"/>
              </w:rPr>
            </w:pPr>
            <w:r>
              <w:rPr>
                <w:rFonts w:ascii="Arial" w:cs="Arial" w:eastAsia="Arial" w:hAnsi="Arial"/>
                <w:sz w:val="13"/>
                <w:szCs w:val="13"/>
                <w:color w:val="auto"/>
                <w:w w:val="93"/>
              </w:rPr>
              <w:t>Oil and Gas</w:t>
            </w:r>
          </w:p>
        </w:tc>
        <w:tc>
          <w:tcPr>
            <w:tcW w:w="22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860" w:type="dxa"/>
            <w:vAlign w:val="bottom"/>
            <w:gridSpan w:val="2"/>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91,608</w:t>
            </w:r>
          </w:p>
        </w:tc>
        <w:tc>
          <w:tcPr>
            <w:tcW w:w="940" w:type="dxa"/>
            <w:vAlign w:val="bottom"/>
            <w:gridSpan w:val="3"/>
          </w:tcPr>
          <w:p>
            <w:pPr>
              <w:jc w:val="right"/>
              <w:ind w:right="100"/>
              <w:spacing w:after="0" w:line="138" w:lineRule="exact"/>
              <w:rPr>
                <w:sz w:val="20"/>
                <w:szCs w:val="20"/>
                <w:color w:val="auto"/>
              </w:rPr>
            </w:pPr>
            <w:r>
              <w:rPr>
                <w:rFonts w:ascii="Arial" w:cs="Arial" w:eastAsia="Arial" w:hAnsi="Arial"/>
                <w:sz w:val="13"/>
                <w:szCs w:val="13"/>
                <w:color w:val="auto"/>
              </w:rPr>
              <w:t>916</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1,656,350</w:t>
            </w:r>
          </w:p>
        </w:tc>
        <w:tc>
          <w:tcPr>
            <w:tcW w:w="20" w:type="dxa"/>
            <w:vAlign w:val="bottom"/>
          </w:tcPr>
          <w:p>
            <w:pPr>
              <w:spacing w:after="0"/>
              <w:rPr>
                <w:sz w:val="11"/>
                <w:szCs w:val="11"/>
                <w:color w:val="auto"/>
              </w:rPr>
            </w:pPr>
          </w:p>
        </w:tc>
      </w:tr>
      <w:tr>
        <w:trPr>
          <w:trHeight w:val="159"/>
        </w:trPr>
        <w:tc>
          <w:tcPr>
            <w:tcW w:w="4060" w:type="dxa"/>
            <w:vAlign w:val="bottom"/>
            <w:gridSpan w:val="2"/>
          </w:tcPr>
          <w:p>
            <w:pPr>
              <w:ind w:left="220"/>
              <w:spacing w:after="0"/>
              <w:rPr>
                <w:sz w:val="20"/>
                <w:szCs w:val="20"/>
                <w:color w:val="auto"/>
              </w:rPr>
            </w:pPr>
            <w:r>
              <w:rPr>
                <w:rFonts w:ascii="Arial" w:cs="Arial" w:eastAsia="Arial" w:hAnsi="Arial"/>
                <w:sz w:val="13"/>
                <w:szCs w:val="13"/>
                <w:color w:val="auto"/>
              </w:rPr>
              <w:t>(UP Acquisitions Sub Inc.)</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VSS-AHC Holdings, Inc.</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11/06/2018</w:t>
            </w: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2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3"/>
                <w:szCs w:val="13"/>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59"/>
        </w:trPr>
        <w:tc>
          <w:tcPr>
            <w:tcW w:w="40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(Advanstar Inc.) (Warrant)</w:t>
            </w: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3"/>
        </w:trPr>
        <w:tc>
          <w:tcPr>
            <w:tcW w:w="4060" w:type="dxa"/>
            <w:vAlign w:val="bottom"/>
            <w:gridSpan w:val="2"/>
          </w:tcPr>
          <w:p>
            <w:pPr>
              <w:spacing w:after="0"/>
              <w:rPr>
                <w:sz w:val="20"/>
                <w:szCs w:val="20"/>
                <w:color w:val="auto"/>
              </w:rPr>
            </w:pPr>
            <w:r>
              <w:rPr>
                <w:rFonts w:ascii="Arial" w:cs="Arial" w:eastAsia="Arial" w:hAnsi="Arial"/>
                <w:sz w:val="13"/>
                <w:szCs w:val="13"/>
                <w:b w:val="1"/>
                <w:bCs w:val="1"/>
                <w:color w:val="auto"/>
              </w:rPr>
              <w:t>Total Common Equity/Warrants/Partnership Interests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8,462,302</w:t>
            </w: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13,590,568</w:t>
            </w:r>
          </w:p>
        </w:tc>
      </w:tr>
      <w:tr>
        <w:trPr>
          <w:trHeight w:val="148"/>
        </w:trPr>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w:t>
            </w:r>
            <w:r>
              <w:rPr>
                <w:rFonts w:ascii="Arial" w:cs="Arial" w:eastAsia="Arial" w:hAnsi="Arial"/>
                <w:sz w:val="13"/>
                <w:szCs w:val="13"/>
                <w:b w:val="1"/>
                <w:bCs w:val="1"/>
                <w:color w:val="auto"/>
              </w:rPr>
              <w:t>irst Lien Secured Debt – 50.1%</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060" w:type="dxa"/>
            <w:vAlign w:val="bottom"/>
            <w:gridSpan w:val="2"/>
          </w:tcPr>
          <w:p>
            <w:pPr>
              <w:spacing w:after="0"/>
              <w:rPr>
                <w:sz w:val="20"/>
                <w:szCs w:val="20"/>
                <w:color w:val="auto"/>
              </w:rPr>
            </w:pPr>
            <w:r>
              <w:rPr>
                <w:rFonts w:ascii="Arial" w:cs="Arial" w:eastAsia="Arial" w:hAnsi="Arial"/>
                <w:sz w:val="13"/>
                <w:szCs w:val="13"/>
                <w:color w:val="auto"/>
              </w:rPr>
              <w:t>1-800 Contacts, Inc.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03/04/2015</w:t>
            </w:r>
          </w:p>
        </w:tc>
        <w:tc>
          <w:tcPr>
            <w:tcW w:w="20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rPr>
              <w:t>Distribution</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7.70%</w:t>
            </w:r>
          </w:p>
        </w:tc>
        <w:tc>
          <w:tcPr>
            <w:tcW w:w="400" w:type="dxa"/>
            <w:vAlign w:val="bottom"/>
          </w:tcPr>
          <w:p>
            <w:pPr>
              <w:spacing w:after="0"/>
              <w:rPr>
                <w:sz w:val="12"/>
                <w:szCs w:val="12"/>
                <w:color w:val="auto"/>
              </w:rPr>
            </w:pPr>
          </w:p>
        </w:tc>
        <w:tc>
          <w:tcPr>
            <w:tcW w:w="860" w:type="dxa"/>
            <w:vAlign w:val="bottom"/>
            <w:gridSpan w:val="2"/>
          </w:tcPr>
          <w:p>
            <w:pPr>
              <w:ind w:left="100"/>
              <w:spacing w:after="0" w:line="149" w:lineRule="exact"/>
              <w:rPr>
                <w:sz w:val="20"/>
                <w:szCs w:val="20"/>
                <w:color w:val="auto"/>
              </w:rPr>
            </w:pPr>
            <w:r>
              <w:rPr>
                <w:rFonts w:ascii="Arial" w:cs="Arial" w:eastAsia="Arial" w:hAnsi="Arial"/>
                <w:sz w:val="11"/>
                <w:szCs w:val="11"/>
                <w:color w:val="auto"/>
              </w:rPr>
              <w:t xml:space="preserve">P+295 </w:t>
            </w:r>
            <w:r>
              <w:rPr>
                <w:rFonts w:ascii="Arial" w:cs="Arial" w:eastAsia="Arial" w:hAnsi="Arial"/>
                <w:sz w:val="17"/>
                <w:szCs w:val="17"/>
                <w:color w:val="auto"/>
                <w:vertAlign w:val="superscript"/>
              </w:rPr>
              <w:t>(8)</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13,929,825</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11,941,660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13,720,877</w:t>
            </w:r>
          </w:p>
        </w:tc>
        <w:tc>
          <w:tcPr>
            <w:tcW w:w="20" w:type="dxa"/>
            <w:vAlign w:val="bottom"/>
          </w:tcPr>
          <w:p>
            <w:pPr>
              <w:spacing w:after="0"/>
              <w:rPr>
                <w:sz w:val="12"/>
                <w:szCs w:val="12"/>
                <w:color w:val="auto"/>
              </w:rPr>
            </w:pPr>
          </w:p>
        </w:tc>
      </w:tr>
      <w:tr>
        <w:trPr>
          <w:trHeight w:val="148"/>
        </w:trPr>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Burlington Coat Factory Warehouse Corp.</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05/28/2013</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Retail Store</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2.57%</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auto"/>
              </w:rPr>
              <w:t>L+225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2,837,374</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2,835,299</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2,578,464</w:t>
            </w:r>
          </w:p>
        </w:tc>
        <w:tc>
          <w:tcPr>
            <w:tcW w:w="20" w:type="dxa"/>
            <w:vAlign w:val="bottom"/>
          </w:tcPr>
          <w:p>
            <w:pPr>
              <w:spacing w:after="0"/>
              <w:rPr>
                <w:sz w:val="12"/>
                <w:szCs w:val="12"/>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10/01/2016</w:t>
            </w:r>
          </w:p>
        </w:tc>
        <w:tc>
          <w:tcPr>
            <w:tcW w:w="20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98"/>
              </w:rPr>
              <w:t>Logistics</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11.63%</w:t>
            </w:r>
          </w:p>
        </w:tc>
        <w:tc>
          <w:tcPr>
            <w:tcW w:w="40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7,500,000</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7,284,525</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7,284,525</w:t>
            </w:r>
          </w:p>
        </w:tc>
        <w:tc>
          <w:tcPr>
            <w:tcW w:w="20" w:type="dxa"/>
            <w:vAlign w:val="bottom"/>
          </w:tcPr>
          <w:p>
            <w:pPr>
              <w:spacing w:after="0"/>
              <w:rPr>
                <w:sz w:val="12"/>
                <w:szCs w:val="12"/>
                <w:color w:val="auto"/>
              </w:rPr>
            </w:pPr>
          </w:p>
        </w:tc>
      </w:tr>
      <w:tr>
        <w:trPr>
          <w:trHeight w:val="138"/>
        </w:trPr>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Chester Downs and Marina, LLC</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07/31/2016</w:t>
            </w: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Hotels, Motels, Inns and</w:t>
            </w:r>
          </w:p>
        </w:tc>
        <w:tc>
          <w:tcPr>
            <w:tcW w:w="8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12.38%</w:t>
            </w: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0"/>
                <w:szCs w:val="10"/>
                <w:color w:val="auto"/>
              </w:rPr>
              <w:t xml:space="preserve">L+988 </w:t>
            </w:r>
            <w:r>
              <w:rPr>
                <w:rFonts w:ascii="Arial" w:cs="Arial" w:eastAsia="Arial" w:hAnsi="Arial"/>
                <w:sz w:val="15"/>
                <w:szCs w:val="15"/>
                <w:color w:val="auto"/>
                <w:vertAlign w:val="superscript"/>
              </w:rPr>
              <w:t>(8)</w:t>
            </w:r>
          </w:p>
        </w:tc>
        <w:tc>
          <w:tcPr>
            <w:tcW w:w="8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10,000,000</w:t>
            </w:r>
          </w:p>
        </w:tc>
        <w:tc>
          <w:tcPr>
            <w:tcW w:w="9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9,421,220</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10,050,000</w:t>
            </w:r>
          </w:p>
        </w:tc>
        <w:tc>
          <w:tcPr>
            <w:tcW w:w="20" w:type="dxa"/>
            <w:vAlign w:val="bottom"/>
          </w:tcPr>
          <w:p>
            <w:pPr>
              <w:spacing w:after="0"/>
              <w:rPr>
                <w:sz w:val="11"/>
                <w:szCs w:val="11"/>
                <w:color w:val="auto"/>
              </w:rPr>
            </w:pPr>
          </w:p>
        </w:tc>
      </w:tr>
      <w:tr>
        <w:trPr>
          <w:trHeight w:val="159"/>
        </w:trPr>
        <w:tc>
          <w:tcPr>
            <w:tcW w:w="760" w:type="dxa"/>
            <w:vAlign w:val="bottom"/>
            <w:shd w:val="clear" w:color="auto" w:fill="CCEEFF"/>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Gaming</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4060" w:type="dxa"/>
            <w:vAlign w:val="bottom"/>
            <w:gridSpan w:val="2"/>
          </w:tcPr>
          <w:p>
            <w:pPr>
              <w:spacing w:after="0"/>
              <w:rPr>
                <w:sz w:val="20"/>
                <w:szCs w:val="20"/>
                <w:color w:val="auto"/>
              </w:rPr>
            </w:pPr>
            <w:r>
              <w:rPr>
                <w:rFonts w:ascii="Arial" w:cs="Arial" w:eastAsia="Arial" w:hAnsi="Arial"/>
                <w:sz w:val="13"/>
                <w:szCs w:val="13"/>
                <w:color w:val="auto"/>
              </w:rPr>
              <w:t>EnviroSolutions, Inc.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07/07/2012</w:t>
            </w:r>
          </w:p>
        </w:tc>
        <w:tc>
          <w:tcPr>
            <w:tcW w:w="20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95"/>
              </w:rPr>
              <w:t>Environmental Services</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11.00%</w:t>
            </w:r>
          </w:p>
        </w:tc>
        <w:tc>
          <w:tcPr>
            <w:tcW w:w="400" w:type="dxa"/>
            <w:vAlign w:val="bottom"/>
          </w:tcPr>
          <w:p>
            <w:pPr>
              <w:jc w:val="right"/>
              <w:ind w:right="204"/>
              <w:spacing w:after="0"/>
              <w:rPr>
                <w:sz w:val="20"/>
                <w:szCs w:val="20"/>
                <w:color w:val="auto"/>
              </w:rPr>
            </w:pPr>
            <w:r>
              <w:rPr>
                <w:rFonts w:ascii="Arial" w:cs="Arial" w:eastAsia="Arial" w:hAnsi="Arial"/>
                <w:sz w:val="11"/>
                <w:szCs w:val="11"/>
                <w:color w:val="auto"/>
                <w:w w:val="88"/>
              </w:rPr>
              <w:t>(6)</w:t>
            </w:r>
          </w:p>
        </w:tc>
        <w:tc>
          <w:tcPr>
            <w:tcW w:w="860" w:type="dxa"/>
            <w:vAlign w:val="bottom"/>
            <w:gridSpan w:val="2"/>
          </w:tcPr>
          <w:p>
            <w:pPr>
              <w:ind w:left="100"/>
              <w:spacing w:after="0" w:line="149" w:lineRule="exact"/>
              <w:rPr>
                <w:sz w:val="20"/>
                <w:szCs w:val="20"/>
                <w:color w:val="auto"/>
              </w:rPr>
            </w:pPr>
            <w:r>
              <w:rPr>
                <w:rFonts w:ascii="Arial" w:cs="Arial" w:eastAsia="Arial" w:hAnsi="Arial"/>
                <w:sz w:val="11"/>
                <w:szCs w:val="11"/>
                <w:color w:val="auto"/>
              </w:rPr>
              <w:t xml:space="preserve">P+775 </w:t>
            </w:r>
            <w:r>
              <w:rPr>
                <w:rFonts w:ascii="Arial" w:cs="Arial" w:eastAsia="Arial" w:hAnsi="Arial"/>
                <w:sz w:val="17"/>
                <w:szCs w:val="17"/>
                <w:color w:val="auto"/>
                <w:vertAlign w:val="superscript"/>
              </w:rPr>
              <w:t>(8)</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14,175,260</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13,391,908</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12,715,207</w:t>
            </w:r>
          </w:p>
        </w:tc>
        <w:tc>
          <w:tcPr>
            <w:tcW w:w="20" w:type="dxa"/>
            <w:vAlign w:val="bottom"/>
          </w:tcPr>
          <w:p>
            <w:pPr>
              <w:spacing w:after="0"/>
              <w:rPr>
                <w:sz w:val="12"/>
                <w:szCs w:val="12"/>
                <w:color w:val="auto"/>
              </w:rPr>
            </w:pPr>
          </w:p>
        </w:tc>
      </w:tr>
      <w:tr>
        <w:trPr>
          <w:trHeight w:val="148"/>
        </w:trPr>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Hanley-Wood, L.L.C.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03/08/2014</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2.49%</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auto"/>
              </w:rPr>
              <w:t>L+225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8,842,500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8,842,500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6,225,120</w:t>
            </w:r>
          </w:p>
        </w:tc>
        <w:tc>
          <w:tcPr>
            <w:tcW w:w="20" w:type="dxa"/>
            <w:vAlign w:val="bottom"/>
          </w:tcPr>
          <w:p>
            <w:pPr>
              <w:spacing w:after="0"/>
              <w:rPr>
                <w:sz w:val="12"/>
                <w:szCs w:val="12"/>
                <w:color w:val="auto"/>
              </w:rPr>
            </w:pPr>
          </w:p>
        </w:tc>
      </w:tr>
      <w:tr>
        <w:trPr>
          <w:trHeight w:val="148"/>
        </w:trPr>
        <w:tc>
          <w:tcPr>
            <w:tcW w:w="4060" w:type="dxa"/>
            <w:vAlign w:val="bottom"/>
            <w:gridSpan w:val="2"/>
          </w:tcPr>
          <w:p>
            <w:pPr>
              <w:spacing w:after="0"/>
              <w:rPr>
                <w:sz w:val="20"/>
                <w:szCs w:val="20"/>
                <w:color w:val="auto"/>
              </w:rPr>
            </w:pPr>
            <w:r>
              <w:rPr>
                <w:rFonts w:ascii="Arial" w:cs="Arial" w:eastAsia="Arial" w:hAnsi="Arial"/>
                <w:sz w:val="13"/>
                <w:szCs w:val="13"/>
                <w:color w:val="auto"/>
              </w:rPr>
              <w:t>Hughes Network Systems, L.L.C.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04/15/2014</w:t>
            </w:r>
          </w:p>
        </w:tc>
        <w:tc>
          <w:tcPr>
            <w:tcW w:w="20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2.88%</w:t>
            </w:r>
          </w:p>
        </w:tc>
        <w:tc>
          <w:tcPr>
            <w:tcW w:w="40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color w:val="auto"/>
              </w:rPr>
              <w:t>L+250</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5,000,000</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5,000,000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4,562,500</w:t>
            </w:r>
          </w:p>
        </w:tc>
        <w:tc>
          <w:tcPr>
            <w:tcW w:w="20" w:type="dxa"/>
            <w:vAlign w:val="bottom"/>
          </w:tcPr>
          <w:p>
            <w:pPr>
              <w:spacing w:after="0"/>
              <w:rPr>
                <w:sz w:val="12"/>
                <w:szCs w:val="12"/>
                <w:color w:val="auto"/>
              </w:rPr>
            </w:pPr>
          </w:p>
        </w:tc>
      </w:tr>
      <w:tr>
        <w:trPr>
          <w:trHeight w:val="138"/>
        </w:trPr>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Jacuzzi Brands Corp.</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02/07/2014</w:t>
            </w: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Home and Office Furnishings,</w:t>
            </w:r>
          </w:p>
        </w:tc>
        <w:tc>
          <w:tcPr>
            <w:tcW w:w="8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2.53%</w:t>
            </w: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240"/>
              <w:spacing w:after="0" w:line="138" w:lineRule="exact"/>
              <w:rPr>
                <w:sz w:val="20"/>
                <w:szCs w:val="20"/>
                <w:color w:val="auto"/>
              </w:rPr>
            </w:pPr>
            <w:r>
              <w:rPr>
                <w:rFonts w:ascii="Arial" w:cs="Arial" w:eastAsia="Arial" w:hAnsi="Arial"/>
                <w:sz w:val="13"/>
                <w:szCs w:val="13"/>
                <w:color w:val="auto"/>
              </w:rPr>
              <w:t>L+225</w:t>
            </w:r>
          </w:p>
        </w:tc>
        <w:tc>
          <w:tcPr>
            <w:tcW w:w="8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9,817,568</w:t>
            </w:r>
          </w:p>
        </w:tc>
        <w:tc>
          <w:tcPr>
            <w:tcW w:w="9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9,817,568</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4,810,608</w:t>
            </w:r>
          </w:p>
        </w:tc>
        <w:tc>
          <w:tcPr>
            <w:tcW w:w="20" w:type="dxa"/>
            <w:vAlign w:val="bottom"/>
          </w:tcPr>
          <w:p>
            <w:pPr>
              <w:spacing w:after="0"/>
              <w:rPr>
                <w:sz w:val="11"/>
                <w:szCs w:val="11"/>
                <w:color w:val="auto"/>
              </w:rPr>
            </w:pPr>
          </w:p>
        </w:tc>
      </w:tr>
      <w:tr>
        <w:trPr>
          <w:trHeight w:val="149"/>
        </w:trPr>
        <w:tc>
          <w:tcPr>
            <w:tcW w:w="76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Housewares and Durable</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760" w:type="dxa"/>
            <w:vAlign w:val="bottom"/>
            <w:shd w:val="clear" w:color="auto" w:fill="CCEEFF"/>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4060" w:type="dxa"/>
            <w:vAlign w:val="bottom"/>
            <w:gridSpan w:val="2"/>
          </w:tcPr>
          <w:p>
            <w:pPr>
              <w:spacing w:after="0"/>
              <w:rPr>
                <w:sz w:val="20"/>
                <w:szCs w:val="20"/>
                <w:color w:val="auto"/>
              </w:rPr>
            </w:pPr>
            <w:r>
              <w:rPr>
                <w:rFonts w:ascii="Arial" w:cs="Arial" w:eastAsia="Arial" w:hAnsi="Arial"/>
                <w:sz w:val="13"/>
                <w:szCs w:val="13"/>
                <w:color w:val="auto"/>
              </w:rPr>
              <w:t>Levlad, L.L.C.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03/08/2014</w:t>
            </w:r>
          </w:p>
        </w:tc>
        <w:tc>
          <w:tcPr>
            <w:tcW w:w="20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7.75%</w:t>
            </w:r>
          </w:p>
        </w:tc>
        <w:tc>
          <w:tcPr>
            <w:tcW w:w="40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color w:val="auto"/>
              </w:rPr>
              <w:t>L+475</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4,434,548</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4,434,548</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1,064,292</w:t>
            </w:r>
          </w:p>
        </w:tc>
        <w:tc>
          <w:tcPr>
            <w:tcW w:w="20" w:type="dxa"/>
            <w:vAlign w:val="bottom"/>
          </w:tcPr>
          <w:p>
            <w:pPr>
              <w:spacing w:after="0"/>
              <w:rPr>
                <w:sz w:val="12"/>
                <w:szCs w:val="12"/>
                <w:color w:val="auto"/>
              </w:rPr>
            </w:pPr>
          </w:p>
        </w:tc>
      </w:tr>
      <w:tr>
        <w:trPr>
          <w:trHeight w:val="138"/>
        </w:trPr>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Lyondell Chemical Co.</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12/15/2009</w:t>
            </w: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Chemicals, Plastics and</w:t>
            </w:r>
          </w:p>
        </w:tc>
        <w:tc>
          <w:tcPr>
            <w:tcW w:w="8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13.00%</w:t>
            </w: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240"/>
              <w:spacing w:after="0" w:line="138" w:lineRule="exact"/>
              <w:rPr>
                <w:sz w:val="20"/>
                <w:szCs w:val="20"/>
                <w:color w:val="auto"/>
              </w:rPr>
            </w:pPr>
            <w:r>
              <w:rPr>
                <w:rFonts w:ascii="Arial" w:cs="Arial" w:eastAsia="Arial" w:hAnsi="Arial"/>
                <w:sz w:val="10"/>
                <w:szCs w:val="10"/>
                <w:color w:val="auto"/>
              </w:rPr>
              <w:t xml:space="preserve">L+1,000 </w:t>
            </w:r>
            <w:r>
              <w:rPr>
                <w:rFonts w:ascii="Arial" w:cs="Arial" w:eastAsia="Arial" w:hAnsi="Arial"/>
                <w:sz w:val="15"/>
                <w:szCs w:val="15"/>
                <w:color w:val="auto"/>
                <w:vertAlign w:val="superscript"/>
              </w:rPr>
              <w:t>(8)</w:t>
            </w:r>
          </w:p>
        </w:tc>
        <w:tc>
          <w:tcPr>
            <w:tcW w:w="8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12,668,615</w:t>
            </w:r>
          </w:p>
        </w:tc>
        <w:tc>
          <w:tcPr>
            <w:tcW w:w="9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12,965,067</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13,169,026</w:t>
            </w:r>
          </w:p>
        </w:tc>
        <w:tc>
          <w:tcPr>
            <w:tcW w:w="20" w:type="dxa"/>
            <w:vAlign w:val="bottom"/>
          </w:tcPr>
          <w:p>
            <w:pPr>
              <w:spacing w:after="0"/>
              <w:rPr>
                <w:sz w:val="11"/>
                <w:szCs w:val="11"/>
                <w:color w:val="auto"/>
              </w:rPr>
            </w:pPr>
          </w:p>
        </w:tc>
      </w:tr>
      <w:tr>
        <w:trPr>
          <w:trHeight w:val="159"/>
        </w:trPr>
        <w:tc>
          <w:tcPr>
            <w:tcW w:w="760" w:type="dxa"/>
            <w:vAlign w:val="bottom"/>
            <w:shd w:val="clear" w:color="auto" w:fill="CCEEFF"/>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Rubber</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40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Lyondell Chemical Co. </w:t>
            </w:r>
            <w:r>
              <w:rPr>
                <w:rFonts w:ascii="Arial" w:cs="Arial" w:eastAsia="Arial" w:hAnsi="Arial"/>
                <w:sz w:val="15"/>
                <w:szCs w:val="15"/>
                <w:color w:val="auto"/>
                <w:vertAlign w:val="superscript"/>
              </w:rPr>
              <w:t>(9)</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5"/>
              </w:rPr>
              <w:t>12/15/2009</w:t>
            </w:r>
          </w:p>
        </w:tc>
        <w:tc>
          <w:tcPr>
            <w:tcW w:w="200" w:type="dxa"/>
            <w:vAlign w:val="bottom"/>
          </w:tcPr>
          <w:p>
            <w:pPr>
              <w:spacing w:after="0"/>
              <w:rPr>
                <w:sz w:val="11"/>
                <w:szCs w:val="11"/>
                <w:color w:val="auto"/>
              </w:rPr>
            </w:pPr>
          </w:p>
        </w:tc>
        <w:tc>
          <w:tcPr>
            <w:tcW w:w="1640" w:type="dxa"/>
            <w:vAlign w:val="bottom"/>
          </w:tcPr>
          <w:p>
            <w:pPr>
              <w:jc w:val="center"/>
              <w:spacing w:after="0" w:line="138" w:lineRule="exact"/>
              <w:rPr>
                <w:sz w:val="20"/>
                <w:szCs w:val="20"/>
                <w:color w:val="auto"/>
              </w:rPr>
            </w:pPr>
            <w:r>
              <w:rPr>
                <w:rFonts w:ascii="Arial" w:cs="Arial" w:eastAsia="Arial" w:hAnsi="Arial"/>
                <w:sz w:val="13"/>
                <w:szCs w:val="13"/>
                <w:color w:val="auto"/>
                <w:w w:val="92"/>
              </w:rPr>
              <w:t>Chemicals, Plastics and</w:t>
            </w:r>
          </w:p>
        </w:tc>
        <w:tc>
          <w:tcPr>
            <w:tcW w:w="22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860" w:type="dxa"/>
            <w:vAlign w:val="bottom"/>
            <w:gridSpan w:val="2"/>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6,331,385</w:t>
            </w:r>
          </w:p>
        </w:tc>
        <w:tc>
          <w:tcPr>
            <w:tcW w:w="940" w:type="dxa"/>
            <w:vAlign w:val="bottom"/>
            <w:gridSpan w:val="3"/>
          </w:tcPr>
          <w:p>
            <w:pPr>
              <w:jc w:val="right"/>
              <w:ind w:right="100"/>
              <w:spacing w:after="0" w:line="138" w:lineRule="exact"/>
              <w:rPr>
                <w:sz w:val="20"/>
                <w:szCs w:val="20"/>
                <w:color w:val="auto"/>
              </w:rPr>
            </w:pPr>
            <w:r>
              <w:rPr>
                <w:rFonts w:ascii="Arial" w:cs="Arial" w:eastAsia="Arial" w:hAnsi="Arial"/>
                <w:sz w:val="13"/>
                <w:szCs w:val="13"/>
                <w:color w:val="auto"/>
              </w:rPr>
              <w:t>6,458,897</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6,581,474</w:t>
            </w:r>
          </w:p>
        </w:tc>
        <w:tc>
          <w:tcPr>
            <w:tcW w:w="20" w:type="dxa"/>
            <w:vAlign w:val="bottom"/>
          </w:tcPr>
          <w:p>
            <w:pPr>
              <w:spacing w:after="0"/>
              <w:rPr>
                <w:sz w:val="11"/>
                <w:szCs w:val="11"/>
                <w:color w:val="auto"/>
              </w:rPr>
            </w:pPr>
          </w:p>
        </w:tc>
      </w:tr>
      <w:tr>
        <w:trPr>
          <w:trHeight w:val="159"/>
        </w:trPr>
        <w:tc>
          <w:tcPr>
            <w:tcW w:w="7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93"/>
              </w:rPr>
              <w:t>Rubber</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Mattress Holding Corp.</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01/18/2014</w:t>
            </w: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Home and Office Furnishings,</w:t>
            </w:r>
          </w:p>
        </w:tc>
        <w:tc>
          <w:tcPr>
            <w:tcW w:w="8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2.55%</w:t>
            </w: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240"/>
              <w:spacing w:after="0" w:line="138" w:lineRule="exact"/>
              <w:rPr>
                <w:sz w:val="20"/>
                <w:szCs w:val="20"/>
                <w:color w:val="auto"/>
              </w:rPr>
            </w:pPr>
            <w:r>
              <w:rPr>
                <w:rFonts w:ascii="Arial" w:cs="Arial" w:eastAsia="Arial" w:hAnsi="Arial"/>
                <w:sz w:val="13"/>
                <w:szCs w:val="13"/>
                <w:color w:val="auto"/>
              </w:rPr>
              <w:t>L+225</w:t>
            </w:r>
          </w:p>
        </w:tc>
        <w:tc>
          <w:tcPr>
            <w:tcW w:w="8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3,910,200</w:t>
            </w:r>
          </w:p>
        </w:tc>
        <w:tc>
          <w:tcPr>
            <w:tcW w:w="9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3,910,200</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3,022,585</w:t>
            </w:r>
          </w:p>
        </w:tc>
        <w:tc>
          <w:tcPr>
            <w:tcW w:w="20" w:type="dxa"/>
            <w:vAlign w:val="bottom"/>
          </w:tcPr>
          <w:p>
            <w:pPr>
              <w:spacing w:after="0"/>
              <w:rPr>
                <w:sz w:val="11"/>
                <w:szCs w:val="11"/>
                <w:color w:val="auto"/>
              </w:rPr>
            </w:pPr>
          </w:p>
        </w:tc>
      </w:tr>
      <w:tr>
        <w:trPr>
          <w:trHeight w:val="149"/>
        </w:trPr>
        <w:tc>
          <w:tcPr>
            <w:tcW w:w="76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Housewares and Durable</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760" w:type="dxa"/>
            <w:vAlign w:val="bottom"/>
            <w:shd w:val="clear" w:color="auto" w:fill="CCEEFF"/>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4060" w:type="dxa"/>
            <w:vAlign w:val="bottom"/>
            <w:gridSpan w:val="2"/>
          </w:tcPr>
          <w:p>
            <w:pPr>
              <w:spacing w:after="0"/>
              <w:rPr>
                <w:sz w:val="20"/>
                <w:szCs w:val="20"/>
                <w:color w:val="auto"/>
              </w:rPr>
            </w:pPr>
            <w:r>
              <w:rPr>
                <w:rFonts w:ascii="Arial" w:cs="Arial" w:eastAsia="Arial" w:hAnsi="Arial"/>
                <w:sz w:val="13"/>
                <w:szCs w:val="13"/>
                <w:color w:val="auto"/>
              </w:rPr>
              <w:t>Mitchell International, Inc.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03/28/2014</w:t>
            </w:r>
          </w:p>
        </w:tc>
        <w:tc>
          <w:tcPr>
            <w:tcW w:w="20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2.31%</w:t>
            </w:r>
          </w:p>
        </w:tc>
        <w:tc>
          <w:tcPr>
            <w:tcW w:w="40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color w:val="auto"/>
              </w:rPr>
              <w:t>L+200</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1,910,204</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1,910,204</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1,687,346</w:t>
            </w:r>
          </w:p>
        </w:tc>
        <w:tc>
          <w:tcPr>
            <w:tcW w:w="20" w:type="dxa"/>
            <w:vAlign w:val="bottom"/>
          </w:tcPr>
          <w:p>
            <w:pPr>
              <w:spacing w:after="0"/>
              <w:rPr>
                <w:sz w:val="12"/>
                <w:szCs w:val="12"/>
                <w:color w:val="auto"/>
              </w:rPr>
            </w:pPr>
          </w:p>
        </w:tc>
      </w:tr>
      <w:tr>
        <w:trPr>
          <w:trHeight w:val="138"/>
        </w:trPr>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National Bedding Co., L.L.C.</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02/28/2013</w:t>
            </w: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Home and Office Furnishings,</w:t>
            </w:r>
          </w:p>
        </w:tc>
        <w:tc>
          <w:tcPr>
            <w:tcW w:w="8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2.26%</w:t>
            </w: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240"/>
              <w:spacing w:after="0" w:line="138" w:lineRule="exact"/>
              <w:rPr>
                <w:sz w:val="20"/>
                <w:szCs w:val="20"/>
                <w:color w:val="auto"/>
              </w:rPr>
            </w:pPr>
            <w:r>
              <w:rPr>
                <w:rFonts w:ascii="Arial" w:cs="Arial" w:eastAsia="Arial" w:hAnsi="Arial"/>
                <w:sz w:val="13"/>
                <w:szCs w:val="13"/>
                <w:color w:val="auto"/>
              </w:rPr>
              <w:t>L+200</w:t>
            </w:r>
          </w:p>
        </w:tc>
        <w:tc>
          <w:tcPr>
            <w:tcW w:w="8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6,825,000</w:t>
            </w:r>
          </w:p>
        </w:tc>
        <w:tc>
          <w:tcPr>
            <w:tcW w:w="9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6,829,243</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6,142,500</w:t>
            </w:r>
          </w:p>
        </w:tc>
        <w:tc>
          <w:tcPr>
            <w:tcW w:w="20" w:type="dxa"/>
            <w:vAlign w:val="bottom"/>
          </w:tcPr>
          <w:p>
            <w:pPr>
              <w:spacing w:after="0"/>
              <w:rPr>
                <w:sz w:val="11"/>
                <w:szCs w:val="11"/>
                <w:color w:val="auto"/>
              </w:rPr>
            </w:pPr>
          </w:p>
        </w:tc>
      </w:tr>
      <w:tr>
        <w:trPr>
          <w:trHeight w:val="148"/>
        </w:trPr>
        <w:tc>
          <w:tcPr>
            <w:tcW w:w="76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Housewares and Durable</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760" w:type="dxa"/>
            <w:vAlign w:val="bottom"/>
            <w:shd w:val="clear" w:color="auto" w:fill="CCEEFF"/>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4060" w:type="dxa"/>
            <w:vAlign w:val="bottom"/>
            <w:gridSpan w:val="2"/>
          </w:tcPr>
          <w:p>
            <w:pPr>
              <w:spacing w:after="0"/>
              <w:rPr>
                <w:sz w:val="20"/>
                <w:szCs w:val="20"/>
                <w:color w:val="auto"/>
              </w:rPr>
            </w:pPr>
            <w:r>
              <w:rPr>
                <w:rFonts w:ascii="Arial" w:cs="Arial" w:eastAsia="Arial" w:hAnsi="Arial"/>
                <w:sz w:val="13"/>
                <w:szCs w:val="13"/>
                <w:color w:val="auto"/>
              </w:rPr>
              <w:t>Penton Media, Inc.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02/01/2013</w:t>
            </w:r>
          </w:p>
        </w:tc>
        <w:tc>
          <w:tcPr>
            <w:tcW w:w="20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2.73%</w:t>
            </w:r>
          </w:p>
        </w:tc>
        <w:tc>
          <w:tcPr>
            <w:tcW w:w="40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color w:val="auto"/>
              </w:rPr>
              <w:t>L+225</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4,875,000</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4,875,000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3,568,500</w:t>
            </w:r>
          </w:p>
        </w:tc>
        <w:tc>
          <w:tcPr>
            <w:tcW w:w="20" w:type="dxa"/>
            <w:vAlign w:val="bottom"/>
          </w:tcPr>
          <w:p>
            <w:pPr>
              <w:spacing w:after="0"/>
              <w:rPr>
                <w:sz w:val="12"/>
                <w:szCs w:val="12"/>
                <w:color w:val="auto"/>
              </w:rPr>
            </w:pPr>
          </w:p>
        </w:tc>
      </w:tr>
      <w:tr>
        <w:trPr>
          <w:trHeight w:val="149"/>
        </w:trPr>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Philosophy,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03/16/2014</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2.25%</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auto"/>
              </w:rPr>
              <w:t>L+200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1,426,506</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1,426,506</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1,148,337</w:t>
            </w:r>
          </w:p>
        </w:tc>
        <w:tc>
          <w:tcPr>
            <w:tcW w:w="20" w:type="dxa"/>
            <w:vAlign w:val="bottom"/>
          </w:tcPr>
          <w:p>
            <w:pPr>
              <w:spacing w:after="0"/>
              <w:rPr>
                <w:sz w:val="12"/>
                <w:szCs w:val="12"/>
                <w:color w:val="auto"/>
              </w:rPr>
            </w:pPr>
          </w:p>
        </w:tc>
      </w:tr>
      <w:tr>
        <w:trPr>
          <w:trHeight w:val="148"/>
        </w:trPr>
        <w:tc>
          <w:tcPr>
            <w:tcW w:w="4060" w:type="dxa"/>
            <w:vAlign w:val="bottom"/>
            <w:gridSpan w:val="2"/>
          </w:tcPr>
          <w:p>
            <w:pPr>
              <w:spacing w:after="0"/>
              <w:rPr>
                <w:sz w:val="20"/>
                <w:szCs w:val="20"/>
                <w:color w:val="auto"/>
              </w:rPr>
            </w:pPr>
            <w:r>
              <w:rPr>
                <w:rFonts w:ascii="Arial" w:cs="Arial" w:eastAsia="Arial" w:hAnsi="Arial"/>
                <w:sz w:val="13"/>
                <w:szCs w:val="13"/>
                <w:color w:val="auto"/>
              </w:rPr>
              <w:t>Questex Media Group, Inc.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05/04/2014</w:t>
            </w:r>
          </w:p>
        </w:tc>
        <w:tc>
          <w:tcPr>
            <w:tcW w:w="20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5.25%</w:t>
            </w:r>
          </w:p>
        </w:tc>
        <w:tc>
          <w:tcPr>
            <w:tcW w:w="400" w:type="dxa"/>
            <w:vAlign w:val="bottom"/>
          </w:tcPr>
          <w:p>
            <w:pPr>
              <w:jc w:val="right"/>
              <w:ind w:right="204"/>
              <w:spacing w:after="0"/>
              <w:rPr>
                <w:sz w:val="20"/>
                <w:szCs w:val="20"/>
                <w:color w:val="auto"/>
              </w:rPr>
            </w:pPr>
            <w:r>
              <w:rPr>
                <w:rFonts w:ascii="Arial" w:cs="Arial" w:eastAsia="Arial" w:hAnsi="Arial"/>
                <w:sz w:val="11"/>
                <w:szCs w:val="11"/>
                <w:color w:val="auto"/>
                <w:w w:val="88"/>
              </w:rPr>
              <w:t>(7)</w:t>
            </w:r>
          </w:p>
        </w:tc>
        <w:tc>
          <w:tcPr>
            <w:tcW w:w="860" w:type="dxa"/>
            <w:vAlign w:val="bottom"/>
            <w:gridSpan w:val="2"/>
          </w:tcPr>
          <w:p>
            <w:pPr>
              <w:jc w:val="center"/>
              <w:ind w:right="240"/>
              <w:spacing w:after="0"/>
              <w:rPr>
                <w:sz w:val="20"/>
                <w:szCs w:val="20"/>
                <w:color w:val="auto"/>
              </w:rPr>
            </w:pPr>
            <w:r>
              <w:rPr>
                <w:rFonts w:ascii="Arial" w:cs="Arial" w:eastAsia="Arial" w:hAnsi="Arial"/>
                <w:sz w:val="13"/>
                <w:szCs w:val="13"/>
                <w:color w:val="auto"/>
              </w:rPr>
              <w:t>L+200</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4,886,667</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4,886,667</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2,912,600</w:t>
            </w:r>
          </w:p>
        </w:tc>
        <w:tc>
          <w:tcPr>
            <w:tcW w:w="20" w:type="dxa"/>
            <w:vAlign w:val="bottom"/>
          </w:tcPr>
          <w:p>
            <w:pPr>
              <w:spacing w:after="0"/>
              <w:rPr>
                <w:sz w:val="12"/>
                <w:szCs w:val="12"/>
                <w:color w:val="auto"/>
              </w:rPr>
            </w:pPr>
          </w:p>
        </w:tc>
      </w:tr>
      <w:tr>
        <w:trPr>
          <w:trHeight w:val="148"/>
        </w:trPr>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Rexair, L.L.C.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06/30/2010</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Retail</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4.50%</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auto"/>
              </w:rPr>
              <w:t>L+425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6,695,795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5,507,847</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5,189,241</w:t>
            </w:r>
          </w:p>
        </w:tc>
        <w:tc>
          <w:tcPr>
            <w:tcW w:w="20" w:type="dxa"/>
            <w:vAlign w:val="bottom"/>
          </w:tcPr>
          <w:p>
            <w:pPr>
              <w:spacing w:after="0"/>
              <w:rPr>
                <w:sz w:val="12"/>
                <w:szCs w:val="12"/>
                <w:color w:val="auto"/>
              </w:rPr>
            </w:pPr>
          </w:p>
        </w:tc>
      </w:tr>
      <w:tr>
        <w:trPr>
          <w:trHeight w:val="149"/>
        </w:trPr>
        <w:tc>
          <w:tcPr>
            <w:tcW w:w="4060" w:type="dxa"/>
            <w:vAlign w:val="bottom"/>
            <w:gridSpan w:val="2"/>
          </w:tcPr>
          <w:p>
            <w:pPr>
              <w:spacing w:after="0"/>
              <w:rPr>
                <w:sz w:val="20"/>
                <w:szCs w:val="20"/>
                <w:color w:val="auto"/>
              </w:rPr>
            </w:pPr>
            <w:r>
              <w:rPr>
                <w:rFonts w:ascii="Arial" w:cs="Arial" w:eastAsia="Arial" w:hAnsi="Arial"/>
                <w:sz w:val="13"/>
                <w:szCs w:val="13"/>
                <w:color w:val="auto"/>
              </w:rPr>
              <w:t>Rexnord , L.L.C.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07/19/2013</w:t>
            </w:r>
          </w:p>
        </w:tc>
        <w:tc>
          <w:tcPr>
            <w:tcW w:w="20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96"/>
              </w:rPr>
              <w:t>Manufacturing/Basic Industry</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2.50%</w:t>
            </w:r>
          </w:p>
        </w:tc>
        <w:tc>
          <w:tcPr>
            <w:tcW w:w="40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color w:val="auto"/>
              </w:rPr>
              <w:t>L+200</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2,887,881</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2,887,881</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2,768,756</w:t>
            </w:r>
          </w:p>
        </w:tc>
        <w:tc>
          <w:tcPr>
            <w:tcW w:w="20" w:type="dxa"/>
            <w:vAlign w:val="bottom"/>
          </w:tcPr>
          <w:p>
            <w:pPr>
              <w:spacing w:after="0"/>
              <w:rPr>
                <w:sz w:val="12"/>
                <w:szCs w:val="12"/>
                <w:color w:val="auto"/>
              </w:rPr>
            </w:pPr>
          </w:p>
        </w:tc>
      </w:tr>
      <w:tr>
        <w:trPr>
          <w:trHeight w:val="148"/>
        </w:trPr>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Sitel, L.L.C.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01/30/2014</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5.95%</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auto"/>
              </w:rPr>
              <w:t>L+550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2,682,328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2,682,328</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2,226,332</w:t>
            </w:r>
          </w:p>
        </w:tc>
        <w:tc>
          <w:tcPr>
            <w:tcW w:w="20" w:type="dxa"/>
            <w:vAlign w:val="bottom"/>
          </w:tcPr>
          <w:p>
            <w:pPr>
              <w:spacing w:after="0"/>
              <w:rPr>
                <w:sz w:val="12"/>
                <w:szCs w:val="12"/>
                <w:color w:val="auto"/>
              </w:rPr>
            </w:pPr>
          </w:p>
        </w:tc>
      </w:tr>
      <w:tr>
        <w:trPr>
          <w:trHeight w:val="138"/>
        </w:trPr>
        <w:tc>
          <w:tcPr>
            <w:tcW w:w="4060" w:type="dxa"/>
            <w:vAlign w:val="bottom"/>
            <w:gridSpan w:val="2"/>
          </w:tcPr>
          <w:p>
            <w:pPr>
              <w:spacing w:after="0" w:line="138" w:lineRule="exact"/>
              <w:rPr>
                <w:sz w:val="20"/>
                <w:szCs w:val="20"/>
                <w:color w:val="auto"/>
              </w:rPr>
            </w:pPr>
            <w:r>
              <w:rPr>
                <w:rFonts w:ascii="Arial" w:cs="Arial" w:eastAsia="Arial" w:hAnsi="Arial"/>
                <w:sz w:val="13"/>
                <w:szCs w:val="13"/>
                <w:color w:val="auto"/>
              </w:rPr>
              <w:t>Sugarhouse HSP Gaming Prop.</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5"/>
              </w:rPr>
              <w:t>09/23/2014</w:t>
            </w:r>
          </w:p>
        </w:tc>
        <w:tc>
          <w:tcPr>
            <w:tcW w:w="200" w:type="dxa"/>
            <w:vAlign w:val="bottom"/>
          </w:tcPr>
          <w:p>
            <w:pPr>
              <w:spacing w:after="0"/>
              <w:rPr>
                <w:sz w:val="11"/>
                <w:szCs w:val="11"/>
                <w:color w:val="auto"/>
              </w:rPr>
            </w:pPr>
          </w:p>
        </w:tc>
        <w:tc>
          <w:tcPr>
            <w:tcW w:w="1640" w:type="dxa"/>
            <w:vAlign w:val="bottom"/>
          </w:tcPr>
          <w:p>
            <w:pPr>
              <w:jc w:val="center"/>
              <w:spacing w:after="0" w:line="138" w:lineRule="exact"/>
              <w:rPr>
                <w:sz w:val="20"/>
                <w:szCs w:val="20"/>
                <w:color w:val="auto"/>
              </w:rPr>
            </w:pPr>
            <w:r>
              <w:rPr>
                <w:rFonts w:ascii="Arial" w:cs="Arial" w:eastAsia="Arial" w:hAnsi="Arial"/>
                <w:sz w:val="13"/>
                <w:szCs w:val="13"/>
                <w:color w:val="auto"/>
                <w:w w:val="94"/>
              </w:rPr>
              <w:t>Hotels, Motels, Inns and</w:t>
            </w:r>
          </w:p>
        </w:tc>
        <w:tc>
          <w:tcPr>
            <w:tcW w:w="820" w:type="dxa"/>
            <w:vAlign w:val="bottom"/>
            <w:gridSpan w:val="3"/>
          </w:tcPr>
          <w:p>
            <w:pPr>
              <w:jc w:val="right"/>
              <w:ind w:right="20"/>
              <w:spacing w:after="0" w:line="138" w:lineRule="exact"/>
              <w:rPr>
                <w:sz w:val="20"/>
                <w:szCs w:val="20"/>
                <w:color w:val="auto"/>
              </w:rPr>
            </w:pPr>
            <w:r>
              <w:rPr>
                <w:rFonts w:ascii="Arial" w:cs="Arial" w:eastAsia="Arial" w:hAnsi="Arial"/>
                <w:sz w:val="13"/>
                <w:szCs w:val="13"/>
                <w:color w:val="auto"/>
              </w:rPr>
              <w:t>11.25%</w:t>
            </w:r>
          </w:p>
        </w:tc>
        <w:tc>
          <w:tcPr>
            <w:tcW w:w="400" w:type="dxa"/>
            <w:vAlign w:val="bottom"/>
          </w:tcPr>
          <w:p>
            <w:pPr>
              <w:spacing w:after="0"/>
              <w:rPr>
                <w:sz w:val="11"/>
                <w:szCs w:val="11"/>
                <w:color w:val="auto"/>
              </w:rPr>
            </w:pPr>
          </w:p>
        </w:tc>
        <w:tc>
          <w:tcPr>
            <w:tcW w:w="860" w:type="dxa"/>
            <w:vAlign w:val="bottom"/>
            <w:gridSpan w:val="2"/>
          </w:tcPr>
          <w:p>
            <w:pPr>
              <w:jc w:val="center"/>
              <w:ind w:right="140"/>
              <w:spacing w:after="0" w:line="138" w:lineRule="exact"/>
              <w:rPr>
                <w:sz w:val="20"/>
                <w:szCs w:val="20"/>
                <w:color w:val="auto"/>
              </w:rPr>
            </w:pPr>
            <w:r>
              <w:rPr>
                <w:rFonts w:ascii="Arial" w:cs="Arial" w:eastAsia="Arial" w:hAnsi="Arial"/>
                <w:sz w:val="10"/>
                <w:szCs w:val="10"/>
                <w:color w:val="auto"/>
              </w:rPr>
              <w:t xml:space="preserve">L+825 </w:t>
            </w:r>
            <w:r>
              <w:rPr>
                <w:rFonts w:ascii="Arial" w:cs="Arial" w:eastAsia="Arial" w:hAnsi="Arial"/>
                <w:sz w:val="15"/>
                <w:szCs w:val="15"/>
                <w:color w:val="auto"/>
                <w:vertAlign w:val="superscript"/>
              </w:rPr>
              <w:t>(8)</w:t>
            </w:r>
          </w:p>
        </w:tc>
        <w:tc>
          <w:tcPr>
            <w:tcW w:w="82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20,000,000</w:t>
            </w:r>
          </w:p>
        </w:tc>
        <w:tc>
          <w:tcPr>
            <w:tcW w:w="940" w:type="dxa"/>
            <w:vAlign w:val="bottom"/>
            <w:gridSpan w:val="3"/>
          </w:tcPr>
          <w:p>
            <w:pPr>
              <w:jc w:val="right"/>
              <w:ind w:right="100"/>
              <w:spacing w:after="0" w:line="138" w:lineRule="exact"/>
              <w:rPr>
                <w:sz w:val="20"/>
                <w:szCs w:val="20"/>
                <w:color w:val="auto"/>
              </w:rPr>
            </w:pPr>
            <w:r>
              <w:rPr>
                <w:rFonts w:ascii="Arial" w:cs="Arial" w:eastAsia="Arial" w:hAnsi="Arial"/>
                <w:sz w:val="13"/>
                <w:szCs w:val="13"/>
                <w:color w:val="auto"/>
              </w:rPr>
              <w:t>19,203,528</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19,600,000</w:t>
            </w:r>
          </w:p>
        </w:tc>
        <w:tc>
          <w:tcPr>
            <w:tcW w:w="20" w:type="dxa"/>
            <w:vAlign w:val="bottom"/>
          </w:tcPr>
          <w:p>
            <w:pPr>
              <w:spacing w:after="0"/>
              <w:rPr>
                <w:sz w:val="11"/>
                <w:szCs w:val="11"/>
                <w:color w:val="auto"/>
              </w:rPr>
            </w:pPr>
          </w:p>
        </w:tc>
      </w:tr>
      <w:tr>
        <w:trPr>
          <w:trHeight w:val="159"/>
        </w:trPr>
        <w:tc>
          <w:tcPr>
            <w:tcW w:w="7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96"/>
              </w:rPr>
              <w:t>Gaming</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Xpress Enterprises,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10/12/2014</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Cargo Transportation</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4.26%</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auto"/>
              </w:rPr>
              <w:t>L+400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14,966,254</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10,315,732</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10,887,950</w:t>
            </w:r>
          </w:p>
        </w:tc>
        <w:tc>
          <w:tcPr>
            <w:tcW w:w="20" w:type="dxa"/>
            <w:vAlign w:val="bottom"/>
          </w:tcPr>
          <w:p>
            <w:pPr>
              <w:spacing w:after="0"/>
              <w:rPr>
                <w:sz w:val="12"/>
                <w:szCs w:val="12"/>
                <w:color w:val="auto"/>
              </w:rPr>
            </w:pPr>
          </w:p>
        </w:tc>
      </w:tr>
      <w:tr>
        <w:trPr>
          <w:trHeight w:val="149"/>
        </w:trPr>
        <w:tc>
          <w:tcPr>
            <w:tcW w:w="4060" w:type="dxa"/>
            <w:vAlign w:val="bottom"/>
            <w:gridSpan w:val="2"/>
          </w:tcPr>
          <w:p>
            <w:pPr>
              <w:spacing w:after="0"/>
              <w:rPr>
                <w:sz w:val="20"/>
                <w:szCs w:val="20"/>
                <w:color w:val="auto"/>
              </w:rPr>
            </w:pPr>
            <w:r>
              <w:rPr>
                <w:rFonts w:ascii="Arial" w:cs="Arial" w:eastAsia="Arial" w:hAnsi="Arial"/>
                <w:sz w:val="13"/>
                <w:szCs w:val="13"/>
                <w:color w:val="auto"/>
              </w:rPr>
              <w:t>World Color Press Inc.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07/21/2012</w:t>
            </w:r>
          </w:p>
        </w:tc>
        <w:tc>
          <w:tcPr>
            <w:tcW w:w="20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99"/>
              </w:rPr>
              <w:t>Printing</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9.00%</w:t>
            </w:r>
          </w:p>
        </w:tc>
        <w:tc>
          <w:tcPr>
            <w:tcW w:w="400" w:type="dxa"/>
            <w:vAlign w:val="bottom"/>
          </w:tcPr>
          <w:p>
            <w:pPr>
              <w:spacing w:after="0"/>
              <w:rPr>
                <w:sz w:val="12"/>
                <w:szCs w:val="12"/>
                <w:color w:val="auto"/>
              </w:rPr>
            </w:pPr>
          </w:p>
        </w:tc>
        <w:tc>
          <w:tcPr>
            <w:tcW w:w="860" w:type="dxa"/>
            <w:vAlign w:val="bottom"/>
            <w:gridSpan w:val="2"/>
          </w:tcPr>
          <w:p>
            <w:pPr>
              <w:ind w:left="100"/>
              <w:spacing w:after="0" w:line="149" w:lineRule="exact"/>
              <w:rPr>
                <w:sz w:val="20"/>
                <w:szCs w:val="20"/>
                <w:color w:val="auto"/>
              </w:rPr>
            </w:pPr>
            <w:r>
              <w:rPr>
                <w:rFonts w:ascii="Arial" w:cs="Arial" w:eastAsia="Arial" w:hAnsi="Arial"/>
                <w:sz w:val="11"/>
                <w:szCs w:val="11"/>
                <w:color w:val="auto"/>
              </w:rPr>
              <w:t xml:space="preserve">P+500 </w:t>
            </w:r>
            <w:r>
              <w:rPr>
                <w:rFonts w:ascii="Arial" w:cs="Arial" w:eastAsia="Arial" w:hAnsi="Arial"/>
                <w:sz w:val="17"/>
                <w:szCs w:val="17"/>
                <w:color w:val="auto"/>
                <w:vertAlign w:val="superscript"/>
              </w:rPr>
              <w:t>(8)</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3,500,000</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3,177,842</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3,491,250</w:t>
            </w:r>
          </w:p>
        </w:tc>
        <w:tc>
          <w:tcPr>
            <w:tcW w:w="20" w:type="dxa"/>
            <w:vAlign w:val="bottom"/>
          </w:tcPr>
          <w:p>
            <w:pPr>
              <w:spacing w:after="0"/>
              <w:rPr>
                <w:sz w:val="12"/>
                <w:szCs w:val="12"/>
                <w:color w:val="auto"/>
              </w:rPr>
            </w:pPr>
          </w:p>
        </w:tc>
      </w:tr>
      <w:tr>
        <w:trPr>
          <w:trHeight w:val="138"/>
        </w:trPr>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Yonkers Racing Corp. </w:t>
            </w:r>
            <w:r>
              <w:rPr>
                <w:rFonts w:ascii="Arial" w:cs="Arial" w:eastAsia="Arial" w:hAnsi="Arial"/>
                <w:sz w:val="15"/>
                <w:szCs w:val="15"/>
                <w:color w:val="auto"/>
                <w:vertAlign w:val="superscript"/>
              </w:rPr>
              <w:t>(5)</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07/15/2016</w:t>
            </w: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Hotels, Motels, Inns and</w:t>
            </w:r>
          </w:p>
        </w:tc>
        <w:tc>
          <w:tcPr>
            <w:tcW w:w="8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11.38%</w:t>
            </w: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5,000,000</w:t>
            </w:r>
          </w:p>
        </w:tc>
        <w:tc>
          <w:tcPr>
            <w:tcW w:w="9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4,857,698</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5,200,000</w:t>
            </w:r>
          </w:p>
        </w:tc>
        <w:tc>
          <w:tcPr>
            <w:tcW w:w="20" w:type="dxa"/>
            <w:vAlign w:val="bottom"/>
          </w:tcPr>
          <w:p>
            <w:pPr>
              <w:spacing w:after="0"/>
              <w:rPr>
                <w:sz w:val="11"/>
                <w:szCs w:val="11"/>
                <w:color w:val="auto"/>
              </w:rPr>
            </w:pPr>
          </w:p>
        </w:tc>
      </w:tr>
      <w:tr>
        <w:trPr>
          <w:trHeight w:val="159"/>
        </w:trPr>
        <w:tc>
          <w:tcPr>
            <w:tcW w:w="760" w:type="dxa"/>
            <w:vAlign w:val="bottom"/>
            <w:shd w:val="clear" w:color="auto" w:fill="CCEEFF"/>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Gaming</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3"/>
        </w:trPr>
        <w:tc>
          <w:tcPr>
            <w:tcW w:w="4060" w:type="dxa"/>
            <w:vAlign w:val="bottom"/>
            <w:gridSpan w:val="2"/>
          </w:tcPr>
          <w:p>
            <w:pPr>
              <w:spacing w:after="0"/>
              <w:rPr>
                <w:sz w:val="20"/>
                <w:szCs w:val="20"/>
                <w:color w:val="auto"/>
              </w:rPr>
            </w:pPr>
            <w:r>
              <w:rPr>
                <w:rFonts w:ascii="Arial" w:cs="Arial" w:eastAsia="Arial" w:hAnsi="Arial"/>
                <w:sz w:val="13"/>
                <w:szCs w:val="13"/>
                <w:color w:val="auto"/>
              </w:rPr>
              <w:t>Total First Lien Secured Debt</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164,863,868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150,607,490</w:t>
            </w:r>
          </w:p>
        </w:tc>
        <w:tc>
          <w:tcPr>
            <w:tcW w:w="20" w:type="dxa"/>
            <w:vAlign w:val="bottom"/>
          </w:tcPr>
          <w:p>
            <w:pPr>
              <w:spacing w:after="0"/>
              <w:rPr>
                <w:sz w:val="14"/>
                <w:szCs w:val="14"/>
                <w:color w:val="auto"/>
              </w:rPr>
            </w:pPr>
          </w:p>
        </w:tc>
      </w:tr>
      <w:tr>
        <w:trPr>
          <w:trHeight w:val="149"/>
        </w:trPr>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Investments in Non-Controlled, Non-Affiliated Portfolio Companies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479,909,805</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453,644,335</w:t>
            </w:r>
          </w:p>
        </w:tc>
        <w:tc>
          <w:tcPr>
            <w:tcW w:w="20" w:type="dxa"/>
            <w:vAlign w:val="bottom"/>
          </w:tcPr>
          <w:p>
            <w:pPr>
              <w:spacing w:after="0"/>
              <w:rPr>
                <w:sz w:val="12"/>
                <w:szCs w:val="12"/>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Basis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Point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Spread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480"/>
              <w:spacing w:after="0" w:line="134" w:lineRule="exact"/>
              <w:rPr>
                <w:sz w:val="20"/>
                <w:szCs w:val="20"/>
                <w:color w:val="auto"/>
              </w:rPr>
            </w:pPr>
            <w:r>
              <w:rPr>
                <w:rFonts w:ascii="Arial" w:cs="Arial" w:eastAsia="Arial" w:hAnsi="Arial"/>
                <w:sz w:val="13"/>
                <w:szCs w:val="13"/>
                <w:b w:val="1"/>
                <w:bCs w:val="1"/>
                <w:color w:val="auto"/>
                <w:w w:val="93"/>
              </w:rPr>
              <w:t>Current</w:t>
            </w:r>
          </w:p>
        </w:tc>
        <w:tc>
          <w:tcPr>
            <w:tcW w:w="68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90"/>
              </w:rPr>
              <w:t>Above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500"/>
              <w:spacing w:after="0" w:line="134"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5"/>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0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89"/>
              </w:rPr>
              <w:t>Coupon</w:t>
            </w:r>
          </w:p>
        </w:tc>
        <w:tc>
          <w:tcPr>
            <w:tcW w:w="680" w:type="dxa"/>
            <w:vAlign w:val="bottom"/>
            <w:gridSpan w:val="2"/>
          </w:tcPr>
          <w:p>
            <w:pPr>
              <w:jc w:val="center"/>
              <w:ind w:right="200"/>
              <w:spacing w:after="0" w:line="176"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20"/>
                <w:szCs w:val="20"/>
                <w:b w:val="1"/>
                <w:bCs w:val="1"/>
                <w:color w:val="auto"/>
                <w:vertAlign w:val="superscript"/>
              </w:rPr>
              <w:t>(4)</w:t>
            </w: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Par / Shares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380"/>
              <w:spacing w:after="0" w:line="176"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102"/>
        </w:trPr>
        <w:tc>
          <w:tcPr>
            <w:tcW w:w="760" w:type="dxa"/>
            <w:vAlign w:val="bottom"/>
            <w:tcBorders>
              <w:top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90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Affiliated Portfolio Companies—5.4% </w:t>
            </w:r>
            <w:r>
              <w:rPr>
                <w:rFonts w:ascii="Arial" w:cs="Arial" w:eastAsia="Arial" w:hAnsi="Arial"/>
                <w:sz w:val="17"/>
                <w:szCs w:val="17"/>
                <w:b w:val="1"/>
                <w:bCs w:val="1"/>
                <w:color w:val="auto"/>
                <w:vertAlign w:val="superscript"/>
              </w:rPr>
              <w:t>(1),(2)</w:t>
            </w: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Debt/Corporate Notes – 1.7%</w:t>
            </w: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Performance Holdings,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07/02/2014</w:t>
            </w:r>
          </w:p>
        </w:tc>
        <w:tc>
          <w:tcPr>
            <w:tcW w:w="200" w:type="dxa"/>
            <w:vAlign w:val="bottom"/>
            <w:shd w:val="clear" w:color="auto" w:fill="CCEEFF"/>
          </w:tcPr>
          <w:p>
            <w:pPr>
              <w:spacing w:after="0"/>
              <w:rPr>
                <w:sz w:val="11"/>
                <w:szCs w:val="11"/>
                <w:color w:val="auto"/>
              </w:rPr>
            </w:pPr>
          </w:p>
        </w:tc>
        <w:tc>
          <w:tcPr>
            <w:tcW w:w="14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Leisure, Amusement,</w:t>
            </w:r>
          </w:p>
        </w:tc>
        <w:tc>
          <w:tcPr>
            <w:tcW w:w="114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6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5,077,822</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4,878,081</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4,988,960</w:t>
            </w: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 – 2.7%</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Performance,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07/02/2013</w:t>
            </w:r>
          </w:p>
        </w:tc>
        <w:tc>
          <w:tcPr>
            <w:tcW w:w="200" w:type="dxa"/>
            <w:vAlign w:val="bottom"/>
            <w:shd w:val="clear" w:color="auto" w:fill="CCEEFF"/>
          </w:tcPr>
          <w:p>
            <w:pPr>
              <w:spacing w:after="0"/>
              <w:rPr>
                <w:sz w:val="11"/>
                <w:szCs w:val="11"/>
                <w:color w:val="auto"/>
              </w:rPr>
            </w:pPr>
          </w:p>
        </w:tc>
        <w:tc>
          <w:tcPr>
            <w:tcW w:w="14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Leisure, Amusement,</w:t>
            </w:r>
          </w:p>
        </w:tc>
        <w:tc>
          <w:tcPr>
            <w:tcW w:w="114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3"/>
                <w:szCs w:val="13"/>
                <w:color w:val="auto"/>
              </w:rPr>
              <w:t>6.24%</w:t>
            </w:r>
          </w:p>
        </w:tc>
        <w:tc>
          <w:tcPr>
            <w:tcW w:w="6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L+575</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8,750,000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8,019,375</w:t>
            </w: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Common Equity/Partnership Interest </w:t>
            </w:r>
            <w:r>
              <w:rPr>
                <w:rFonts w:ascii="Arial" w:cs="Arial" w:eastAsia="Arial" w:hAnsi="Arial"/>
                <w:sz w:val="22"/>
                <w:szCs w:val="22"/>
                <w:b w:val="1"/>
                <w:bCs w:val="1"/>
                <w:color w:val="auto"/>
                <w:vertAlign w:val="superscript"/>
              </w:rPr>
              <w:t>(7)</w:t>
            </w:r>
            <w:r>
              <w:rPr>
                <w:rFonts w:ascii="Arial" w:cs="Arial" w:eastAsia="Arial" w:hAnsi="Arial"/>
                <w:sz w:val="13"/>
                <w:szCs w:val="13"/>
                <w:b w:val="1"/>
                <w:bCs w:val="1"/>
                <w:color w:val="auto"/>
              </w:rPr>
              <w:t xml:space="preserve"> – 1.0%</w:t>
            </w: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4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NCP-Performance</w:t>
            </w:r>
          </w:p>
        </w:tc>
        <w:tc>
          <w:tcPr>
            <w:tcW w:w="620" w:type="dxa"/>
            <w:vAlign w:val="bottom"/>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4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Leisure, Amusement,</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37,500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3,750,000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3,107,403</w:t>
            </w: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(Performance Holdings, Inc.)</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Investments in Non-Controlled, Affiliated Portfolio Companies</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17,378,081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16,115,738</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 156.3%</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1"/>
              </w:rPr>
              <w:t>497,287,886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469,760,073</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Cash Equivalents – 11.1%</w:t>
            </w: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2"/>
              </w:rPr>
              <w:t>33,247,666</w:t>
            </w: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33,247,666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33,247,666</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 –167.4%</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1"/>
              </w:rPr>
              <w:t>530,535,552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503,007,739</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 –(67.4%)</w:t>
            </w: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w w:val="91"/>
              </w:rPr>
              <w:t>(202,427,471)</w:t>
            </w: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 – 100.0%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300,580,268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2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As used in this Schedule of Investments and in accordance with the 1940 Act, “non-controlled” means we own less than 25% of a portfolio company’s voting securities.</w:t>
      </w:r>
    </w:p>
    <w:p>
      <w:pPr>
        <w:spacing w:after="0" w:line="11" w:lineRule="exact"/>
        <w:rPr>
          <w:rFonts w:ascii="Arial" w:cs="Arial" w:eastAsia="Arial" w:hAnsi="Arial"/>
          <w:sz w:val="13"/>
          <w:szCs w:val="13"/>
          <w:color w:val="auto"/>
        </w:rPr>
      </w:pPr>
    </w:p>
    <w:p>
      <w:pPr>
        <w:ind w:left="340" w:right="4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 to our financial statements).</w:t>
      </w:r>
    </w:p>
    <w:p>
      <w:pPr>
        <w:ind w:left="340" w:right="24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 Rate (LIBOR or “L”) or Prime Rate (Prime or “P”).</w:t>
      </w:r>
    </w:p>
    <w:p>
      <w:pPr>
        <w:ind w:left="340" w:right="12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payable in cash and/or in-kind (“PIK”).</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subject to a LIBOR or Prime rate floor.</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This security does not have a basis point spread above an index.</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b w:val="1"/>
          <w:bCs w:val="1"/>
          <w:i w:val="1"/>
          <w:iCs w:val="1"/>
          <w:color w:val="auto"/>
        </w:rPr>
        <w:t>Except where the context suggests otherwise, the terms “we,” “us,” “our” and “PennantPark Investment” refer to PennantPark Investment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w:t>
      </w:r>
    </w:p>
    <w:p>
      <w:pPr>
        <w:spacing w:after="0" w:line="115"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44"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On September 29, 2009 PennantPark Investment closed a secondary public offering and sold 4,300,000 shares of common stock at a price of $8.00 per share, resulting in proceeds of $32.5 million. On October 13, 2009, the underwriters of the secondary offering exercised their over-allotment option under the underwriting agreement and elected to purchase an additional 440,000 shares of common stock at a price of $8.00 per share resulting in additional net proceeds of $3.3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 Certain prior period amounts have been reclassified to conform to current period presentation. References to the Accounting Standards Codification, or ASC, serve as a single source of accounting literature and are not intended to change accounting literature.</w:t>
      </w:r>
    </w:p>
    <w:p>
      <w:pPr>
        <w:spacing w:after="0" w:line="147"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10-K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Valuations</w:t>
      </w:r>
    </w:p>
    <w:p>
      <w:pPr>
        <w:spacing w:after="0" w:line="171" w:lineRule="exact"/>
        <w:rPr>
          <w:sz w:val="20"/>
          <w:szCs w:val="20"/>
          <w:color w:val="auto"/>
        </w:rPr>
      </w:pPr>
    </w:p>
    <w:p>
      <w:pPr>
        <w:jc w:val="both"/>
        <w:ind w:firstLine="473"/>
        <w:spacing w:after="0" w:line="285"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 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financial statements.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hanging="447"/>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900" w:hanging="447"/>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hanging="447"/>
        <w:spacing w:after="0" w:line="33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hanging="447"/>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ectPr>
          <w:pgSz w:w="11900" w:h="16838" w:orient="portrait"/>
          <w:cols w:equalWidth="0" w:num="1">
            <w:col w:w="11240"/>
          </w:cols>
          <w:pgMar w:left="320" w:top="459" w:right="339" w:bottom="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131" w:right="1440" w:bottom="1440" w:gutter="0" w:footer="0" w:header="0"/>
        </w:sectPr>
      </w:pPr>
    </w:p>
    <w:bookmarkStart w:id="15" w:name="page16"/>
    <w:bookmarkEnd w:id="15"/>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 Transactions, Revenue Recognition, and Realized/Unrealized Gains or Losses</w:t>
      </w:r>
    </w:p>
    <w:p>
      <w:pPr>
        <w:spacing w:after="0" w:line="171"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7" w:lineRule="exact"/>
        <w:rPr>
          <w:sz w:val="20"/>
          <w:szCs w:val="20"/>
          <w:color w:val="auto"/>
        </w:rPr>
      </w:pPr>
    </w:p>
    <w:p>
      <w:pPr>
        <w:jc w:val="both"/>
        <w:ind w:firstLine="449"/>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interest income. Dividend income, if any, is recognized on an accrual basis on the ex-dividend date to the extent that we expect to collect such amounts.</w:t>
      </w:r>
    </w:p>
    <w:p>
      <w:pPr>
        <w:spacing w:after="0" w:line="104"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3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71"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6"/>
          <w:szCs w:val="16"/>
          <w:color w:val="auto"/>
        </w:rPr>
        <w:t xml:space="preserve">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ASC 740, </w:t>
      </w:r>
      <w:r>
        <w:rPr>
          <w:rFonts w:ascii="Arial" w:cs="Arial" w:eastAsia="Arial" w:hAnsi="Arial"/>
          <w:sz w:val="16"/>
          <w:szCs w:val="16"/>
          <w:i w:val="1"/>
          <w:iCs w:val="1"/>
          <w:color w:val="auto"/>
        </w:rPr>
        <w:t>Income Taxes</w:t>
      </w:r>
      <w:r>
        <w:rPr>
          <w:rFonts w:ascii="Arial" w:cs="Arial" w:eastAsia="Arial" w:hAnsi="Arial"/>
          <w:sz w:val="16"/>
          <w:szCs w:val="16"/>
          <w:color w:val="auto"/>
        </w:rPr>
        <w:t>.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taxes in the future. Although we are subject to tax as a RIC, we have elected to retain a portion of our calendar year income and record an excise tax of $0.1 million for the three months ended December 31, 2009. PennantPark Investment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inception-to-date federal tax years remain subject to examination by the Internal Revenue Service.</w:t>
      </w:r>
    </w:p>
    <w:p>
      <w:pPr>
        <w:spacing w:after="0" w:line="4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Dividends, Distributions, and Capital Transactions</w:t>
      </w:r>
    </w:p>
    <w:p>
      <w:pPr>
        <w:spacing w:after="0" w:line="171"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5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Accounting Pronouncements and Accounting Standards Updates</w:t>
      </w:r>
    </w:p>
    <w:p>
      <w:pPr>
        <w:spacing w:after="0" w:line="171" w:lineRule="exact"/>
        <w:rPr>
          <w:sz w:val="20"/>
          <w:szCs w:val="20"/>
          <w:color w:val="auto"/>
        </w:rPr>
      </w:pPr>
    </w:p>
    <w:p>
      <w:pPr>
        <w:jc w:val="both"/>
        <w:ind w:firstLine="385"/>
        <w:spacing w:after="0" w:line="288" w:lineRule="auto"/>
        <w:rPr>
          <w:sz w:val="20"/>
          <w:szCs w:val="20"/>
          <w:color w:val="auto"/>
        </w:rPr>
      </w:pPr>
      <w:r>
        <w:rPr>
          <w:rFonts w:ascii="Arial" w:cs="Arial" w:eastAsia="Arial" w:hAnsi="Arial"/>
          <w:sz w:val="16"/>
          <w:szCs w:val="16"/>
          <w:color w:val="auto"/>
        </w:rPr>
        <w:t xml:space="preserve">In April 2009, the FASB issued guidance on, </w:t>
      </w:r>
      <w:r>
        <w:rPr>
          <w:rFonts w:ascii="Arial" w:cs="Arial" w:eastAsia="Arial" w:hAnsi="Arial"/>
          <w:sz w:val="16"/>
          <w:szCs w:val="16"/>
          <w:i w:val="1"/>
          <w:iCs w:val="1"/>
          <w:color w:val="auto"/>
        </w:rPr>
        <w:t>Determining Fair Value When the Volume and Level of Activity for the Asset or Liability Have Significantly</w:t>
      </w:r>
      <w:r>
        <w:rPr>
          <w:rFonts w:ascii="Arial" w:cs="Arial" w:eastAsia="Arial" w:hAnsi="Arial"/>
          <w:sz w:val="16"/>
          <w:szCs w:val="16"/>
          <w:color w:val="auto"/>
        </w:rPr>
        <w:t xml:space="preserve"> </w:t>
      </w:r>
      <w:r>
        <w:rPr>
          <w:rFonts w:ascii="Arial" w:cs="Arial" w:eastAsia="Arial" w:hAnsi="Arial"/>
          <w:sz w:val="16"/>
          <w:szCs w:val="16"/>
          <w:i w:val="1"/>
          <w:iCs w:val="1"/>
          <w:color w:val="auto"/>
        </w:rPr>
        <w:t>Decreased and Identifying Transactions That Are Not Orderly</w:t>
      </w:r>
      <w:r>
        <w:rPr>
          <w:rFonts w:ascii="Arial" w:cs="Arial" w:eastAsia="Arial" w:hAnsi="Arial"/>
          <w:sz w:val="16"/>
          <w:szCs w:val="16"/>
          <w:color w:val="auto"/>
        </w:rPr>
        <w:t>, or ASC 820-10-35-51A. ASC 820-10-35-51A amends ASC 820 to provide additional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for estimating fair value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PennantPark Investment adopted ASC 820-10-35-51A on June 30, 2009, and it did not have a material impact on our financial statements.</w:t>
      </w:r>
    </w:p>
    <w:p>
      <w:pPr>
        <w:spacing w:after="0" w:line="124"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 xml:space="preserve">In May 2009, FASB issued guidance on, </w:t>
      </w:r>
      <w:r>
        <w:rPr>
          <w:rFonts w:ascii="Arial" w:cs="Arial" w:eastAsia="Arial" w:hAnsi="Arial"/>
          <w:sz w:val="18"/>
          <w:szCs w:val="18"/>
          <w:i w:val="1"/>
          <w:iCs w:val="1"/>
          <w:color w:val="auto"/>
        </w:rPr>
        <w:t>Subsequent Events</w:t>
      </w:r>
      <w:r>
        <w:rPr>
          <w:rFonts w:ascii="Arial" w:cs="Arial" w:eastAsia="Arial" w:hAnsi="Arial"/>
          <w:sz w:val="18"/>
          <w:szCs w:val="18"/>
          <w:color w:val="auto"/>
        </w:rPr>
        <w:t>, or ASC 855, which establishes general accounting standards for and disclosure of events that occur after the balance sheet date but before the financial statements are issued. The adoption of ASC 855 did not have a material impact on our financial statements.</w:t>
      </w:r>
    </w:p>
    <w:p>
      <w:pPr>
        <w:spacing w:after="0" w:line="140"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 xml:space="preserve">In June 2009, FASB issued guidance on, </w:t>
      </w:r>
      <w:r>
        <w:rPr>
          <w:rFonts w:ascii="Arial" w:cs="Arial" w:eastAsia="Arial" w:hAnsi="Arial"/>
          <w:sz w:val="18"/>
          <w:szCs w:val="18"/>
          <w:i w:val="1"/>
          <w:iCs w:val="1"/>
          <w:color w:val="auto"/>
        </w:rPr>
        <w:t>The FASB Accounting Standards Codification and the Hierarchy of Generally Accepted Accounting Principles</w:t>
      </w:r>
      <w:r>
        <w:rPr>
          <w:rFonts w:ascii="Arial" w:cs="Arial" w:eastAsia="Arial" w:hAnsi="Arial"/>
          <w:sz w:val="18"/>
          <w:szCs w:val="18"/>
          <w:color w:val="auto"/>
        </w:rPr>
        <w:t xml:space="preserve"> </w:t>
      </w:r>
      <w:r>
        <w:rPr>
          <w:rFonts w:ascii="Arial" w:cs="Arial" w:eastAsia="Arial" w:hAnsi="Arial"/>
          <w:sz w:val="18"/>
          <w:szCs w:val="18"/>
          <w:i w:val="1"/>
          <w:iCs w:val="1"/>
          <w:color w:val="auto"/>
        </w:rPr>
        <w:t>—a replacement of FASB 162</w:t>
      </w:r>
      <w:r>
        <w:rPr>
          <w:rFonts w:ascii="Arial" w:cs="Arial" w:eastAsia="Arial" w:hAnsi="Arial"/>
          <w:sz w:val="18"/>
          <w:szCs w:val="18"/>
          <w:color w:val="auto"/>
        </w:rPr>
        <w:t>, or ASC 105-10,</w:t>
      </w:r>
      <w:r>
        <w:rPr>
          <w:rFonts w:ascii="Arial" w:cs="Arial" w:eastAsia="Arial" w:hAnsi="Arial"/>
          <w:sz w:val="18"/>
          <w:szCs w:val="18"/>
          <w:i w:val="1"/>
          <w:iCs w:val="1"/>
          <w:color w:val="auto"/>
        </w:rPr>
        <w:t xml:space="preserve"> Generally Accepted Accounting Principles</w:t>
      </w:r>
      <w:r>
        <w:rPr>
          <w:rFonts w:ascii="Arial" w:cs="Arial" w:eastAsia="Arial" w:hAnsi="Arial"/>
          <w:sz w:val="18"/>
          <w:szCs w:val="18"/>
          <w:color w:val="auto"/>
        </w:rPr>
        <w:t>. ASC 105-10 is effective for financial statements issued for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and annual periods ending after September 15, 2009. On the effective date of ASC 105-10, the Accounting Standards Codification, or ASC, has superseded all then-existing GAAP for non-governmental entities and reporting standards, subject to certain grandfathered literature. The purpose of ASC is not to change accounting literature but rather to serve as a single source of authoritative accounting literature. The adoption of ASC 105-10 did not have a material impact on our financial statements.</w:t>
      </w:r>
    </w:p>
    <w:p>
      <w:pPr>
        <w:spacing w:after="0" w:line="144"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ASU 2009-05 provides additional clarity in circumstances where a quoted price in an active market for the identical liability is not available. ASU 2009-05 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w:t>
      </w:r>
    </w:p>
    <w:p>
      <w:pPr>
        <w:sectPr>
          <w:pgSz w:w="11900" w:h="16932" w:orient="portrait"/>
          <w:cols w:equalWidth="0" w:num="1">
            <w:col w:w="11240"/>
          </w:cols>
          <w:pgMar w:left="320" w:top="459" w:right="339" w:bottom="0" w:gutter="0" w:footer="0" w:header="0"/>
        </w:sectPr>
      </w:pPr>
    </w:p>
    <w:bookmarkStart w:id="16" w:name="page17"/>
    <w:bookmarkEnd w:id="16"/>
    <w:p>
      <w:pPr>
        <w:spacing w:after="0" w:line="268" w:lineRule="auto"/>
        <w:rPr>
          <w:sz w:val="20"/>
          <w:szCs w:val="20"/>
          <w:color w:val="auto"/>
        </w:rPr>
      </w:pPr>
      <w:r>
        <w:rPr>
          <w:rFonts w:ascii="Arial" w:cs="Arial" w:eastAsia="Arial" w:hAnsi="Arial"/>
          <w:sz w:val="18"/>
          <w:szCs w:val="18"/>
          <w:color w:val="auto"/>
        </w:rPr>
        <w:t>consistent with principles of ASC 820. This update also clarifies that when estimating fair value of a liability, a reporting entity is not required to include a separate adjustment to an input relating to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8"/>
          <w:szCs w:val="18"/>
          <w:i w:val="1"/>
          <w:iCs w:val="1"/>
          <w:color w:val="auto"/>
        </w:rPr>
        <w:t xml:space="preserve">Level 1 </w:t>
      </w:r>
      <w:r>
        <w:rPr>
          <w:rFonts w:ascii="Arial" w:cs="Arial" w:eastAsia="Arial" w:hAnsi="Arial"/>
          <w:sz w:val="18"/>
          <w:szCs w:val="18"/>
          <w:color w:val="auto"/>
        </w:rPr>
        <w:t>fair value measurements. We adopted ASU 2009-05 on September 30, 2009 and it did not have a material impact on our financial statements. See Note</w:t>
      </w:r>
      <w:r>
        <w:rPr>
          <w:rFonts w:ascii="Arial" w:cs="Arial" w:eastAsia="Arial" w:hAnsi="Arial"/>
          <w:sz w:val="18"/>
          <w:szCs w:val="18"/>
          <w:i w:val="1"/>
          <w:iCs w:val="1"/>
          <w:color w:val="auto"/>
        </w:rPr>
        <w:t xml:space="preserve"> </w:t>
      </w:r>
      <w:r>
        <w:rPr>
          <w:rFonts w:ascii="Arial" w:cs="Arial" w:eastAsia="Arial" w:hAnsi="Arial"/>
          <w:sz w:val="18"/>
          <w:szCs w:val="18"/>
          <w:color w:val="auto"/>
        </w:rPr>
        <w:t>5 to the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which was re-approved by our board of directors, including a majority of our directors who are not interested persons of PennantPark Investment in February 2010.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5"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credit facility, “average adjusted gross assets”, if any, see Note 10). Although the base management fee is 2.00% our of average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been 2.00% since March 31, 2008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For the three months ended December 31, 2009 and 2008, the Investment Adviser earned a base management fee of $2.5 million and $1.8 million, respectively, from us.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jc w:val="both"/>
        <w:ind w:firstLine="449"/>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22" w:lineRule="exact"/>
        <w:rPr>
          <w:sz w:val="20"/>
          <w:szCs w:val="20"/>
          <w:color w:val="auto"/>
        </w:rPr>
      </w:pPr>
    </w:p>
    <w:p>
      <w:pPr>
        <w:jc w:val="both"/>
        <w:ind w:firstLine="449"/>
        <w:spacing w:after="0" w:line="290"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months ended December 31, 2009 and 2008, the Investment Adviser earned an incentive fee of $1.8 million and $1.4 million, respectively from us.</w:t>
      </w:r>
    </w:p>
    <w:p>
      <w:pPr>
        <w:spacing w:after="0" w:line="118" w:lineRule="exact"/>
        <w:rPr>
          <w:sz w:val="20"/>
          <w:szCs w:val="20"/>
          <w:color w:val="auto"/>
        </w:rPr>
      </w:pPr>
    </w:p>
    <w:p>
      <w:pPr>
        <w:jc w:val="both"/>
        <w:ind w:firstLine="423"/>
        <w:spacing w:after="0" w:line="285"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which was re-approved by our board of directors including a majority of our directors who are not interested persons of PennantPark Investment in February 2010.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To the extent that our Administrator outsources any of its functions, we pay the fees associated with such functions on a direct basis without profit to the Administrator. Reimbursement for certain of these costs is included in administrative services expenses in the statement of operations. For the three months ended December 31, 2009 and 2008, the Investment Adviser was reimbursed $0.3 million and $0.3 million, respectively, from us, including expenses it incurred on behalf of the Administrator, for services described above.</w:t>
      </w:r>
    </w:p>
    <w:p>
      <w:pPr>
        <w:sectPr>
          <w:pgSz w:w="11900" w:h="16838" w:orient="portrait"/>
          <w:cols w:equalWidth="0" w:num="1">
            <w:col w:w="11240"/>
          </w:cols>
          <w:pgMar w:left="320" w:top="459" w:right="339" w:bottom="798"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459" w:right="339" w:bottom="798"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Purchases of long-term investments including PIK for the three months ended December 31, 2009 and 2008 totaled $51.6 million and $1.7 million, respectively. Sales and repayments of long-term investments for the three months ended December 31, 2009 and 2008 totaled $16.8 million and $2.3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240" w:type="dxa"/>
            <w:vAlign w:val="bottom"/>
            <w:gridSpan w:val="3"/>
          </w:tcPr>
          <w:p>
            <w:pPr>
              <w:jc w:val="right"/>
              <w:ind w:right="495"/>
              <w:spacing w:after="0"/>
              <w:rPr>
                <w:sz w:val="20"/>
                <w:szCs w:val="20"/>
                <w:color w:val="auto"/>
              </w:rPr>
            </w:pPr>
            <w:r>
              <w:rPr>
                <w:rFonts w:ascii="Arial" w:cs="Arial" w:eastAsia="Arial" w:hAnsi="Arial"/>
                <w:sz w:val="13"/>
                <w:szCs w:val="13"/>
                <w:b w:val="1"/>
                <w:bCs w:val="1"/>
                <w:color w:val="auto"/>
              </w:rPr>
              <w:t>December 31, 2009</w:t>
            </w:r>
          </w:p>
        </w:tc>
        <w:tc>
          <w:tcPr>
            <w:tcW w:w="220" w:type="dxa"/>
            <w:vAlign w:val="bottom"/>
          </w:tcPr>
          <w:p>
            <w:pPr>
              <w:spacing w:after="0"/>
              <w:rPr>
                <w:sz w:val="14"/>
                <w:szCs w:val="14"/>
                <w:color w:val="auto"/>
              </w:rPr>
            </w:pPr>
          </w:p>
        </w:tc>
        <w:tc>
          <w:tcPr>
            <w:tcW w:w="2300" w:type="dxa"/>
            <w:vAlign w:val="bottom"/>
            <w:gridSpan w:val="4"/>
          </w:tcPr>
          <w:p>
            <w:pPr>
              <w:jc w:val="right"/>
              <w:ind w:right="600"/>
              <w:spacing w:after="0"/>
              <w:rPr>
                <w:sz w:val="20"/>
                <w:szCs w:val="20"/>
                <w:color w:val="auto"/>
              </w:rPr>
            </w:pPr>
            <w:r>
              <w:rPr>
                <w:rFonts w:ascii="Arial" w:cs="Arial" w:eastAsia="Arial" w:hAnsi="Arial"/>
                <w:sz w:val="13"/>
                <w:szCs w:val="13"/>
                <w:b w:val="1"/>
                <w:bCs w:val="1"/>
                <w:color w:val="auto"/>
              </w:rPr>
              <w:t>September 30, 2009</w:t>
            </w:r>
          </w:p>
        </w:tc>
      </w:tr>
      <w:tr>
        <w:trPr>
          <w:trHeight w:val="142"/>
        </w:trPr>
        <w:tc>
          <w:tcPr>
            <w:tcW w:w="65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3"/>
                <w:szCs w:val="13"/>
                <w:b w:val="1"/>
                <w:bCs w:val="1"/>
                <w:color w:val="auto"/>
              </w:rPr>
              <w:t>Cost</w:t>
            </w: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06"/>
              <w:spacing w:after="0" w:line="142" w:lineRule="exact"/>
              <w:rPr>
                <w:sz w:val="20"/>
                <w:szCs w:val="20"/>
                <w:color w:val="auto"/>
              </w:rPr>
            </w:pPr>
            <w:r>
              <w:rPr>
                <w:rFonts w:ascii="Arial" w:cs="Arial" w:eastAsia="Arial" w:hAnsi="Arial"/>
                <w:sz w:val="13"/>
                <w:szCs w:val="13"/>
                <w:b w:val="1"/>
                <w:bCs w:val="1"/>
                <w:color w:val="auto"/>
              </w:rPr>
              <w:t>Cost</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2"/>
                <w:szCs w:val="12"/>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$ 168,552,263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$ 160,710,620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$ 164,863,868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$ 150,607,490</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Second lien</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152,481,888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147,136,016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152,321,496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134,401,542</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174,807,171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176,796,186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158,139,903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157,119,017</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Preferred equity</w:t>
            </w:r>
          </w:p>
        </w:tc>
        <w:tc>
          <w:tcPr>
            <w:tcW w:w="1020" w:type="dxa"/>
            <w:vAlign w:val="bottom"/>
          </w:tcPr>
          <w:p>
            <w:pPr>
              <w:jc w:val="right"/>
              <w:spacing w:after="0"/>
              <w:rPr>
                <w:sz w:val="20"/>
                <w:szCs w:val="20"/>
                <w:color w:val="auto"/>
              </w:rPr>
            </w:pPr>
            <w:r>
              <w:rPr>
                <w:rFonts w:ascii="Arial" w:cs="Arial" w:eastAsia="Arial" w:hAnsi="Arial"/>
                <w:sz w:val="18"/>
                <w:szCs w:val="18"/>
                <w:color w:val="auto"/>
              </w:rPr>
              <w:t>9,750,316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10,882,075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9,750,317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10,934,053</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11,196,363</w:t>
            </w:r>
          </w:p>
        </w:tc>
        <w:tc>
          <w:tcPr>
            <w:tcW w:w="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17,616,429</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12,212,302</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16,697,971</w:t>
            </w:r>
          </w:p>
        </w:tc>
        <w:tc>
          <w:tcPr>
            <w:tcW w:w="20" w:type="dxa"/>
            <w:vAlign w:val="bottom"/>
          </w:tcPr>
          <w:p>
            <w:pPr>
              <w:spacing w:after="0"/>
              <w:rPr>
                <w:sz w:val="18"/>
                <w:szCs w:val="18"/>
                <w:color w:val="auto"/>
              </w:rPr>
            </w:pPr>
          </w:p>
        </w:tc>
      </w:tr>
      <w:tr>
        <w:trPr>
          <w:trHeight w:val="221"/>
        </w:trPr>
        <w:tc>
          <w:tcPr>
            <w:tcW w:w="6500" w:type="dxa"/>
            <w:vAlign w:val="bottom"/>
          </w:tcPr>
          <w:p>
            <w:pPr>
              <w:spacing w:after="0"/>
              <w:rPr>
                <w:sz w:val="20"/>
                <w:szCs w:val="20"/>
                <w:color w:val="auto"/>
              </w:rPr>
            </w:pPr>
            <w:r>
              <w:rPr>
                <w:rFonts w:ascii="Arial" w:cs="Arial" w:eastAsia="Arial" w:hAnsi="Arial"/>
                <w:sz w:val="18"/>
                <w:szCs w:val="18"/>
                <w:color w:val="auto"/>
              </w:rPr>
              <w:t>Total Investments</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516,788,001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513,141,326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497,287,886</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469,760,073</w:t>
            </w:r>
          </w:p>
        </w:tc>
      </w:tr>
      <w:tr>
        <w:trPr>
          <w:trHeight w:val="218"/>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7,051,165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7,051,165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33,247,666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33,247,666</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$ 523,839,166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$ 520,192,491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$ 530,535,552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$ 503,007,739</w:t>
            </w:r>
          </w:p>
        </w:tc>
        <w:tc>
          <w:tcPr>
            <w:tcW w:w="2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December 31, 2009 and September 30, 2009.</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44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December 31,</w:t>
            </w:r>
          </w:p>
        </w:tc>
        <w:tc>
          <w:tcPr>
            <w:tcW w:w="142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61"/>
        </w:trPr>
        <w:tc>
          <w:tcPr>
            <w:tcW w:w="6480" w:type="dxa"/>
            <w:vAlign w:val="bottom"/>
            <w:gridSpan w:val="3"/>
          </w:tcPr>
          <w:p>
            <w:pPr>
              <w:spacing w:after="0"/>
              <w:rPr>
                <w:sz w:val="20"/>
                <w:szCs w:val="20"/>
                <w:color w:val="auto"/>
              </w:rPr>
            </w:pPr>
            <w:r>
              <w:rPr>
                <w:rFonts w:ascii="Arial" w:cs="Arial" w:eastAsia="Arial" w:hAnsi="Arial"/>
                <w:sz w:val="13"/>
                <w:szCs w:val="13"/>
                <w:b w:val="1"/>
                <w:bCs w:val="1"/>
                <w:color w:val="auto"/>
              </w:rPr>
              <w:t>Industry Classification</w:t>
            </w:r>
          </w:p>
        </w:tc>
        <w:tc>
          <w:tcPr>
            <w:tcW w:w="1920" w:type="dxa"/>
            <w:vAlign w:val="bottom"/>
            <w:gridSpan w:val="2"/>
          </w:tcPr>
          <w:p>
            <w:pPr>
              <w:jc w:val="right"/>
              <w:ind w:right="192"/>
              <w:spacing w:after="0"/>
              <w:rPr>
                <w:sz w:val="20"/>
                <w:szCs w:val="20"/>
                <w:color w:val="auto"/>
              </w:rPr>
            </w:pPr>
            <w:r>
              <w:rPr>
                <w:rFonts w:ascii="Arial" w:cs="Arial" w:eastAsia="Arial" w:hAnsi="Arial"/>
                <w:sz w:val="13"/>
                <w:szCs w:val="13"/>
                <w:b w:val="1"/>
                <w:bCs w:val="1"/>
                <w:color w:val="auto"/>
              </w:rPr>
              <w:t>2009</w:t>
            </w:r>
          </w:p>
        </w:tc>
        <w:tc>
          <w:tcPr>
            <w:tcW w:w="520" w:type="dxa"/>
            <w:vAlign w:val="bottom"/>
          </w:tcPr>
          <w:p>
            <w:pPr>
              <w:spacing w:after="0"/>
              <w:rPr>
                <w:sz w:val="14"/>
                <w:szCs w:val="14"/>
                <w:color w:val="auto"/>
              </w:rPr>
            </w:pPr>
          </w:p>
        </w:tc>
        <w:tc>
          <w:tcPr>
            <w:tcW w:w="1220" w:type="dxa"/>
            <w:vAlign w:val="bottom"/>
            <w:gridSpan w:val="2"/>
          </w:tcPr>
          <w:p>
            <w:pPr>
              <w:jc w:val="right"/>
              <w:ind w:right="212"/>
              <w:spacing w:after="0"/>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1"/>
              </w:rPr>
              <w:t>Business Services</w:t>
            </w:r>
          </w:p>
        </w:tc>
        <w:tc>
          <w:tcPr>
            <w:tcW w:w="5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 Conglomerate Manufacturing</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and Durable Consumer Products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Leisure, Amusement, Motion Picture and Entertainment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Communication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3"/>
        </w:trPr>
        <w:tc>
          <w:tcPr>
            <w:tcW w:w="6480" w:type="dxa"/>
            <w:vAlign w:val="bottom"/>
            <w:gridSpan w:val="3"/>
          </w:tcPr>
          <w:p>
            <w:pPr>
              <w:jc w:val="right"/>
              <w:ind w:right="1220"/>
              <w:spacing w:after="0"/>
              <w:rPr>
                <w:sz w:val="20"/>
                <w:szCs w:val="20"/>
                <w:color w:val="auto"/>
              </w:rPr>
            </w:pPr>
            <w:r>
              <w:rPr>
                <w:rFonts w:ascii="Arial" w:cs="Arial" w:eastAsia="Arial" w:hAnsi="Arial"/>
                <w:sz w:val="18"/>
                <w:szCs w:val="18"/>
                <w:color w:val="auto"/>
              </w:rPr>
              <w:t>15</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 xml:space="preserve">Effective October 1, 2008, we adopted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for cash and cash equivalents, investments and long-term credit facility. We realized no gain or loss as a result of the adoption of ASC 820. 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in the circumstances.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right="2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our own assumptions about how market participants would price</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w:t>
      </w:r>
    </w:p>
    <w:p>
      <w:pPr>
        <w:spacing w:after="0" w:line="132" w:lineRule="exact"/>
        <w:rPr>
          <w:sz w:val="20"/>
          <w:szCs w:val="20"/>
          <w:color w:val="auto"/>
        </w:rPr>
      </w:pPr>
    </w:p>
    <w:p>
      <w:pPr>
        <w:jc w:val="both"/>
        <w:ind w:right="20" w:firstLine="449"/>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All of our investments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32"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06"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At December 31, 2009 and September 30, 2009, our cash and cash equivalents, investments and our long-term credit facility were categorized as follows in the fair value hierarchy for ASC 820 purposes: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2009</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gridSpan w:val="7"/>
          </w:tcPr>
          <w:p>
            <w:pPr>
              <w:jc w:val="right"/>
              <w:ind w:right="960"/>
              <w:spacing w:after="0"/>
              <w:rPr>
                <w:sz w:val="20"/>
                <w:szCs w:val="20"/>
                <w:color w:val="auto"/>
              </w:rPr>
            </w:pPr>
            <w:r>
              <w:rPr>
                <w:rFonts w:ascii="Arial" w:cs="Arial" w:eastAsia="Arial" w:hAnsi="Arial"/>
                <w:sz w:val="13"/>
                <w:szCs w:val="13"/>
                <w:b w:val="1"/>
                <w:bCs w:val="1"/>
                <w:color w:val="auto"/>
              </w:rPr>
              <w:t>Fair Value Measurements Using</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92"/>
              </w:rPr>
              <w:t>Quoted Prices</w:t>
            </w:r>
          </w:p>
        </w:tc>
        <w:tc>
          <w:tcPr>
            <w:tcW w:w="4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w w:val="93"/>
              </w:rPr>
              <w:t>Significant</w:t>
            </w:r>
          </w:p>
        </w:tc>
        <w:tc>
          <w:tcPr>
            <w:tcW w:w="4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rPr>
                <w:sz w:val="20"/>
                <w:szCs w:val="20"/>
                <w:color w:val="auto"/>
              </w:rPr>
            </w:pPr>
            <w:r>
              <w:rPr>
                <w:rFonts w:ascii="Arial" w:cs="Arial" w:eastAsia="Arial" w:hAnsi="Arial"/>
                <w:sz w:val="13"/>
                <w:szCs w:val="13"/>
                <w:b w:val="1"/>
                <w:bCs w:val="1"/>
                <w:color w:val="auto"/>
                <w:w w:val="92"/>
              </w:rPr>
              <w:t>in Active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Other</w:t>
            </w:r>
          </w:p>
        </w:tc>
        <w:tc>
          <w:tcPr>
            <w:tcW w:w="48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Significant</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rPr>
                <w:sz w:val="20"/>
                <w:szCs w:val="20"/>
                <w:color w:val="auto"/>
              </w:rPr>
            </w:pPr>
            <w:r>
              <w:rPr>
                <w:rFonts w:ascii="Arial" w:cs="Arial" w:eastAsia="Arial" w:hAnsi="Arial"/>
                <w:sz w:val="13"/>
                <w:szCs w:val="13"/>
                <w:b w:val="1"/>
                <w:bCs w:val="1"/>
                <w:color w:val="auto"/>
                <w:w w:val="99"/>
              </w:rPr>
              <w:t>Markets for</w:t>
            </w:r>
          </w:p>
        </w:tc>
        <w:tc>
          <w:tcPr>
            <w:tcW w:w="46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w w:val="90"/>
              </w:rPr>
              <w:t>Observable</w:t>
            </w:r>
          </w:p>
        </w:tc>
        <w:tc>
          <w:tcPr>
            <w:tcW w:w="48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Unobservable</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Identical Assets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57"/>
              <w:spacing w:after="0"/>
              <w:rPr>
                <w:sz w:val="20"/>
                <w:szCs w:val="20"/>
                <w:color w:val="auto"/>
              </w:rPr>
            </w:pPr>
            <w:r>
              <w:rPr>
                <w:rFonts w:ascii="Arial" w:cs="Arial" w:eastAsia="Arial" w:hAnsi="Arial"/>
                <w:sz w:val="13"/>
                <w:szCs w:val="13"/>
                <w:b w:val="1"/>
                <w:bCs w:val="1"/>
                <w:color w:val="auto"/>
                <w:w w:val="92"/>
              </w:rPr>
              <w:t>inputs</w:t>
            </w:r>
          </w:p>
        </w:tc>
        <w:tc>
          <w:tcPr>
            <w:tcW w:w="480" w:type="dxa"/>
            <w:vAlign w:val="bottom"/>
          </w:tcPr>
          <w:p>
            <w:pPr>
              <w:spacing w:after="0"/>
              <w:rPr>
                <w:sz w:val="12"/>
                <w:szCs w:val="12"/>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Description</w:t>
            </w:r>
          </w:p>
        </w:tc>
        <w:tc>
          <w:tcPr>
            <w:tcW w:w="5280" w:type="dxa"/>
            <w:vAlign w:val="bottom"/>
          </w:tcPr>
          <w:p>
            <w:pPr>
              <w:spacing w:after="0"/>
              <w:rPr>
                <w:sz w:val="14"/>
                <w:szCs w:val="14"/>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Fair Value</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4"/>
              </w:rPr>
              <w:t>(Level 1)</w:t>
            </w:r>
          </w:p>
        </w:tc>
        <w:tc>
          <w:tcPr>
            <w:tcW w:w="46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(Level 2)</w:t>
            </w:r>
          </w:p>
        </w:tc>
        <w:tc>
          <w:tcPr>
            <w:tcW w:w="4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$ 484,642,822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$ 484,642,822</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28,498,504</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28,498,504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513,141,326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513,141,326</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7,051,165</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7,051,165</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520,192,491</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7,051,165</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513,141,326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80" w:type="dxa"/>
            <w:vAlign w:val="bottom"/>
            <w:gridSpan w:val="2"/>
            <w:vMerge w:val="continue"/>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(201,914,294)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(201,914,294)</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September 30, 2009</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598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7"/>
          </w:tcPr>
          <w:p>
            <w:pPr>
              <w:jc w:val="right"/>
              <w:ind w:right="960"/>
              <w:spacing w:after="0"/>
              <w:rPr>
                <w:sz w:val="20"/>
                <w:szCs w:val="20"/>
                <w:color w:val="auto"/>
              </w:rPr>
            </w:pPr>
            <w:r>
              <w:rPr>
                <w:rFonts w:ascii="Arial" w:cs="Arial" w:eastAsia="Arial" w:hAnsi="Arial"/>
                <w:sz w:val="13"/>
                <w:szCs w:val="13"/>
                <w:b w:val="1"/>
                <w:bCs w:val="1"/>
                <w:color w:val="auto"/>
              </w:rPr>
              <w:t>Fair Value Measurements Using</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92"/>
              </w:rPr>
              <w:t>Quoted Prices</w:t>
            </w:r>
          </w:p>
        </w:tc>
        <w:tc>
          <w:tcPr>
            <w:tcW w:w="4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w w:val="93"/>
              </w:rPr>
              <w:t>Significant</w:t>
            </w:r>
          </w:p>
        </w:tc>
        <w:tc>
          <w:tcPr>
            <w:tcW w:w="4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rPr>
                <w:sz w:val="20"/>
                <w:szCs w:val="20"/>
                <w:color w:val="auto"/>
              </w:rPr>
            </w:pPr>
            <w:r>
              <w:rPr>
                <w:rFonts w:ascii="Arial" w:cs="Arial" w:eastAsia="Arial" w:hAnsi="Arial"/>
                <w:sz w:val="13"/>
                <w:szCs w:val="13"/>
                <w:b w:val="1"/>
                <w:bCs w:val="1"/>
                <w:color w:val="auto"/>
                <w:w w:val="92"/>
              </w:rPr>
              <w:t>in Active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Other</w:t>
            </w:r>
          </w:p>
        </w:tc>
        <w:tc>
          <w:tcPr>
            <w:tcW w:w="48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Significant</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rPr>
                <w:sz w:val="20"/>
                <w:szCs w:val="20"/>
                <w:color w:val="auto"/>
              </w:rPr>
            </w:pPr>
            <w:r>
              <w:rPr>
                <w:rFonts w:ascii="Arial" w:cs="Arial" w:eastAsia="Arial" w:hAnsi="Arial"/>
                <w:sz w:val="13"/>
                <w:szCs w:val="13"/>
                <w:b w:val="1"/>
                <w:bCs w:val="1"/>
                <w:color w:val="auto"/>
                <w:w w:val="99"/>
              </w:rPr>
              <w:t>Markets for</w:t>
            </w:r>
          </w:p>
        </w:tc>
        <w:tc>
          <w:tcPr>
            <w:tcW w:w="46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w w:val="90"/>
              </w:rPr>
              <w:t>Observable</w:t>
            </w:r>
          </w:p>
        </w:tc>
        <w:tc>
          <w:tcPr>
            <w:tcW w:w="48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Unobservable</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Identical Assets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57"/>
              <w:spacing w:after="0"/>
              <w:rPr>
                <w:sz w:val="20"/>
                <w:szCs w:val="20"/>
                <w:color w:val="auto"/>
              </w:rPr>
            </w:pPr>
            <w:r>
              <w:rPr>
                <w:rFonts w:ascii="Arial" w:cs="Arial" w:eastAsia="Arial" w:hAnsi="Arial"/>
                <w:sz w:val="13"/>
                <w:szCs w:val="13"/>
                <w:b w:val="1"/>
                <w:bCs w:val="1"/>
                <w:color w:val="auto"/>
                <w:w w:val="92"/>
              </w:rPr>
              <w:t>inputs</w:t>
            </w:r>
          </w:p>
        </w:tc>
        <w:tc>
          <w:tcPr>
            <w:tcW w:w="480" w:type="dxa"/>
            <w:vAlign w:val="bottom"/>
          </w:tcPr>
          <w:p>
            <w:pPr>
              <w:spacing w:after="0"/>
              <w:rPr>
                <w:sz w:val="12"/>
                <w:szCs w:val="12"/>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Description</w:t>
            </w:r>
          </w:p>
        </w:tc>
        <w:tc>
          <w:tcPr>
            <w:tcW w:w="5280" w:type="dxa"/>
            <w:vAlign w:val="bottom"/>
          </w:tcPr>
          <w:p>
            <w:pPr>
              <w:spacing w:after="0"/>
              <w:rPr>
                <w:sz w:val="14"/>
                <w:szCs w:val="14"/>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Fair Value</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4"/>
              </w:rPr>
              <w:t>(Level 1)</w:t>
            </w:r>
          </w:p>
        </w:tc>
        <w:tc>
          <w:tcPr>
            <w:tcW w:w="46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(Level 2)</w:t>
            </w:r>
          </w:p>
        </w:tc>
        <w:tc>
          <w:tcPr>
            <w:tcW w:w="4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$ 442,128,049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$ 442,128,049</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469,760,073</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33,247,666</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503,007,739</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33,247,666</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vMerge w:val="continue"/>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(168,475,380)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 for the three months ended December 31, 2009 and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Ended December 31, 2009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Loan and debt</w:t>
            </w: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Description</w:t>
            </w:r>
          </w:p>
        </w:tc>
        <w:tc>
          <w:tcPr>
            <w:tcW w:w="69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investments</w:t>
            </w:r>
          </w:p>
        </w:tc>
        <w:tc>
          <w:tcPr>
            <w:tcW w:w="3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investments</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Totals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$442,128,049</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$27,632,024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469,760,073</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Realized gains (losses)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(13,598,702)</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(3,005,163)</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(16,603,865)</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appreciation / (depreciation)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21,998,720</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1,882,418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23,881,138</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980" w:type="dxa"/>
            <w:vAlign w:val="bottom"/>
          </w:tcPr>
          <w:p>
            <w:pPr>
              <w:jc w:val="right"/>
              <w:spacing w:after="0"/>
              <w:rPr>
                <w:sz w:val="20"/>
                <w:szCs w:val="20"/>
                <w:color w:val="auto"/>
              </w:rPr>
            </w:pPr>
            <w:r>
              <w:rPr>
                <w:rFonts w:ascii="Arial" w:cs="Arial" w:eastAsia="Arial" w:hAnsi="Arial"/>
                <w:sz w:val="18"/>
                <w:szCs w:val="18"/>
                <w:color w:val="auto"/>
              </w:rPr>
              <w:t>52,229,864</w:t>
            </w:r>
          </w:p>
        </w:tc>
        <w:tc>
          <w:tcPr>
            <w:tcW w:w="3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683,058</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52,912,922</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(16,808,942)</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(16,808,942)</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Non-cash exchanges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(1,306,167)</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1,306,167</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Ending Balance, December 31, 2009</w:t>
            </w:r>
          </w:p>
        </w:tc>
        <w:tc>
          <w:tcPr>
            <w:tcW w:w="9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484,642,822</w:t>
            </w:r>
          </w:p>
        </w:tc>
        <w:tc>
          <w:tcPr>
            <w:tcW w:w="32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28,498,504</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513,141,326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00" w:type="dxa"/>
            <w:vAlign w:val="bottom"/>
          </w:tcPr>
          <w:p>
            <w:pPr>
              <w:spacing w:after="0"/>
              <w:rPr>
                <w:sz w:val="8"/>
                <w:szCs w:val="8"/>
                <w:color w:val="auto"/>
              </w:rPr>
            </w:pPr>
          </w:p>
        </w:tc>
        <w:tc>
          <w:tcPr>
            <w:tcW w:w="6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Net change in unrealized appreciation (depreciation) for the year reported within the net change in</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6"/>
              </w:rPr>
              <w:t>unrealized appreciation on investments in our Statement of Operations attributable to our Level 3</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assets still held at the reporting date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5,856,098</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(1,122,745)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4,733,353</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Period Ended December 31, 2008</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64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Loan and debt</w:t>
            </w: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Description</w:t>
            </w:r>
          </w:p>
        </w:tc>
        <w:tc>
          <w:tcPr>
            <w:tcW w:w="69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investments</w:t>
            </w:r>
          </w:p>
        </w:tc>
        <w:tc>
          <w:tcPr>
            <w:tcW w:w="3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investments</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Totals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$349,260,104</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$22,887,716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372,147,820</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Realized gains (losses)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(887,070)</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appreciation / (depreciation)</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(39,885,419)</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(2,470,858)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(42,356,277)</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980" w:type="dxa"/>
            <w:vAlign w:val="bottom"/>
          </w:tcPr>
          <w:p>
            <w:pPr>
              <w:jc w:val="right"/>
              <w:spacing w:after="0"/>
              <w:rPr>
                <w:sz w:val="20"/>
                <w:szCs w:val="20"/>
                <w:color w:val="auto"/>
              </w:rPr>
            </w:pPr>
            <w:r>
              <w:rPr>
                <w:rFonts w:ascii="Arial" w:cs="Arial" w:eastAsia="Arial" w:hAnsi="Arial"/>
                <w:sz w:val="18"/>
                <w:szCs w:val="18"/>
                <w:color w:val="auto"/>
              </w:rPr>
              <w:t>1,870,146</w:t>
            </w:r>
          </w:p>
        </w:tc>
        <w:tc>
          <w:tcPr>
            <w:tcW w:w="3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318,896</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2,189,042</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(2,280,140)</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(2,280,140)</w:t>
            </w:r>
          </w:p>
        </w:tc>
        <w:tc>
          <w:tcPr>
            <w:tcW w:w="0" w:type="dxa"/>
            <w:vAlign w:val="bottom"/>
          </w:tcPr>
          <w:p>
            <w:pPr>
              <w:spacing w:after="0"/>
              <w:rPr>
                <w:sz w:val="1"/>
                <w:szCs w:val="1"/>
                <w:color w:val="auto"/>
              </w:rPr>
            </w:pPr>
          </w:p>
        </w:tc>
      </w:tr>
      <w:tr>
        <w:trPr>
          <w:trHeight w:val="223"/>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2008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308,077,621</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20,735,754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328,813,375</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Net change in unrealized depreciation for the year reported within the net change in unrealized</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764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ind w:left="220"/>
              <w:spacing w:after="0"/>
              <w:rPr>
                <w:sz w:val="20"/>
                <w:szCs w:val="20"/>
                <w:color w:val="auto"/>
              </w:rPr>
            </w:pPr>
            <w:r>
              <w:rPr>
                <w:rFonts w:ascii="Arial" w:cs="Arial" w:eastAsia="Arial" w:hAnsi="Arial"/>
                <w:sz w:val="18"/>
                <w:szCs w:val="18"/>
                <w:color w:val="auto"/>
                <w:w w:val="91"/>
              </w:rPr>
              <w:t xml:space="preserve">depreciation on investments in our Statement of Operations attributable to our </w:t>
            </w:r>
            <w:r>
              <w:rPr>
                <w:rFonts w:ascii="Arial" w:cs="Arial" w:eastAsia="Arial" w:hAnsi="Arial"/>
                <w:sz w:val="18"/>
                <w:szCs w:val="18"/>
                <w:i w:val="1"/>
                <w:iCs w:val="1"/>
                <w:color w:val="auto"/>
                <w:w w:val="91"/>
              </w:rPr>
              <w:t>Level 3</w:t>
            </w:r>
            <w:r>
              <w:rPr>
                <w:rFonts w:ascii="Arial" w:cs="Arial" w:eastAsia="Arial" w:hAnsi="Arial"/>
                <w:sz w:val="18"/>
                <w:szCs w:val="18"/>
                <w:color w:val="auto"/>
                <w:w w:val="91"/>
              </w:rPr>
              <w:t xml:space="preserve"> assets still held</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40" w:type="dxa"/>
            <w:vAlign w:val="bottom"/>
            <w:gridSpan w:val="2"/>
          </w:tcPr>
          <w:p>
            <w:pPr>
              <w:ind w:left="220"/>
              <w:spacing w:after="0"/>
              <w:rPr>
                <w:sz w:val="20"/>
                <w:szCs w:val="20"/>
                <w:color w:val="auto"/>
              </w:rPr>
            </w:pPr>
            <w:r>
              <w:rPr>
                <w:rFonts w:ascii="Arial" w:cs="Arial" w:eastAsia="Arial" w:hAnsi="Arial"/>
                <w:sz w:val="18"/>
                <w:szCs w:val="18"/>
                <w:color w:val="auto"/>
              </w:rPr>
              <w:t>at the reporting date</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 (40,255,417)</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 (2,470,858)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(42,726,275)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240"/>
          </w:cols>
          <w:pgMar w:left="320" w:top="459" w:right="339" w:bottom="690" w:gutter="0" w:footer="0" w:header="0"/>
        </w:sect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459" w:right="339" w:bottom="69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 for the three months ended December 31, 2009 and 2008:</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Period Ended December 31, 2009*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Carrying /</w:t>
            </w:r>
          </w:p>
        </w:tc>
        <w:tc>
          <w:tcPr>
            <w:tcW w:w="0" w:type="dxa"/>
            <w:vAlign w:val="bottom"/>
          </w:tcPr>
          <w:p>
            <w:pPr>
              <w:spacing w:after="0"/>
              <w:rPr>
                <w:sz w:val="1"/>
                <w:szCs w:val="1"/>
                <w:color w:val="auto"/>
              </w:rPr>
            </w:pPr>
          </w:p>
        </w:tc>
      </w:tr>
      <w:tr>
        <w:trPr>
          <w:trHeight w:val="161"/>
        </w:trPr>
        <w:tc>
          <w:tcPr>
            <w:tcW w:w="7300" w:type="dxa"/>
            <w:vAlign w:val="bottom"/>
            <w:gridSpan w:val="2"/>
          </w:tcPr>
          <w:p>
            <w:pPr>
              <w:ind w:left="920"/>
              <w:spacing w:after="0"/>
              <w:rPr>
                <w:sz w:val="20"/>
                <w:szCs w:val="20"/>
                <w:color w:val="auto"/>
              </w:rPr>
            </w:pPr>
            <w:r>
              <w:rPr>
                <w:rFonts w:ascii="Arial" w:cs="Arial" w:eastAsia="Arial" w:hAnsi="Arial"/>
                <w:sz w:val="13"/>
                <w:szCs w:val="13"/>
                <w:b w:val="1"/>
                <w:bCs w:val="1"/>
                <w:color w:val="auto"/>
              </w:rPr>
              <w:t>Long-Term Credit Facility</w:t>
            </w:r>
          </w:p>
        </w:tc>
        <w:tc>
          <w:tcPr>
            <w:tcW w:w="1960" w:type="dxa"/>
            <w:vAlign w:val="bottom"/>
          </w:tcPr>
          <w:p>
            <w:pPr>
              <w:spacing w:after="0"/>
              <w:rPr>
                <w:sz w:val="14"/>
                <w:szCs w:val="14"/>
                <w:color w:val="auto"/>
              </w:rPr>
            </w:pPr>
          </w:p>
        </w:tc>
        <w:tc>
          <w:tcPr>
            <w:tcW w:w="960" w:type="dxa"/>
            <w:vAlign w:val="bottom"/>
            <w:tcBorders>
              <w:bottom w:val="single" w:sz="8" w:color="auto"/>
            </w:tcBorders>
          </w:tcPr>
          <w:p>
            <w:pPr>
              <w:jc w:val="right"/>
              <w:ind w:right="106"/>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2009 (Cost – $218,100,000)</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$168,475,380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Total unrealized appreciation included in earnings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5,838,914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Repayments</w:t>
            </w:r>
          </w:p>
        </w:tc>
        <w:tc>
          <w:tcPr>
            <w:tcW w:w="3040" w:type="dxa"/>
            <w:vAlign w:val="bottom"/>
            <w:gridSpan w:val="3"/>
          </w:tcPr>
          <w:p>
            <w:pPr>
              <w:jc w:val="right"/>
              <w:ind w:right="60"/>
              <w:spacing w:after="0"/>
              <w:rPr>
                <w:sz w:val="20"/>
                <w:szCs w:val="20"/>
                <w:color w:val="auto"/>
              </w:rPr>
            </w:pPr>
            <w:r>
              <w:rPr>
                <w:rFonts w:ascii="Arial" w:cs="Arial" w:eastAsia="Arial" w:hAnsi="Arial"/>
                <w:sz w:val="18"/>
                <w:szCs w:val="18"/>
                <w:color w:val="auto"/>
              </w:rPr>
              <w:t>(19,700,000)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19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300" w:type="dxa"/>
            <w:vAlign w:val="bottom"/>
            <w:gridSpan w:val="2"/>
          </w:tcPr>
          <w:p>
            <w:pPr>
              <w:ind w:left="920"/>
              <w:spacing w:after="0"/>
              <w:rPr>
                <w:sz w:val="20"/>
                <w:szCs w:val="20"/>
                <w:color w:val="auto"/>
              </w:rPr>
            </w:pPr>
            <w:r>
              <w:rPr>
                <w:rFonts w:ascii="Arial" w:cs="Arial" w:eastAsia="Arial" w:hAnsi="Arial"/>
                <w:sz w:val="18"/>
                <w:szCs w:val="18"/>
                <w:color w:val="auto"/>
              </w:rPr>
              <w:t>Ending Balance, December 31, 2009 (Cost – $245,700,000)</w:t>
            </w:r>
          </w:p>
        </w:tc>
        <w:tc>
          <w:tcPr>
            <w:tcW w:w="2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201,914,294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  There was no temporary draw as of December 31, 2009.</w:t>
            </w:r>
          </w:p>
        </w:tc>
        <w:tc>
          <w:tcPr>
            <w:tcW w:w="1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30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300" w:type="dxa"/>
            <w:vAlign w:val="bottom"/>
            <w:gridSpan w:val="2"/>
          </w:tcPr>
          <w:p>
            <w:pPr>
              <w:ind w:left="920"/>
              <w:spacing w:after="0"/>
              <w:rPr>
                <w:sz w:val="20"/>
                <w:szCs w:val="20"/>
                <w:color w:val="auto"/>
              </w:rPr>
            </w:pPr>
            <w:r>
              <w:rPr>
                <w:rFonts w:ascii="Arial" w:cs="Arial" w:eastAsia="Arial" w:hAnsi="Arial"/>
                <w:sz w:val="18"/>
                <w:szCs w:val="18"/>
                <w:b w:val="1"/>
                <w:bCs w:val="1"/>
                <w:color w:val="auto"/>
              </w:rPr>
              <w:t>Period Ended December 31, 2008*</w:t>
            </w:r>
          </w:p>
        </w:tc>
        <w:tc>
          <w:tcPr>
            <w:tcW w:w="1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Carrying /</w:t>
            </w:r>
          </w:p>
        </w:tc>
        <w:tc>
          <w:tcPr>
            <w:tcW w:w="0" w:type="dxa"/>
            <w:vAlign w:val="bottom"/>
          </w:tcPr>
          <w:p>
            <w:pPr>
              <w:spacing w:after="0"/>
              <w:rPr>
                <w:sz w:val="1"/>
                <w:szCs w:val="1"/>
                <w:color w:val="auto"/>
              </w:rPr>
            </w:pPr>
          </w:p>
        </w:tc>
      </w:tr>
      <w:tr>
        <w:trPr>
          <w:trHeight w:val="161"/>
        </w:trPr>
        <w:tc>
          <w:tcPr>
            <w:tcW w:w="7300" w:type="dxa"/>
            <w:vAlign w:val="bottom"/>
            <w:gridSpan w:val="2"/>
          </w:tcPr>
          <w:p>
            <w:pPr>
              <w:ind w:left="920"/>
              <w:spacing w:after="0"/>
              <w:rPr>
                <w:sz w:val="20"/>
                <w:szCs w:val="20"/>
                <w:color w:val="auto"/>
              </w:rPr>
            </w:pPr>
            <w:r>
              <w:rPr>
                <w:rFonts w:ascii="Arial" w:cs="Arial" w:eastAsia="Arial" w:hAnsi="Arial"/>
                <w:sz w:val="13"/>
                <w:szCs w:val="13"/>
                <w:b w:val="1"/>
                <w:bCs w:val="1"/>
                <w:color w:val="auto"/>
              </w:rPr>
              <w:t>Long-Term Credit Facility</w:t>
            </w:r>
          </w:p>
        </w:tc>
        <w:tc>
          <w:tcPr>
            <w:tcW w:w="1960" w:type="dxa"/>
            <w:vAlign w:val="bottom"/>
          </w:tcPr>
          <w:p>
            <w:pPr>
              <w:spacing w:after="0"/>
              <w:rPr>
                <w:sz w:val="14"/>
                <w:szCs w:val="14"/>
                <w:color w:val="auto"/>
              </w:rPr>
            </w:pPr>
          </w:p>
        </w:tc>
        <w:tc>
          <w:tcPr>
            <w:tcW w:w="960" w:type="dxa"/>
            <w:vAlign w:val="bottom"/>
            <w:tcBorders>
              <w:bottom w:val="single" w:sz="8" w:color="auto"/>
            </w:tcBorders>
          </w:tcPr>
          <w:p>
            <w:pPr>
              <w:jc w:val="right"/>
              <w:ind w:right="106"/>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 (Cost – $162,000,000)</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w:t>
            </w:r>
          </w:p>
        </w:tc>
        <w:tc>
          <w:tcPr>
            <w:tcW w:w="3040" w:type="dxa"/>
            <w:vAlign w:val="bottom"/>
            <w:gridSpan w:val="3"/>
          </w:tcPr>
          <w:p>
            <w:pPr>
              <w:jc w:val="right"/>
              <w:ind w:right="60"/>
              <w:spacing w:after="0"/>
              <w:rPr>
                <w:sz w:val="20"/>
                <w:szCs w:val="20"/>
                <w:color w:val="auto"/>
              </w:rPr>
            </w:pPr>
            <w:r>
              <w:rPr>
                <w:rFonts w:ascii="Arial" w:cs="Arial" w:eastAsia="Arial" w:hAnsi="Arial"/>
                <w:sz w:val="18"/>
                <w:szCs w:val="18"/>
                <w:color w:val="auto"/>
              </w:rPr>
              <w:t>(41,796,000)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unrealized appreciation included in earnings</w:t>
            </w:r>
          </w:p>
        </w:tc>
        <w:tc>
          <w:tcPr>
            <w:tcW w:w="3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(5,718,694)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4,400,000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w:t>
            </w:r>
          </w:p>
        </w:tc>
        <w:tc>
          <w:tcPr>
            <w:tcW w:w="3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1960" w:type="dxa"/>
            <w:vAlign w:val="bottom"/>
          </w:tcPr>
          <w:p>
            <w:pPr>
              <w:spacing w:after="0"/>
              <w:rPr>
                <w:sz w:val="19"/>
                <w:szCs w:val="19"/>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 2008 (Cost – $157,400,000)</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109,885,306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There was no temporary draw as of December 31, 2008.</w:t>
      </w:r>
    </w:p>
    <w:p>
      <w:pPr>
        <w:spacing w:after="0" w:line="171"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6"/>
          <w:szCs w:val="16"/>
          <w:color w:val="auto"/>
        </w:rPr>
        <w:t>The carrying value of our financial instruments approximates fair value. Effective October 1, 2008, we adopted ASC 825-10, which provides companies with an option to report selected financial assets and liabilities at fair value, and made an irrevocable election to apply ASC 825-10 to our long-term credit facility. PennantPark Investment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We elected not to apply ASC 825-10 to any other financial assets or liabilities. For the three month periods ended December 31, 2009 and 2008, our credit facility had a net change in unrealized (appreciation) depreciation of $(5.8) million and $5.7 million, respectively. On December 31, 2009 and September 30, 2009, net unrealized appreciation on our long-term credit facility totaled $43.8 million and $49.6 million, respectively, which included the cumulative effect of adoption of ASC 825-10 on our credit facility of $41.8 million. PennantPark Investment uses a nationally recognized independent valuation service to measure the fair value of its credit facility in a manner consistent with the valuation process that the board of directors uses to value investments.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w:t>
      </w:r>
    </w:p>
    <w:p>
      <w:pPr>
        <w:spacing w:after="0" w:line="96"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could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REPURCHASE AGREEMENTS</w:t>
      </w:r>
    </w:p>
    <w:p>
      <w:pPr>
        <w:spacing w:after="0" w:line="96"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December 31, 2009 or September 30,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CHANGE IN NET ASSETS FROM OPERATIONS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b w:val="1"/>
                <w:bCs w:val="1"/>
                <w:color w:val="auto"/>
                <w:w w:val="90"/>
              </w:rPr>
              <w:t>Three months ended</w:t>
            </w:r>
          </w:p>
        </w:tc>
        <w:tc>
          <w:tcPr>
            <w:tcW w:w="60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r>
      <w:tr>
        <w:trPr>
          <w:trHeight w:val="148"/>
        </w:trPr>
        <w:tc>
          <w:tcPr>
            <w:tcW w:w="94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20"/>
              <w:spacing w:after="0"/>
              <w:rPr>
                <w:sz w:val="20"/>
                <w:szCs w:val="20"/>
                <w:color w:val="auto"/>
              </w:rPr>
            </w:pPr>
            <w:r>
              <w:rPr>
                <w:rFonts w:ascii="Arial" w:cs="Arial" w:eastAsia="Arial" w:hAnsi="Arial"/>
                <w:sz w:val="13"/>
                <w:szCs w:val="13"/>
                <w:b w:val="1"/>
                <w:bCs w:val="1"/>
                <w:color w:val="auto"/>
                <w:w w:val="96"/>
              </w:rPr>
              <w:t>December 31,</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9"/>
              </w:rPr>
              <w:t>December 31,</w:t>
            </w:r>
          </w:p>
        </w:tc>
      </w:tr>
      <w:tr>
        <w:trPr>
          <w:trHeight w:val="161"/>
        </w:trPr>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Class and Year</w:t>
            </w:r>
          </w:p>
        </w:tc>
        <w:tc>
          <w:tcPr>
            <w:tcW w:w="6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2009</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r>
      <w:tr>
        <w:trPr>
          <w:trHeight w:val="210"/>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increase (decrease) in net assets resulting from operations</w:t>
            </w:r>
          </w:p>
        </w:tc>
        <w:tc>
          <w:tcPr>
            <w:tcW w:w="11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8,676,247</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(31,756,724)</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25,751,381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21,068,772</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Basic and diluted net increase (decrease) in net assets per share resulting from operations</w:t>
            </w:r>
          </w:p>
        </w:tc>
        <w:tc>
          <w:tcPr>
            <w:tcW w:w="11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jc w:val="both"/>
        <w:ind w:firstLine="449"/>
        <w:spacing w:after="0" w:line="331" w:lineRule="auto"/>
        <w:rPr>
          <w:sz w:val="20"/>
          <w:szCs w:val="20"/>
          <w:color w:val="auto"/>
        </w:rPr>
      </w:pPr>
      <w:r>
        <w:rPr>
          <w:rFonts w:ascii="Arial" w:cs="Arial" w:eastAsia="Arial" w:hAnsi="Arial"/>
          <w:sz w:val="16"/>
          <w:szCs w:val="16"/>
          <w:color w:val="auto"/>
        </w:rPr>
        <w:t>PennantPark Investment’s net assets and net asset value per share on December 31, 2009 and 2008 were $306.1 million and $215.7 million, respectively, and $11.86 and $10.24, respectively. Below are the financial highlights for the three months ended December 31, 2009 and 2008.</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2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w w:val="95"/>
              </w:rPr>
              <w:t>Three months</w:t>
            </w:r>
          </w:p>
        </w:tc>
        <w:tc>
          <w:tcPr>
            <w:tcW w:w="400" w:type="dxa"/>
            <w:vAlign w:val="bottom"/>
          </w:tcPr>
          <w:p>
            <w:pPr>
              <w:spacing w:after="0"/>
              <w:rPr>
                <w:sz w:val="12"/>
                <w:szCs w:val="12"/>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3"/>
              </w:rPr>
              <w:t>Three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88"/>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2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w w:val="92"/>
              </w:rPr>
              <w:t>December 31,</w:t>
            </w:r>
          </w:p>
        </w:tc>
        <w:tc>
          <w:tcPr>
            <w:tcW w:w="400" w:type="dxa"/>
            <w:vAlign w:val="bottom"/>
          </w:tcPr>
          <w:p>
            <w:pPr>
              <w:spacing w:after="0"/>
              <w:rPr>
                <w:sz w:val="12"/>
                <w:szCs w:val="12"/>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b w:val="1"/>
                <w:bCs w:val="1"/>
                <w:color w:val="auto"/>
                <w:w w:val="89"/>
              </w:rPr>
              <w:t>2009</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b w:val="1"/>
                <w:bCs w:val="1"/>
                <w:color w:val="auto"/>
                <w:w w:val="89"/>
              </w:rPr>
              <w:t>2008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11.85</w:t>
            </w:r>
          </w:p>
        </w:tc>
        <w:tc>
          <w:tcPr>
            <w:tcW w:w="5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80" w:type="dxa"/>
            <w:vAlign w:val="bottom"/>
            <w:gridSpan w:val="2"/>
          </w:tcPr>
          <w:p>
            <w:pPr>
              <w:spacing w:after="0"/>
              <w:rPr>
                <w:sz w:val="20"/>
                <w:szCs w:val="20"/>
                <w:color w:val="auto"/>
              </w:rPr>
            </w:pPr>
            <w:r>
              <w:rPr>
                <w:rFonts w:ascii="Arial" w:cs="Arial" w:eastAsia="Arial" w:hAnsi="Arial"/>
                <w:sz w:val="18"/>
                <w:szCs w:val="18"/>
                <w:color w:val="auto"/>
              </w:rPr>
              <w:t>Adjusted net asset value, beginning of period</w:t>
            </w:r>
          </w:p>
        </w:tc>
        <w:tc>
          <w:tcPr>
            <w:tcW w:w="2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change in realized and unrealized gain/(loss)</w:t>
            </w:r>
            <w:r>
              <w:rPr>
                <w:rFonts w:ascii="Arial" w:cs="Arial" w:eastAsia="Arial" w:hAnsi="Arial"/>
                <w:sz w:val="11"/>
                <w:szCs w:val="11"/>
                <w:color w:val="auto"/>
              </w:rPr>
              <w:t>(2)</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0.06</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5"/>
              </w:rPr>
              <w:t>Net increase (decrease) in net assets resulting from operations</w:t>
            </w:r>
            <w:r>
              <w:rPr>
                <w:rFonts w:ascii="Arial" w:cs="Arial" w:eastAsia="Arial" w:hAnsi="Arial"/>
                <w:sz w:val="11"/>
                <w:szCs w:val="11"/>
                <w:color w:val="auto"/>
                <w:w w:val="95"/>
              </w:rPr>
              <w:t>(2)</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(3)</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(0.25)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Dilutive effect of common stock issuance below net asset value</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2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gridSpan w:val="2"/>
            <w:vMerge w:val="continue"/>
          </w:tcPr>
          <w:p>
            <w:pPr>
              <w:spacing w:after="0"/>
              <w:rPr>
                <w:sz w:val="19"/>
                <w:szCs w:val="19"/>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11.86</w:t>
            </w:r>
          </w:p>
        </w:tc>
        <w:tc>
          <w:tcPr>
            <w:tcW w:w="5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12.95%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25,808,772</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21,068,772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380" w:type="dxa"/>
            <w:vAlign w:val="bottom"/>
          </w:tcPr>
          <w:p>
            <w:pPr>
              <w:jc w:val="right"/>
              <w:ind w:right="2012"/>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5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3"/>
              </w:rPr>
              <w:t>Three months</w:t>
            </w:r>
          </w:p>
        </w:tc>
        <w:tc>
          <w:tcPr>
            <w:tcW w:w="280" w:type="dxa"/>
            <w:vAlign w:val="bottom"/>
          </w:tcPr>
          <w:p>
            <w:pPr>
              <w:spacing w:after="0"/>
              <w:rPr>
                <w:sz w:val="13"/>
                <w:szCs w:val="13"/>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Three months</w:t>
            </w:r>
          </w:p>
        </w:tc>
      </w:tr>
      <w:tr>
        <w:trPr>
          <w:trHeight w:val="148"/>
        </w:trPr>
        <w:tc>
          <w:tcPr>
            <w:tcW w:w="5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8"/>
              </w:rPr>
              <w:t>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ended</w:t>
            </w:r>
          </w:p>
        </w:tc>
      </w:tr>
      <w:tr>
        <w:trPr>
          <w:trHeight w:val="148"/>
        </w:trPr>
        <w:tc>
          <w:tcPr>
            <w:tcW w:w="5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2"/>
              </w:rPr>
              <w:t>December 31,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December 31,</w:t>
            </w:r>
          </w:p>
        </w:tc>
      </w:tr>
      <w:tr>
        <w:trPr>
          <w:trHeight w:val="161"/>
        </w:trPr>
        <w:tc>
          <w:tcPr>
            <w:tcW w:w="5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9"/>
              </w:rPr>
              <w:t>2009</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6"/>
              </w:rPr>
              <w:t>2008</w:t>
            </w:r>
          </w:p>
        </w:tc>
        <w:tc>
          <w:tcPr>
            <w:tcW w:w="200" w:type="dxa"/>
            <w:vAlign w:val="bottom"/>
          </w:tcPr>
          <w:p>
            <w:pPr>
              <w:spacing w:after="0"/>
              <w:rPr>
                <w:sz w:val="14"/>
                <w:szCs w:val="14"/>
                <w:color w:val="auto"/>
              </w:rPr>
            </w:pP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 Supplemental Data:</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7.17%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8.55%</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8.23%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12.06%</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11.03%</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306,148,322</w:t>
            </w:r>
          </w:p>
        </w:tc>
        <w:tc>
          <w:tcPr>
            <w:tcW w:w="4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5"/>
              </w:rPr>
              <w:t>215,711,031</w:t>
            </w:r>
          </w:p>
        </w:tc>
        <w:tc>
          <w:tcPr>
            <w:tcW w:w="2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outstanding</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224,010,870</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164,316,304</w:t>
            </w:r>
          </w:p>
        </w:tc>
        <w:tc>
          <w:tcPr>
            <w:tcW w:w="2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Weighted average debt per share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8.70</w:t>
            </w:r>
          </w:p>
        </w:tc>
        <w:tc>
          <w:tcPr>
            <w:tcW w:w="4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7.80</w:t>
            </w:r>
          </w:p>
        </w:tc>
        <w:tc>
          <w:tcPr>
            <w:tcW w:w="2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20" w:lineRule="exact"/>
        <w:rPr>
          <w:sz w:val="20"/>
          <w:szCs w:val="20"/>
          <w:color w:val="auto"/>
        </w:rPr>
      </w:pPr>
    </w:p>
    <w:p>
      <w:pPr>
        <w:ind w:right="7580" w:firstLine="8"/>
        <w:spacing w:after="0" w:line="285" w:lineRule="auto"/>
        <w:tabs>
          <w:tab w:leader="none" w:pos="4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spacing w:after="0" w:line="1" w:lineRule="exact"/>
        <w:rPr>
          <w:sz w:val="20"/>
          <w:szCs w:val="20"/>
          <w:color w:val="auto"/>
        </w:rPr>
      </w:pPr>
    </w:p>
    <w:p>
      <w:pPr>
        <w:ind w:left="46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spacing w:after="0" w:line="1"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investment income, net change in realized and unrealized loss and net increase (decrease) in net assets resulting from operations per share data are calculated based on the weighted average shares outstanding for the respective periods.</w:t>
      </w: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hanging="452"/>
        <w:spacing w:after="0" w:line="26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w:t>
      </w:r>
    </w:p>
    <w:p>
      <w:pPr>
        <w:spacing w:after="0" w:line="96"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December 31, 2009 and September 30, 2009, there were $245.7 million and $225.1 million (including a $7.0 million temporary draw) in outstanding borrowings under the credit facility, respectively, with a weighted average interest rate at the time of 1.23% and 1.31%, respectively, exclusive of the fee on undrawn commitment of 0.20%.</w:t>
      </w:r>
    </w:p>
    <w:p>
      <w:pPr>
        <w:spacing w:after="0" w:line="144" w:lineRule="exact"/>
        <w:rPr>
          <w:sz w:val="20"/>
          <w:szCs w:val="20"/>
          <w:color w:val="auto"/>
        </w:rPr>
      </w:pPr>
    </w:p>
    <w:p>
      <w:pPr>
        <w:jc w:val="both"/>
        <w:ind w:right="20" w:firstLine="449"/>
        <w:spacing w:after="0" w:line="306" w:lineRule="auto"/>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 $300.0 million at any one time outstanding. The credit facility is a five-year revolving facility (with a stated maturity date of June 25, 2012) and is secured by substantially all of the assets in PennantPark Investment’s portfolio. Pricing is set at 100 basis points over LIBOR.</w:t>
      </w:r>
    </w:p>
    <w:p>
      <w:pPr>
        <w:spacing w:after="0" w:line="106"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auto"/>
        </w:rPr>
        <w:t>The credit facility contains customary affirmative and negative covenants, including the maintenance of a minimum stockholders’ equity, the maintenance of a ratio not less than 200% of total assets (less total liabilities other than indebtedness) to total indebtedness and restrictions on certain payments and issuance of debt. For a complete list of such covenants, see our report on Form 8-K, filed June 28, 2007.</w:t>
      </w:r>
    </w:p>
    <w:p>
      <w:pPr>
        <w:spacing w:after="0" w:line="106"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PennantPark Investment has evaluated subsequent events and has no material events to report subsequent to the measurement date of these financial statements through the date of issuance on February 3, 2010.</w:t>
      </w:r>
    </w:p>
    <w:p>
      <w:pPr>
        <w:sectPr>
          <w:pgSz w:w="11900" w:h="16838" w:orient="portrait"/>
          <w:cols w:equalWidth="0" w:num="1">
            <w:col w:w="11240"/>
          </w:cols>
          <w:pgMar w:left="320" w:top="459" w:right="33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459"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reviewed the accompanying statement of assets and liabilities of PennantPark Investment Corporation (the “Company”) , including the schedules of investments, as of December 31, 2009, and the statements of operations, changes in net assets, and cash flows for the three month periods ended December 31, 2009 and 2008. These interim financial statements are the responsibility of the Company’s management.</w:t>
      </w:r>
    </w:p>
    <w:p>
      <w:pPr>
        <w:spacing w:after="0" w:line="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previously audited, in accordance with standards of the Public Company Accounting Oversight Board (United States), the statement of assets and liabilities of PennantPark Investment Corporation, including the schedule of investments, as of September 30, 2009; and in our report dated November 18, 2009,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68580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0" cy="12890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3,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16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This Report,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31" w:lineRule="exact"/>
        <w:rPr>
          <w:sz w:val="20"/>
          <w:szCs w:val="20"/>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 and their ability to achieve their objectives;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financing arrangements and working capital;</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this report.</w:t>
      </w:r>
    </w:p>
    <w:p>
      <w:pPr>
        <w:spacing w:after="0" w:line="140"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annual reports on Form 10-K, reports on Form 10-Q and current reports on Form 8-K.</w:t>
      </w:r>
    </w:p>
    <w:p>
      <w:pPr>
        <w:spacing w:after="0" w:line="147"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PennantPark Investment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high-quality debt investments that mature in one year or less.</w:t>
      </w:r>
    </w:p>
    <w:p>
      <w:pPr>
        <w:spacing w:after="0" w:line="115"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PennantPark Investment Advisers, supervise our activities.</w:t>
      </w:r>
    </w:p>
    <w:p>
      <w:pPr>
        <w:spacing w:after="0" w:line="147" w:lineRule="exact"/>
        <w:rPr>
          <w:sz w:val="20"/>
          <w:szCs w:val="20"/>
          <w:color w:val="auto"/>
        </w:rPr>
      </w:pPr>
    </w:p>
    <w:p>
      <w:pPr>
        <w:jc w:val="both"/>
        <w:ind w:firstLine="451"/>
        <w:spacing w:after="0" w:line="291"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certain senior secured investments and, to a lesser extent, equity investments. The companies in which we invest are typically highly leveraged, often as a result of leveraged buy-outs or other recapitalization transactions, and, in most cases, are not rated by national rating agencies. If such companies were rated, we believe that they would typically receive ratings below investment grade (between BB and CCC under the Standard &amp; Poor’s system) from the national rating agencies.</w:t>
      </w:r>
    </w:p>
    <w:p>
      <w:pPr>
        <w:spacing w:after="0" w:line="120" w:lineRule="exact"/>
        <w:rPr>
          <w:sz w:val="20"/>
          <w:szCs w:val="20"/>
          <w:color w:val="auto"/>
        </w:rPr>
      </w:pPr>
    </w:p>
    <w:p>
      <w:pPr>
        <w:jc w:val="both"/>
        <w:ind w:right="20" w:firstLine="449"/>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We are currently operating in a severely constrained credit market. 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will continue to use, the proceeds of our public offerings of securities and of our credit facility in accordance with our investment objectives. The turmoil in the credit markets is adversely affecting each of these factors and has resulted in broad-based reduction in the demand for, and valuation of, high-risk debt instruments. These conditions may present us with attractive investment opportunities, as we believe that there are many middle-market companies that need senior secured and mezzanine debt financing. However, these market conditions are also adversely affecting our portfolio valuations and increase the risk of default among our portfolio companies, which could negatively impact our performance.</w:t>
      </w:r>
    </w:p>
    <w:p>
      <w:pPr>
        <w:sectPr>
          <w:pgSz w:w="11900" w:h="16838" w:orient="portrait"/>
          <w:cols w:equalWidth="0" w:num="1">
            <w:col w:w="11240"/>
          </w:cols>
          <w:pgMar w:left="320" w:top="459" w:right="339" w:bottom="55"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459" w:right="339" w:bottom="55"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recognized on an accrual basis on the ex-dividend date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62" w:lineRule="exact"/>
        <w:rPr>
          <w:sz w:val="20"/>
          <w:szCs w:val="20"/>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880" w:hanging="319"/>
        <w:spacing w:after="0" w:line="268"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jc w:val="both"/>
        <w:ind w:left="880" w:hanging="319"/>
        <w:spacing w:after="0" w:line="25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jc w:val="both"/>
        <w:ind w:firstLine="345"/>
        <w:spacing w:after="0" w:line="252" w:lineRule="auto"/>
        <w:rPr>
          <w:sz w:val="20"/>
          <w:szCs w:val="20"/>
          <w:color w:val="auto"/>
        </w:rPr>
      </w:pPr>
      <w:r>
        <w:rPr>
          <w:rFonts w:ascii="Arial" w:cs="Arial" w:eastAsia="Arial" w:hAnsi="Arial"/>
          <w:sz w:val="18"/>
          <w:szCs w:val="18"/>
          <w:color w:val="auto"/>
        </w:rPr>
        <w:t>As of December 31, 2009, our portfolio totaled $513.1 million and consisted of $176.8 million of subordinated debt, $147.1 million of second lien secured debt, $160.7 million of senior secured loans, and $28.5 million of preferred and common equity investments. Our core assets totaled $478.2 million and consisted of investments in thirty-five different companies with an average investment size of $13.7 million per company and a weighted average yield of 12.2% on debt investments. Our non-core senior secured loan portfolio totaled $34.9 million and consisted of nine different companies with an average investment size of $3.9 million, and a weighted average yield of 2.7% on debt investments. Our debt portfolio consisted of 61% fixed-rate (including 18% with a LIBOR floor) and 39% in variable-rate investments. Overall, the portfolio had net unrealized depreciation of $3.6 million as of December 31, 2009. Our overall portfolio consisted of forty-four companies with an average investment size of $11.7 million and a weighted average yield on debt investments of 11.3%, and was invested 35% in subordinated debt, 29% in second lien secured debt, 31% in senior secured loans and 5% in preferred and common equity investments.</w:t>
      </w:r>
    </w:p>
    <w:p>
      <w:pPr>
        <w:spacing w:after="0" w:line="150" w:lineRule="exact"/>
        <w:rPr>
          <w:sz w:val="20"/>
          <w:szCs w:val="20"/>
          <w:color w:val="auto"/>
        </w:rPr>
      </w:pPr>
    </w:p>
    <w:p>
      <w:pPr>
        <w:jc w:val="both"/>
        <w:ind w:firstLine="364"/>
        <w:spacing w:after="0" w:line="331" w:lineRule="auto"/>
        <w:rPr>
          <w:sz w:val="20"/>
          <w:szCs w:val="20"/>
          <w:color w:val="auto"/>
        </w:rPr>
      </w:pPr>
      <w:r>
        <w:rPr>
          <w:rFonts w:ascii="Arial" w:cs="Arial" w:eastAsia="Arial" w:hAnsi="Arial"/>
          <w:sz w:val="16"/>
          <w:szCs w:val="16"/>
          <w:color w:val="auto"/>
        </w:rPr>
        <w:t>For the three months ended December 31, 2009, we invested $50.5 million in six new and two existing portfolio companies with a weighted average yield on debt investments of 12.8%. Sales and repayments of long-term investments for the three months ended December 31, 2009 totaled $16.8 million.</w:t>
      </w:r>
    </w:p>
    <w:p>
      <w:pPr>
        <w:spacing w:after="0" w:line="87"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As of September 30, 2009, our portfolio totaled $469.8 million and consisted of $157.1 million of subordinated debt, $134.4 million of second lien secured debt, $150.6 million of senior secured loans and $27.7 million of preferred and common equity investments. Our core assets totaled $427.1 million and consisted of investments in thirty different companies with an average investment size of $14.2 million per company and a weighted average yield of 12.5% on debt investments. Our non-core senior secured loan portfolio totaled $42.7 million and consisted of thirteen different companies (including one company also in our core portfolio) with an average investment size of $3.3 million and a weighted average yield of 3.1%. Our debt portfolio consisted of 53% fixed-rate and 47% variable-rate investments. Overall, the portfolio had an unrealized depreciation of $27.5 million. Our overall portfolio consisted of forty-two companies with an average investment size of $11.2 million and a weighted average yield on debt investments of 11.4%, and was invested 33% in subordinated debt, 29% in second lien secured debt, 32% in senior secured loans and 6% in preferred and common equity investments.</w:t>
      </w:r>
    </w:p>
    <w:p>
      <w:pPr>
        <w:spacing w:after="0" w:line="124"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For the three months ended December 31, 2008, we invested approximately $0.8 million in two existing portfolio companies. Sales and repayments of long term investments for the three months ended December 31, 2008 totaled $2.3 million.</w:t>
      </w:r>
    </w:p>
    <w:p>
      <w:pPr>
        <w:sectPr>
          <w:pgSz w:w="11900" w:h="16838" w:orient="portrait"/>
          <w:cols w:equalWidth="0" w:num="1">
            <w:col w:w="11240"/>
          </w:cols>
          <w:pgMar w:left="320" w:top="459" w:right="339" w:bottom="649"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459" w:right="339" w:bottom="649"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Our discussion of our financial condition and results of operation is based upon our financial statements, which have been prepared in accordance with GAAP. The 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Investment Adviser and our independent third party valuation firms, values each investment considering, among other measures, discounted cash flow models, comparisons of financial ratios of peer companies that are public and other factors.</w:t>
      </w:r>
    </w:p>
    <w:p>
      <w:pPr>
        <w:spacing w:after="0" w:line="126"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hanging="447"/>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900" w:hanging="447"/>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hanging="447"/>
        <w:spacing w:after="0" w:line="33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hanging="447"/>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 xml:space="preserve">In September 2006, the Financial Accounting Standards Board, or FASB, issued guidance related to </w:t>
      </w:r>
      <w:r>
        <w:rPr>
          <w:rFonts w:ascii="Arial" w:cs="Arial" w:eastAsia="Arial" w:hAnsi="Arial"/>
          <w:sz w:val="16"/>
          <w:szCs w:val="16"/>
          <w:i w:val="1"/>
          <w:iCs w:val="1"/>
          <w:color w:val="auto"/>
        </w:rPr>
        <w:t>Fair Value Measurements</w:t>
      </w:r>
      <w:r>
        <w:rPr>
          <w:rFonts w:ascii="Arial" w:cs="Arial" w:eastAsia="Arial" w:hAnsi="Arial"/>
          <w:sz w:val="16"/>
          <w:szCs w:val="16"/>
          <w:color w:val="auto"/>
        </w:rPr>
        <w:t>, or ASC 820, which clarifies the definition of fair value and requires companies to expand their disclosure about the use of fair value to measure assets and liabilities in interim and annual periods subsequent to initial recognition. Adoption of ASC 820 requires the use of the price that would be received to sell an asset or paid to transfer a liability in an orderly transaction between market participants at the measurement date. ASC 820 is effective for financial statements issued for fiscal years beginning after November 15, 2007, and interim periods within those fiscal years. We adopted this statement on October 1, 2008. This adoption did not affect the PennantPark Investment’s financial position or its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hierarchy:</w:t>
      </w:r>
    </w:p>
    <w:p>
      <w:pPr>
        <w:spacing w:after="0" w:line="90"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Inputs that are quoted prices (unadjusted) in active markets for identical assets or liabilities, accessible by PennantPark Investment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51"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PennantPark Investment’s own assumptions about how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price the asset or liability.</w:t>
      </w:r>
    </w:p>
    <w:p>
      <w:pPr>
        <w:spacing w:after="0" w:line="132"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All of our investments (other than cash and cash equivalents)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ectPr>
          <w:pgSz w:w="11900" w:h="16838" w:orient="portrait"/>
          <w:cols w:equalWidth="0" w:num="1">
            <w:col w:w="11240"/>
          </w:cols>
          <w:pgMar w:left="320" w:top="459" w:right="33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459"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pacing w:after="0" w:line="143" w:lineRule="exact"/>
        <w:rPr>
          <w:sz w:val="20"/>
          <w:szCs w:val="20"/>
          <w:color w:val="auto"/>
        </w:rPr>
      </w:pPr>
    </w:p>
    <w:p>
      <w:pPr>
        <w:jc w:val="both"/>
        <w:ind w:firstLine="449"/>
        <w:spacing w:after="0" w:line="285" w:lineRule="auto"/>
        <w:rPr>
          <w:sz w:val="20"/>
          <w:szCs w:val="20"/>
          <w:color w:val="auto"/>
        </w:rPr>
      </w:pPr>
      <w:r>
        <w:rPr>
          <w:rFonts w:ascii="Arial" w:cs="Arial" w:eastAsia="Arial" w:hAnsi="Arial"/>
          <w:sz w:val="16"/>
          <w:szCs w:val="16"/>
          <w:color w:val="auto"/>
        </w:rPr>
        <w:t xml:space="preserve">In February 2007, the FASB issued guidance on,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w:t>
      </w:r>
      <w:r>
        <w:rPr>
          <w:rFonts w:ascii="Arial" w:cs="Arial" w:eastAsia="Arial" w:hAnsi="Arial"/>
          <w:sz w:val="16"/>
          <w:szCs w:val="16"/>
          <w:i w:val="1"/>
          <w:iCs w:val="1"/>
          <w:color w:val="auto"/>
        </w:rPr>
        <w:t>Including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FASB 115</w:t>
      </w:r>
      <w:r>
        <w:rPr>
          <w:rFonts w:ascii="Arial" w:cs="Arial" w:eastAsia="Arial" w:hAnsi="Arial"/>
          <w:sz w:val="16"/>
          <w:szCs w:val="16"/>
          <w:color w:val="auto"/>
        </w:rPr>
        <w:t>, or ASC 825-10. This statement permits an entity to choose to measure many financial instruments and certain other items at fair value. This</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ASC 825-10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adoption, our Net Asset Value increased by $41.8 million, or $1.99 per share, due to the fair value adjustment related to our credit facility. For the three month periods ended December 31, 2009 and 2008, our long-term credit facility had a net change in unrealized (appreciation) depreciation of $(5.8) million and $5.7 million, respectively. On December 31, 2009 and September 30, 2009, net unrealized appreciation on our long-term credit facility totaled $43.8 million and $49.6 million, respectively, which included the cumulative effect of adoption of ASC 825-10 on our credit facility of $41.8 million.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ASC 825-10 to any other financial assets or liabilities.</w:t>
      </w:r>
    </w:p>
    <w:p>
      <w:pPr>
        <w:spacing w:after="0" w:line="130"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 xml:space="preserve">In April 2009, the FASB issued guidance on, </w:t>
      </w:r>
      <w:r>
        <w:rPr>
          <w:rFonts w:ascii="Arial" w:cs="Arial" w:eastAsia="Arial" w:hAnsi="Arial"/>
          <w:sz w:val="16"/>
          <w:szCs w:val="16"/>
          <w:i w:val="1"/>
          <w:iCs w:val="1"/>
          <w:color w:val="auto"/>
        </w:rPr>
        <w:t>Determining Fair Value When the Volume and Level of Activity for the Asset or Liability Have Significantly</w:t>
      </w:r>
      <w:r>
        <w:rPr>
          <w:rFonts w:ascii="Arial" w:cs="Arial" w:eastAsia="Arial" w:hAnsi="Arial"/>
          <w:sz w:val="16"/>
          <w:szCs w:val="16"/>
          <w:color w:val="auto"/>
        </w:rPr>
        <w:t xml:space="preserve"> </w:t>
      </w:r>
      <w:r>
        <w:rPr>
          <w:rFonts w:ascii="Arial" w:cs="Arial" w:eastAsia="Arial" w:hAnsi="Arial"/>
          <w:sz w:val="16"/>
          <w:szCs w:val="16"/>
          <w:i w:val="1"/>
          <w:iCs w:val="1"/>
          <w:color w:val="auto"/>
        </w:rPr>
        <w:t>Decreased and Identifying Transactions That Are Not Orderly</w:t>
      </w:r>
      <w:r>
        <w:rPr>
          <w:rFonts w:ascii="Arial" w:cs="Arial" w:eastAsia="Arial" w:hAnsi="Arial"/>
          <w:sz w:val="16"/>
          <w:szCs w:val="16"/>
          <w:color w:val="auto"/>
        </w:rPr>
        <w:t>, or ASC 820-10-35-51A. ASC 820-10-35-51A amends ASC 820 to provide additional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for estimating fair value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24"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xml:space="preserve">. ASU 2009-05 provides additional clarity in circumstances where a quoted price in an active market for the identical liability is not available. ASU 2009-05 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 See Note 5 to the financial statements.</w:t>
      </w:r>
    </w:p>
    <w:p>
      <w:pPr>
        <w:spacing w:after="0" w:line="119"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jc w:val="both"/>
        <w:ind w:firstLine="400"/>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and market discount or premium are capitalized, and we then amortize such amounts as interest income. We record prepayment premiums on loans and debt investments as interest income. Dividend income, if any, is recognized on an accrual basis to the extent that we expect to collect such amounts.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auto"/>
        </w:rPr>
        <w:t>We operate so as to qualify to maintain our elections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ectPr>
          <w:pgSz w:w="11900" w:h="16838" w:orient="portrait"/>
          <w:cols w:equalWidth="0" w:num="1">
            <w:col w:w="11240"/>
          </w:cols>
          <w:pgMar w:left="320" w:top="459" w:right="339" w:bottom="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019"/>
          </w:cols>
          <w:pgMar w:left="1440" w:top="131" w:right="1440" w:bottom="1440" w:gutter="0" w:footer="0" w:header="0"/>
        </w:sectPr>
      </w:pPr>
    </w:p>
    <w:bookmarkStart w:id="30" w:name="page31"/>
    <w:bookmarkEnd w:id="30"/>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months ended December 31, 2009 and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96"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Investment income for the three month period ended December 31, 2009, was $13.6 million, and was primarily attributable to $5.4 million from subordinated debt investments, $3.2 million from second lien secured debt investments and $3.5 million from senior secured loan investments. The remaining investment income was primarily attributed to net accretion of discount and amortization of premium and other income. The increase in investment income compared with the same period in the prior year is due to the growth of our portfolio and the transition of the portfolio from temporary to long-term core investments.</w:t>
      </w:r>
    </w:p>
    <w:p>
      <w:pPr>
        <w:spacing w:after="0" w:line="147"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auto"/>
        </w:rPr>
        <w:t>Investment income for the three month period ended December 31, 2008, was $12.1 million, and was primarily attributable to $2.5 million from subordinated debt investments, $3.9 million from second lien secured debt investments and $5.0 million from senior secured loan investments. The remaining investment income was primarily attributed to interest income from short-term investments and to net accretion of discount and amortization of premium.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Expenses for the three month period ended December 31, 2009, totaled $6.4 million. Base management fee for the same period totaled $2.5 million, performance-based incentive fee totaled $1.8 million, credit facility related expense totaled $0.8 million, general and administrative expenses totaled $1.1 million and an excise tax of $0.1 million.</w:t>
      </w:r>
    </w:p>
    <w:p>
      <w:pPr>
        <w:spacing w:after="0" w:line="140"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Expenses for the three month period ended December 31, 2008, totaled $6.3 million. Base management fee for the same period totaled $1.8 million, performance-based incentive fee totaled $1.4 million, credit facility related expense totaled $1.8 million and general and administrative expenses totaled $1.2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jc w:val="both"/>
        <w:ind w:right="20" w:firstLine="449"/>
        <w:spacing w:after="0" w:line="268" w:lineRule="auto"/>
        <w:rPr>
          <w:sz w:val="20"/>
          <w:szCs w:val="20"/>
          <w:color w:val="auto"/>
        </w:rPr>
      </w:pPr>
      <w:r>
        <w:rPr>
          <w:rFonts w:ascii="Arial" w:cs="Arial" w:eastAsia="Arial" w:hAnsi="Arial"/>
          <w:sz w:val="18"/>
          <w:szCs w:val="18"/>
          <w:color w:val="auto"/>
        </w:rPr>
        <w:t>Net investment income totaled $7.2 million, or $0.28 per share, for the three month period ended December 31, 2009, and $5.8 million, or $0.27 per share, for the three month period ended December 31,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Loss</w:t>
      </w:r>
    </w:p>
    <w:p>
      <w:pPr>
        <w:spacing w:after="0" w:line="96"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auto"/>
        </w:rPr>
        <w:t>Sales and repayments of long-term investments for the three month period ended December 31, 2009 totaled $16.8 million and realized losses totaled $16.6 million due to sales of senior secured loans and restructurings on investments offset by repayments on other investments. Sales and repayments of long-term investments totaled $2.3 million, and net realized losses totaled $0.9 million for the three month period ended December 31,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Appreciation (Depreciation) on Investments and (Appreciation) Depreciation Credit Facility</w:t>
      </w:r>
    </w:p>
    <w:p>
      <w:pPr>
        <w:spacing w:after="0" w:line="96"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For the three month periods ended December 31, 2009 and 2008, our investments had a net change in unrealized appreciation (depreciation) of $23.9 million and $(42.4) million, respectively. On December 31, 2009 and September 30, 2009, net unrealized depreciation on investments totaled $3.6 million and $27.5 million, respectively.</w:t>
      </w:r>
    </w:p>
    <w:p>
      <w:pPr>
        <w:spacing w:after="0" w:line="140"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auto"/>
        </w:rPr>
        <w:t>For the three month periods ended December 31, 2009 and 2008, our long-term credit facility had a net change in unrealized (appreciation) depreciation of $(5.8) million and $5.7 million, respectively. On December 31, 2009 and September 30, 2009, net unrealized appreciation on our long-term credit facility totaled $43.8 million and $49.6 million, respectively, which included the cumulative effect of adoption of ASC 825-10 on our credit facility of $41.8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(Decrease) in Net Assets from Operations</w:t>
      </w:r>
    </w:p>
    <w:p>
      <w:pPr>
        <w:spacing w:after="0" w:line="96"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Net increase in net assets resulting from operations totaled $8.7 million, or $0.34 per share, for the three month period ended December 31, 2009, primarily due to the overall increase in fair values for investments held in our portfolio offset to some extent by the increase in fair value of our credit facility and realized losses. Net decrease in net assets resulting from operations totaled $(31.8) million, or $(1.51) per share, for the three month period ended December 31,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On June 25, 2007, PennantPark Investment entered into a senior secured revolving credit agreement, or our credit facility, among us, various lenders and SunTrust Bank, as administrative agent for the lenders. SunTrust Robinson Humphrey Capital Markets acted as the joint lead arranger and JPMorgan Chase (Chase Lincoln First Commercial, as successor in interest to Bear Stearns Corporate Lending Inc.) acted as joint lead arranger and syndication agent. As of December 31, 2009, PennantPark Investment had outstanding borrowings of $245.7 million with a fair value of $201.9 million, with a weighted average interest rate at the time of 1.23% exclusive of the fee on undrawn commitment of 0.20%.</w:t>
      </w:r>
    </w:p>
    <w:p>
      <w:pPr>
        <w:spacing w:after="0" w:line="115"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auto"/>
        </w:rPr>
        <w:t>Under the credit facility, the lenders agreed to extend us credit in an initial aggregate principal or face amount not exceeding $300.0 million at any one time outstanding. The credit facility is a five-year revolving facility (with a stated maturity date of June 25, 2012) and is secured by substantially all of our investment portfolio assets. Pricing of borrowings under our credit facility is set at 100 basis points over LIBOR.</w:t>
      </w:r>
    </w:p>
    <w:p>
      <w:pPr>
        <w:spacing w:after="0" w:line="106" w:lineRule="exact"/>
        <w:rPr>
          <w:sz w:val="20"/>
          <w:szCs w:val="20"/>
          <w:color w:val="auto"/>
        </w:rPr>
      </w:pPr>
    </w:p>
    <w:p>
      <w:pPr>
        <w:jc w:val="both"/>
        <w:ind w:firstLine="449"/>
        <w:spacing w:after="0" w:line="285" w:lineRule="auto"/>
        <w:rPr>
          <w:sz w:val="20"/>
          <w:szCs w:val="20"/>
          <w:color w:val="auto"/>
        </w:rPr>
      </w:pPr>
      <w:r>
        <w:rPr>
          <w:rFonts w:ascii="Arial" w:cs="Arial" w:eastAsia="Arial" w:hAnsi="Arial"/>
          <w:sz w:val="16"/>
          <w:szCs w:val="16"/>
          <w:color w:val="auto"/>
        </w:rPr>
        <w:t>The credit facility contains affirmative and restrictive covenants, including: (a) periodic financial reporting requirements, (b) maintenance of a minimum shareholders’ equity of the greater of (i) 40% of the total assets of PennantPark Investment and its subsidiaries as of the last day of any fiscal quarter and</w:t>
      </w:r>
    </w:p>
    <w:p>
      <w:pPr>
        <w:spacing w:after="0" w:line="1" w:lineRule="exact"/>
        <w:rPr>
          <w:sz w:val="20"/>
          <w:szCs w:val="20"/>
          <w:color w:val="auto"/>
        </w:rPr>
      </w:pPr>
    </w:p>
    <w:p>
      <w:pPr>
        <w:jc w:val="both"/>
        <w:ind w:firstLine="8"/>
        <w:spacing w:after="0" w:line="281" w:lineRule="auto"/>
        <w:tabs>
          <w:tab w:leader="none" w:pos="27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sum of (A) $120,000,000 plus (B) 25% of the net proceeds from the sale of equity interests in PennantPark Investment and its subsidiaries after the closing date of the credit facility, (c) maintenance of a ratio of total assets (less total liabilities other than indebtedness) to total indebtedness, in each case of PennantPark Investment, of not less than 2.0:1.0, (d) maintenance of minimum liquidity standards, (e) limitations on the incurrence of additional indebtedness,</w:t>
      </w:r>
    </w:p>
    <w:p>
      <w:pPr>
        <w:spacing w:after="0" w:line="1" w:lineRule="exact"/>
        <w:rPr>
          <w:rFonts w:ascii="Arial" w:cs="Arial" w:eastAsia="Arial" w:hAnsi="Arial"/>
          <w:sz w:val="16"/>
          <w:szCs w:val="16"/>
          <w:color w:val="auto"/>
        </w:rPr>
      </w:pPr>
    </w:p>
    <w:p>
      <w:pPr>
        <w:jc w:val="both"/>
        <w:ind w:firstLine="8"/>
        <w:spacing w:after="0" w:line="323" w:lineRule="auto"/>
        <w:tabs>
          <w:tab w:leader="none" w:pos="2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w:t>
      </w:r>
    </w:p>
    <w:p>
      <w:pPr>
        <w:sectPr>
          <w:pgSz w:w="11900" w:h="16966" w:orient="portrait"/>
          <w:cols w:equalWidth="0" w:num="1">
            <w:col w:w="11240"/>
          </w:cols>
          <w:pgMar w:left="320" w:top="459" w:right="339" w:bottom="0" w:gutter="0" w:footer="0" w:header="0"/>
        </w:sectPr>
      </w:pPr>
    </w:p>
    <w:bookmarkStart w:id="31" w:name="page32"/>
    <w:bookmarkEnd w:id="31"/>
    <w:p>
      <w:pPr>
        <w:jc w:val="both"/>
        <w:spacing w:after="0" w:line="254" w:lineRule="auto"/>
        <w:rPr>
          <w:sz w:val="20"/>
          <w:szCs w:val="20"/>
          <w:color w:val="auto"/>
        </w:rPr>
      </w:pPr>
      <w:r>
        <w:rPr>
          <w:rFonts w:ascii="Arial" w:cs="Arial" w:eastAsia="Arial" w:hAnsi="Arial"/>
          <w:sz w:val="18"/>
          <w:szCs w:val="18"/>
          <w:color w:val="auto"/>
        </w:rPr>
        <w:t>shareholders as contemplated to maintain RIC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our credit facility (and the incurrence of certain other permitted debt) will be subject to compliance with a borrowing base that will apply different advance rates to different types of assets in PennantPark Investment’s portfolio.</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3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firstLine="449"/>
        <w:spacing w:after="0" w:line="283" w:lineRule="auto"/>
        <w:rPr>
          <w:sz w:val="20"/>
          <w:szCs w:val="20"/>
          <w:color w:val="auto"/>
        </w:rPr>
      </w:pPr>
      <w:r>
        <w:rPr>
          <w:rFonts w:ascii="Arial" w:cs="Arial" w:eastAsia="Arial" w:hAnsi="Arial"/>
          <w:sz w:val="16"/>
          <w:szCs w:val="16"/>
          <w:color w:val="auto"/>
        </w:rPr>
        <w:t>PennantPark Investment has and may continue to raise additional equity or debt capital through a registered offering off a shelf registration or may securitize a portion of its investments among other considerations. In addition, any future additional debt capital we incur, to the extent it is available under stressed credit market conditions, may be issued at a higher cost and on less favorable terms and conditions than our current credit facility. We continuously monitor conditions in the credit markets and seek opportunities to enhance our debt structure considering our credit facility matures in June 2012. Furthermore, our credit facility availability depends on (i) our asset coverage, which generally requires that the valuation of our total assets less liabilities other than indebtedness be at least equal to 200% of our indebtedness, (ii) our maintenance of a blended percentage of the values of our portfolio companies, and</w:t>
      </w:r>
    </w:p>
    <w:p>
      <w:pPr>
        <w:spacing w:after="0" w:line="1" w:lineRule="exact"/>
        <w:rPr>
          <w:sz w:val="20"/>
          <w:szCs w:val="20"/>
          <w:color w:val="auto"/>
        </w:rPr>
      </w:pPr>
    </w:p>
    <w:p>
      <w:pPr>
        <w:ind w:firstLine="8"/>
        <w:spacing w:after="0" w:line="323" w:lineRule="auto"/>
        <w:tabs>
          <w:tab w:leader="none" w:pos="311"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restrictions on certain payments and issuance of debt. The primary use of existing funds and any funds raised in the future is expected to be for repayment of indebtedness, investments in portfolio companies, cash distributions to our shareholders or for other general corporate purposes.</w:t>
      </w:r>
    </w:p>
    <w:p>
      <w:pPr>
        <w:spacing w:after="0" w:line="92" w:lineRule="exact"/>
        <w:rPr>
          <w:sz w:val="20"/>
          <w:szCs w:val="20"/>
          <w:color w:val="auto"/>
        </w:rPr>
      </w:pPr>
    </w:p>
    <w:p>
      <w:pPr>
        <w:jc w:val="both"/>
        <w:ind w:firstLine="449"/>
        <w:spacing w:after="0" w:line="290" w:lineRule="auto"/>
        <w:rPr>
          <w:sz w:val="20"/>
          <w:szCs w:val="20"/>
          <w:color w:val="auto"/>
        </w:rPr>
      </w:pPr>
      <w:r>
        <w:rPr>
          <w:rFonts w:ascii="Arial" w:cs="Arial" w:eastAsia="Arial" w:hAnsi="Arial"/>
          <w:sz w:val="16"/>
          <w:szCs w:val="16"/>
          <w:color w:val="auto"/>
        </w:rPr>
        <w:t>PennantPark Investment’s liquidity and capital resources are also generated and available from cash flows from operations, investment sales and repayments, and income earned. On August 25, 2009, our stockholders approved a proposal that authorizes us to sell shares of our common stock below the then current net asset value per share of our common stock in one or more offerings for a 12-month period. On September 29, 2009, we sold shares of our common stock below the then current net asset value per share of common stock. Any decision to sell shares of our common stock below the then current net asset value per share of our common stock in one or more offerings is subject to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your interest in our common stock and a reduction of our net asset value per share.</w:t>
      </w:r>
    </w:p>
    <w:p>
      <w:pPr>
        <w:spacing w:after="0" w:line="118" w:lineRule="exact"/>
        <w:rPr>
          <w:sz w:val="20"/>
          <w:szCs w:val="20"/>
          <w:color w:val="auto"/>
        </w:rPr>
      </w:pPr>
    </w:p>
    <w:p>
      <w:pPr>
        <w:jc w:val="both"/>
        <w:ind w:right="20" w:firstLine="449"/>
        <w:spacing w:after="0" w:line="331" w:lineRule="auto"/>
        <w:rPr>
          <w:sz w:val="20"/>
          <w:szCs w:val="20"/>
          <w:color w:val="auto"/>
        </w:rPr>
      </w:pPr>
      <w:r>
        <w:rPr>
          <w:rFonts w:ascii="Arial" w:cs="Arial" w:eastAsia="Arial" w:hAnsi="Arial"/>
          <w:sz w:val="16"/>
          <w:szCs w:val="16"/>
          <w:color w:val="auto"/>
        </w:rPr>
        <w:t>Our operating activities used cash of $45.1 million for the three months ended December 31, 2009, and our financing activities provided net cash proceeds of $18.9 million for the same period, primarily from proceeds on issuance of common stock and net borrowings on our credit facility.</w:t>
      </w:r>
    </w:p>
    <w:p>
      <w:pPr>
        <w:spacing w:after="0" w:line="87"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Our operating activities generated cash of 10.0 million for the three months ended December 31, 2008, and our financing activities used cash of $49.7 million for the same period, primarily from net repayments under our credit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 under the multi-currency $300.0 million, five-year, revolving credit facility maturing in June 2012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Payments due by period (millions)</w:t>
            </w:r>
          </w:p>
        </w:tc>
        <w:tc>
          <w:tcPr>
            <w:tcW w:w="620" w:type="dxa"/>
            <w:vAlign w:val="bottom"/>
            <w:tcBorders>
              <w:bottom w:val="single" w:sz="8" w:color="auto"/>
            </w:tcBorders>
          </w:tcPr>
          <w:p>
            <w:pPr>
              <w:spacing w:after="0"/>
              <w:rPr>
                <w:sz w:val="14"/>
                <w:szCs w:val="14"/>
                <w:color w:val="auto"/>
              </w:rPr>
            </w:pPr>
          </w:p>
        </w:tc>
      </w:tr>
      <w:tr>
        <w:trPr>
          <w:trHeight w:val="129"/>
        </w:trPr>
        <w:tc>
          <w:tcPr>
            <w:tcW w:w="7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Less than</w:t>
            </w:r>
          </w:p>
        </w:tc>
        <w:tc>
          <w:tcPr>
            <w:tcW w:w="800" w:type="dxa"/>
            <w:vAlign w:val="bottom"/>
            <w:gridSpan w:val="2"/>
          </w:tcPr>
          <w:p>
            <w:pPr>
              <w:jc w:val="center"/>
              <w:ind w:left="233"/>
              <w:spacing w:after="0" w:line="129" w:lineRule="exact"/>
              <w:rPr>
                <w:sz w:val="20"/>
                <w:szCs w:val="20"/>
                <w:color w:val="auto"/>
              </w:rPr>
            </w:pPr>
            <w:r>
              <w:rPr>
                <w:rFonts w:ascii="Arial" w:cs="Arial" w:eastAsia="Arial" w:hAnsi="Arial"/>
                <w:sz w:val="13"/>
                <w:szCs w:val="13"/>
                <w:b w:val="1"/>
                <w:bCs w:val="1"/>
                <w:color w:val="auto"/>
                <w:w w:val="95"/>
              </w:rPr>
              <w:t>1-3</w:t>
            </w:r>
          </w:p>
        </w:tc>
        <w:tc>
          <w:tcPr>
            <w:tcW w:w="620" w:type="dxa"/>
            <w:vAlign w:val="bottom"/>
            <w:gridSpan w:val="2"/>
          </w:tcPr>
          <w:p>
            <w:pPr>
              <w:ind w:left="380"/>
              <w:spacing w:after="0" w:line="129" w:lineRule="exact"/>
              <w:rPr>
                <w:sz w:val="20"/>
                <w:szCs w:val="20"/>
                <w:color w:val="auto"/>
              </w:rPr>
            </w:pPr>
            <w:r>
              <w:rPr>
                <w:rFonts w:ascii="Arial" w:cs="Arial" w:eastAsia="Arial" w:hAnsi="Arial"/>
                <w:sz w:val="13"/>
                <w:szCs w:val="13"/>
                <w:b w:val="1"/>
                <w:bCs w:val="1"/>
                <w:color w:val="auto"/>
              </w:rPr>
              <w:t>3-5</w:t>
            </w:r>
          </w:p>
        </w:tc>
        <w:tc>
          <w:tcPr>
            <w:tcW w:w="3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9"/>
              </w:rPr>
              <w:t>More than</w:t>
            </w:r>
          </w:p>
        </w:tc>
      </w:tr>
      <w:tr>
        <w:trPr>
          <w:trHeight w:val="161"/>
        </w:trPr>
        <w:tc>
          <w:tcPr>
            <w:tcW w:w="75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3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5"/>
              </w:rPr>
              <w:t>1 year</w:t>
            </w:r>
          </w:p>
        </w:tc>
        <w:tc>
          <w:tcPr>
            <w:tcW w:w="3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4"/>
              </w:rPr>
              <w:t>years</w:t>
            </w:r>
          </w:p>
        </w:tc>
        <w:tc>
          <w:tcPr>
            <w:tcW w:w="3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years</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3"/>
              </w:rPr>
              <w:t>5 years</w:t>
            </w:r>
          </w:p>
        </w:tc>
      </w:tr>
      <w:tr>
        <w:trPr>
          <w:trHeight w:val="209"/>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$245.7</w:t>
            </w:r>
          </w:p>
        </w:tc>
        <w:tc>
          <w:tcPr>
            <w:tcW w:w="3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$245.7</w:t>
            </w:r>
          </w:p>
        </w:tc>
        <w:tc>
          <w:tcPr>
            <w:tcW w:w="3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20" w:lineRule="exact"/>
        <w:rPr>
          <w:sz w:val="20"/>
          <w:szCs w:val="20"/>
          <w:color w:val="auto"/>
        </w:rPr>
      </w:pPr>
    </w:p>
    <w:p>
      <w:pPr>
        <w:jc w:val="both"/>
        <w:ind w:left="46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December 31, 2009, $54.3 million remained unused under our senior secured revolving credit facility, subject to maintenance of at least 200% of our total assets less liabilities other than indebtedness to our total outstanding indebtedness, maintenance of a blended percentage of the values of our portfolio companies, and restrictions on certain payments and issuance of debt.</w:t>
      </w:r>
    </w:p>
    <w:p>
      <w:pPr>
        <w:spacing w:after="0" w:line="140"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renewed in February 2010, PennantPark Investment Advisers serves as our investment adviser in accordance with the terms of that Investment Management Agreement. Payments under our Investment Management Agreement in each reporting period is equal to (1) a management fee equal to a percentage of the value of our gross assets and (2) an incentive fee based on our performance. See Note 3 to the financial statements.</w:t>
      </w:r>
    </w:p>
    <w:p>
      <w:pPr>
        <w:spacing w:after="0" w:line="112"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Under our Administration Agreement, which was renewed in February 2010, PennantPark Investment Administration furnishes us with office facilities and administrative services necessary to conduct our day-to-day operations.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 See Note 3 to the financial statements.</w:t>
      </w:r>
    </w:p>
    <w:p>
      <w:pPr>
        <w:spacing w:after="0" w:line="120"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In order to qualify as a RIC and to not be subject to corporate-level tax on income, we are required, under Subchapter M of the Code, to distribute at least 90% of the sum of our ordinary income and realized net short-term capital gains, if any to our stockholders on an annual basis. Although not required for us to maintain our RIC tax status, we also must distribute at least 98% of our income (both ordinary income and net capital gains) in order to preclude the imposition of an entity level excise tax. For the three months ended December 31, 2009, we have elected to retain a portion of our calendar year income and record an excise tax of $0.1 million.</w:t>
      </w:r>
    </w:p>
    <w:p>
      <w:pPr>
        <w:spacing w:after="0" w:line="147"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During the three months ended December 31, 2009 and 2008, we declared distributions of $0.25 and $0.24 per share, respectively, for total distributions of $6.5 million and $5.1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are determined by our board of directors.</w:t>
      </w:r>
    </w:p>
    <w:p>
      <w:pPr>
        <w:spacing w:after="0" w:line="194"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ectPr>
          <w:pgSz w:w="11900" w:h="16838" w:orient="portrait"/>
          <w:cols w:equalWidth="0" w:num="1">
            <w:col w:w="11240"/>
          </w:cols>
          <w:pgMar w:left="320" w:top="459" w:right="339" w:bottom="0" w:gutter="0" w:footer="0" w:header="0"/>
        </w:sectPr>
      </w:pPr>
    </w:p>
    <w:bookmarkStart w:id="33" w:name="page34"/>
    <w:bookmarkEnd w:id="33"/>
    <w:p>
      <w:pPr>
        <w:jc w:val="both"/>
        <w:ind w:firstLine="449"/>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3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firstLine="449"/>
        <w:spacing w:after="0" w:line="290" w:lineRule="auto"/>
        <w:rPr>
          <w:sz w:val="20"/>
          <w:szCs w:val="20"/>
          <w:color w:val="auto"/>
        </w:rPr>
      </w:pPr>
      <w:r>
        <w:rPr>
          <w:rFonts w:ascii="Arial" w:cs="Arial" w:eastAsia="Arial" w:hAnsi="Arial"/>
          <w:sz w:val="16"/>
          <w:szCs w:val="16"/>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8"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business development company under the 1940 Act and/or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and typically have durations of three months after which they reset to current market interest rates.</w:t>
      </w:r>
    </w:p>
    <w:p>
      <w:pPr>
        <w:spacing w:after="0" w:line="140"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Assuming that the balance sheet as of the period covered by this report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5"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143"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 covered by this report, we did not engage in interest rate hedging activities.</w:t>
      </w: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As of the period covered by this report, we, including our Chief Executive Officer and Chief Financial Officer, evaluated the effectiveness of the design and operation of our disclosure controls and procedures (as defined in Rule 13a-15(e) under the Securities Exchange Act of 1934). Based on that evaluation, our management, including the Chief Executive Officer and Chief Financial Officer, concluded that our disclosure controls and procedures were effective in timely alerting management, including the Chief Executive Officer and Chief Financial Officer, of material information about us required to be included in periodic SEC filings.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There have been no changes in our internal controls over financial reporting (as defined in Rule 13a-15(f) under the Securities Exchange Act of 1934) that occurred during the period covered by this report that have materially affected, or are reasonably likely to materially affect, our internal controls over financial reporting.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Neither our Investment Adviser, our Administrator or us is currently subject to any material legal proceedings, nor, to our knowledge, is any material legal proceeding threatened against us, or against the Investment Adviser or Administrator. From time to time, we, the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September 30, 2009, which could materially affect our business, financial condition and/or operating results. The risks described in our Annual Report on Form 10-K are not the only risks facing our PennantPark Investment. Additional risks and uncertainties not currently known to us or that we currently deem to be immaterial also may materially and adversely affect our business, financial condition and/or operating results.</w:t>
      </w:r>
    </w:p>
    <w:p>
      <w:pPr>
        <w:spacing w:after="0" w:line="2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320" w:lineRule="exact"/>
        <w:rPr>
          <w:sz w:val="20"/>
          <w:szCs w:val="20"/>
          <w:color w:val="auto"/>
        </w:rPr>
      </w:pPr>
    </w:p>
    <w:p>
      <w:pPr>
        <w:ind w:left="920" w:hanging="816"/>
        <w:spacing w:after="0" w:line="268" w:lineRule="auto"/>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Incorporation (Incorporated by reference to Exhibit 99(a) to the Registrant’s Pre-Effective Amendment No. 3 to the Registration Statement on Form N-2/A (File No. 333-140092), filed on April 5, 2007).</w:t>
      </w:r>
    </w:p>
    <w:p>
      <w:pPr>
        <w:spacing w:after="0" w:line="78" w:lineRule="exact"/>
        <w:rPr>
          <w:sz w:val="20"/>
          <w:szCs w:val="20"/>
          <w:color w:val="auto"/>
        </w:rPr>
      </w:pPr>
    </w:p>
    <w:p>
      <w:pPr>
        <w:ind w:left="920" w:right="20" w:hanging="816"/>
        <w:spacing w:after="0" w:line="268" w:lineRule="auto"/>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Registrant (Incorporated by reference to Exhibit 3.2 to the Registrant’s Annual Report on Form 10-K (File No. 814-00736), filed on December 13, 2007).</w:t>
      </w:r>
    </w:p>
    <w:p>
      <w:pPr>
        <w:spacing w:after="0" w:line="78"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Share Certificate (Incorporated by reference to Exhibit 99(d)(1) to the Registrant’s Registration Statement on Form N-2 (File No. 333-</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150033), filed on April 2, 2008).</w:t>
      </w:r>
    </w:p>
    <w:p>
      <w:pPr>
        <w:spacing w:after="0" w:line="111" w:lineRule="exact"/>
        <w:rPr>
          <w:sz w:val="20"/>
          <w:szCs w:val="20"/>
          <w:color w:val="auto"/>
        </w:rPr>
      </w:pPr>
    </w:p>
    <w:p>
      <w:pPr>
        <w:ind w:left="920" w:hanging="912"/>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Computation of Per Share Earnings (included in the notes to the unaudited financial statements contained in this Report).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31.1 *</w:t>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31.2 *</w:t>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32.1 *</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32.2 *</w:t>
      </w:r>
      <w:r>
        <w:rPr>
          <w:rFonts w:ascii="Arial" w:cs="Arial" w:eastAsia="Arial" w:hAnsi="Arial"/>
          <w:sz w:val="16"/>
          <w:szCs w:val="16"/>
          <w:color w:val="auto"/>
        </w:rPr>
        <w:t>Certification of Chief Financial Officer pursuant to section 906 of The Sarbanes-Oxley Act of 2002.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99.1</w:t>
            </w:r>
          </w:p>
        </w:tc>
        <w:tc>
          <w:tcPr>
            <w:tcW w:w="8160" w:type="dxa"/>
            <w:vAlign w:val="bottom"/>
          </w:tcPr>
          <w:p>
            <w:pPr>
              <w:ind w:left="300"/>
              <w:spacing w:after="0"/>
              <w:rPr>
                <w:sz w:val="20"/>
                <w:szCs w:val="20"/>
                <w:color w:val="auto"/>
              </w:rPr>
            </w:pPr>
            <w:r>
              <w:rPr>
                <w:rFonts w:ascii="Arial" w:cs="Arial" w:eastAsia="Arial" w:hAnsi="Arial"/>
                <w:sz w:val="18"/>
                <w:szCs w:val="18"/>
                <w:color w:val="auto"/>
                <w:w w:val="89"/>
              </w:rPr>
              <w:t>Privacy Policy of the Registrant (Incorporated by reference to Exhibit 99.1 to the Registrant’s Annual Report on</w:t>
            </w:r>
          </w:p>
        </w:tc>
      </w:tr>
      <w:tr>
        <w:trPr>
          <w:trHeight w:val="222"/>
        </w:trPr>
        <w:tc>
          <w:tcPr>
            <w:tcW w:w="620" w:type="dxa"/>
            <w:vAlign w:val="bottom"/>
          </w:tcPr>
          <w:p>
            <w:pPr>
              <w:spacing w:after="0"/>
              <w:rPr>
                <w:sz w:val="19"/>
                <w:szCs w:val="19"/>
                <w:color w:val="auto"/>
              </w:rPr>
            </w:pPr>
          </w:p>
        </w:tc>
        <w:tc>
          <w:tcPr>
            <w:tcW w:w="8160" w:type="dxa"/>
            <w:vAlign w:val="bottom"/>
          </w:tcPr>
          <w:p>
            <w:pPr>
              <w:ind w:left="300"/>
              <w:spacing w:after="0"/>
              <w:rPr>
                <w:sz w:val="20"/>
                <w:szCs w:val="20"/>
                <w:color w:val="auto"/>
              </w:rPr>
            </w:pPr>
            <w:r>
              <w:rPr>
                <w:rFonts w:ascii="Arial" w:cs="Arial" w:eastAsia="Arial" w:hAnsi="Arial"/>
                <w:sz w:val="18"/>
                <w:szCs w:val="18"/>
                <w:color w:val="auto"/>
              </w:rPr>
              <w:t>Form 10-K (File No. 814-00736), filed on November 18, 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12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spacing w:after="0"/>
        <w:tabs>
          <w:tab w:leader="none" w:pos="5800" w:val="left"/>
          <w:tab w:leader="none" w:pos="8060" w:val="left"/>
        </w:tabs>
        <w:rPr>
          <w:sz w:val="20"/>
          <w:szCs w:val="20"/>
          <w:color w:val="auto"/>
        </w:rPr>
      </w:pPr>
      <w:r>
        <w:rPr>
          <w:rFonts w:ascii="Arial" w:cs="Arial" w:eastAsia="Arial" w:hAnsi="Arial"/>
          <w:sz w:val="18"/>
          <w:szCs w:val="18"/>
          <w:color w:val="auto"/>
        </w:rPr>
        <w:t>Date: February 3,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H. Penn</w:t>
      </w:r>
    </w:p>
    <w:p>
      <w:pPr>
        <w:spacing w:after="0" w:line="17"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Chief Executive Officer</w:t>
      </w:r>
    </w:p>
    <w:p>
      <w:pPr>
        <w:spacing w:after="0" w:line="219" w:lineRule="exact"/>
        <w:rPr>
          <w:sz w:val="20"/>
          <w:szCs w:val="20"/>
          <w:color w:val="auto"/>
        </w:rPr>
      </w:pPr>
    </w:p>
    <w:p>
      <w:pPr>
        <w:spacing w:after="0"/>
        <w:tabs>
          <w:tab w:leader="none" w:pos="5800" w:val="left"/>
          <w:tab w:leader="none" w:pos="8220" w:val="left"/>
        </w:tabs>
        <w:rPr>
          <w:sz w:val="20"/>
          <w:szCs w:val="20"/>
          <w:color w:val="auto"/>
        </w:rPr>
      </w:pPr>
      <w:r>
        <w:rPr>
          <w:rFonts w:ascii="Arial" w:cs="Arial" w:eastAsia="Arial" w:hAnsi="Arial"/>
          <w:sz w:val="18"/>
          <w:szCs w:val="18"/>
          <w:color w:val="auto"/>
        </w:rPr>
        <w:t>Date: February 3,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Aviv Efrat</w:t>
      </w:r>
    </w:p>
    <w:p>
      <w:pPr>
        <w:spacing w:after="0" w:line="17"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459" w:right="3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500" w:firstLine="3505"/>
        <w:spacing w:after="0" w:line="394"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firstLine="8"/>
        <w:spacing w:after="0" w:line="268"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jc w:val="both"/>
        <w:ind w:firstLine="8"/>
        <w:spacing w:after="0" w:line="259" w:lineRule="auto"/>
        <w:tabs>
          <w:tab w:leader="none" w:pos="1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sz w:val="20"/>
          <w:szCs w:val="20"/>
          <w:color w:val="auto"/>
        </w:rPr>
      </w:pPr>
    </w:p>
    <w:p>
      <w:pPr>
        <w:jc w:val="both"/>
        <w:ind w:firstLine="8"/>
        <w:spacing w:after="0" w:line="259" w:lineRule="auto"/>
        <w:tabs>
          <w:tab w:leader="none" w:pos="1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jc w:val="both"/>
        <w:ind w:firstLine="8"/>
        <w:spacing w:after="0" w:line="259" w:lineRule="auto"/>
        <w:tabs>
          <w:tab w:leader="none" w:pos="2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20" w:firstLine="8"/>
        <w:spacing w:after="0" w:line="268" w:lineRule="auto"/>
        <w:tabs>
          <w:tab w:leader="none" w:pos="186"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firstLine="8"/>
        <w:spacing w:after="0" w:line="331" w:lineRule="auto"/>
        <w:tabs>
          <w:tab w:leader="none" w:pos="197"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firstLine="8"/>
        <w:spacing w:after="0" w:line="331" w:lineRule="auto"/>
        <w:tabs>
          <w:tab w:leader="none" w:pos="20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 w:lineRule="exact"/>
        <w:rPr>
          <w:sz w:val="20"/>
          <w:szCs w:val="20"/>
          <w:color w:val="auto"/>
        </w:rPr>
      </w:pPr>
    </w:p>
    <w:p>
      <w:pPr>
        <w:ind w:firstLine="8"/>
        <w:spacing w:after="0" w:line="268" w:lineRule="auto"/>
        <w:tabs>
          <w:tab w:leader="none" w:pos="19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firstLine="8"/>
        <w:spacing w:after="0" w:line="268" w:lineRule="auto"/>
        <w:tabs>
          <w:tab w:leader="none" w:pos="21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460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520" w:firstLine="3529"/>
        <w:spacing w:after="0" w:line="394"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Financial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firstLine="8"/>
        <w:spacing w:after="0" w:line="268"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jc w:val="both"/>
        <w:ind w:firstLine="8"/>
        <w:spacing w:after="0" w:line="331" w:lineRule="auto"/>
        <w:tabs>
          <w:tab w:leader="none" w:pos="17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internal control over financial reporting (as defined in Exchange Act Rules 13a-15(f) and 15d-15(f)) for the company and have:</w:t>
      </w:r>
    </w:p>
    <w:p>
      <w:pPr>
        <w:spacing w:after="0" w:line="6" w:lineRule="exact"/>
        <w:rPr>
          <w:sz w:val="20"/>
          <w:szCs w:val="20"/>
          <w:color w:val="auto"/>
        </w:rPr>
      </w:pPr>
    </w:p>
    <w:p>
      <w:pPr>
        <w:jc w:val="both"/>
        <w:ind w:firstLine="8"/>
        <w:spacing w:after="0" w:line="259" w:lineRule="auto"/>
        <w:tabs>
          <w:tab w:leader="none" w:pos="1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jc w:val="both"/>
        <w:ind w:firstLine="8"/>
        <w:spacing w:after="0" w:line="259" w:lineRule="auto"/>
        <w:tabs>
          <w:tab w:leader="none" w:pos="2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20" w:firstLine="8"/>
        <w:spacing w:after="0" w:line="268" w:lineRule="auto"/>
        <w:tabs>
          <w:tab w:leader="none" w:pos="18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firstLine="8"/>
        <w:spacing w:after="0" w:line="331" w:lineRule="auto"/>
        <w:tabs>
          <w:tab w:leader="none" w:pos="197"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firstLine="8"/>
        <w:spacing w:after="0" w:line="331" w:lineRule="auto"/>
        <w:tabs>
          <w:tab w:leader="none" w:pos="20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 w:lineRule="exact"/>
        <w:rPr>
          <w:sz w:val="20"/>
          <w:szCs w:val="20"/>
          <w:color w:val="auto"/>
        </w:rPr>
      </w:pPr>
    </w:p>
    <w:p>
      <w:pPr>
        <w:ind w:firstLine="8"/>
        <w:spacing w:after="0" w:line="268" w:lineRule="auto"/>
        <w:tabs>
          <w:tab w:leader="none" w:pos="19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firstLine="8"/>
        <w:spacing w:after="0" w:line="268" w:lineRule="auto"/>
        <w:tabs>
          <w:tab w:leader="none" w:pos="21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460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December 31, 2009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460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3, 2010</w:t>
      </w:r>
    </w:p>
    <w:p>
      <w:pPr>
        <w:sectPr>
          <w:pgSz w:w="11900" w:h="16838" w:orient="portrait"/>
          <w:cols w:equalWidth="0" w:num="1">
            <w:col w:w="11240"/>
          </w:cols>
          <w:pgMar w:left="320" w:top="12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December 31, 2009 (the “Report”) of PennantPark Investment Corporation (the “Registrant”), as filed with the Securities and Exchange Commission on the date hereof, I, Aviv Efrat, Chief Financial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3, 2010</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Roman"/>
      <w:start w:val="1"/>
    </w:lvl>
  </w:abstractNum>
  <w:abstractNum w:abstractNumId="6">
    <w:nsid w:val="7C83E458"/>
    <w:multiLevelType w:val="hybridMultilevel"/>
    <w:lvl w:ilvl="0">
      <w:lvlJc w:val="left"/>
      <w:lvlText w:val="(%1)"/>
      <w:numFmt w:val="lowerLetter"/>
      <w:start w:val="2"/>
    </w:lvl>
  </w:abstractNum>
  <w:abstractNum w:abstractNumId="7">
    <w:nsid w:val="257130A3"/>
    <w:multiLevelType w:val="hybridMultilevel"/>
    <w:lvl w:ilvl="0">
      <w:lvlJc w:val="left"/>
      <w:lvlText w:val="(%1)"/>
      <w:numFmt w:val="lowerLetter"/>
      <w:start w:val="3"/>
    </w:lvl>
  </w:abstractNum>
  <w:abstractNum w:abstractNumId="8">
    <w:nsid w:val="62BBD95A"/>
    <w:multiLevelType w:val="hybridMultilevel"/>
    <w:lvl w:ilvl="0">
      <w:lvlJc w:val="left"/>
      <w:lvlText w:val="(%1)"/>
      <w:numFmt w:val="lowerLetter"/>
      <w:start w:val="4"/>
    </w:lvl>
  </w:abstractNum>
  <w:abstractNum w:abstractNumId="9">
    <w:nsid w:val="436C6125"/>
    <w:multiLevelType w:val="hybridMultilevel"/>
    <w:lvl w:ilvl="0">
      <w:lvlJc w:val="left"/>
      <w:lvlText w:val="(%1)"/>
      <w:numFmt w:val="lowerLetter"/>
      <w:start w:val="5"/>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lowerRoman"/>
      <w:start w:val="1"/>
    </w:lvl>
  </w:abstractNum>
  <w:abstractNum w:abstractNumId="15">
    <w:nsid w:val="6763845E"/>
    <w:multiLevelType w:val="hybridMultilevel"/>
    <w:lvl w:ilvl="0">
      <w:lvlJc w:val="left"/>
      <w:lvlText w:val="(%1)"/>
      <w:numFmt w:val="lowerLetter"/>
      <w:start w:val="35"/>
    </w:lvl>
  </w:abstractNum>
  <w:abstractNum w:abstractNumId="16">
    <w:nsid w:val="75A2A8D4"/>
    <w:multiLevelType w:val="hybridMultilevel"/>
    <w:lvl w:ilvl="0">
      <w:lvlJc w:val="left"/>
      <w:lvlText w:val="(%1)"/>
      <w:numFmt w:val="lowerLetter"/>
      <w:start w:val="6"/>
    </w:lvl>
  </w:abstractNum>
  <w:abstractNum w:abstractNumId="17">
    <w:nsid w:val="8EDBDAB"/>
    <w:multiLevelType w:val="hybridMultilevel"/>
    <w:lvl w:ilvl="0">
      <w:lvlJc w:val="left"/>
      <w:lvlText w:val="(%1)"/>
      <w:numFmt w:val="lowerRoman"/>
      <w:start w:val="3"/>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5"/>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2020-05-05T15:07:52Z</dcterms:created>
  <dcterms:modified xsi:type="dcterms:W3CDTF">2020-05-05T15:07:52Z</dcterms:modified>
</cp:coreProperties>
</file>