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PennantPark Investment Corporation</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814-00736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20-8250744</w:t>
      </w:r>
    </w:p>
    <w:p>
      <w:pPr>
        <w:spacing w:after="0" w:line="23"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spacing w:after="0" w:line="1" w:lineRule="exact"/>
        <w:rPr>
          <w:sz w:val="24"/>
          <w:szCs w:val="24"/>
          <w:color w:val="auto"/>
        </w:rPr>
      </w:pPr>
    </w:p>
    <w:p>
      <w:pPr>
        <w:ind w:left="4644"/>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ind w:left="4664"/>
        <w:spacing w:after="0"/>
        <w:rPr>
          <w:sz w:val="20"/>
          <w:szCs w:val="20"/>
          <w:color w:val="auto"/>
        </w:rPr>
      </w:pPr>
      <w:r>
        <w:rPr>
          <w:rFonts w:ascii="Times New Roman" w:cs="Times New Roman" w:eastAsia="Times New Roman" w:hAnsi="Times New Roman"/>
          <w:sz w:val="18"/>
          <w:szCs w:val="18"/>
          <w:b w:val="1"/>
          <w:bCs w:val="1"/>
          <w:color w:val="auto"/>
        </w:rPr>
        <w:t>Miami Beach, Florida</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6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PNNT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1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4, 2024, PennantPark Investment Corporation (the “Company”) entered into equity distribution agreements (together, the “Equity Distribution Agreements”) with each of Truist Securities, Inc. and Keefe, Bruyette &amp; Woods, Inc., as the sales agents (each, a “Sales Agent,” and together, the “Sales Agents”), in connection with the sale of shares of the Company’s common stock, par value $0.001 per share (the “Common Stock”), with an aggregate offering price of up to $100 million. The Equity Distribution Agreements provide that the Company may offer and sell shares of the Common Stock from time to time through a Sales Agent in amounts and at times to be determined by the Company (the “Offering”). Actual sales will depend on a variety of factors to be determined by the Company from time to time, including, market conditions and the trading price of the Common Stock. The Company expects to use the net proceeds from this offering to invest in new or existing portfolio companies or for other general corporate or strategic purposes, including repaying amounts outstanding under its existing indebtedness.</w:t>
      </w:r>
    </w:p>
    <w:p>
      <w:pPr>
        <w:spacing w:after="0" w:line="19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Any shares of Common Stock offered and sold in the Offering will be sold pursuant to a prospectus supplement dated June 4, 2024 (the “Prospectus Supplement”) to the Company’s registration statement on Form N-2 (File No. 333-263564) declared effective by the U.S. Securities and Exchange Commission on April 28, 2022 (such registration statement as of its effective date, including the exhibits thereto and the documents incorporated by reference therein, are hereinafter referred to as the “Registration Statement”) and the base prospectus, dated April 28, 2022 (the “Base Prospectus”), relating to the Offering that forms a part of the Registration Statement.</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Sales of the Common Stock, if any, under the Prospectus Supplement and the Base Prospectus may be made in negotiated transactions or transactions that are deemed to be “at the market,” as defined in Rule 415 under the Securities Act of 1933, as amended, including sales made directly on the New York Stok Exchange or any similar securities exchange or sales made to or through a market maker other than on a securities exchange, at prices related to the prevailing market prices or at negotiated prices. Under the terms of the Equity Distribution Agreements, each Sales Agent will receive a commission from the Company of up to 2.0% of the gross sales price of any shares of the Common Stock sold through such Sales Agent under the applicable Equity Distribution Agreement. The Equity Distribution Agreements contain customary representations, warranties and agreements of the Company, indemnification rights and other obligations of the parties and termination provisions.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Equity Distribution Agreements is not complete and is qualified in its entirety by reference to the full text of the Equity Distribution Agreements, copies of which are attached hereto as Exhibits 1.1 and 1.2 and are incorporated herein by reference.</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on May 20, 2024, the Company amended and restated its third amended and restated investment advisory management agreement with PennantPark Investment Advisers, LLC and its administration agreement with PennantPark Investment Administration, LLC. The amended and restated agreements have identical terms as the agreements in effect prior to the amendment but are dated May 20, 2024.</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w:t>
      </w:r>
    </w:p>
    <w:p>
      <w:pPr>
        <w:sectPr>
          <w:pgSz w:w="11900" w:h="16838" w:orient="portrait"/>
          <w:cols w:equalWidth="0" w:num="1">
            <w:col w:w="10980"/>
          </w:cols>
          <w:pgMar w:left="440" w:top="293" w:right="479" w:bottom="1440" w:gutter="0" w:footer="0" w:header="0"/>
        </w:sectPr>
      </w:pPr>
    </w:p>
    <w:bookmarkStart w:id="2" w:name="page3"/>
    <w:bookmarkEnd w:id="2"/>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On June 4, 2024, Venable LLP delivered its legality opinion with respect to the Common Stock to be sold pursuant to the Prospectus Supplement, a copy of which is attached hereto as Exhibit 5.1.</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6" w:lineRule="exact"/>
        <w:rPr>
          <w:sz w:val="20"/>
          <w:szCs w:val="20"/>
          <w:color w:val="auto"/>
        </w:rPr>
      </w:pPr>
    </w:p>
    <w:p>
      <w:pPr>
        <w:ind w:left="664" w:right="620" w:hanging="664"/>
        <w:spacing w:after="0" w:line="282" w:lineRule="auto"/>
        <w:tabs>
          <w:tab w:leader="none" w:pos="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0000EE"/>
        </w:rPr>
        <w:t>Equity Distribution Agreement, dated as of June 4, 2024, by and among PennantPark Investment Corporation, PennantPark Investment Advisers, LLC, PennantPark Investment Administration, LLC and Truist Securities, Inc., as the sales agent</w:t>
      </w:r>
    </w:p>
    <w:p>
      <w:pPr>
        <w:spacing w:after="0" w:line="53" w:lineRule="exact"/>
        <w:rPr>
          <w:rFonts w:ascii="Times New Roman" w:cs="Times New Roman" w:eastAsia="Times New Roman" w:hAnsi="Times New Roman"/>
          <w:sz w:val="18"/>
          <w:szCs w:val="18"/>
          <w:color w:val="auto"/>
        </w:rPr>
      </w:pPr>
    </w:p>
    <w:p>
      <w:pPr>
        <w:ind w:left="664" w:right="680" w:hanging="664"/>
        <w:spacing w:after="0" w:line="282" w:lineRule="auto"/>
        <w:tabs>
          <w:tab w:leader="none" w:pos="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u w:val="single" w:color="auto"/>
          <w:color w:val="0000EE"/>
        </w:rPr>
        <w:t>Equity Distribution Agreement, dated as of June 4, 2024 by and among PennantPark Investment Corporation, PennantPark Investment Advisers, LLC, PennantPark Investment Administration, LLC and Keefe, Bruyette &amp; Woods, Inc., as the sales agent</w:t>
      </w:r>
    </w:p>
    <w:p>
      <w:pPr>
        <w:spacing w:after="0" w:line="53" w:lineRule="exact"/>
        <w:rPr>
          <w:rFonts w:ascii="Times New Roman" w:cs="Times New Roman" w:eastAsia="Times New Roman" w:hAnsi="Times New Roman"/>
          <w:sz w:val="18"/>
          <w:szCs w:val="18"/>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Venable LLP</w:t>
      </w:r>
    </w:p>
    <w:p>
      <w:pPr>
        <w:spacing w:after="0" w:line="129"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Venable LLP (included in Exhibit 5.1)</w:t>
      </w:r>
    </w:p>
    <w:p>
      <w:pPr>
        <w:spacing w:after="0" w:line="117"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24"/>
          </w:cols>
          <w:pgMar w:left="436" w:top="297" w:right="439" w:bottom="1440" w:gutter="0" w:footer="0" w:header="0"/>
        </w:sectPr>
      </w:pPr>
    </w:p>
    <w:bookmarkStart w:id="3" w:name="page4"/>
    <w:bookmarkEnd w:id="3"/>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June 4, 2024</w:t>
      </w:r>
      <w:r>
        <w:rPr>
          <w:sz w:val="20"/>
          <w:szCs w:val="20"/>
          <w:color w:val="auto"/>
        </w:rPr>
        <w:tab/>
      </w:r>
      <w:r>
        <w:rPr>
          <w:rFonts w:ascii="Times New Roman" w:cs="Times New Roman" w:eastAsia="Times New Roman" w:hAnsi="Times New Roman"/>
          <w:sz w:val="17"/>
          <w:szCs w:val="17"/>
          <w:b w:val="1"/>
          <w:bCs w:val="1"/>
          <w:color w:val="auto"/>
        </w:rPr>
        <w:t>PENNANTPARK INVESTMENT CORPORATION</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Chief Financial Officer &amp; Treasurer</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PENNANTPARK INVESTMENT CORPORATION</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2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u w:val="single" w:color="auto"/>
          <w:color w:val="auto"/>
        </w:rPr>
        <w:t>EQUITY DISTRIBUTION AGREEMENT</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Dated: June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PENNANTPARK INVESTMENT CORPORATION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DISTRIBUTION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3333 Peachtree Road,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 30326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PennantPark Investment Corporation, a Maryland corporation (the “Company”), PennantPark Investment Advisers, LLC, a Delaware limited liability company (the “Adviser”), and PennantPark Investment Administration, LLC, a Delaware limited liability company (the “Administrator”), each confirms its agreement with Truist Securities, Inc. (the “Sales Agent”) with respect to the sale by the Company of shares of common stock, par value $0.001 per share, of the Company (“Common Stock”), having an aggregate offering price of up to $100 million. The shares of Common Stock to be sold by the Sales Agent are herein called, collectively, the “Securities.” The Company, the Adviser and the Administrator have also entered into an agreement (collectively the “Sales Agreement”) in substantially similar form to this Agreement, dated of even date herewith, with Keefe, Bruyette &amp; Woods, Inc. (each, an “Other Agent”). The aggregate amount of Securities that may be sold collectively pursuant to this Agreement and the Sales Agreement shall not exceed the lesser of $100 million and the dollar amount of Securities permitted to be sold under the Registration Statement (as defined below).</w:t>
      </w:r>
    </w:p>
    <w:p>
      <w:pPr>
        <w:spacing w:after="0" w:line="17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“Commission”) a shelf registration statement on Form N-2 (File No. 333-263564), relating to the registration of the Securities and certain of the Company’s other securities under the Securities Act of 1933, as amended (the “1933 Act”), which registration statement was declared effective by the Commission on April 28, 2022. The Company has also filed with the Commission a prospectus supplement, dated the date hereof, as such prospectus supplement may be amended (the “Prospectus”), which contains a base prospectus, dated April 28, 2022, in accordance with the provisions of Rule 430B (“Rule 430B”) of the rules and regulations of the Commission promulgated under the 1933 Act (such provisions, the “1933 Act Regulations”) and Rule 424(b) (“Rule 424(b)”) of the 1933 Act Regulations. The information, if any, included or incorporated by reference in such prospectus that was omitted from such registration statement at the time it became effective but that is deemed to be a part of such registration statement pursuant to Rule 430B is referred to as “Rule 430B Information.” Unless the context otherwise requires, such registration statement, including all documents filed as part thereof and any Rule 430B Information contained in a prospectus subsequently filed with the Commission pursuant to Rule 424(b) and deemed to be part of the registration statement and also including any registration statement filed pursuant to Rule 462(b) of the 1933 Act Regulations, is herein called the “Registration Statement.” All references in this Agreement to amendments or supplements to the Registration Statement or the Prospectus,</w:t>
      </w:r>
    </w:p>
    <w:p>
      <w:pPr>
        <w:sectPr>
          <w:pgSz w:w="11900" w:h="16838" w:orient="portrait"/>
          <w:cols w:equalWidth="0" w:num="1">
            <w:col w:w="11000"/>
          </w:cols>
          <w:pgMar w:left="440" w:top="261" w:right="459" w:bottom="1440" w:gutter="0" w:footer="0" w:header="0"/>
        </w:sectPr>
      </w:pPr>
    </w:p>
    <w:bookmarkStart w:id="6" w:name="page7"/>
    <w:bookmarkEnd w:id="6"/>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those made pursuant to Rule 424(b) under the 1933 Act or such other rule under the 1933 Act as may be applicable to the Company, shall be deemed to mean and include, without limitation the filing of any document under the Securities Exchange Act of 1934, as amended (the “1934 Act”), which is or is deemed to be incorporated by reference in or otherwise to be a part of or included in the Registration Statement or the Prospectus, as the case may be, as of any specified date. For purposes of this Agreement, all references to the Registration Statement, the Prospectus or any amendment or supplement to any of the foregoing shall be deemed to include the copy filed with the Commission pursuant to its Electronic Data Gathering, Analysis and Retrieval system or any successor system (“EDGAR”).</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 Form N-54A Notification of Election to be Subject to Sections 55 through 65 of the Investment Company Act of 1940 Filed Pursuant to Section 54(a) of the Investment Company Act (File No. 814-00743) was filed with the Commission on April 19, 2007 under the Investment Company Act of 1940, as amended (the “1940 Act”), and the rules and regulations and any applicable guidance and/or interpretation of the Commission or its staff thereunder (the “1940 Act Regulations”).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has entered into that certain Fourth Amended and Restated Investment Advisory Agreement, dated as of May 20, 2024 (the “Investment Management Agreement”), with the Adviser. The Company has entered into that certain Administration Agreement, dated as of May 20, 2024 (the “Administration Agreement”), with the Administrator.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Agreement, “Applicable Time” means the time of each sale of the applicable Securities pursuant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right="60" w:firstLine="987"/>
        <w:spacing w:after="0" w:line="261"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by the Company</w:t>
      </w:r>
      <w:r>
        <w:rPr>
          <w:rFonts w:ascii="Times New Roman" w:cs="Times New Roman" w:eastAsia="Times New Roman" w:hAnsi="Times New Roman"/>
          <w:sz w:val="18"/>
          <w:szCs w:val="18"/>
          <w:color w:val="auto"/>
        </w:rPr>
        <w:t>. The Company represents and warrants to the Sales Agent as of the date hereof,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Time, each Representation Date (as defined below) and any Date of Delivery (as defined below) and agrees with the Sales Agent, and the Adviser and the Administrator, jointly and severally, represent and warrant to and agree with the Sales Agent as of the date hereof, the Applicable Time, each Representation Date (as defined below) and any Date of Delivery Time (as defined below), as follows:</w:t>
      </w:r>
    </w:p>
    <w:p>
      <w:pPr>
        <w:spacing w:after="0" w:line="73" w:lineRule="exact"/>
        <w:rPr>
          <w:rFonts w:ascii="Times New Roman" w:cs="Times New Roman" w:eastAsia="Times New Roman" w:hAnsi="Times New Roman"/>
          <w:sz w:val="18"/>
          <w:szCs w:val="18"/>
          <w:color w:val="auto"/>
        </w:rPr>
      </w:pPr>
    </w:p>
    <w:p>
      <w:pPr>
        <w:ind w:left="440" w:firstLine="948"/>
        <w:spacing w:after="0" w:line="256" w:lineRule="auto"/>
        <w:tabs>
          <w:tab w:leader="none" w:pos="160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Prospectuses</w:t>
      </w:r>
      <w:r>
        <w:rPr>
          <w:rFonts w:ascii="Times New Roman" w:cs="Times New Roman" w:eastAsia="Times New Roman" w:hAnsi="Times New Roman"/>
          <w:sz w:val="18"/>
          <w:szCs w:val="18"/>
          <w:color w:val="auto"/>
        </w:rPr>
        <w:t>. The Company is eligible to use Form N-2. Each of the Registration Statement and any amendment thereto have been declared effective by the Commission under the 1933 Act or have become effective pursuant to Rule 462 under the 1933 Act. No stop order suspending the effectiveness of the Registration Statement or any post-effective amendment thereto has been issued under the 1933 Act, no order preventing or suspending the use of the Prospectus has been issued and no proceedings for any of those purposes have been instituted or are pending or, to the Company’s knowledge, contemplated. The Company has complied with each request (if any) from the Commission for additional information in connection with the Registration Statement.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7" w:name="page8"/>
    <w:bookmarkEnd w:id="7"/>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Registration Statement and any post-effective amendment thereto, at the time it became effective, complied in all material respects with the requirements of the 1933 Act, the 1933 Act Regulations, the 1940 Act and the 1940 Act Regulations. The Prospectus and any amendment or supplement thereto, at the time each was filed with the Commission, complied in all material respects with the requirements of the 1933 Act, the 1933 Act Regulations, the 1940 Act and the 1940 Act Regulations. The Prospectus delivered to the Sales Agent for use in connection with this offering was or will be identical to the electronically transmitted copies thereof filed with the Commission pursuant to EDGAR, except to the extent permitted by Regulation S-T.</w:t>
      </w:r>
    </w:p>
    <w:p>
      <w:pPr>
        <w:spacing w:after="0" w:line="79" w:lineRule="exact"/>
        <w:rPr>
          <w:sz w:val="20"/>
          <w:szCs w:val="20"/>
          <w:color w:val="auto"/>
        </w:rPr>
      </w:pPr>
    </w:p>
    <w:p>
      <w:pPr>
        <w:ind w:left="4" w:right="60" w:firstLine="948"/>
        <w:spacing w:after="0" w:line="270" w:lineRule="auto"/>
        <w:tabs>
          <w:tab w:leader="none" w:pos="12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Issuer Free Writing Prospectus</w:t>
      </w:r>
      <w:r>
        <w:rPr>
          <w:rFonts w:ascii="Times New Roman" w:cs="Times New Roman" w:eastAsia="Times New Roman" w:hAnsi="Times New Roman"/>
          <w:sz w:val="17"/>
          <w:szCs w:val="17"/>
          <w:color w:val="auto"/>
        </w:rPr>
        <w:t>. The Company (including its agents and representatives, other than the Sales Agent in its capacity as such) has not made, used, prepared, authorized, approved or referred to and will not prepare, make, use, authorize, approve or refer to any “written communication” (as defined in Rule 405 under the 1933 Act) that constitutes an offer to sell or solicitation of an offer to buy the Securities (each such communication by the Company or its agents and representatives (other than a communication referred to in clauses (i), (ii),</w:t>
      </w:r>
    </w:p>
    <w:p>
      <w:pPr>
        <w:spacing w:after="0" w:line="2" w:lineRule="exact"/>
        <w:rPr>
          <w:rFonts w:ascii="Times New Roman" w:cs="Times New Roman" w:eastAsia="Times New Roman" w:hAnsi="Times New Roman"/>
          <w:sz w:val="17"/>
          <w:szCs w:val="17"/>
          <w:color w:val="auto"/>
        </w:rPr>
      </w:pPr>
    </w:p>
    <w:p>
      <w:pPr>
        <w:ind w:left="4" w:right="20" w:hanging="4"/>
        <w:spacing w:after="0" w:line="252" w:lineRule="auto"/>
        <w:tabs>
          <w:tab w:leader="none" w:pos="3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(iv) below) an “Issuer Free Writing Prospectus”) other than (i) any document not constituting a prospectus pursuant to Section 2(a)(10)(a) of the 1933 Act or Rule 134 under the 1933 Act, (ii) the Registration Statement, (iii) the Prospectus, and (iv) any electronic road show or other written communications, in each case approved in writing in advance by the Sales Agent, such approval not to be unreasonably withheld. Each such Issuer Free Writing Prospectus, if any, complies in all material respects with the 1933 Act, has been or will be (within the time period specified in Rule 433) filed in accordance with the 1933 Act (to the extent required thereby). No Issuer Free Writing Prospectus conflicts or will conflict with the information contained in the Registration Statement or the Prospectus that has not been superseded or modified.</w:t>
      </w:r>
    </w:p>
    <w:p>
      <w:pPr>
        <w:spacing w:after="0" w:line="81" w:lineRule="exact"/>
        <w:rPr>
          <w:rFonts w:ascii="Times New Roman" w:cs="Times New Roman" w:eastAsia="Times New Roman" w:hAnsi="Times New Roman"/>
          <w:sz w:val="18"/>
          <w:szCs w:val="18"/>
          <w:color w:val="auto"/>
        </w:rPr>
      </w:pPr>
    </w:p>
    <w:p>
      <w:pPr>
        <w:ind w:left="4" w:right="180" w:firstLine="948"/>
        <w:spacing w:after="0" w:line="266" w:lineRule="auto"/>
        <w:tabs>
          <w:tab w:leader="none" w:pos="127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Incorporated by Reference</w:t>
      </w:r>
      <w:r>
        <w:rPr>
          <w:rFonts w:ascii="Times New Roman" w:cs="Times New Roman" w:eastAsia="Times New Roman" w:hAnsi="Times New Roman"/>
          <w:sz w:val="18"/>
          <w:szCs w:val="18"/>
          <w:color w:val="auto"/>
        </w:rPr>
        <w:t>. The documents incorporated by reference in each of the Registration Statement, the Prospectus, when they were filed or when they will be filed with the Commission, as the case may be, conformed or will conform in all material respects to the requirements of the 1934 Act.</w:t>
      </w:r>
    </w:p>
    <w:p>
      <w:pPr>
        <w:spacing w:after="0" w:line="67" w:lineRule="exact"/>
        <w:rPr>
          <w:rFonts w:ascii="Times New Roman" w:cs="Times New Roman" w:eastAsia="Times New Roman" w:hAnsi="Times New Roman"/>
          <w:sz w:val="18"/>
          <w:szCs w:val="18"/>
          <w:color w:val="auto"/>
        </w:rPr>
      </w:pPr>
    </w:p>
    <w:p>
      <w:pPr>
        <w:ind w:left="4" w:firstLine="948"/>
        <w:spacing w:after="0" w:line="256" w:lineRule="auto"/>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Accurate Disclosure</w:t>
      </w:r>
      <w:r>
        <w:rPr>
          <w:rFonts w:ascii="Times New Roman" w:cs="Times New Roman" w:eastAsia="Times New Roman" w:hAnsi="Times New Roman"/>
          <w:sz w:val="18"/>
          <w:szCs w:val="18"/>
          <w:color w:val="auto"/>
        </w:rPr>
        <w:t>. Neither the Registration Statement nor any amendment thereto, at its effective time, at the Applicable Time or at any Date of Delivery, contained, contains or will contain an untrue statement of a material fact or omitted, omits or will omit to state a material fact required to be stated therein or necessary to make the statements therein, not misleading. Neither the Prospectus nor any amendment or supplement thereto, as of their respective date(s), at the time of any filing with the Commission pursuant to Rule 424(b)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79"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The representations and warranties in this subsection shall not apply to statements in or omissions from the Registration Statement (or any amendment thereto) or the Prospectus (or any amendment or supplement thereto) made in reliance upon and in conformity with written information furnished to the Company by the Sales Agent expressly for use therein (collectively, the “Sales Agent Information”). For purposes of this Agreement, the only Sales Agent Information shall be the final paragraph of the “Plan of Distribution” in the Prospectus.</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4"/>
          </w:cols>
          <w:pgMar w:left="876" w:top="270" w:right="459" w:bottom="1440" w:gutter="0" w:footer="0" w:header="0"/>
        </w:sectPr>
      </w:pPr>
    </w:p>
    <w:bookmarkStart w:id="8" w:name="page9"/>
    <w:bookmarkEnd w:id="8"/>
    <w:p>
      <w:pPr>
        <w:ind w:right="20" w:firstLine="948"/>
        <w:spacing w:after="0" w:line="258" w:lineRule="auto"/>
        <w:tabs>
          <w:tab w:leader="none" w:pos="120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Not Ineligible Issuer</w:t>
      </w:r>
      <w:r>
        <w:rPr>
          <w:rFonts w:ascii="Times New Roman" w:cs="Times New Roman" w:eastAsia="Times New Roman" w:hAnsi="Times New Roman"/>
          <w:sz w:val="18"/>
          <w:szCs w:val="18"/>
          <w:color w:val="auto"/>
        </w:rPr>
        <w:t>.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75" w:lineRule="exact"/>
        <w:rPr>
          <w:rFonts w:ascii="Times New Roman" w:cs="Times New Roman" w:eastAsia="Times New Roman" w:hAnsi="Times New Roman"/>
          <w:sz w:val="18"/>
          <w:szCs w:val="18"/>
          <w:color w:val="auto"/>
        </w:rPr>
      </w:pPr>
    </w:p>
    <w:p>
      <w:pPr>
        <w:ind w:right="320" w:firstLine="948"/>
        <w:spacing w:after="0" w:line="261" w:lineRule="auto"/>
        <w:tabs>
          <w:tab w:leader="none" w:pos="12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 of the Company</w:t>
      </w:r>
      <w:r>
        <w:rPr>
          <w:rFonts w:ascii="Times New Roman" w:cs="Times New Roman" w:eastAsia="Times New Roman" w:hAnsi="Times New Roman"/>
          <w:sz w:val="18"/>
          <w:szCs w:val="18"/>
          <w:color w:val="auto"/>
        </w:rPr>
        <w:t>. The accountants who audited or reviewed the financial statements and supporting schedules of the Company included or incorporated by reference in the Registration Statement and the Prospectus are independent registered public accountants with respect to the Company within the applicable rules and regulations of the Commission and the Public Company Accounting Oversight Board (United States) and as required by the 1933 Act.</w:t>
      </w:r>
    </w:p>
    <w:p>
      <w:pPr>
        <w:spacing w:after="0" w:line="71" w:lineRule="exact"/>
        <w:rPr>
          <w:rFonts w:ascii="Times New Roman" w:cs="Times New Roman" w:eastAsia="Times New Roman" w:hAnsi="Times New Roman"/>
          <w:sz w:val="18"/>
          <w:szCs w:val="18"/>
          <w:color w:val="auto"/>
        </w:rPr>
      </w:pPr>
    </w:p>
    <w:p>
      <w:pPr>
        <w:ind w:firstLine="948"/>
        <w:spacing w:after="0" w:line="253" w:lineRule="auto"/>
        <w:tabs>
          <w:tab w:leader="none" w:pos="130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included or incorporated by reference in the Registration Statement and the Prospectus, together with the related schedules and notes, present fairly in all material respects the financial position of the Company and the Subsidiaries (as defined below) at the dates indicated and the results of their operations and the changes in the cash flows of the Company and the Subsidiaries for the periods specified (except that the unaudited financial statements were or are subject to normal year-end adjustments which were not, or are not expected to be, material in amount to the Company); said financial statements have been prepared in conformity with U.S. generally accepted accounting principles (“GAAP”) applied on a consistent basis throughout the periods involved (except, in each case, as may be permitted by the rules and regulations of the Commission). The supporting schedules, if any, included or incorporated by reference in the Registration Statement and the Prospectus present fairly in all material respects in accordance with GAAP the information required to be stated therein. The selected financial data and the summary financial information of the Company and the Subsidiaries included or incorporated by reference in the Registration Statement and the Prospectus have been derived from the accounting records and other books and records of the Company and the Subsidiaries and present fairly in all material respects the information shown therein. Except as included therein, no historical or pro forma financial statements or supporting schedules are required to be included in the Registration Statement or the Prospectus under the 1933 Act or the 1933 Act Regulations.</w:t>
      </w:r>
    </w:p>
    <w:p>
      <w:pPr>
        <w:spacing w:after="0" w:line="79" w:lineRule="exact"/>
        <w:rPr>
          <w:rFonts w:ascii="Times New Roman" w:cs="Times New Roman" w:eastAsia="Times New Roman" w:hAnsi="Times New Roman"/>
          <w:sz w:val="18"/>
          <w:szCs w:val="18"/>
          <w:color w:val="auto"/>
        </w:rPr>
      </w:pPr>
    </w:p>
    <w:p>
      <w:pPr>
        <w:ind w:firstLine="948"/>
        <w:spacing w:after="0" w:line="261" w:lineRule="auto"/>
        <w:tabs>
          <w:tab w:leader="none" w:pos="13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Except as otherwise stated therein, since the respective dates as of which information is given in the Registration Statement or the Prospectus, (A) there has been no material adverse change in the business, management, financial condition, results of operations or prospects of the Company and the Subsidiaries considered as one enterprise, whether or not arising in the ordinary course of business (a “Material Adverse Effect”), (B) there have been no transactions entered into</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9" w:name="page10"/>
    <w:bookmarkEnd w:id="9"/>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the Company or any of the Subsidiaries, other than those in the ordinary course of business, which are material with respect to the Company and the Subsidiaries considered as one enterprise and (C) there has been no dividend or distribution of any kind declared, paid or made by the Company on any class of its capital stock.</w:t>
      </w:r>
    </w:p>
    <w:p>
      <w:pPr>
        <w:spacing w:after="0" w:line="68" w:lineRule="exact"/>
        <w:rPr>
          <w:sz w:val="20"/>
          <w:szCs w:val="20"/>
          <w:color w:val="auto"/>
        </w:rPr>
      </w:pPr>
    </w:p>
    <w:p>
      <w:pPr>
        <w:ind w:right="40" w:firstLine="948"/>
        <w:spacing w:after="0" w:line="255" w:lineRule="auto"/>
        <w:tabs>
          <w:tab w:leader="none" w:pos="12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the Company</w:t>
      </w:r>
      <w:r>
        <w:rPr>
          <w:rFonts w:ascii="Times New Roman" w:cs="Times New Roman" w:eastAsia="Times New Roman" w:hAnsi="Times New Roman"/>
          <w:sz w:val="18"/>
          <w:szCs w:val="18"/>
          <w:color w:val="auto"/>
        </w:rPr>
        <w:t>.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and the Prospectus and to enter into this Agreement and perform its obligations under this Agreement, the Investment Management Agreement, the Administration Agreement and the Securities;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w:t>
      </w:r>
    </w:p>
    <w:p>
      <w:pPr>
        <w:spacing w:after="0" w:line="80" w:lineRule="exact"/>
        <w:rPr>
          <w:rFonts w:ascii="Times New Roman" w:cs="Times New Roman" w:eastAsia="Times New Roman" w:hAnsi="Times New Roman"/>
          <w:sz w:val="18"/>
          <w:szCs w:val="18"/>
          <w:color w:val="auto"/>
        </w:rPr>
      </w:pPr>
    </w:p>
    <w:p>
      <w:pPr>
        <w:ind w:firstLine="948"/>
        <w:spacing w:after="0" w:line="252" w:lineRule="auto"/>
        <w:tabs>
          <w:tab w:leader="none" w:pos="120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 of the Company; Portfolio Companies</w:t>
      </w:r>
      <w:r>
        <w:rPr>
          <w:rFonts w:ascii="Times New Roman" w:cs="Times New Roman" w:eastAsia="Times New Roman" w:hAnsi="Times New Roman"/>
          <w:sz w:val="18"/>
          <w:szCs w:val="18"/>
          <w:color w:val="auto"/>
        </w:rPr>
        <w:t xml:space="preserve">. The Company’s only subsidiaries that were consolidated with the Company for financial reporting purposes under GAAP as of March 31, 2024 are those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a “Subsidiary” and, collectively, the “Subsidiaries”). 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Prospectus and is duly qualified as a foreign corporation, limited liability company or limited partnership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except as disclosed in the Prospectus, all of the issued and outstanding capital stock of each such Subsidiary has been duly authorized and validly issued and is fully paid and non-assessable; none of the outstanding shares of capital stock of any of the Subsidiaries was issued in violation of the preemptive or other similar rights of any securityholder of such Subsidiary. Except for any investments made in the ordinary course of business since the most recent quarter end, the Company does not own, directly or indirectly, any investments or shares of stock or any other equity or long-term debt securities of any corporation or other entity other than (A) the Subsidiaries and (B) those corporations or other entities described in the Registration Statement and the Prospectus under the caption “Portfolio Companies” (each a “Portfolio Company” and collectively the “Portfolio Companies”). Except as otherwise disclosed in the Prospectus, the Company does not control (as such term is defined in Section 2(a)(9) of the 1940 Act), any of the Portfolio Companies or any corporation or other entity in which it invested since the most recent quarter end.</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880" w:top="270" w:right="479" w:bottom="1440" w:gutter="0" w:footer="0" w:header="0"/>
        </w:sectPr>
      </w:pPr>
    </w:p>
    <w:bookmarkStart w:id="10" w:name="page11"/>
    <w:bookmarkEnd w:id="10"/>
    <w:p>
      <w:pPr>
        <w:ind w:right="200" w:firstLine="948"/>
        <w:spacing w:after="0" w:line="273" w:lineRule="auto"/>
        <w:tabs>
          <w:tab w:leader="none" w:pos="125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Capitalization</w:t>
      </w:r>
      <w:r>
        <w:rPr>
          <w:rFonts w:ascii="Times New Roman" w:cs="Times New Roman" w:eastAsia="Times New Roman" w:hAnsi="Times New Roman"/>
          <w:sz w:val="17"/>
          <w:szCs w:val="17"/>
          <w:color w:val="auto"/>
        </w:rPr>
        <w:t>. The authorized shares of capital stock of the Company are as set forth in the Registration Statement and the Prospectus under the caption “Description of Our Capital Stock.” The total issued and outstanding shares of capital stock of the Company as of March 31, 2024 are as set forth in the Prospectus Supplement under the caption “The Offering.”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Except as set forth in the Registration Statement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63" w:lineRule="exact"/>
        <w:rPr>
          <w:rFonts w:ascii="Times New Roman" w:cs="Times New Roman" w:eastAsia="Times New Roman" w:hAnsi="Times New Roman"/>
          <w:sz w:val="17"/>
          <w:szCs w:val="17"/>
          <w:color w:val="auto"/>
        </w:rPr>
      </w:pPr>
    </w:p>
    <w:p>
      <w:pPr>
        <w:ind w:left="1300" w:hanging="352"/>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right="20" w:firstLine="948"/>
        <w:spacing w:after="0" w:line="255" w:lineRule="auto"/>
        <w:tabs>
          <w:tab w:leader="none" w:pos="13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Description of Securities</w:t>
      </w:r>
      <w:r>
        <w:rPr>
          <w:rFonts w:ascii="Times New Roman" w:cs="Times New Roman" w:eastAsia="Times New Roman" w:hAnsi="Times New Roman"/>
          <w:sz w:val="18"/>
          <w:szCs w:val="18"/>
          <w:color w:val="auto"/>
        </w:rPr>
        <w:t>. The Securities to be issued and sold by the Company hereunder have been duly authorized and when issued and paid for as contemplated herein will be validly issued, fully paid and non-assessable; and no preemptive rights of stockholders exist with respect to any of the Securities or the issue and sale thereof. The Common Stock conforms to all statements relating thereto contained in the Registration Statement and the Prospectus and such description conforms to the rights set forth in the instruments defining the same. No holder of the Common Stock will be subject to personal liability by reason of being such a holder. The Company acknowledges and agrees that all stock-related numbers contained in this Agreement shall be adjusted to take into account any stock split, stock dividend or similar event effected with respect to the Securities.</w:t>
      </w:r>
    </w:p>
    <w:p>
      <w:pPr>
        <w:spacing w:after="0" w:line="80" w:lineRule="exact"/>
        <w:rPr>
          <w:rFonts w:ascii="Times New Roman" w:cs="Times New Roman" w:eastAsia="Times New Roman" w:hAnsi="Times New Roman"/>
          <w:sz w:val="18"/>
          <w:szCs w:val="18"/>
          <w:color w:val="auto"/>
        </w:rPr>
      </w:pPr>
    </w:p>
    <w:p>
      <w:pPr>
        <w:ind w:firstLine="948"/>
        <w:spacing w:after="0" w:line="312" w:lineRule="auto"/>
        <w:tabs>
          <w:tab w:leader="none" w:pos="134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Rights</w:t>
      </w:r>
      <w:r>
        <w:rPr>
          <w:rFonts w:ascii="Times New Roman" w:cs="Times New Roman" w:eastAsia="Times New Roman" w:hAnsi="Times New Roman"/>
          <w:sz w:val="17"/>
          <w:szCs w:val="17"/>
          <w:color w:val="auto"/>
        </w:rPr>
        <w:t>. There are no persons with registration rights or other similar rights to have any securities registered for sale pursuant to the Registration Statement or otherwise registered for sale or sold by the Company under the 1933 Act pursuant to this Agreement.</w:t>
      </w:r>
    </w:p>
    <w:p>
      <w:pPr>
        <w:spacing w:after="0" w:line="31" w:lineRule="exact"/>
        <w:rPr>
          <w:rFonts w:ascii="Times New Roman" w:cs="Times New Roman" w:eastAsia="Times New Roman" w:hAnsi="Times New Roman"/>
          <w:sz w:val="17"/>
          <w:szCs w:val="17"/>
          <w:color w:val="auto"/>
        </w:rPr>
      </w:pPr>
    </w:p>
    <w:p>
      <w:pPr>
        <w:ind w:right="20" w:firstLine="948"/>
        <w:spacing w:after="0" w:line="254" w:lineRule="auto"/>
        <w:tabs>
          <w:tab w:leader="none" w:pos="12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Violations and Defaults</w:t>
      </w:r>
      <w:r>
        <w:rPr>
          <w:rFonts w:ascii="Times New Roman" w:cs="Times New Roman" w:eastAsia="Times New Roman" w:hAnsi="Times New Roman"/>
          <w:sz w:val="18"/>
          <w:szCs w:val="18"/>
          <w:color w:val="auto"/>
        </w:rPr>
        <w:t>. Neither the Company nor any of the Subsidiaries is (A) in violation of its charter, bylaws or similar organizational document, each as amended or supplemented from time to time, (B) in default under any contract, indenture, mortgage, deed of trust, loan or credit agreement, note, lease or other agreement or instrument to which the Company or any of the Subsidiaries is a party or by which it or any of them may be bound or to which any of the properties or assets of the Company or any of the Subsidiaries is subject (collectively, “Agreements and Instruments”),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the Subsidiaries or any of their respective properties, assets or operations (each, a “Governmental Entity”), except for such violations that would not reasonably be expected, singly or in the aggregate, to result in a Material Adverse Effect.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11" w:name="page12"/>
    <w:bookmarkEnd w:id="11"/>
    <w:p>
      <w:pPr>
        <w:ind w:firstLine="948"/>
        <w:spacing w:after="0" w:line="252" w:lineRule="auto"/>
        <w:tabs>
          <w:tab w:leader="none" w:pos="13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Conflicts</w:t>
      </w:r>
      <w:r>
        <w:rPr>
          <w:rFonts w:ascii="Times New Roman" w:cs="Times New Roman" w:eastAsia="Times New Roman" w:hAnsi="Times New Roman"/>
          <w:sz w:val="18"/>
          <w:szCs w:val="18"/>
          <w:color w:val="auto"/>
        </w:rPr>
        <w:t>.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the Subsidiaries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(a) the charter, bylaws or similar organizational document of the Company or any of the Subsidiaries or (b) any law, statute, rule, regulation, judgment, order, writ or decree of any Governmental Entity, except, in the case of (b) above, for any violation that would not reasonably be expected, singly or in the aggregate,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the Subsidiaries.</w:t>
      </w:r>
    </w:p>
    <w:p>
      <w:pPr>
        <w:spacing w:after="0" w:line="89" w:lineRule="exact"/>
        <w:rPr>
          <w:rFonts w:ascii="Times New Roman" w:cs="Times New Roman" w:eastAsia="Times New Roman" w:hAnsi="Times New Roman"/>
          <w:sz w:val="18"/>
          <w:szCs w:val="18"/>
          <w:color w:val="auto"/>
        </w:rPr>
      </w:pPr>
    </w:p>
    <w:p>
      <w:pPr>
        <w:ind w:left="1400" w:hanging="452"/>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Neither the Company nor any of the Subsidiaries has any employees.</w:t>
      </w:r>
    </w:p>
    <w:p>
      <w:pPr>
        <w:spacing w:after="0" w:line="117" w:lineRule="exact"/>
        <w:rPr>
          <w:rFonts w:ascii="Times New Roman" w:cs="Times New Roman" w:eastAsia="Times New Roman" w:hAnsi="Times New Roman"/>
          <w:sz w:val="18"/>
          <w:szCs w:val="18"/>
          <w:color w:val="auto"/>
        </w:rPr>
      </w:pPr>
    </w:p>
    <w:p>
      <w:pPr>
        <w:ind w:firstLine="948"/>
        <w:spacing w:after="0" w:line="256" w:lineRule="auto"/>
        <w:tabs>
          <w:tab w:leader="none" w:pos="14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Except as disclosed in the Registration Statement and the Prospectus, there is no action, suit, proceeding or, to the knowledge of the Company, inquiry or investigation before or brought by any Governmental Entity now pending or, to the knowledge of the Company, threatened, against or affecting the Company or any of the Subsidiaries, which would reasonably be expected to result in a Material Adverse Effect, or which would reasonably be expected to materially and adversely affect the consummation of the transactions contemplated in this Agreement, the Investment Management Agreement, the Administration Agreement or the performance by the Company of its obligations hereunder or thereunder.</w:t>
      </w:r>
    </w:p>
    <w:p>
      <w:pPr>
        <w:spacing w:after="0" w:line="79" w:lineRule="exact"/>
        <w:rPr>
          <w:rFonts w:ascii="Times New Roman" w:cs="Times New Roman" w:eastAsia="Times New Roman" w:hAnsi="Times New Roman"/>
          <w:sz w:val="18"/>
          <w:szCs w:val="18"/>
          <w:color w:val="auto"/>
        </w:rPr>
      </w:pPr>
    </w:p>
    <w:p>
      <w:pPr>
        <w:ind w:right="120" w:firstLine="948"/>
        <w:spacing w:after="0" w:line="282" w:lineRule="auto"/>
        <w:tabs>
          <w:tab w:leader="none" w:pos="13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Exhibits</w:t>
      </w:r>
      <w:r>
        <w:rPr>
          <w:rFonts w:ascii="Times New Roman" w:cs="Times New Roman" w:eastAsia="Times New Roman" w:hAnsi="Times New Roman"/>
          <w:sz w:val="18"/>
          <w:szCs w:val="18"/>
          <w:color w:val="auto"/>
        </w:rPr>
        <w:t>. There are no contracts or documents which are required to be described in the Registration Statement or the Prospectus or to be filed as exhibits to the Registration Statement which have not been so described and filed as required.</w:t>
      </w:r>
    </w:p>
    <w:p>
      <w:pPr>
        <w:spacing w:after="0" w:line="53" w:lineRule="exact"/>
        <w:rPr>
          <w:rFonts w:ascii="Times New Roman" w:cs="Times New Roman" w:eastAsia="Times New Roman" w:hAnsi="Times New Roman"/>
          <w:sz w:val="18"/>
          <w:szCs w:val="18"/>
          <w:color w:val="auto"/>
        </w:rPr>
      </w:pPr>
    </w:p>
    <w:p>
      <w:pPr>
        <w:ind w:right="180" w:firstLine="948"/>
        <w:spacing w:after="0" w:line="266" w:lineRule="auto"/>
        <w:tabs>
          <w:tab w:leader="none" w:pos="1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2" w:name="page13"/>
    <w:bookmarkEnd w:id="1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 except (A) such as have been already made or obtained, including under the 1933 Act, the 1933 Act Regulations, the 1940 Act, the 1940 Act Regulations, state securities laws or the rules of the Financial Industry Regulatory Authority, Inc. (“FINRA”), (B) the filing of the Notifications of Election under the 1940 Act, which has been effected and (C) where the failure to obtain any such filing, authorization, approval, consent, license, order, registration, qualification or decree would not reasonably be expected, singly or in the aggregate, to have a Material Adverse Effect.</w:t>
      </w:r>
    </w:p>
    <w:p>
      <w:pPr>
        <w:spacing w:after="0" w:line="81" w:lineRule="exact"/>
        <w:rPr>
          <w:sz w:val="20"/>
          <w:szCs w:val="20"/>
          <w:color w:val="auto"/>
        </w:rPr>
      </w:pPr>
    </w:p>
    <w:p>
      <w:pPr>
        <w:ind w:right="60" w:firstLine="948"/>
        <w:spacing w:after="0" w:line="253" w:lineRule="auto"/>
        <w:tabs>
          <w:tab w:leader="none" w:pos="13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The Company and the Subsidiaries possess such permits, licenses, approvals, consents and other authorizations (collectively, “Governmental Licenses”) issued by the appropriate Governmental Entities necessary to conduct the business now operated by them, except where the failure so to possess would not reasonably be expected, singly or in the aggregate, to result in a Material Adverse Effect. The Company and the Subsidiaries are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Neither the Company nor any of the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w:t>
      </w:r>
    </w:p>
    <w:p>
      <w:pPr>
        <w:spacing w:after="0" w:line="86" w:lineRule="exact"/>
        <w:rPr>
          <w:rFonts w:ascii="Times New Roman" w:cs="Times New Roman" w:eastAsia="Times New Roman" w:hAnsi="Times New Roman"/>
          <w:sz w:val="18"/>
          <w:szCs w:val="18"/>
          <w:color w:val="auto"/>
        </w:rPr>
      </w:pPr>
    </w:p>
    <w:p>
      <w:pPr>
        <w:ind w:right="60" w:firstLine="948"/>
        <w:spacing w:after="0" w:line="256" w:lineRule="auto"/>
        <w:tabs>
          <w:tab w:leader="none" w:pos="1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The Company and the Subsidiaries do not own any real property; and all of the leases and subleases material to the business of the Company and the Subsidiaries, considered as one enterprise, and under which the Company or any of the Subsidiaries holds properties,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79" w:lineRule="exact"/>
        <w:rPr>
          <w:rFonts w:ascii="Times New Roman" w:cs="Times New Roman" w:eastAsia="Times New Roman" w:hAnsi="Times New Roman"/>
          <w:sz w:val="18"/>
          <w:szCs w:val="18"/>
          <w:color w:val="auto"/>
        </w:rPr>
      </w:pPr>
    </w:p>
    <w:p>
      <w:pPr>
        <w:ind w:right="40" w:firstLine="948"/>
        <w:spacing w:after="0" w:line="258" w:lineRule="auto"/>
        <w:tabs>
          <w:tab w:leader="none" w:pos="14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Intellectual Property</w:t>
      </w:r>
      <w:r>
        <w:rPr>
          <w:rFonts w:ascii="Times New Roman" w:cs="Times New Roman" w:eastAsia="Times New Roman" w:hAnsi="Times New Roman"/>
          <w:sz w:val="18"/>
          <w:szCs w:val="18"/>
          <w:color w:val="auto"/>
        </w:rPr>
        <w:t>. Except as would not reasonably be expected, singly or in the aggregate, to have a Material Adverse Effect, 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3" w:name="page14"/>
    <w:bookmarkEnd w:id="13"/>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operated by them, and neither the Company nor any of the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w:t>
      </w:r>
    </w:p>
    <w:p>
      <w:pPr>
        <w:spacing w:after="0" w:line="75" w:lineRule="exact"/>
        <w:rPr>
          <w:sz w:val="20"/>
          <w:szCs w:val="20"/>
          <w:color w:val="auto"/>
        </w:rPr>
      </w:pPr>
    </w:p>
    <w:p>
      <w:pPr>
        <w:ind w:firstLine="948"/>
        <w:spacing w:after="0" w:line="253" w:lineRule="auto"/>
        <w:tabs>
          <w:tab w:leader="none" w:pos="14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Controls</w:t>
      </w:r>
      <w:r>
        <w:rPr>
          <w:rFonts w:ascii="Times New Roman" w:cs="Times New Roman" w:eastAsia="Times New Roman" w:hAnsi="Times New Roman"/>
          <w:sz w:val="18"/>
          <w:szCs w:val="18"/>
          <w:color w:val="auto"/>
        </w:rPr>
        <w:t>. The Company, on a consolidated basis, maintains a system of internal control over financial reporting (as defined under Rule 13a-15(f) and 15d-15(f) under the rules and regulations of the Commission under the 1934 Act (such rules and regulations,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not as of the date hereof required to comply with the auditor attestation requirements under Section 404 of the Sarbanes Oxley Act of 2002, as amended).</w:t>
      </w:r>
    </w:p>
    <w:p>
      <w:pPr>
        <w:spacing w:after="0" w:line="81" w:lineRule="exact"/>
        <w:rPr>
          <w:rFonts w:ascii="Times New Roman" w:cs="Times New Roman" w:eastAsia="Times New Roman" w:hAnsi="Times New Roman"/>
          <w:sz w:val="18"/>
          <w:szCs w:val="18"/>
          <w:color w:val="auto"/>
        </w:rPr>
      </w:pPr>
    </w:p>
    <w:p>
      <w:pPr>
        <w:ind w:right="20" w:firstLine="948"/>
        <w:spacing w:after="0" w:line="253" w:lineRule="auto"/>
        <w:tabs>
          <w:tab w:leader="none" w:pos="13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 All United States federal income tax returns of the Company and the Subsidiaries required by law to have been filed by them (taking into account any applicable extensions) have been filed and all taxes shown by such returns or otherwise assessed, which are due and payable, have been paid, in each case, except assessments against which appeals have been or will be promptly taken and as to which adequate reserves have been provided or insofar as the failure to do so would not reasonably be expected, singly or in the aggregate, to result in a Material Adverse Effect. The United States federal income tax returns of the Company through the fiscal year ended September 30, 2023 have been filed, and no assessment in connection therewith has been made against the Company. The Company and the Subsidiaries have filed all other tax returns that are required to have been filed by them (taking into account any applicable extensions) pursuant to applicable foreign, state, local or other law and have paid all taxes due pursuant to such returns or pursuant to any assessment received by the Company and the Subsidiaries, except for such taxes, if any, as are being contested in good faith and as to which adequate reserves have been established by the Company or, in each case, insofar as the failure to pay such taxes or file such returns would not reasonably be expected to 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years not finally determined, except to the extent of any inadequacy that would not reasonably be expected to result in a Material Adverse Effect.</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4" w:name="page15"/>
    <w:bookmarkEnd w:id="14"/>
    <w:p>
      <w:pPr>
        <w:ind w:right="20" w:firstLine="948"/>
        <w:spacing w:after="0" w:line="258" w:lineRule="auto"/>
        <w:tabs>
          <w:tab w:leader="none" w:pos="14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Insurance</w:t>
      </w:r>
      <w:r>
        <w:rPr>
          <w:rFonts w:ascii="Times New Roman" w:cs="Times New Roman" w:eastAsia="Times New Roman" w:hAnsi="Times New Roman"/>
          <w:sz w:val="18"/>
          <w:szCs w:val="18"/>
          <w:color w:val="auto"/>
        </w:rPr>
        <w:t>. The Company and the Subsidiaries carry or are entitled to the benefits of insurance, with financially sound and reputable insurers, in such amounts and covering such risks as the Company reasonably believes is prudent, and all such insurance is in full force and effect. The Company has no reason to believe that it or any of the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w:t>
      </w:r>
    </w:p>
    <w:p>
      <w:pPr>
        <w:spacing w:after="0" w:line="75" w:lineRule="exact"/>
        <w:rPr>
          <w:rFonts w:ascii="Times New Roman" w:cs="Times New Roman" w:eastAsia="Times New Roman" w:hAnsi="Times New Roman"/>
          <w:sz w:val="18"/>
          <w:szCs w:val="18"/>
          <w:color w:val="auto"/>
        </w:rPr>
      </w:pPr>
    </w:p>
    <w:p>
      <w:pPr>
        <w:ind w:right="200" w:firstLine="948"/>
        <w:spacing w:after="0" w:line="266" w:lineRule="auto"/>
        <w:tabs>
          <w:tab w:leader="none" w:pos="14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required and, upon the issuance and sale of the Securities as herein contemplated and the application of the net proceeds therefrom as described in the Prospectus, will not be required to register as an “investment company” as such term is used in the 1940 Act.</w:t>
      </w:r>
    </w:p>
    <w:p>
      <w:pPr>
        <w:spacing w:after="0" w:line="67" w:lineRule="exact"/>
        <w:rPr>
          <w:rFonts w:ascii="Times New Roman" w:cs="Times New Roman" w:eastAsia="Times New Roman" w:hAnsi="Times New Roman"/>
          <w:sz w:val="18"/>
          <w:szCs w:val="18"/>
          <w:color w:val="auto"/>
        </w:rPr>
      </w:pPr>
    </w:p>
    <w:p>
      <w:pPr>
        <w:ind w:right="180" w:firstLine="948"/>
        <w:spacing w:after="0" w:line="266" w:lineRule="auto"/>
        <w:tabs>
          <w:tab w:leader="none" w:pos="15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Stabilization and Manipulation</w:t>
      </w:r>
      <w:r>
        <w:rPr>
          <w:rFonts w:ascii="Times New Roman" w:cs="Times New Roman" w:eastAsia="Times New Roman" w:hAnsi="Times New Roman"/>
          <w:sz w:val="18"/>
          <w:szCs w:val="18"/>
          <w:color w:val="auto"/>
        </w:rPr>
        <w:t>. The Company has not taken, nor will it take, directly or indirectly, without giving effect to any activities by the Sales Agent, any action designed, or that would reasonably be expected, to cause or result in, or that constitutes, any stabilization or manipulation of the price of the Securities, other than activity permitted pursuant to Rule 10b-18 under the 1934 Act.</w:t>
      </w:r>
    </w:p>
    <w:p>
      <w:pPr>
        <w:spacing w:after="0" w:line="67" w:lineRule="exact"/>
        <w:rPr>
          <w:rFonts w:ascii="Times New Roman" w:cs="Times New Roman" w:eastAsia="Times New Roman" w:hAnsi="Times New Roman"/>
          <w:sz w:val="18"/>
          <w:szCs w:val="18"/>
          <w:color w:val="auto"/>
        </w:rPr>
      </w:pPr>
    </w:p>
    <w:p>
      <w:pPr>
        <w:ind w:firstLine="948"/>
        <w:spacing w:after="0" w:line="253" w:lineRule="auto"/>
        <w:tabs>
          <w:tab w:leader="none" w:pos="14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aware of, has taken or will take any action, directly or indirectly, that would result in a violation by such persons of the Foreign Corrupt Practices Act of 1977, as amended, and the rules and regulations thereunder (the “FCPA”),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Company, the Company and its Subsidiaries have conducted their businesses in compliance with the FCPA and have instituted and maintain policies and procedures designed to ensure, and which are reasonably expected to continue to ensure, continued compliance therewith.</w:t>
      </w:r>
    </w:p>
    <w:p>
      <w:pPr>
        <w:spacing w:after="0" w:line="86" w:lineRule="exact"/>
        <w:rPr>
          <w:rFonts w:ascii="Times New Roman" w:cs="Times New Roman" w:eastAsia="Times New Roman" w:hAnsi="Times New Roman"/>
          <w:sz w:val="18"/>
          <w:szCs w:val="18"/>
          <w:color w:val="auto"/>
        </w:rPr>
      </w:pPr>
    </w:p>
    <w:p>
      <w:pPr>
        <w:ind w:firstLine="948"/>
        <w:spacing w:after="0" w:line="266" w:lineRule="auto"/>
        <w:tabs>
          <w:tab w:leader="none" w:pos="13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the Company and the Subsidiaries are and have been conducted at all times in compliance with applicable financial recordkeeping and reporting requirements of the Currency and Foreign Transactions Reporting Act of 1970, as amended, the applicable anti-money laundering statutes of the jurisdictions in which the Company and the Subsidiaries conduct business,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15" w:name="page16"/>
    <w:bookmarkEnd w:id="15"/>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rules and regulations thereunder and any other relevant laws, rules, regulations or guidelines, issued, administered or enforced by any Governmental Entity (collectively, the “Anti-Money Laundering Laws”); and no action, suit or proceeding by or before any Governmental Entity involving the Company or any of the Subsidiaries with respect to the Anti-Money Laundering Laws is pending or, to the best knowledge of the Company, threatened.</w:t>
      </w:r>
    </w:p>
    <w:p>
      <w:pPr>
        <w:spacing w:after="0" w:line="72" w:lineRule="exact"/>
        <w:rPr>
          <w:sz w:val="20"/>
          <w:szCs w:val="20"/>
          <w:color w:val="auto"/>
        </w:rPr>
      </w:pPr>
    </w:p>
    <w:p>
      <w:pPr>
        <w:ind w:firstLine="948"/>
        <w:spacing w:after="0" w:line="254" w:lineRule="auto"/>
        <w:tabs>
          <w:tab w:leader="none" w:pos="14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an individual or entity (“Person”), or is controlled by a Person that is, (i) currently the subject or target of any sanctions administered or enforced by the United States Government, including the U.S. Department of the Treasury’s Office of Foreign Assets Control (“OFAC”), the United Nations Security Council, the European Union, His Majesty’s Treasury, or other relevant sanctions authority (collectively, “Sanctions”), or (ii) located, organized or resident in a country or territory that is itself the subject of Sanctions. In the past five (5) years, the Company and the Subsidiaries have not knowingly engaged in, and are not now knowingly engaged in, any unauthorized dealings or transactions with any Person that at the time of the dealing or transaction is or was the subject or target of Sanctions.</w:t>
      </w:r>
    </w:p>
    <w:p>
      <w:pPr>
        <w:spacing w:after="0" w:line="83" w:lineRule="exact"/>
        <w:rPr>
          <w:rFonts w:ascii="Times New Roman" w:cs="Times New Roman" w:eastAsia="Times New Roman" w:hAnsi="Times New Roman"/>
          <w:sz w:val="18"/>
          <w:szCs w:val="18"/>
          <w:color w:val="auto"/>
        </w:rPr>
      </w:pPr>
    </w:p>
    <w:p>
      <w:pPr>
        <w:jc w:val="both"/>
        <w:ind w:right="100" w:firstLine="948"/>
        <w:spacing w:after="0" w:line="266" w:lineRule="auto"/>
        <w:tabs>
          <w:tab w:leader="none" w:pos="14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Lending Relationship</w:t>
      </w:r>
      <w:r>
        <w:rPr>
          <w:rFonts w:ascii="Times New Roman" w:cs="Times New Roman" w:eastAsia="Times New Roman" w:hAnsi="Times New Roman"/>
          <w:sz w:val="18"/>
          <w:szCs w:val="18"/>
          <w:color w:val="auto"/>
        </w:rPr>
        <w:t>. Except as disclosed in the Registration Statement and the Prospectus, the Company (i) does not have any material lending or other relationship with any bank or lending affiliate of the Sales Agent and (ii) does not intend to use any of the proceeds from the sale of the Securities to repay any outstanding debt owed to any affiliate of the Sales Agent.</w:t>
      </w:r>
    </w:p>
    <w:p>
      <w:pPr>
        <w:spacing w:after="0" w:line="67" w:lineRule="exact"/>
        <w:rPr>
          <w:rFonts w:ascii="Times New Roman" w:cs="Times New Roman" w:eastAsia="Times New Roman" w:hAnsi="Times New Roman"/>
          <w:sz w:val="18"/>
          <w:szCs w:val="18"/>
          <w:color w:val="auto"/>
        </w:rPr>
      </w:pPr>
    </w:p>
    <w:p>
      <w:pPr>
        <w:ind w:right="200" w:firstLine="948"/>
        <w:spacing w:after="0" w:line="266" w:lineRule="auto"/>
        <w:tabs>
          <w:tab w:leader="none" w:pos="15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Any statistical and market-related data included or incorporated by reference in the Registration Statement or the Prospectus are based on or derived from sources that the Company believes to be reliable and accurate and, to the extent required, the Company has obtained the written consent to the use of such data from such sources.</w:t>
      </w:r>
    </w:p>
    <w:p>
      <w:pPr>
        <w:spacing w:after="0" w:line="67" w:lineRule="exact"/>
        <w:rPr>
          <w:rFonts w:ascii="Times New Roman" w:cs="Times New Roman" w:eastAsia="Times New Roman" w:hAnsi="Times New Roman"/>
          <w:sz w:val="18"/>
          <w:szCs w:val="18"/>
          <w:color w:val="auto"/>
        </w:rPr>
      </w:pPr>
    </w:p>
    <w:p>
      <w:pPr>
        <w:ind w:right="120" w:firstLine="948"/>
        <w:spacing w:after="0" w:line="266" w:lineRule="auto"/>
        <w:tabs>
          <w:tab w:leader="none" w:pos="15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business relationships or related party transactions involving the Company, any of the Subsidiaries or any other person required to be described in the Registration Statement or the Prospectus which have not been described as required.</w:t>
      </w:r>
    </w:p>
    <w:p>
      <w:pPr>
        <w:spacing w:after="0" w:line="67" w:lineRule="exact"/>
        <w:rPr>
          <w:rFonts w:ascii="Times New Roman" w:cs="Times New Roman" w:eastAsia="Times New Roman" w:hAnsi="Times New Roman"/>
          <w:sz w:val="18"/>
          <w:szCs w:val="18"/>
          <w:color w:val="auto"/>
        </w:rPr>
      </w:pPr>
    </w:p>
    <w:p>
      <w:pPr>
        <w:ind w:right="60" w:firstLine="948"/>
        <w:spacing w:after="0" w:line="261" w:lineRule="auto"/>
        <w:tabs>
          <w:tab w:leader="none" w:pos="147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Election</w:t>
      </w:r>
      <w:r>
        <w:rPr>
          <w:rFonts w:ascii="Times New Roman" w:cs="Times New Roman" w:eastAsia="Times New Roman" w:hAnsi="Times New Roman"/>
          <w:sz w:val="18"/>
          <w:szCs w:val="18"/>
          <w:color w:val="auto"/>
        </w:rPr>
        <w:t>. When the Notification of Election was filed with the Commission, it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20"/>
          </w:cols>
          <w:pgMar w:left="880" w:top="270" w:right="499" w:bottom="1440" w:gutter="0" w:footer="0" w:header="0"/>
        </w:sectPr>
      </w:pPr>
    </w:p>
    <w:bookmarkStart w:id="16" w:name="page17"/>
    <w:bookmarkEnd w:id="16"/>
    <w:p>
      <w:pPr>
        <w:ind w:left="4" w:right="40" w:firstLine="948"/>
        <w:spacing w:after="0" w:line="253" w:lineRule="auto"/>
        <w:tabs>
          <w:tab w:leader="none" w:pos="153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Management Agreement and Administration Agreement</w:t>
      </w:r>
      <w:r>
        <w:rPr>
          <w:rFonts w:ascii="Times New Roman" w:cs="Times New Roman" w:eastAsia="Times New Roman" w:hAnsi="Times New Roman"/>
          <w:sz w:val="18"/>
          <w:szCs w:val="18"/>
          <w:color w:val="auto"/>
        </w:rPr>
        <w:t>. (A) The terms of the Investment Management Agreement and the Administration Agreement, including compensation terms, comply in all material respects with all applicable provisions of the 1940 Act, the 1940 Act Regulations and the Investment Advisers Act of 1940, as amended, and the rules and regulations thereunder (collectively, the “Advisers Act”) and (B) the approvals by the board of directors and the stockholders of the Company of the Investment Management Agreement and the Administration Agreement have been made in accordance with the requirements of Section 15(a) and (c) of the 1940 Act and the 1940 Act Regulations applicable to companies that have elected to be regulated as business development companies under the 1940 Act. Each of the Investment Management Agreement and the Administration Agreement has been duly authorized, executed and delivered by the Company and is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83" w:lineRule="exact"/>
        <w:rPr>
          <w:rFonts w:ascii="Times New Roman" w:cs="Times New Roman" w:eastAsia="Times New Roman" w:hAnsi="Times New Roman"/>
          <w:sz w:val="18"/>
          <w:szCs w:val="18"/>
          <w:color w:val="auto"/>
        </w:rPr>
      </w:pPr>
    </w:p>
    <w:p>
      <w:pPr>
        <w:jc w:val="both"/>
        <w:ind w:left="4" w:right="140" w:firstLine="948"/>
        <w:spacing w:after="0" w:line="276" w:lineRule="auto"/>
        <w:tabs>
          <w:tab w:leader="none" w:pos="158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Interested Persons</w:t>
      </w:r>
      <w:r>
        <w:rPr>
          <w:rFonts w:ascii="Times New Roman" w:cs="Times New Roman" w:eastAsia="Times New Roman" w:hAnsi="Times New Roman"/>
          <w:sz w:val="17"/>
          <w:szCs w:val="17"/>
          <w:color w:val="auto"/>
        </w:rPr>
        <w:t>. Except as disclosed in the Registration Statement and the Prospectus (A) no person is serving or acting as an officer, director or investment adviser of the Company, except in accordance with the provisions of the 1940 Act and the Advisers Act, and</w:t>
      </w:r>
    </w:p>
    <w:p>
      <w:pPr>
        <w:ind w:left="4" w:right="280" w:hanging="4"/>
        <w:spacing w:after="0" w:line="260" w:lineRule="auto"/>
        <w:tabs>
          <w:tab w:leader="none" w:pos="28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director of the Company is an “interested person” (as defined in the 1940 Act) of the Company or an “affiliated person” (as defined in the 1940 Act) of the Sales Agent.</w:t>
      </w:r>
    </w:p>
    <w:p>
      <w:pPr>
        <w:spacing w:after="0" w:line="73" w:lineRule="exact"/>
        <w:rPr>
          <w:rFonts w:ascii="Times New Roman" w:cs="Times New Roman" w:eastAsia="Times New Roman" w:hAnsi="Times New Roman"/>
          <w:sz w:val="18"/>
          <w:szCs w:val="18"/>
          <w:color w:val="auto"/>
        </w:rPr>
      </w:pPr>
    </w:p>
    <w:p>
      <w:pPr>
        <w:ind w:left="4" w:firstLine="948"/>
        <w:spacing w:after="0" w:line="256" w:lineRule="auto"/>
        <w:tabs>
          <w:tab w:leader="none" w:pos="163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Development Company</w:t>
      </w:r>
      <w:r>
        <w:rPr>
          <w:rFonts w:ascii="Times New Roman" w:cs="Times New Roman" w:eastAsia="Times New Roman" w:hAnsi="Times New Roman"/>
          <w:sz w:val="18"/>
          <w:szCs w:val="18"/>
          <w:color w:val="auto"/>
        </w:rPr>
        <w:t>. (A) The Company has duly elected to be treated by the Commission under the 1940 Act as a business development company, such election is effective and all required action has been taken by the Company under the 1933 Act and the 1940 Act to make the public offering and consummate the sale of the Securities as provided in this Agreement; (B) the provisions of the charter and bylaws of the Company, and the investment objectives, policies and restrictions described in the Prospectus comply in all material respects with the requirements of the 1940 Act applicable to business development companies; and (C) the operations of the Company are in compliance in all material respects with the provisions of the 1940 Act and the 1940 Act Regulations applicable to business development companies.</w:t>
      </w:r>
    </w:p>
    <w:p>
      <w:pPr>
        <w:spacing w:after="0" w:line="79" w:lineRule="exact"/>
        <w:rPr>
          <w:rFonts w:ascii="Times New Roman" w:cs="Times New Roman" w:eastAsia="Times New Roman" w:hAnsi="Times New Roman"/>
          <w:sz w:val="18"/>
          <w:szCs w:val="18"/>
          <w:color w:val="auto"/>
        </w:rPr>
      </w:pPr>
    </w:p>
    <w:p>
      <w:pPr>
        <w:ind w:left="4" w:right="120" w:firstLine="948"/>
        <w:spacing w:after="0" w:line="289" w:lineRule="auto"/>
        <w:tabs>
          <w:tab w:leader="none" w:pos="153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Extension of Credit</w:t>
      </w:r>
      <w:r>
        <w:rPr>
          <w:rFonts w:ascii="Times New Roman" w:cs="Times New Roman" w:eastAsia="Times New Roman" w:hAnsi="Times New Roman"/>
          <w:sz w:val="17"/>
          <w:szCs w:val="17"/>
          <w:color w:val="auto"/>
        </w:rPr>
        <w:t>. The Company has not, directly or indirectly, extended credit, agreed to extend credit, arranged to extend credit or renewed any extension of credit, in the form of a personal loan, to or for any director or executive officer of the Company or any of the Subsidiaries, or to or for any family member or affiliate of any director or executive officer of the Company or any of the Subsidiaries.</w:t>
      </w:r>
    </w:p>
    <w:p>
      <w:pPr>
        <w:spacing w:after="0" w:line="50" w:lineRule="exact"/>
        <w:rPr>
          <w:sz w:val="20"/>
          <w:szCs w:val="20"/>
          <w:color w:val="auto"/>
        </w:rPr>
      </w:pPr>
    </w:p>
    <w:p>
      <w:pPr>
        <w:ind w:left="4" w:right="20" w:firstLine="952"/>
        <w:spacing w:after="0" w:line="261" w:lineRule="auto"/>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u w:val="single" w:color="auto"/>
          <w:color w:val="auto"/>
        </w:rPr>
        <w:t>Regulated Investment Company</w:t>
      </w:r>
      <w:r>
        <w:rPr>
          <w:rFonts w:ascii="Times New Roman" w:cs="Times New Roman" w:eastAsia="Times New Roman" w:hAnsi="Times New Roman"/>
          <w:sz w:val="18"/>
          <w:szCs w:val="18"/>
          <w:color w:val="auto"/>
        </w:rPr>
        <w:t>. The Company has elected to be treated, and has operated, and intends to continue to operate, its business in such a manner as to enable the Company to continue to qualify as a regulated investment company under Subchapter M of U.S. Internal Revenue Code of 1986, as amended (the “Code”). The Company intends to direct the investment of the proceeds of the offering of the Securities in a manner as to comply with the requirements of Subchapter M of the Code.</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4"/>
          </w:cols>
          <w:pgMar w:left="876" w:top="270" w:right="459" w:bottom="1440" w:gutter="0" w:footer="0" w:header="0"/>
        </w:sectPr>
      </w:pPr>
    </w:p>
    <w:bookmarkStart w:id="17" w:name="page18"/>
    <w:bookmarkEnd w:id="17"/>
    <w:p>
      <w:pPr>
        <w:ind w:left="440" w:right="120" w:firstLine="952"/>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(xli)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To the extent applicable to the Company on the date hereof,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w:t>
      </w:r>
    </w:p>
    <w:p>
      <w:pPr>
        <w:spacing w:after="0" w:line="7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(xlii) </w:t>
      </w: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forward-looking statement (within the meaning of Section 27A of the 1933 Act and</w:t>
      </w: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21E of the 1934 Act) contained in the Registration Statement or the Prospectus has been made or reaffirmed without a reasonable basis 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has been disclosed other than in good faith.</w:t>
      </w:r>
    </w:p>
    <w:p>
      <w:pPr>
        <w:spacing w:after="0" w:line="99" w:lineRule="exact"/>
        <w:rPr>
          <w:sz w:val="20"/>
          <w:szCs w:val="20"/>
          <w:color w:val="auto"/>
        </w:rPr>
      </w:pPr>
    </w:p>
    <w:p>
      <w:pPr>
        <w:ind w:left="440" w:firstLine="952"/>
        <w:spacing w:after="0" w:line="252" w:lineRule="auto"/>
        <w:rPr>
          <w:sz w:val="20"/>
          <w:szCs w:val="20"/>
          <w:color w:val="auto"/>
        </w:rPr>
      </w:pPr>
      <w:r>
        <w:rPr>
          <w:rFonts w:ascii="Times New Roman" w:cs="Times New Roman" w:eastAsia="Times New Roman" w:hAnsi="Times New Roman"/>
          <w:sz w:val="18"/>
          <w:szCs w:val="18"/>
          <w:color w:val="auto"/>
        </w:rPr>
        <w:t xml:space="preserve">(xliii)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The Company and the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the Subsidiaries as currently conducted, free and clear of all material bugs, errors, defects, Trojan horses, time bombs, malware and other corruptants, except, in each case, as would not reasonably be expected to, individually or in the aggregate, have a Material Adverse Effect. The Company and the Subsidiaries have implemented and maintained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(“Personal Data”)) used in connection with their businesses, and there have been no breaches, violations, outages or unauthorized uses of or accesses to same, 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Material Adverse Effect.</w:t>
      </w:r>
    </w:p>
    <w:p>
      <w:pPr>
        <w:spacing w:after="0" w:line="195" w:lineRule="exact"/>
        <w:rPr>
          <w:sz w:val="20"/>
          <w:szCs w:val="20"/>
          <w:color w:val="auto"/>
        </w:rPr>
      </w:pPr>
    </w:p>
    <w:p>
      <w:pPr>
        <w:jc w:val="both"/>
        <w:ind w:right="480" w:firstLine="987"/>
        <w:spacing w:after="0" w:line="267"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by the Adviser and the Administrator</w:t>
      </w:r>
      <w:r>
        <w:rPr>
          <w:rFonts w:ascii="Times New Roman" w:cs="Times New Roman" w:eastAsia="Times New Roman" w:hAnsi="Times New Roman"/>
          <w:sz w:val="18"/>
          <w:szCs w:val="18"/>
          <w:color w:val="auto"/>
        </w:rPr>
        <w:t>. The Adviser and the Administrator, jointly and severally,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 to the Sales Agent as of the date hereof, the Applicable Time, each Representation Date (as defined below) and any Date of Delivery (as defined below), and agrees with the Sales Agent, as follows:</w:t>
      </w:r>
    </w:p>
    <w:p>
      <w:pPr>
        <w:spacing w:after="0" w:line="67" w:lineRule="exact"/>
        <w:rPr>
          <w:rFonts w:ascii="Times New Roman" w:cs="Times New Roman" w:eastAsia="Times New Roman" w:hAnsi="Times New Roman"/>
          <w:sz w:val="18"/>
          <w:szCs w:val="18"/>
          <w:color w:val="auto"/>
        </w:rPr>
      </w:pPr>
    </w:p>
    <w:p>
      <w:pPr>
        <w:ind w:left="440" w:firstLine="948"/>
        <w:spacing w:after="0" w:line="256" w:lineRule="auto"/>
        <w:tabs>
          <w:tab w:leader="none" w:pos="160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Except as otherwise stated therein, since the respective dates as of which information is given or incorporated by reference in the Registration Statement or the Prospectus, there has been no material adverse change in the condition, financial or otherwise, or in the business, financial condition, capitalization, prospects or regulatory status of the Adviser or the Administrator, whether or not arising in the ordinary course of business, or on the ability of the Adviser or the Administrator to carry out its obligations under this Agreement, the Investment Management Agreement or the Administration Agreement (collectively, an “Adviser/Administrator Material Adverse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8" w:name="page19"/>
    <w:bookmarkEnd w:id="18"/>
    <w:p>
      <w:pPr>
        <w:ind w:right="100" w:firstLine="948"/>
        <w:spacing w:after="0" w:line="255" w:lineRule="auto"/>
        <w:tabs>
          <w:tab w:leader="none" w:pos="121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Good Standing</w:t>
      </w:r>
      <w:r>
        <w:rPr>
          <w:rFonts w:ascii="Times New Roman" w:cs="Times New Roman" w:eastAsia="Times New Roman" w:hAnsi="Times New Roman"/>
          <w:sz w:val="18"/>
          <w:szCs w:val="18"/>
          <w:color w:val="auto"/>
        </w:rPr>
        <w:t>. Each of the Adviser and the Administrator has been duly organized and is validly existing as a limited liability company, in good standing under the laws of its state of organization and has limited liability company power and authority to own, lease and operate its properties and to conduct its business as described in the Registration Statement and the Prospectus and to enter into this Agreement and perform its obligations under this Agreement and the Investment Management Agreement; and each of the Adviser and the Administrator is duly qualified as a foreign entity to transact business and is in good standing in each other jurisdiction in which such qualification is required, whether by reason of the ownership or leasing of property or the conduct of business, except where the failure so to qualify or to be in good standing would not otherwise reasonably be expected to result in an Adviser/Administrator Material Adverse Effect.</w:t>
      </w:r>
    </w:p>
    <w:p>
      <w:pPr>
        <w:spacing w:after="0" w:line="80" w:lineRule="exact"/>
        <w:rPr>
          <w:rFonts w:ascii="Times New Roman" w:cs="Times New Roman" w:eastAsia="Times New Roman" w:hAnsi="Times New Roman"/>
          <w:sz w:val="18"/>
          <w:szCs w:val="18"/>
          <w:color w:val="auto"/>
        </w:rPr>
      </w:pPr>
    </w:p>
    <w:p>
      <w:pPr>
        <w:ind w:firstLine="948"/>
        <w:spacing w:after="0" w:line="258" w:lineRule="auto"/>
        <w:tabs>
          <w:tab w:leader="none" w:pos="12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Under Advisers Act</w:t>
      </w:r>
      <w:r>
        <w:rPr>
          <w:rFonts w:ascii="Times New Roman" w:cs="Times New Roman" w:eastAsia="Times New Roman" w:hAnsi="Times New Roman"/>
          <w:sz w:val="18"/>
          <w:szCs w:val="18"/>
          <w:color w:val="auto"/>
        </w:rPr>
        <w:t>. The Adviser is duly registered with the Commission as an investment adviser under the Advisers Act and is not prohibited by the Advisers Act or the 1940 Act from acting under the Investment Management Agreement for the Company as contemplated by the Registration Statement and the Prospectus. There does not exist any proceeding or, to the Adviser’s knowledge, any facts or circumstances the existence of which could lead to any proceeding which might adversely affect the registration of the Adviser with the Commission.</w:t>
      </w:r>
    </w:p>
    <w:p>
      <w:pPr>
        <w:spacing w:after="0" w:line="75" w:lineRule="exact"/>
        <w:rPr>
          <w:rFonts w:ascii="Times New Roman" w:cs="Times New Roman" w:eastAsia="Times New Roman" w:hAnsi="Times New Roman"/>
          <w:sz w:val="18"/>
          <w:szCs w:val="18"/>
          <w:color w:val="auto"/>
        </w:rPr>
      </w:pPr>
    </w:p>
    <w:p>
      <w:pPr>
        <w:ind w:right="160" w:firstLine="948"/>
        <w:spacing w:after="0" w:line="272" w:lineRule="auto"/>
        <w:tabs>
          <w:tab w:leader="none" w:pos="125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Absence of Proceedings</w:t>
      </w:r>
      <w:r>
        <w:rPr>
          <w:rFonts w:ascii="Times New Roman" w:cs="Times New Roman" w:eastAsia="Times New Roman" w:hAnsi="Times New Roman"/>
          <w:sz w:val="17"/>
          <w:szCs w:val="17"/>
          <w:color w:val="auto"/>
        </w:rPr>
        <w:t>. Except as disclosed in the Registration Statement and the Prospectus, there is no action, suit, proceeding or, to the knowledge of the Adviser or the Administrator, inquiry or investigation before or brought by any arbitrator, court, governmental body, regulatory body, administrative agency or other authority, body or agency having jurisdiction over the Adviser or the Administrator or any of their properties, assets or operations now pending or, to the knowledge of the Adviser or the Administrator, threatened, against or affecting the Adviser or the Administrator, which is required to be disclosed in the Registration Statement (other than as disclosed therein) or which would reasonably be expected to result in an Adviser/Administrator Material Adverse Effect, or which would reasonably be expected to materially and adversely affect the consummation of the transactions contemplated in this Agreement, the Investment Management Agreement or the Administration Agreement or the performance by the Adviser or the Administrator of its obligations hereunder or thereunder.</w:t>
      </w:r>
    </w:p>
    <w:p>
      <w:pPr>
        <w:spacing w:after="0" w:line="63" w:lineRule="exact"/>
        <w:rPr>
          <w:rFonts w:ascii="Times New Roman" w:cs="Times New Roman" w:eastAsia="Times New Roman" w:hAnsi="Times New Roman"/>
          <w:sz w:val="17"/>
          <w:szCs w:val="17"/>
          <w:color w:val="auto"/>
        </w:rPr>
      </w:pPr>
    </w:p>
    <w:p>
      <w:pPr>
        <w:ind w:firstLine="948"/>
        <w:spacing w:after="0" w:line="261" w:lineRule="auto"/>
        <w:tabs>
          <w:tab w:leader="none" w:pos="120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Violations and Defaults</w:t>
      </w:r>
      <w:r>
        <w:rPr>
          <w:rFonts w:ascii="Times New Roman" w:cs="Times New Roman" w:eastAsia="Times New Roman" w:hAnsi="Times New Roman"/>
          <w:sz w:val="18"/>
          <w:szCs w:val="18"/>
          <w:color w:val="auto"/>
        </w:rPr>
        <w:t>. Neither the Adviser nor the Administrator is (A) in violation of its limited liability company agreement, (B) in default under any contract, indenture, mortgage, deed of trust, loan or credit agreement, note, lease or other agreement or instrument to which the Adviser or the Administrator is a party or by which it may be bound or to which any of its properties or assets is subject (collectively, the “Adviser/Administrator Agreements and Instruments”), except for such defaults that</w:t>
      </w:r>
    </w:p>
    <w:p>
      <w:pPr>
        <w:spacing w:after="0" w:line="11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480"/>
          </w:cols>
          <w:pgMar w:left="880" w:top="270" w:right="539" w:bottom="1440" w:gutter="0" w:footer="0" w:header="0"/>
        </w:sectPr>
      </w:pPr>
    </w:p>
    <w:bookmarkStart w:id="19" w:name="page20"/>
    <w:bookmarkEnd w:id="19"/>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would not reasonably be expected, singly or in the aggregate, to result in an Adviser/Administrator Material Adverse Effect, or (C) in violation of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for such violations that would not reasonably be expected, singly or in the aggregate, to result in an Adviser/Administrator Material Adverse Effect.</w:t>
      </w:r>
    </w:p>
    <w:p>
      <w:pPr>
        <w:spacing w:after="0" w:line="75" w:lineRule="exact"/>
        <w:rPr>
          <w:sz w:val="20"/>
          <w:szCs w:val="20"/>
          <w:color w:val="auto"/>
        </w:rPr>
      </w:pPr>
    </w:p>
    <w:p>
      <w:pPr>
        <w:ind w:left="4" w:right="40" w:firstLine="948"/>
        <w:spacing w:after="0" w:line="267" w:lineRule="auto"/>
        <w:tabs>
          <w:tab w:leader="none" w:pos="12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Absence of Conflicts</w:t>
      </w:r>
      <w:r>
        <w:rPr>
          <w:rFonts w:ascii="Times New Roman" w:cs="Times New Roman" w:eastAsia="Times New Roman" w:hAnsi="Times New Roman"/>
          <w:sz w:val="17"/>
          <w:szCs w:val="17"/>
          <w:color w:val="auto"/>
        </w:rPr>
        <w:t>.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Adviser and the Administrator with their obligations hereunder and thereunder do not and will not, whether with or without the giving of notice of passage of time or both, conflict with or constitute a breach of, or default under, or result in the creation or imposition of any lien, charge or encumbrance upon any properties or assets of the Adviser or the Administrator or pursuant to, the Adviser/Administrator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the Administrator, or liens, charges or encumbrances that would not reasonably be expected, singly or in the aggregate, to result in an Adviser/Administrator Material Adverse Effect), nor will such action result in any violation of the provisions of (a) the limited liability company agreement of the Adviser or the Administrator, or</w:t>
      </w:r>
    </w:p>
    <w:p>
      <w:pPr>
        <w:spacing w:after="0" w:line="2" w:lineRule="exact"/>
        <w:rPr>
          <w:rFonts w:ascii="Times New Roman" w:cs="Times New Roman" w:eastAsia="Times New Roman" w:hAnsi="Times New Roman"/>
          <w:sz w:val="17"/>
          <w:szCs w:val="17"/>
          <w:color w:val="auto"/>
        </w:rPr>
      </w:pPr>
    </w:p>
    <w:p>
      <w:pPr>
        <w:jc w:val="both"/>
        <w:ind w:left="4" w:hanging="4"/>
        <w:spacing w:after="0" w:line="253" w:lineRule="auto"/>
        <w:tabs>
          <w:tab w:leader="none" w:pos="25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in the case of (b) above, for any violation that would not reasonably be expected, singly or in the aggregate, to result in an Adviser/Administrator Material Adverse Effect.</w:t>
      </w:r>
    </w:p>
    <w:p>
      <w:pPr>
        <w:spacing w:after="0" w:line="80" w:lineRule="exact"/>
        <w:rPr>
          <w:rFonts w:ascii="Times New Roman" w:cs="Times New Roman" w:eastAsia="Times New Roman" w:hAnsi="Times New Roman"/>
          <w:sz w:val="18"/>
          <w:szCs w:val="18"/>
          <w:color w:val="auto"/>
        </w:rPr>
      </w:pPr>
    </w:p>
    <w:p>
      <w:pPr>
        <w:ind w:left="4" w:right="100" w:firstLine="948"/>
        <w:spacing w:after="0" w:line="282" w:lineRule="auto"/>
        <w:tabs>
          <w:tab w:leader="none" w:pos="131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this Agreement</w:t>
      </w:r>
      <w:r>
        <w:rPr>
          <w:rFonts w:ascii="Times New Roman" w:cs="Times New Roman" w:eastAsia="Times New Roman" w:hAnsi="Times New Roman"/>
          <w:sz w:val="18"/>
          <w:szCs w:val="18"/>
          <w:color w:val="auto"/>
        </w:rPr>
        <w:t>. This Agreement has been duly authorized, executed and delivered by each of the Adviser and the Administrator.</w:t>
      </w:r>
    </w:p>
    <w:p>
      <w:pPr>
        <w:spacing w:after="0" w:line="53" w:lineRule="exact"/>
        <w:rPr>
          <w:rFonts w:ascii="Times New Roman" w:cs="Times New Roman" w:eastAsia="Times New Roman" w:hAnsi="Times New Roman"/>
          <w:sz w:val="18"/>
          <w:szCs w:val="18"/>
          <w:color w:val="auto"/>
        </w:rPr>
      </w:pPr>
    </w:p>
    <w:p>
      <w:pPr>
        <w:ind w:left="4" w:right="40" w:firstLine="948"/>
        <w:spacing w:after="0" w:line="256" w:lineRule="auto"/>
        <w:tabs>
          <w:tab w:leader="none" w:pos="13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Management Agreement and Administration Agreement</w:t>
      </w:r>
      <w:r>
        <w:rPr>
          <w:rFonts w:ascii="Times New Roman" w:cs="Times New Roman" w:eastAsia="Times New Roman" w:hAnsi="Times New Roman"/>
          <w:sz w:val="18"/>
          <w:szCs w:val="18"/>
          <w:color w:val="auto"/>
        </w:rPr>
        <w:t>. Each of the Investment Management Agreement and Administration Agreement has been duly authorized, executed and delivered by the Adviser or the Administrator, as applicable, and is a valid and binding obligation of the Adviser or the Administrator, as applicable, enforceable against it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4"/>
          </w:cols>
          <w:pgMar w:left="876" w:top="270" w:right="459" w:bottom="1440" w:gutter="0" w:footer="0" w:header="0"/>
        </w:sectPr>
      </w:pPr>
    </w:p>
    <w:bookmarkStart w:id="20" w:name="page21"/>
    <w:bookmarkEnd w:id="20"/>
    <w:p>
      <w:pPr>
        <w:ind w:right="20" w:firstLine="948"/>
        <w:spacing w:after="0" w:line="254" w:lineRule="auto"/>
        <w:tabs>
          <w:tab w:leader="none" w:pos="12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court or governmental authority or agency is necessary or required for the performance by the Adviser or the Administrator of their obligations hereunder or, in connection with the offering, the issuance or sale of the Securities 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 except (A) such as have been already made or obtained, including under the 1933 Act, the 1933 Act Regulations, state securities laws or the rules of FINRA and (B) where the failure to obtain any such filing, authorization, approval, consent, license, order, registration, qualification or decree would not reasonably be expected, singly or in the aggregate, to result in an Adviser/Administrator Material Adverse Effect.</w:t>
      </w:r>
    </w:p>
    <w:p>
      <w:pPr>
        <w:spacing w:after="0" w:line="80" w:lineRule="exact"/>
        <w:rPr>
          <w:rFonts w:ascii="Times New Roman" w:cs="Times New Roman" w:eastAsia="Times New Roman" w:hAnsi="Times New Roman"/>
          <w:sz w:val="18"/>
          <w:szCs w:val="18"/>
          <w:color w:val="auto"/>
        </w:rPr>
      </w:pPr>
    </w:p>
    <w:p>
      <w:pPr>
        <w:jc w:val="both"/>
        <w:ind w:right="160" w:firstLine="948"/>
        <w:spacing w:after="0" w:line="266" w:lineRule="auto"/>
        <w:tabs>
          <w:tab w:leader="none" w:pos="12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Descriptions of Adviser and Administrator</w:t>
      </w:r>
      <w:r>
        <w:rPr>
          <w:rFonts w:ascii="Times New Roman" w:cs="Times New Roman" w:eastAsia="Times New Roman" w:hAnsi="Times New Roman"/>
          <w:sz w:val="18"/>
          <w:szCs w:val="18"/>
          <w:color w:val="auto"/>
        </w:rPr>
        <w:t>. The descriptions of the Adviser and the Administrator contained in the Registration Statement and the Prospectus does not contain any untrue statement of a material fact or omit to state a material fact required to be stated therein or necessary to make the statements therein, in the light of the circumstances under which they were made, not misleading.</w:t>
      </w:r>
    </w:p>
    <w:p>
      <w:pPr>
        <w:spacing w:after="0" w:line="67" w:lineRule="exact"/>
        <w:rPr>
          <w:rFonts w:ascii="Times New Roman" w:cs="Times New Roman" w:eastAsia="Times New Roman" w:hAnsi="Times New Roman"/>
          <w:sz w:val="18"/>
          <w:szCs w:val="18"/>
          <w:color w:val="auto"/>
        </w:rPr>
      </w:pPr>
    </w:p>
    <w:p>
      <w:pPr>
        <w:jc w:val="both"/>
        <w:ind w:firstLine="948"/>
        <w:spacing w:after="0" w:line="272" w:lineRule="auto"/>
        <w:tabs>
          <w:tab w:leader="none" w:pos="125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Possession of Licenses and Permits</w:t>
      </w:r>
      <w:r>
        <w:rPr>
          <w:rFonts w:ascii="Times New Roman" w:cs="Times New Roman" w:eastAsia="Times New Roman" w:hAnsi="Times New Roman"/>
          <w:sz w:val="17"/>
          <w:szCs w:val="17"/>
          <w:color w:val="auto"/>
        </w:rPr>
        <w:t>. Each of the Adviser and the Administrator possesses such Governmental Licenses issued by the appropriate federal, state, local or foreign regulatory agencies or bodies necessary to conduct the business now operated by it, except where the failure so to possess would not reasonably be expected, singly or in the aggregate, to result in an Adviser/Administrator Material Adverse Effect.</w:t>
      </w:r>
    </w:p>
    <w:p>
      <w:pPr>
        <w:spacing w:after="0" w:line="1" w:lineRule="exact"/>
        <w:rPr>
          <w:rFonts w:ascii="Times New Roman" w:cs="Times New Roman" w:eastAsia="Times New Roman" w:hAnsi="Times New Roman"/>
          <w:sz w:val="17"/>
          <w:szCs w:val="17"/>
          <w:color w:val="auto"/>
        </w:rPr>
      </w:pPr>
    </w:p>
    <w:p>
      <w:pPr>
        <w:ind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of the Adviser and the Administrator is in compliance with the terms and conditions of all such Governmental Licenses, except where the failure so to comply would not reasonably be expected, singly or in the aggregate, to result in an Adviser/Administrator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Adviser/Administrator Material Adverse Effect. Each of the Adviser and the Administrator has not received any notice of proceedings relating to the revocation or modification of any such Governmental Licenses which, singly or in the aggregate, if the subject of an unfavorable decision, ruling or finding, would reasonably be expected to result in an Adviser/Administrator Material Adverse Effect.</w:t>
      </w:r>
    </w:p>
    <w:p>
      <w:pPr>
        <w:spacing w:after="0" w:line="80" w:lineRule="exact"/>
        <w:rPr>
          <w:rFonts w:ascii="Times New Roman" w:cs="Times New Roman" w:eastAsia="Times New Roman" w:hAnsi="Times New Roman"/>
          <w:sz w:val="17"/>
          <w:szCs w:val="17"/>
          <w:color w:val="auto"/>
        </w:rPr>
      </w:pPr>
    </w:p>
    <w:p>
      <w:pPr>
        <w:ind w:firstLine="948"/>
        <w:spacing w:after="0" w:line="261" w:lineRule="auto"/>
        <w:tabs>
          <w:tab w:leader="none" w:pos="13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Stabilization and Manipulation</w:t>
      </w:r>
      <w:r>
        <w:rPr>
          <w:rFonts w:ascii="Times New Roman" w:cs="Times New Roman" w:eastAsia="Times New Roman" w:hAnsi="Times New Roman"/>
          <w:sz w:val="18"/>
          <w:szCs w:val="18"/>
          <w:color w:val="auto"/>
        </w:rPr>
        <w:t>. Neither the Adviser nor the Administrator has taken, nor will take, directly or indirectly, without giving effect to any activities by the Sales Agent, any action designed, or that would reasonably be expected, to cause or result in, or which constitutes, the stabilization or manipulation of the price of the Securities, other than activity permitted pursuant to Rule 10b-18 under the 1934 Act.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21" w:name="page22"/>
    <w:bookmarkEnd w:id="21"/>
    <w:p>
      <w:pPr>
        <w:ind w:firstLine="948"/>
        <w:spacing w:after="0" w:line="253" w:lineRule="auto"/>
        <w:tabs>
          <w:tab w:leader="none" w:pos="135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Foreign Corrupt Practices Act</w:t>
      </w:r>
      <w:r>
        <w:rPr>
          <w:rFonts w:ascii="Times New Roman" w:cs="Times New Roman" w:eastAsia="Times New Roman" w:hAnsi="Times New Roman"/>
          <w:sz w:val="18"/>
          <w:szCs w:val="18"/>
          <w:color w:val="auto"/>
        </w:rPr>
        <w:t>. None of the Adviser, the Administrator or, to the knowledge of the Adviser or the Administrator, any director, officer or employee of the Adviser or the Administrator or any agent, controlled affiliate or other person acting on behalf of the Adviser or the Administrator is aware of, has taken or will take any action, directly or indirectly, that would result in a violation by such persons of the FCPA, in connection with the business of the Company,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Adviser or the Administrator, the Adviser and the Administrator have conducted its business, in relation to the Company, in compliance with the FCPA and has instituted and maintain policies and procedures designed to ensure, and which are reasonably expected to continue to ensure, continued compliance therewith.</w:t>
      </w:r>
    </w:p>
    <w:p>
      <w:pPr>
        <w:spacing w:after="0" w:line="86" w:lineRule="exact"/>
        <w:rPr>
          <w:rFonts w:ascii="Times New Roman" w:cs="Times New Roman" w:eastAsia="Times New Roman" w:hAnsi="Times New Roman"/>
          <w:sz w:val="18"/>
          <w:szCs w:val="18"/>
          <w:color w:val="auto"/>
        </w:rPr>
      </w:pPr>
    </w:p>
    <w:p>
      <w:pPr>
        <w:ind w:right="20" w:firstLine="948"/>
        <w:spacing w:after="0" w:line="256" w:lineRule="auto"/>
        <w:tabs>
          <w:tab w:leader="none" w:pos="13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the Adviser and the Administrator are and have been conducted at all times in compliance with applicable financial recordkeeping and reporting requirements of the Anti-Money Laundering Laws; and no action, suit or proceeding by or before any arbitrator, court, governmental body, regulatory body, administrative agency or other authority, body or agency having jurisdiction over the Adviser and the Administrator or any of their properties, assets or operations involving the Adviser or the Administrator with respect to the Anti-Money Laundering Laws is pending or, to the best knowledge of the Adviser or the Administrator, threatened.</w:t>
      </w:r>
    </w:p>
    <w:p>
      <w:pPr>
        <w:spacing w:after="0" w:line="79" w:lineRule="exact"/>
        <w:rPr>
          <w:rFonts w:ascii="Times New Roman" w:cs="Times New Roman" w:eastAsia="Times New Roman" w:hAnsi="Times New Roman"/>
          <w:sz w:val="18"/>
          <w:szCs w:val="18"/>
          <w:color w:val="auto"/>
        </w:rPr>
      </w:pPr>
    </w:p>
    <w:p>
      <w:pPr>
        <w:ind w:firstLine="948"/>
        <w:spacing w:after="0" w:line="255" w:lineRule="auto"/>
        <w:tabs>
          <w:tab w:leader="none" w:pos="12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the Adviser, the Administrator or, to the knowledge of the Adviser or the Administrator, any director, officer or employee of the Adviser or the Administrator or any agent, controlled affiliate or other person acting on behalf of the Adviser or the Administrator is a Person, or is controlled by a Person that is, (i) currently the subject or target of Sanctions, or (ii) located, organized or resident in a country or territory that is itself the subject of comprehensive Sanctions (currently Belarus, Cuba, Iran, North Korea, Russia, Syria and Crimea, Donetsk and Luhansk regions of Ukraine). During the last five years, neither the Adviser nor the Administrator has knowingly engaged in, and is not now knowingly engaged in, any unauthorized dealings or transactions with any Person that at the time of the dealing or transaction is or was the subject or target of Sanctions.</w:t>
      </w:r>
    </w:p>
    <w:p>
      <w:pPr>
        <w:spacing w:after="0" w:line="80" w:lineRule="exact"/>
        <w:rPr>
          <w:rFonts w:ascii="Times New Roman" w:cs="Times New Roman" w:eastAsia="Times New Roman" w:hAnsi="Times New Roman"/>
          <w:sz w:val="18"/>
          <w:szCs w:val="18"/>
          <w:color w:val="auto"/>
        </w:rPr>
      </w:pPr>
    </w:p>
    <w:p>
      <w:pPr>
        <w:ind w:firstLine="948"/>
        <w:spacing w:after="0" w:line="258" w:lineRule="auto"/>
        <w:tabs>
          <w:tab w:leader="none" w:pos="13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Key Employees</w:t>
      </w:r>
      <w:r>
        <w:rPr>
          <w:rFonts w:ascii="Times New Roman" w:cs="Times New Roman" w:eastAsia="Times New Roman" w:hAnsi="Times New Roman"/>
          <w:sz w:val="18"/>
          <w:szCs w:val="18"/>
          <w:color w:val="auto"/>
        </w:rPr>
        <w:t>. Neither the Adviser nor the Administrator is aware that (i) any of its executives, key employees or significant group of employees plans to terminate employment with the Adviser or the Administrator or (ii) any such executive or key employee is subject to any noncompete, nondisclosure, confidentiality, employment, consulting or similar agreement that would be violated by either the Adviser’s or the Administrator’s present or proposed business activities, except, in each case, as would not reasonably be expected, singly or in the aggregate, to result in an Adviser/Administrator Material Adverse Effect.</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70" w:right="459" w:bottom="1440" w:gutter="0" w:footer="0" w:header="0"/>
        </w:sectPr>
      </w:pPr>
    </w:p>
    <w:bookmarkStart w:id="22" w:name="page23"/>
    <w:bookmarkEnd w:id="22"/>
    <w:p>
      <w:pPr>
        <w:ind w:left="440" w:right="140" w:firstLine="948"/>
        <w:spacing w:after="0" w:line="258" w:lineRule="auto"/>
        <w:tabs>
          <w:tab w:leader="none" w:pos="183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Labor Disputes</w:t>
      </w:r>
      <w:r>
        <w:rPr>
          <w:rFonts w:ascii="Times New Roman" w:cs="Times New Roman" w:eastAsia="Times New Roman" w:hAnsi="Times New Roman"/>
          <w:sz w:val="18"/>
          <w:szCs w:val="18"/>
          <w:color w:val="auto"/>
        </w:rPr>
        <w:t>. No labor disturbance by or dispute with employees of the Adviser or the Administrator or any of their subsidiaries exists or, to the knowledge of the Adviser or the Administrator, is contemplated or threatened, and neither the Adviser nor the Administrator is aware of any existing or imminent labor disturbance by, or dispute with, the employees or any of its or its subsidiaries’ principal suppliers, contractors or customers, except in each case as would not reasonably be expected to result in an Adviser/Administrator Material Adverse Effect.</w:t>
      </w:r>
    </w:p>
    <w:p>
      <w:pPr>
        <w:spacing w:after="0" w:line="75" w:lineRule="exact"/>
        <w:rPr>
          <w:rFonts w:ascii="Times New Roman" w:cs="Times New Roman" w:eastAsia="Times New Roman" w:hAnsi="Times New Roman"/>
          <w:sz w:val="18"/>
          <w:szCs w:val="18"/>
          <w:color w:val="auto"/>
        </w:rPr>
      </w:pPr>
    </w:p>
    <w:p>
      <w:pPr>
        <w:ind w:left="440" w:right="280" w:firstLine="948"/>
        <w:spacing w:after="0" w:line="270" w:lineRule="auto"/>
        <w:tabs>
          <w:tab w:leader="none" w:pos="1886"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Accounting Controls</w:t>
      </w:r>
      <w:r>
        <w:rPr>
          <w:rFonts w:ascii="Times New Roman" w:cs="Times New Roman" w:eastAsia="Times New Roman" w:hAnsi="Times New Roman"/>
          <w:sz w:val="17"/>
          <w:szCs w:val="17"/>
          <w:color w:val="auto"/>
        </w:rPr>
        <w:t>. The Adviser and the Administrator maintain systems of internal accounting controls sufficient to provide reasonable assurance that (A) transactions effectuated by them under the Investment Management Agreement and the Administration Agreement, as applicable, are executed in accordance with its management’s general or specific authorization; (B) access to the Company’s consolidated assets that are in its possession or control is permitted only in accordance with its management’s general or specific authorization;</w:t>
      </w:r>
    </w:p>
    <w:p>
      <w:pPr>
        <w:spacing w:after="0" w:line="2" w:lineRule="exact"/>
        <w:rPr>
          <w:rFonts w:ascii="Times New Roman" w:cs="Times New Roman" w:eastAsia="Times New Roman" w:hAnsi="Times New Roman"/>
          <w:sz w:val="17"/>
          <w:szCs w:val="17"/>
          <w:color w:val="auto"/>
        </w:rPr>
      </w:pPr>
    </w:p>
    <w:p>
      <w:pPr>
        <w:ind w:left="440" w:right="180" w:hanging="4"/>
        <w:spacing w:after="0" w:line="253" w:lineRule="auto"/>
        <w:tabs>
          <w:tab w:leader="none" w:pos="7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for which it has bookkeeping and record-keeping responsibility under the Investment Management Agreement and the Administration Agreement are recorded as necessary to permit preparation of the Company’s financial statements in conformity with GAAP and to maintain financial statements in conformity with GAAP and to maintain accountability for the Company’s assets and (D) the recorded accountability for such assets is compared with existing assets at reasonable intervals and appropriate action is taken with respect to any differences.</w:t>
      </w:r>
    </w:p>
    <w:p>
      <w:pPr>
        <w:spacing w:after="0" w:line="78" w:lineRule="exact"/>
        <w:rPr>
          <w:rFonts w:ascii="Times New Roman" w:cs="Times New Roman" w:eastAsia="Times New Roman" w:hAnsi="Times New Roman"/>
          <w:sz w:val="18"/>
          <w:szCs w:val="18"/>
          <w:color w:val="auto"/>
        </w:rPr>
      </w:pPr>
    </w:p>
    <w:p>
      <w:pPr>
        <w:ind w:left="440" w:right="400" w:firstLine="948"/>
        <w:spacing w:after="0" w:line="266" w:lineRule="auto"/>
        <w:tabs>
          <w:tab w:leader="none" w:pos="178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Resources</w:t>
      </w:r>
      <w:r>
        <w:rPr>
          <w:rFonts w:ascii="Times New Roman" w:cs="Times New Roman" w:eastAsia="Times New Roman" w:hAnsi="Times New Roman"/>
          <w:sz w:val="18"/>
          <w:szCs w:val="18"/>
          <w:color w:val="auto"/>
        </w:rPr>
        <w:t>. Each of the Adviser and the Administrator has the financial resources available to it necessary for the performance of its services and obligations as contemplated by the Registration Statement, the Prospectus and the Investment Management Agreement.</w:t>
      </w:r>
    </w:p>
    <w:p>
      <w:pPr>
        <w:spacing w:after="0" w:line="174" w:lineRule="exact"/>
        <w:rPr>
          <w:sz w:val="20"/>
          <w:szCs w:val="20"/>
          <w:color w:val="auto"/>
        </w:rPr>
      </w:pPr>
    </w:p>
    <w:p>
      <w:pPr>
        <w:ind w:right="160" w:firstLine="987"/>
        <w:spacing w:after="0" w:line="267"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Certificates</w:t>
      </w:r>
      <w:r>
        <w:rPr>
          <w:rFonts w:ascii="Times New Roman" w:cs="Times New Roman" w:eastAsia="Times New Roman" w:hAnsi="Times New Roman"/>
          <w:sz w:val="18"/>
          <w:szCs w:val="18"/>
          <w:color w:val="auto"/>
        </w:rPr>
        <w:t>. Any certificate signed by any officer of the Company, any of the Subsidiaries, the Adviser or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to the Sales Agent or to counsel for the Sales Agent shall be deemed a representation and warranty by the Company, the Adviser or the Administrator, as applicable, to the Sales Agent as to the matters covered thereby.</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Sale and Delivery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6" w:lineRule="auto"/>
        <w:tabs>
          <w:tab w:leader="none" w:pos="12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warranties and agreements herein contained, but subject to the terms and conditions herein set forth, the Company agrees to sell Securities from time to time through the Sales Agent, and the Sales Agent agrees to use its commercially reasonable efforts to sell, as sales agent for the Company, the Securities on the following terms.</w:t>
      </w:r>
    </w:p>
    <w:p>
      <w:pPr>
        <w:spacing w:after="0" w:line="67" w:lineRule="exact"/>
        <w:rPr>
          <w:rFonts w:ascii="Times New Roman" w:cs="Times New Roman" w:eastAsia="Times New Roman" w:hAnsi="Times New Roman"/>
          <w:sz w:val="18"/>
          <w:szCs w:val="18"/>
          <w:color w:val="auto"/>
        </w:rPr>
      </w:pPr>
    </w:p>
    <w:p>
      <w:pPr>
        <w:ind w:left="440" w:right="40" w:firstLine="948"/>
        <w:spacing w:after="0" w:line="261" w:lineRule="auto"/>
        <w:tabs>
          <w:tab w:leader="none" w:pos="160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time that the Company wishes to sell Securities on any day that is a trading day for the New York Stock Exchange (a “Trading Day”) (other than a Trading Day on which the New York Stock Exchange is scheduled to close prior to its regular weekday closing time) pursuant to this Agreement (each, a “Placement”), the Company will instruct the Sales Agent in writing of the parameters in accordance with which it desires Securities to be sold, which shall at a minimum include the number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23" w:name="page24"/>
    <w:bookmarkEnd w:id="23"/>
    <w:p>
      <w:pPr>
        <w:ind w:left="4" w:right="6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Securities to be offered, the time period during which sales are requested to be made, the minimum price below which sales may not be made and any limitation on the number of Securities that may be sold in any one day (a “Placement Notice”). The Sales Agent will, prior to 4:30 p.m. (New York City time) or, if later, within three hours after receipt of the Placement Notice, on the same business day (as defined below) on which such Placement Notice is delivered to the Sales Agent, issue to the Company a notice by email addressed to all of the Authorized Representatives (as defined below) confirming all of the parameters of the Placement. The Placement Notice shall be effective upon receipt by any of the Authorized Representatives of the email notice from the Sales Agent, unless and until (i) the entire amount of the Securities covered by the Placement Notice have been sold, (ii) in accordance with </w:t>
      </w:r>
      <w:r>
        <w:rPr>
          <w:rFonts w:ascii="Times New Roman" w:cs="Times New Roman" w:eastAsia="Times New Roman" w:hAnsi="Times New Roman"/>
          <w:sz w:val="17"/>
          <w:szCs w:val="17"/>
          <w:u w:val="single" w:color="auto"/>
          <w:color w:val="auto"/>
        </w:rPr>
        <w:t>Section 2(a)(ii)</w:t>
      </w:r>
      <w:r>
        <w:rPr>
          <w:rFonts w:ascii="Times New Roman" w:cs="Times New Roman" w:eastAsia="Times New Roman" w:hAnsi="Times New Roman"/>
          <w:sz w:val="17"/>
          <w:szCs w:val="17"/>
          <w:color w:val="auto"/>
        </w:rPr>
        <w:t xml:space="preserve"> hereof, the Company or the Sales Agent suspends or terminates the Placement Notice,</w:t>
      </w:r>
    </w:p>
    <w:p>
      <w:pPr>
        <w:spacing w:after="0" w:line="2" w:lineRule="exact"/>
        <w:rPr>
          <w:sz w:val="20"/>
          <w:szCs w:val="20"/>
          <w:color w:val="auto"/>
        </w:rPr>
      </w:pPr>
    </w:p>
    <w:p>
      <w:pPr>
        <w:ind w:left="4" w:hanging="4"/>
        <w:spacing w:after="0" w:line="251" w:lineRule="auto"/>
        <w:tabs>
          <w:tab w:leader="none" w:pos="3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issues a subsequent Placement Notice with parameters superseding those on the earlier dated Placement Notice, or (iv) this Agreement has been terminated under the provisions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Subject to the terms and conditions hereof, the Sales Agent shall use its commercially reasonable efforts to offer and sell all of the Securities designated in the Placement Notice; provided, however, that the Sales Agent shall have no obligation to offer or sell any Securities, and the Company acknowledges and agrees that the Sales Agent shall have no such obligation in the event an offer or sale of the Securities on behalf of the Company may in the judgment of the Sales Agent constitute the sale of a “block” under Rule 10b-18(a)(5) under the 1934 Act, or a “distribution” within the meaning of Rule 100 of Regulation M under the 1934 Act or the Sales Agent reasonably believes it may be deemed an “underwriter” under the 1933 Act in a transaction that is other than (A) by means of ordinary brokers’ transactions between members of the New York Stock Exchange that qualify for delivery of a Prospectus to the New York Stock Exchange in accordance with Rule 153 under the 1933 Act or (B) directly on or through an electronic communication network, a “dark pool” or any similar market venue (the transactions described in (A) and (B) are hereinafter referred to as “At the Market Offerings”). In the event of a conflict between the terms of this Agreement and the terms of any Placement Notice, the terms of such Placement Notice will control.</w:t>
      </w:r>
    </w:p>
    <w:p>
      <w:pPr>
        <w:spacing w:after="0" w:line="84" w:lineRule="exact"/>
        <w:rPr>
          <w:rFonts w:ascii="Times New Roman" w:cs="Times New Roman" w:eastAsia="Times New Roman" w:hAnsi="Times New Roman"/>
          <w:sz w:val="18"/>
          <w:szCs w:val="18"/>
          <w:color w:val="auto"/>
        </w:rPr>
      </w:pPr>
    </w:p>
    <w:p>
      <w:pPr>
        <w:ind w:left="4" w:right="180" w:firstLine="948"/>
        <w:spacing w:after="0" w:line="256" w:lineRule="auto"/>
        <w:tabs>
          <w:tab w:leader="none" w:pos="12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Company or the Sales Agent may, upon notice to the other party by telephone (confirmed promptly by electronic mail from such party), suspend the offering of the Securities pursuant to this Agreement or suspend or terminate a previously issued Placement Notice; provided, however, that such suspension or termination shall not affect or impair the parties’ respective obligations with respect to the Securities sold hereunder prior to the giving of such notice. Each of the parties agrees that no such notice shall be effective against the other unless it is made to one of its authorized representatives as set forth on Schedule B hereto (the “Authorized Representatives”), as such Schedule may be amended from time to time.</w:t>
      </w:r>
    </w:p>
    <w:p>
      <w:pPr>
        <w:spacing w:after="0" w:line="79" w:lineRule="exact"/>
        <w:rPr>
          <w:rFonts w:ascii="Times New Roman" w:cs="Times New Roman" w:eastAsia="Times New Roman" w:hAnsi="Times New Roman"/>
          <w:sz w:val="18"/>
          <w:szCs w:val="18"/>
          <w:color w:val="auto"/>
        </w:rPr>
      </w:pPr>
    </w:p>
    <w:p>
      <w:pPr>
        <w:ind w:left="4" w:right="60" w:firstLine="948"/>
        <w:spacing w:after="0" w:line="266" w:lineRule="auto"/>
        <w:tabs>
          <w:tab w:leader="none" w:pos="127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Sales Agent hereby covenants and agrees not to make any sales of the Securities on behalf of the Company,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other than (A) by means of At the Market Offerings and (B) such other sales of the Securities on behalf of the Company in its capacity as agent of the Company as shall be agreed by the Company and the Sales Agent.</w:t>
      </w:r>
    </w:p>
    <w:p>
      <w:pPr>
        <w:spacing w:after="0" w:line="10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44"/>
          </w:cols>
          <w:pgMar w:left="876" w:top="270" w:right="479" w:bottom="1440" w:gutter="0" w:footer="0" w:header="0"/>
        </w:sectPr>
      </w:pPr>
    </w:p>
    <w:bookmarkStart w:id="24" w:name="page25"/>
    <w:bookmarkEnd w:id="24"/>
    <w:p>
      <w:pPr>
        <w:ind w:right="20" w:firstLine="948"/>
        <w:spacing w:after="0" w:line="253" w:lineRule="auto"/>
        <w:tabs>
          <w:tab w:leader="none" w:pos="12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gross sales price of any Securities sold pursuant to this Agreement by the Sales Agent, as an agent of the Company, shall be the market price prevailing at the time of sale for Securities sold by the Sales Agent on the New York Stock Exchange or otherwise, at prices related to prevailing market prices or, subject to specific instructions of the Company, at negotiated prices. The compensation to the Sales Agent, as an agent of the Company, for sales of the Securities shall be at a mutually agreed rate up to 2.0% of the gross sales price of the Securities sold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The foregoing rate of compensation shall not apply when the Sales Agent acts as principal, in which case the Company may sell Securities to the Sales Agent as principal at a price agreed upon at the relevant applicable time pursuant to a separate agreement (each, a “Terms Agreement”) relating to such sale. The remaining proceeds, after further deduction for any transaction fees imposed by any governmental or self-regulatory organization in connection with such sales, shall constitute the net proceeds to the Company for such Securities (the “Net Proceeds”). The Sales Agent shall notify the Company as promptly as practicable if any deduction referenced in the preceding sentence will be made.</w:t>
      </w:r>
    </w:p>
    <w:p>
      <w:pPr>
        <w:spacing w:after="0" w:line="86" w:lineRule="exact"/>
        <w:rPr>
          <w:rFonts w:ascii="Times New Roman" w:cs="Times New Roman" w:eastAsia="Times New Roman" w:hAnsi="Times New Roman"/>
          <w:sz w:val="18"/>
          <w:szCs w:val="18"/>
          <w:color w:val="auto"/>
        </w:rPr>
      </w:pPr>
    </w:p>
    <w:p>
      <w:pPr>
        <w:jc w:val="both"/>
        <w:ind w:right="160" w:firstLine="948"/>
        <w:spacing w:after="0" w:line="261" w:lineRule="auto"/>
        <w:tabs>
          <w:tab w:leader="none" w:pos="120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Sales Agent shall provide written confirmation to the Company as soon as practicable following the close of trading on the New York Stock Exchange each day on which the Securities are sold under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setting forth the aggregate amount of the Securities sold on such day, the aggregate Net Proceeds to the Company, and the aggregate compensation payable by the Company to the Sales Agent with respect to such sales.</w:t>
      </w:r>
    </w:p>
    <w:p>
      <w:pPr>
        <w:spacing w:after="0" w:line="71" w:lineRule="exact"/>
        <w:rPr>
          <w:rFonts w:ascii="Times New Roman" w:cs="Times New Roman" w:eastAsia="Times New Roman" w:hAnsi="Times New Roman"/>
          <w:sz w:val="18"/>
          <w:szCs w:val="18"/>
          <w:color w:val="auto"/>
        </w:rPr>
      </w:pPr>
    </w:p>
    <w:p>
      <w:pPr>
        <w:ind w:firstLine="948"/>
        <w:spacing w:after="0" w:line="252" w:lineRule="auto"/>
        <w:tabs>
          <w:tab w:leader="none" w:pos="12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Settlement for sales of the Securities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will occur on the first Trading Day following the date on which such sales are made, unless another date shall be agreed upon by the Company and the Sales Agent (provided that, if such Trading Day is not a business day, then settlement will occur on the next succeeding Trading Day that is also a business day) (each such date, a “Settlement Date”). As used herein, the term “business day” means any day other than a Saturday, Sunday or other day on which commercial banks in The City of New York are authorized or required by law, regulation or executive order to close. On each Settlement Date, the Securities sold through the Sales Agent for settlement on such date shall be delivered by the Company (through its transfer agent) to the Sales Agent against payment of the Net Proceeds for the sale of such Securities. Settlement for all such Securities shall be effected by electronically transferring the Securities by the Company to the Sales Agent’s account, or to the account of the Sales Agent’s designee, at DTC through its Deposit and Withdrawal at Custodian System (“DWAC”) or by such other means of delivery as may be mutually agreed upon by the Company and the Sales Agent, which in all cases shall be freely tradable, transferable, registered shares eligible for delivery through DTC, in return for payments in same day funds delivered to the account designated by the Company. If the Company (or its transfer agent) shall default on its obligation to deliver the Securities on any Settlement Date, the Company shall (A) indemnify and hold the Sales Agent harmless against any loss, claim or damage arising from or as a result of such default by the Company and (B) pay the Sales Agent any commission to which it would otherwise be entitled absent such default. The Authorized Representatives, or any designees thereof as notified to the Sales Agent in writing, shall be the contact persons for the Company for all matters related to the settlement of the transfer of the Securities through DWAC for purposes of this </w:t>
      </w:r>
      <w:r>
        <w:rPr>
          <w:rFonts w:ascii="Times New Roman" w:cs="Times New Roman" w:eastAsia="Times New Roman" w:hAnsi="Times New Roman"/>
          <w:sz w:val="18"/>
          <w:szCs w:val="18"/>
          <w:u w:val="single" w:color="auto"/>
          <w:color w:val="auto"/>
        </w:rPr>
        <w:t>Section 2(a)(vi)</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0"/>
          </w:cols>
          <w:pgMar w:left="880" w:top="270" w:right="459" w:bottom="1440" w:gutter="0" w:footer="0" w:header="0"/>
        </w:sectPr>
      </w:pPr>
    </w:p>
    <w:bookmarkStart w:id="25" w:name="page26"/>
    <w:bookmarkEnd w:id="25"/>
    <w:p>
      <w:pPr>
        <w:ind w:left="440" w:right="40" w:firstLine="948"/>
        <w:spacing w:after="0" w:line="261" w:lineRule="auto"/>
        <w:tabs>
          <w:tab w:leader="none" w:pos="174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obligation of the Sales Agent to use its commercially reasonable efforts to sell the Securities on behalf of the Company shall be subject to the continuing accuracy of the representations and warranties of the Company, the Adviser and the Administrator, to the performance by the Company, the Adviser and the Administrator of their obligations hereunder and to the continuing satisfaction of the additional conditions specified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w:t>
      </w:r>
    </w:p>
    <w:p>
      <w:pPr>
        <w:spacing w:after="0" w:line="179"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wishes to sell the Securities other than as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of this Agreement, it may elect, in its sole discretion, to notify the Sales Agent of the proposed terms of such sale. If the Sales Agent, acting as principal, wishes to accept such proposed terms (which it may decline to do for any reason in its sole discretion) or, following discussions with the Company, wishes to accept amended terms, the Company will enter into a Terms Agreement setting forth the terms of such Placement. In the event of a conflict between the terms of this Agreement and the terms of any Terms Agreement, the terms of such Terms Agreement will control. For avoidance of doubt, nothing contained in this Agreement shall be construed to require the Company to engage the Sales Agent in connection with the offer and sale of any of its securities, including shares of the Common Stock, whether in connection with an underwritten offering or otherwise.</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engages the Sales Agent for a sale of Securities that would constitute the sale of a “block” under</w:t>
      </w:r>
    </w:p>
    <w:p>
      <w:pPr>
        <w:spacing w:after="0" w:line="2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Rule 10b-18(a)(5) under the 1934 Act, or a “distribution,” within the meaning of Rule 100 of Regulation M under the 1934 Act, the Company and the Sales Agent will agree to compensation that is customary for the Sales Agent with respect to such transactions.</w:t>
      </w:r>
    </w:p>
    <w:p>
      <w:pPr>
        <w:spacing w:after="0" w:line="181" w:lineRule="exact"/>
        <w:rPr>
          <w:sz w:val="20"/>
          <w:szCs w:val="20"/>
          <w:color w:val="auto"/>
        </w:rPr>
      </w:pPr>
    </w:p>
    <w:p>
      <w:pPr>
        <w:ind w:right="100" w:firstLine="987"/>
        <w:spacing w:after="0" w:line="266"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the Company cause or request the offer or sale of any Securities if, after giving effect to the sale of such Securities, the aggregate gross sales proceeds or the aggregate number of the Securities sold pursuant to this Agreement would exceed the amount available for offer and sale under the currently effective Registration Statement.</w:t>
      </w:r>
    </w:p>
    <w:p>
      <w:pPr>
        <w:spacing w:after="0" w:line="175"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has reason to believe that the exemptive provisions set forth in Rule 101(c)(1) of Regulation M under the 1934 Act are not satisfied with respect to the Securities, it shall promptly notify the other parties and sales of the Securities under this Agreement shall be suspended until that or other exemptive provisions have been satisfied in the judgment of each party. Upon the reasonable request of the Company in writing to the Sales Agent (which such request may be by electronic mail), the Sales Agent shall promptly calculate and provide in writing to the Company a report setting forth, for the prior week, the average daily trading volume (as defined in Rule 100 of Regulation M under the 1934 Act) of the Common Stock.</w:t>
      </w:r>
    </w:p>
    <w:p>
      <w:pPr>
        <w:spacing w:after="0" w:line="183" w:lineRule="exact"/>
        <w:rPr>
          <w:rFonts w:ascii="Times New Roman" w:cs="Times New Roman" w:eastAsia="Times New Roman" w:hAnsi="Times New Roman"/>
          <w:sz w:val="18"/>
          <w:szCs w:val="18"/>
          <w:color w:val="auto"/>
        </w:rPr>
      </w:pPr>
    </w:p>
    <w:p>
      <w:pPr>
        <w:ind w:firstLine="987"/>
        <w:spacing w:after="0" w:line="261" w:lineRule="auto"/>
        <w:tabs>
          <w:tab w:leader="none" w:pos="12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sale of the Securities to or through the Sales Agent shall be made in accordance with the terms of this Agreement or, if applicable, a Terms Agreement. The commitment of the Sales Agent to purchase the Securities pursuant to any Terms Agreement shall be deemed to have been made on the basis of the representations and warranties of the parties herein contained and shall be subject to the terms and conditions herein set forth. Each Terms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26" w:name="page27"/>
    <w:bookmarkEnd w:id="2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Agreement shall specify the number of the Securities to be purchased by the Sales Agent pursuant thereto, the price to be paid to the Company for such Securities, any provisions relating to rights of, and default by, underwriters acting together with the Sales Agent in the reoffering of the Securities, any provisions relating to the granting of an option to purchase additional Securities for the purpose of covering over-allotments, and the time and date (each such time and date being referred to herein as a “Date of Delivery”) and place of delivery of and payment for such Securities. Such Terms Agreement shall also specify any requirements for opinions of counsel, accountants’ letters and officers’ certificates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and any other information or documents required by the Sales Agent.</w:t>
      </w:r>
    </w:p>
    <w:p>
      <w:pPr>
        <w:spacing w:after="0" w:line="187" w:lineRule="exact"/>
        <w:rPr>
          <w:sz w:val="20"/>
          <w:szCs w:val="20"/>
          <w:color w:val="auto"/>
        </w:rPr>
      </w:pPr>
    </w:p>
    <w:p>
      <w:pPr>
        <w:ind w:right="20" w:firstLine="987"/>
        <w:spacing w:after="0" w:line="261"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such further limitations on offers and sales of Securities or delivery of instructions to offer and sell Securities as are set forth herein and as may be mutually agreed upon by the Company and the Sales Agent offers and sales of Securities pursuant to this Agreement shall not be requested by the Company and need not be made by the Sales Agent at any time when or during any period in which the Company is in possession of material non-public information.</w:t>
      </w:r>
    </w:p>
    <w:p>
      <w:pPr>
        <w:spacing w:after="0" w:line="179" w:lineRule="exact"/>
        <w:rPr>
          <w:rFonts w:ascii="Times New Roman" w:cs="Times New Roman" w:eastAsia="Times New Roman" w:hAnsi="Times New Roman"/>
          <w:sz w:val="18"/>
          <w:szCs w:val="18"/>
          <w:color w:val="auto"/>
        </w:rPr>
      </w:pPr>
    </w:p>
    <w:p>
      <w:pPr>
        <w:ind w:right="100" w:firstLine="987"/>
        <w:spacing w:after="0" w:line="254"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(A) there can be no assurance that the Sales Agent will be successful in selling the Securities, (B) the Sales Agent will not incur liability or obligation to the Company or any other person or entity if such Sales Agent does not sell Securities for any reason other than a failure by the Sales Agent to use its commercially reasonable efforts consistent with its normal trading and sales practices and applicable law and regulations to sell such Securities in accordance with the terms of this Agreement and (C) the Sales Agent shall not be under any obligation to purchase Securities on a principal basis pursuant to this Agreement, except as otherwise specifically agreed in writing by the Sales Agent and the Company. For purposes of clarification, the Sales Agent shall only be deemed to be acting as a sales agent under this Agreement during the period beginning with the delivery of a Placement Notice from the Company to the Sales Agent and ending upon the suspension or termination of such Placement Notice.</w:t>
      </w:r>
    </w:p>
    <w:p>
      <w:pPr>
        <w:spacing w:after="0" w:line="191" w:lineRule="exact"/>
        <w:rPr>
          <w:rFonts w:ascii="Times New Roman" w:cs="Times New Roman" w:eastAsia="Times New Roman" w:hAnsi="Times New Roman"/>
          <w:sz w:val="18"/>
          <w:szCs w:val="18"/>
          <w:color w:val="auto"/>
        </w:rPr>
      </w:pPr>
    </w:p>
    <w:p>
      <w:pPr>
        <w:ind w:right="100" w:firstLine="987"/>
        <w:spacing w:after="0" w:line="255" w:lineRule="auto"/>
        <w:tabs>
          <w:tab w:leader="none" w:pos="12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during the term of this Agreement, any offer to sell, any solicitation of an offer to buy, or any sales of Securities or sales of Common Stock pursuant to any At the Market Offering (as defined herein and within the meaning of Rule 415(a)(4) under the 1933 Act) shall only be effected by or through the Sales Agent or any Other Agent. Notwithstanding the foregoing or anything to the contrary in this Agreement, during the term of this Agreement, any offer to sell, any solicitation of an offer to buy, or any sales of Securities or sales of Common Stock that do not constitute an At the Market Offering (as defined herein and within the meaning of Rule 415(a)(4) under the 1933 Act), including any underwritten offering or private placement transaction exempt from the requirements of the 1933 Act, may be effected by the Company by or through any person or entity in the Company’s sole discretion.</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27" w:name="page28"/>
    <w:bookmarkEnd w:id="2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with the Sales Agent as follows:</w:t>
      </w:r>
    </w:p>
    <w:p>
      <w:pPr>
        <w:spacing w:after="0" w:line="115" w:lineRule="exact"/>
        <w:rPr>
          <w:sz w:val="20"/>
          <w:szCs w:val="20"/>
          <w:color w:val="auto"/>
        </w:rPr>
      </w:pPr>
    </w:p>
    <w:p>
      <w:pPr>
        <w:jc w:val="both"/>
        <w:ind w:left="4" w:right="560" w:firstLine="987"/>
        <w:spacing w:after="0" w:line="277" w:lineRule="auto"/>
        <w:tabs>
          <w:tab w:leader="none" w:pos="124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Compliance with Securities Regulations and Commission Requests</w:t>
      </w:r>
      <w:r>
        <w:rPr>
          <w:rFonts w:ascii="Times New Roman" w:cs="Times New Roman" w:eastAsia="Times New Roman" w:hAnsi="Times New Roman"/>
          <w:sz w:val="17"/>
          <w:szCs w:val="17"/>
          <w:color w:val="auto"/>
        </w:rPr>
        <w:t>. The Company,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3(c)</w:t>
      </w:r>
      <w:r>
        <w:rPr>
          <w:rFonts w:ascii="Times New Roman" w:cs="Times New Roman" w:eastAsia="Times New Roman" w:hAnsi="Times New Roman"/>
          <w:sz w:val="17"/>
          <w:szCs w:val="17"/>
          <w:color w:val="auto"/>
        </w:rPr>
        <w:t>, will comply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requirements of Rule 415, Rule 430B, Rule 497 and Rule 424(b), and will notify the Sales Agent immediately, and confirm the notice in writing,</w:t>
      </w:r>
    </w:p>
    <w:p>
      <w:pPr>
        <w:spacing w:after="0" w:line="1" w:lineRule="exact"/>
        <w:rPr>
          <w:rFonts w:ascii="Times New Roman" w:cs="Times New Roman" w:eastAsia="Times New Roman" w:hAnsi="Times New Roman"/>
          <w:sz w:val="17"/>
          <w:szCs w:val="17"/>
          <w:color w:val="auto"/>
        </w:rPr>
      </w:pPr>
    </w:p>
    <w:p>
      <w:pPr>
        <w:ind w:left="4" w:right="20" w:hanging="4"/>
        <w:spacing w:after="0" w:line="265" w:lineRule="auto"/>
        <w:tabs>
          <w:tab w:leader="none" w:pos="21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w:t>
      </w:r>
    </w:p>
    <w:p>
      <w:pPr>
        <w:ind w:left="4" w:hanging="4"/>
        <w:spacing w:after="0" w:line="252" w:lineRule="auto"/>
        <w:tabs>
          <w:tab w:leader="none" w:pos="2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becomes the subject of a proceeding under Section 8A of the 1933 Act in connection with the offering of the Securities. The Company will effect all filings required under Rule 424(b) and Rule 497 within the time period required by Rule 424(b) or Rule 497, as applicable, and will take such steps as it deems necessary to ascertain promptly whether the form of prospectus transmitted for filing under Rule 424(b) was received for filing by the Commission and, in the event that it was not, it will promptly file such prospectus. The Company will use its commercially reasonable efforts to prevent the issuance of any stop order, prevention or suspension and, if any such order is issued, to obtain the lifting thereof at the earliest possible moment.</w:t>
      </w:r>
    </w:p>
    <w:p>
      <w:pPr>
        <w:spacing w:after="0" w:line="187"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5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of Amendments</w:t>
      </w:r>
      <w:r>
        <w:rPr>
          <w:rFonts w:ascii="Times New Roman" w:cs="Times New Roman" w:eastAsia="Times New Roman" w:hAnsi="Times New Roman"/>
          <w:sz w:val="18"/>
          <w:szCs w:val="18"/>
          <w:color w:val="auto"/>
        </w:rPr>
        <w:t>. The Company will give the Sales Agent notice of its intention to file or prepare any amendment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(including any filing under Rule 462(b)) or to the Prospectus and will furnish the Sales Agent with copies of any such documents within a reasonable amount of time prior to such proposed filing or use, as the case may be, and will not file or use any such document to which the Sales Agent or counsel for the Sales Agent shall object. The Company shall give the Sales Agent notice of its intention to make any filings pursuant to the 1934 Act or the 1934 Rules and Regulations within 48 hours prior to the Applicable Time and will furnish the Sales Agent with copies of any such documents a reasonable amount of time prior to such proposed filing, as the case may be, and will not file or use any such document to which the Sales Agent or counsel for the Sales Agent shall reasonably object.</w:t>
      </w:r>
    </w:p>
    <w:p>
      <w:pPr>
        <w:spacing w:after="0" w:line="182" w:lineRule="exact"/>
        <w:rPr>
          <w:rFonts w:ascii="Times New Roman" w:cs="Times New Roman" w:eastAsia="Times New Roman" w:hAnsi="Times New Roman"/>
          <w:sz w:val="18"/>
          <w:szCs w:val="18"/>
          <w:color w:val="auto"/>
        </w:rPr>
      </w:pPr>
    </w:p>
    <w:p>
      <w:pPr>
        <w:ind w:left="4" w:right="60" w:firstLine="987"/>
        <w:spacing w:after="0" w:line="254" w:lineRule="auto"/>
        <w:tabs>
          <w:tab w:leader="none" w:pos="12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The Company will use its commercially reasonable efforts to comply with the 1933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1933 Act Regulations so as to permit the completion of the distribution of the Securities as contemplated in this Agreement and in the Registration Statement and the Prospectus. If at any time when a prospectus relating to the Securities is required by the 1933 Act to be delivered in connection with sales of the Securities, any event shall occur or condition shall exist as a result of which it is necessary, in the opinion of counsel for the Sales Agent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Prospectus in order that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Prospectus, as the case may be, in order to comply with the requirements of the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28" w:name="page29"/>
    <w:bookmarkEnd w:id="28"/>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1933 Act or the 1933 Act Regulations, the Company will promptly (A) give the Sales Agent notice of such event, (B) prepare any amendment or supplement as may be necessary to correct such statement or omission or to make the Registration Statement or the Prospectus comply with such requirements and, a reasonable amount of time prior to any proposed filing or use, furnish the Sales Agent with copies of any such amendment or supplement and (C) file with the Commission any such amendment or supplement. The Company will furnish to the Sales Agent such number of copies of such amendment or supplement as the Sales Agent may reasonably request. The Company has given the Sales Agent notice of any filings made pursuant to the 1934 Act or 1934 Act Regulations within 48 hours prior to the Applicable Time; the Company shall give the Sales Agent notice of its intention to make any such filing and shall furnish the Sales Agent with copies of any such documents a reasonable amount of time prior to such proposed filing or use, as the case may be.</w:t>
      </w:r>
    </w:p>
    <w:p>
      <w:pPr>
        <w:spacing w:after="0" w:line="190" w:lineRule="exact"/>
        <w:rPr>
          <w:sz w:val="20"/>
          <w:szCs w:val="20"/>
          <w:color w:val="auto"/>
        </w:rPr>
      </w:pPr>
    </w:p>
    <w:p>
      <w:pPr>
        <w:ind w:right="360" w:firstLine="987"/>
        <w:spacing w:after="0" w:line="257" w:lineRule="auto"/>
        <w:tabs>
          <w:tab w:leader="none" w:pos="12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Commission Filings</w:t>
      </w:r>
      <w:r>
        <w:rPr>
          <w:rFonts w:ascii="Times New Roman" w:cs="Times New Roman" w:eastAsia="Times New Roman" w:hAnsi="Times New Roman"/>
          <w:sz w:val="18"/>
          <w:szCs w:val="18"/>
          <w:color w:val="auto"/>
        </w:rPr>
        <w:t>. The Company has furnished or, upon written request of the Sales Agent, shall deliver to the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and counsel for the Sales Agent, without charge, conformed copies of the Registration Statement, as originally filed, and of each amendment thereto (including exhibits filed therewith) and conformed copies of all consents and certificates of experts, and will also deliver to the Sales Agent, without charge, a conformed copy of the Registration Statement as originally filed and of each amendment thereto (without exhibits) for the Sales Agent. The copies of the Registration Statement and each amendment thereto furnished to the Sales Agent will be identical to the electronically transmitted copies thereof filed with the Commission pursuant to EDGAR, except to the extent permitted by Regulation S-T.</w:t>
      </w:r>
    </w:p>
    <w:p>
      <w:pPr>
        <w:spacing w:after="0" w:line="182" w:lineRule="exact"/>
        <w:rPr>
          <w:rFonts w:ascii="Times New Roman" w:cs="Times New Roman" w:eastAsia="Times New Roman" w:hAnsi="Times New Roman"/>
          <w:sz w:val="18"/>
          <w:szCs w:val="18"/>
          <w:color w:val="auto"/>
        </w:rPr>
      </w:pPr>
    </w:p>
    <w:p>
      <w:pPr>
        <w:ind w:right="160" w:firstLine="987"/>
        <w:spacing w:after="0" w:line="261"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Prospectuses</w:t>
      </w:r>
      <w:r>
        <w:rPr>
          <w:rFonts w:ascii="Times New Roman" w:cs="Times New Roman" w:eastAsia="Times New Roman" w:hAnsi="Times New Roman"/>
          <w:sz w:val="18"/>
          <w:szCs w:val="18"/>
          <w:color w:val="auto"/>
        </w:rPr>
        <w:t>. The Company will furnish to the Sales Agent, without charge, during the period when a prospectus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Securities is required to be delivered under the 1933 Act, such number of copies of the Prospectus (as amended or supplemented) as the Sales Agent may reasonably request. The Prospectus and any amendments or supplements thereto furnished to the Sales Agent will be identical to the electronically transmitted copies thereof filed with the Commission pursuant to EDGAR, except to the extent permitted by Regulation S-T.</w:t>
      </w:r>
    </w:p>
    <w:p>
      <w:pPr>
        <w:spacing w:after="0" w:line="179" w:lineRule="exact"/>
        <w:rPr>
          <w:rFonts w:ascii="Times New Roman" w:cs="Times New Roman" w:eastAsia="Times New Roman" w:hAnsi="Times New Roman"/>
          <w:sz w:val="18"/>
          <w:szCs w:val="18"/>
          <w:color w:val="auto"/>
        </w:rPr>
      </w:pPr>
    </w:p>
    <w:p>
      <w:pPr>
        <w:ind w:firstLine="987"/>
        <w:spacing w:after="0" w:line="257" w:lineRule="auto"/>
        <w:tabs>
          <w:tab w:leader="none" w:pos="12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use its commercially reasonable efforts, in cooperation with the Sales Agent, to qualify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for offering and sale under the applicable securities laws of such states and other jurisdictions (domestic or foreign) as the Sales Agent may designate and to maintain such qualifications in effect so long as reasonably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2" w:lineRule="exact"/>
        <w:rPr>
          <w:rFonts w:ascii="Times New Roman" w:cs="Times New Roman" w:eastAsia="Times New Roman" w:hAnsi="Times New Roman"/>
          <w:sz w:val="18"/>
          <w:szCs w:val="18"/>
          <w:color w:val="auto"/>
        </w:rPr>
      </w:pPr>
    </w:p>
    <w:p>
      <w:pPr>
        <w:ind w:right="140" w:firstLine="987"/>
        <w:spacing w:after="0" w:line="261" w:lineRule="auto"/>
        <w:tabs>
          <w:tab w:leader="none" w:pos="12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The Company will make generally available to its securityholders as soon as practicable an earnings statement that satisfies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provisions of Section 11(a) of the 1933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such request by filing such an earnings statement on EDGAR.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29" w:name="page30"/>
    <w:bookmarkEnd w:id="29"/>
    <w:p>
      <w:pPr>
        <w:ind w:right="320" w:firstLine="987"/>
        <w:spacing w:after="0" w:line="284"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Listing</w:t>
      </w:r>
      <w:r>
        <w:rPr>
          <w:rFonts w:ascii="Times New Roman" w:cs="Times New Roman" w:eastAsia="Times New Roman" w:hAnsi="Times New Roman"/>
          <w:sz w:val="18"/>
          <w:szCs w:val="18"/>
          <w:color w:val="auto"/>
        </w:rPr>
        <w:t>. The Company will use its commercially reasonable best efforts to maintain the listing of the Common Stock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on the New York Stock Exchange.</w:t>
      </w:r>
    </w:p>
    <w:p>
      <w:pPr>
        <w:spacing w:after="0" w:line="158" w:lineRule="exact"/>
        <w:rPr>
          <w:rFonts w:ascii="Times New Roman" w:cs="Times New Roman" w:eastAsia="Times New Roman" w:hAnsi="Times New Roman"/>
          <w:sz w:val="18"/>
          <w:szCs w:val="18"/>
          <w:color w:val="auto"/>
        </w:rPr>
      </w:pPr>
    </w:p>
    <w:p>
      <w:pPr>
        <w:ind w:right="100" w:firstLine="987"/>
        <w:spacing w:after="0" w:line="284" w:lineRule="auto"/>
        <w:tabs>
          <w:tab w:leader="none" w:pos="120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DTC. </w:t>
      </w:r>
      <w:r>
        <w:rPr>
          <w:rFonts w:ascii="Times New Roman" w:cs="Times New Roman" w:eastAsia="Times New Roman" w:hAnsi="Times New Roman"/>
          <w:sz w:val="18"/>
          <w:szCs w:val="18"/>
          <w:color w:val="auto"/>
        </w:rPr>
        <w:t>The Company will cooperate with the Sales Agent and use its commercially reasonable efforts to permit the offered Securities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eligible for clearance and settlement through the facilities of DTC.</w:t>
      </w:r>
    </w:p>
    <w:p>
      <w:pPr>
        <w:spacing w:after="0" w:line="158" w:lineRule="exact"/>
        <w:rPr>
          <w:rFonts w:ascii="Times New Roman" w:cs="Times New Roman" w:eastAsia="Times New Roman" w:hAnsi="Times New Roman"/>
          <w:sz w:val="18"/>
          <w:szCs w:val="18"/>
          <w:color w:val="auto"/>
        </w:rPr>
      </w:pPr>
    </w:p>
    <w:p>
      <w:pPr>
        <w:ind w:firstLine="987"/>
        <w:spacing w:after="0" w:line="256" w:lineRule="auto"/>
        <w:tabs>
          <w:tab w:leader="none" w:pos="120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 OFAC</w:t>
      </w:r>
      <w:r>
        <w:rPr>
          <w:rFonts w:ascii="Times New Roman" w:cs="Times New Roman" w:eastAsia="Times New Roman" w:hAnsi="Times New Roman"/>
          <w:sz w:val="18"/>
          <w:szCs w:val="18"/>
          <w:color w:val="auto"/>
        </w:rPr>
        <w:t>. The Company will use the net proceeds received by it from the sale of the Securities in the manner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Registration Statement and the Prospectus under “Use of Proceeds.” The Company will not directly or, to its knowledge,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(to the extent that such action would result in the violation by any person (including any person participating in the transaction, whether as underwriter, adviser, investor or otherwise) of Sanctions) or in any other manner that will result in a violation by any Person (including any Person participating in the transaction, whether as underwriter, advisor, investor or otherwise) of Sanctions.</w:t>
      </w:r>
    </w:p>
    <w:p>
      <w:pPr>
        <w:spacing w:after="0" w:line="182" w:lineRule="exact"/>
        <w:rPr>
          <w:rFonts w:ascii="Times New Roman" w:cs="Times New Roman" w:eastAsia="Times New Roman" w:hAnsi="Times New Roman"/>
          <w:sz w:val="18"/>
          <w:szCs w:val="18"/>
          <w:color w:val="auto"/>
        </w:rPr>
      </w:pPr>
    </w:p>
    <w:p>
      <w:pPr>
        <w:jc w:val="both"/>
        <w:ind w:firstLine="987"/>
        <w:spacing w:after="0" w:line="267"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The Company, during the period when a Prospectus relating to the Securities is required to be delivered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1933 Act, will file all documents required to be filed with the Commission pursuant to the 1934 Act within the time periods required by the 1934 Act and 1934 Act Regulations.</w:t>
      </w:r>
    </w:p>
    <w:p>
      <w:pPr>
        <w:spacing w:after="0" w:line="173" w:lineRule="exact"/>
        <w:rPr>
          <w:rFonts w:ascii="Times New Roman" w:cs="Times New Roman" w:eastAsia="Times New Roman" w:hAnsi="Times New Roman"/>
          <w:sz w:val="18"/>
          <w:szCs w:val="18"/>
          <w:color w:val="auto"/>
        </w:rPr>
      </w:pPr>
    </w:p>
    <w:p>
      <w:pPr>
        <w:ind w:right="160" w:firstLine="987"/>
        <w:spacing w:after="0" w:line="267" w:lineRule="auto"/>
        <w:tabs>
          <w:tab w:leader="none" w:pos="120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Development Company Status</w:t>
      </w:r>
      <w:r>
        <w:rPr>
          <w:rFonts w:ascii="Times New Roman" w:cs="Times New Roman" w:eastAsia="Times New Roman" w:hAnsi="Times New Roman"/>
          <w:sz w:val="18"/>
          <w:szCs w:val="18"/>
          <w:color w:val="auto"/>
        </w:rPr>
        <w:t>. The Company will use its commercially reasonable efforts to maintain its status as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company; provided, however, the Company may cease to be, or withdraw its election as, a business development company, with the approval of the board of directors and a vote of stockholders as required by Section 58 of the 1940 Act or any successor provision.</w:t>
      </w:r>
    </w:p>
    <w:p>
      <w:pPr>
        <w:spacing w:after="0" w:line="173" w:lineRule="exact"/>
        <w:rPr>
          <w:rFonts w:ascii="Times New Roman" w:cs="Times New Roman" w:eastAsia="Times New Roman" w:hAnsi="Times New Roman"/>
          <w:sz w:val="18"/>
          <w:szCs w:val="18"/>
          <w:color w:val="auto"/>
        </w:rPr>
      </w:pPr>
    </w:p>
    <w:p>
      <w:pPr>
        <w:ind w:right="200" w:firstLine="987"/>
        <w:spacing w:after="0" w:line="267" w:lineRule="auto"/>
        <w:tabs>
          <w:tab w:leader="none" w:pos="12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Regulated Investment Company Status</w:t>
      </w:r>
      <w:r>
        <w:rPr>
          <w:rFonts w:ascii="Times New Roman" w:cs="Times New Roman" w:eastAsia="Times New Roman" w:hAnsi="Times New Roman"/>
          <w:sz w:val="18"/>
          <w:szCs w:val="18"/>
          <w:color w:val="auto"/>
        </w:rPr>
        <w:t>. The Company will use its commercially reasonable efforts to maintain its qualification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regulated investment company under Subchapter M of the Code for each full fiscal year during which it is a business development company under the 1940 Act.</w:t>
      </w:r>
    </w:p>
    <w:p>
      <w:pPr>
        <w:spacing w:after="0" w:line="173"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Compliance Reviews</w:t>
      </w:r>
      <w:r>
        <w:rPr>
          <w:rFonts w:ascii="Times New Roman" w:cs="Times New Roman" w:eastAsia="Times New Roman" w:hAnsi="Times New Roman"/>
          <w:sz w:val="18"/>
          <w:szCs w:val="18"/>
          <w:color w:val="auto"/>
        </w:rPr>
        <w:t>. The Company will retain qualified accountants and qualified tax experts to (i) test procedures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annual compliance reviews designed to determine compliance with the regulated investment company provisions of the Code and (ii) otherwise assist the Company in monitoring appropriate accounting systems and procedures designed to determine compliance with the regulated investment company provisions of the Code.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8" w:right="459" w:bottom="1440" w:gutter="0" w:footer="0" w:header="0"/>
        </w:sectPr>
      </w:pPr>
    </w:p>
    <w:bookmarkStart w:id="30" w:name="page31"/>
    <w:bookmarkEnd w:id="30"/>
    <w:p>
      <w:pPr>
        <w:ind w:right="40" w:firstLine="987"/>
        <w:spacing w:after="0" w:line="254"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Accounting Controls</w:t>
      </w:r>
      <w:r>
        <w:rPr>
          <w:rFonts w:ascii="Times New Roman" w:cs="Times New Roman" w:eastAsia="Times New Roman" w:hAnsi="Times New Roman"/>
          <w:sz w:val="18"/>
          <w:szCs w:val="18"/>
          <w:color w:val="auto"/>
        </w:rPr>
        <w:t>. The Company will use commercially reasonable efforts to establish and maintain a system of internal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controls sufficient to provide reasonable assurances that (A) transactions are executed in accordance with management’s authorization; (B) transactions are recorded as necessary to permit preparation of financial statements in conformity with GAAP and to maintain accountability for assets; (C) access to the Company’s consolidated assets is permitted only in accordance with management’s authorization; (D) the recorded accountability for assets is compared with the existing assets at reasonable intervals and appropriate action is taken with respect to any differences; (E) material information relating to the Company and the assets managed by the Adviser is promptly made known to the officers responsible for establishing and maintaining the system of internal accounting controls; and (F) any significant deficiencies or weaknesses in the design or operation of internal accounting controls that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w:t>
      </w:r>
    </w:p>
    <w:p>
      <w:pPr>
        <w:spacing w:after="0" w:line="185"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will use commercially reasonable efforts to establish and employ disclosure controls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183" w:lineRule="exact"/>
        <w:rPr>
          <w:rFonts w:ascii="Times New Roman" w:cs="Times New Roman" w:eastAsia="Times New Roman" w:hAnsi="Times New Roman"/>
          <w:sz w:val="18"/>
          <w:szCs w:val="18"/>
          <w:color w:val="auto"/>
        </w:rPr>
      </w:pPr>
    </w:p>
    <w:p>
      <w:pPr>
        <w:ind w:right="100" w:firstLine="987"/>
        <w:spacing w:after="0" w:line="275" w:lineRule="auto"/>
        <w:tabs>
          <w:tab w:leader="none" w:pos="124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Issuer Free Writing Prospectus</w:t>
      </w:r>
      <w:r>
        <w:rPr>
          <w:rFonts w:ascii="Times New Roman" w:cs="Times New Roman" w:eastAsia="Times New Roman" w:hAnsi="Times New Roman"/>
          <w:sz w:val="17"/>
          <w:szCs w:val="17"/>
          <w:color w:val="auto"/>
        </w:rPr>
        <w:t>. The Company represents and agrees that, without the prior consent of the Sales Agent (i) it will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distribute any offering material other than the Registration Statement or the Prospectus, and (ii) it has not made and will not make any offer relating to the Securities that would constitute a “free writing prospectus” as defined in Rule 405 under the 1933 Act,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68" w:lineRule="exact"/>
        <w:rPr>
          <w:rFonts w:ascii="Times New Roman" w:cs="Times New Roman" w:eastAsia="Times New Roman" w:hAnsi="Times New Roman"/>
          <w:sz w:val="17"/>
          <w:szCs w:val="17"/>
          <w:color w:val="auto"/>
        </w:rPr>
      </w:pPr>
    </w:p>
    <w:p>
      <w:pPr>
        <w:ind w:firstLine="987"/>
        <w:spacing w:after="0" w:line="256" w:lineRule="auto"/>
        <w:tabs>
          <w:tab w:leader="none" w:pos="121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Diligence Matters. </w:t>
      </w:r>
      <w:r>
        <w:rPr>
          <w:rFonts w:ascii="Times New Roman" w:cs="Times New Roman" w:eastAsia="Times New Roman" w:hAnsi="Times New Roman"/>
          <w:sz w:val="18"/>
          <w:szCs w:val="18"/>
          <w:color w:val="auto"/>
        </w:rPr>
        <w:t>The Company will cooperate with any reasonable due diligence review conducted by the Sales Agent 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agents in connection with the transactions contemplated hereby, including, without limitation, providing information and making available documents and senior officers, during regular business hours and at the Company’s principal offices, as either Agent may reasonably request. The parties acknowledge that the due diligence review contemplated by this Section 2(r) will include, without limitation, during the term of this Agreement a quarterly diligence conference to occur within five business days after each 10-Q filing or 10-K filing whereby the Company will make its senior corporate officers available to address diligence inquiries of the Sales Agent and will provide such additional information and documents as the Sales Agent may reasonably request.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68" w:right="439" w:bottom="1440" w:gutter="0" w:footer="0" w:header="0"/>
        </w:sectPr>
      </w:pPr>
    </w:p>
    <w:bookmarkStart w:id="31" w:name="page32"/>
    <w:bookmarkEnd w:id="31"/>
    <w:p>
      <w:pPr>
        <w:ind w:left="4" w:right="440" w:firstLine="987"/>
        <w:spacing w:after="0" w:line="284" w:lineRule="auto"/>
        <w:tabs>
          <w:tab w:leader="none" w:pos="123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Stabilization. </w:t>
      </w:r>
      <w:r>
        <w:rPr>
          <w:rFonts w:ascii="Times New Roman" w:cs="Times New Roman" w:eastAsia="Times New Roman" w:hAnsi="Times New Roman"/>
          <w:sz w:val="18"/>
          <w:szCs w:val="18"/>
          <w:color w:val="auto"/>
        </w:rPr>
        <w:t>The Company will not take, directly or indirectly, any action designed to or that could reasonably be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or result in any stabilization or manipulation of the price of the Securities.</w:t>
      </w:r>
    </w:p>
    <w:p>
      <w:pPr>
        <w:spacing w:after="0" w:line="160" w:lineRule="exact"/>
        <w:rPr>
          <w:rFonts w:ascii="Times New Roman" w:cs="Times New Roman" w:eastAsia="Times New Roman" w:hAnsi="Times New Roman"/>
          <w:sz w:val="18"/>
          <w:szCs w:val="18"/>
          <w:color w:val="auto"/>
        </w:rPr>
      </w:pPr>
    </w:p>
    <w:p>
      <w:pPr>
        <w:ind w:left="4" w:firstLine="987"/>
        <w:spacing w:after="0" w:line="261" w:lineRule="auto"/>
        <w:tabs>
          <w:tab w:leader="none" w:pos="12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any offer to sell, any solicitation of an offer to buy, or any sales of Securities pursuant to this Agreement, the Sales Agreement or any Terms Agreement shall only be effected by or through only one of Agent or any Other Agent, as applicable, at any given time as determined by the Company, but in no event by more than one of them, and the Company shall in no event request that more than one of Agent or any Other Agent sell Securities during such time period.</w:t>
      </w:r>
    </w:p>
    <w:p>
      <w:pPr>
        <w:spacing w:after="0" w:line="180"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Payment of Expenses</w:t>
      </w:r>
      <w:r>
        <w:rPr>
          <w:rFonts w:ascii="Times New Roman" w:cs="Times New Roman" w:eastAsia="Times New Roman" w:hAnsi="Times New Roman"/>
          <w:sz w:val="17"/>
          <w:szCs w:val="17"/>
          <w:color w:val="auto"/>
        </w:rPr>
        <w:t>. The Company shall pay or cause to be paid all expenses incident to the performance of its obligations under this Agreement, including (i) the preparation and filing of the Registration Statement, the Prospectus and any amendments or supplements thereto, and the printing and furnishing of copies of each thereof to the Sales Agent (including costs of mailing and shipment), (ii) the printing and delivery to the Sales Agent of this Agreement and such other documents as may be required in connection with the offering, purchase, sale or delivery of the Securities,</w:t>
      </w:r>
    </w:p>
    <w:p>
      <w:pPr>
        <w:spacing w:after="0" w:line="3" w:lineRule="exact"/>
        <w:rPr>
          <w:sz w:val="20"/>
          <w:szCs w:val="20"/>
          <w:color w:val="auto"/>
        </w:rPr>
      </w:pPr>
    </w:p>
    <w:p>
      <w:pPr>
        <w:ind w:left="4" w:right="20" w:hanging="4"/>
        <w:spacing w:after="0" w:line="251" w:lineRule="auto"/>
        <w:tabs>
          <w:tab w:leader="none" w:pos="3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Securities to the Sales Agent, including any stock or other transfer taxes and any stamp or other duties payable upon the sale or delivery of the Securities to the Sales Agent, (iv) the fees and disbursements of the Company’s counsel, accountants and other advisors, (v) the qualification of the Securities under securities laws in accordance with the provisions of this Agreement, including filing fees and the reasonable fees and disbursements of counsel for the Sales Agent in connection therewith and in connection with the preparation of blue sky surveys and any supplement thereto, (vi) the printing and delivery to the Sales Agent of copies of the Prospectus and any amendments or supplements thereto, (vii) the preparation and delivery to the Sales Agent of copies of the blue sky survey, if any, and any supplement thereto, (viii) the fees and expenses of any transfer agent or registrar for the Securities, (ix) the reasonable legal fees and expenses of counsel to the Sales Agent in connection with their performance under this Agreement, in an aggregate amount of $50,000 in connection with the entry into this Agreement and the Sales Agreement and up to $10,000 per fiscal quarter during the term of this Agreement and the Sales Agreement, which amount shall include legal fees and expenses relating to the review by FINRA of the terms of the sale of the Securities, if applicable, and (x) the filing fees incident to the review by FINRA of the terms of the sale of the Securities, if any. Except as set forth herein, the Sales Agent will pay all of its other out-of-pocket costs and expenses incurred in connection with entering into this Agreement and the transactions contemplated by this Agreement, including, without limitation, travel and similar expenses, whether or not the transactions contemplated hereby are consummated or this Agreement is terminated.</w:t>
      </w:r>
    </w:p>
    <w:p>
      <w:pPr>
        <w:spacing w:after="0" w:line="192"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Conditions of the Sales Agent’s Obligations</w:t>
      </w:r>
      <w:r>
        <w:rPr>
          <w:rFonts w:ascii="Times New Roman" w:cs="Times New Roman" w:eastAsia="Times New Roman" w:hAnsi="Times New Roman"/>
          <w:sz w:val="18"/>
          <w:szCs w:val="18"/>
          <w:color w:val="auto"/>
        </w:rPr>
        <w:t>. The obligations of the Sales Agent hereunder are subject to the accuracy of the representations and warranties of the Company, the Adviser and the Administrator contained herein or in certificates of any officer of the Company, any of the Subsidiaries, the Adviser or the Administrator delivered pursuant to the provisions hereof, to the performance by the Company, the Adviser and the Administrator of their respective covenants and other obligations hereunder, and to the following further conditions: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68" w:right="459" w:bottom="1440" w:gutter="0" w:footer="0" w:header="0"/>
        </w:sectPr>
      </w:pPr>
    </w:p>
    <w:bookmarkStart w:id="32" w:name="page33"/>
    <w:bookmarkEnd w:id="32"/>
    <w:p>
      <w:pPr>
        <w:ind w:right="80" w:firstLine="987"/>
        <w:spacing w:after="0" w:line="255" w:lineRule="auto"/>
        <w:tabs>
          <w:tab w:leader="none" w:pos="12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Statement</w:t>
      </w:r>
      <w:r>
        <w:rPr>
          <w:rFonts w:ascii="Times New Roman" w:cs="Times New Roman" w:eastAsia="Times New Roman" w:hAnsi="Times New Roman"/>
          <w:sz w:val="18"/>
          <w:szCs w:val="18"/>
          <w:color w:val="auto"/>
        </w:rPr>
        <w:t>. No stop order suspending the effectiveness of the Registration Statement or any post-effective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thereto has been issued under the 1933 Act, no order preventing or suspending the use of any Issuer Free Writing Prospectus or the Prospectus has been issued and no proceedings for any of those purposes have been instituted or are pending or, to the Company’s knowledge, contemplated; and the Company has complied with each request (if any) from the Commission for additional information in connection with the Registration Statement. Any required filing of each Issuer Free Writing Prospectus pursuant to Rule 433 has been made in the manner and within the time period required by</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433(d).</w:t>
      </w:r>
    </w:p>
    <w:p>
      <w:pPr>
        <w:spacing w:after="0" w:line="204"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Opinions of Counsel for the Company, the Adviser and the Administrator</w:t>
      </w:r>
      <w:r>
        <w:rPr>
          <w:rFonts w:ascii="Times New Roman" w:cs="Times New Roman" w:eastAsia="Times New Roman" w:hAnsi="Times New Roman"/>
          <w:sz w:val="18"/>
          <w:szCs w:val="18"/>
          <w:color w:val="auto"/>
        </w:rPr>
        <w:t>. Within five business days after (i) each date on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files a quarterly report on Form 10-Q or an annual report on Form 10-K, (ii) each date on which Securities are delivered to the Sales Agent pursuant to a Terms Agreement, or (iii) such date as the Sales Agent may reasonably request (the date of commencement of the offering of the Securities under this Agreement, the date of commencement of the offering of the Securities under this Agreement following the termination of a Suspension Period and each date referred to in subclauses (i), (ii) and (iii) above, each a “Representation Date”), the Sales Agent shall have received the favorable opinions, dated the Representation Date, of Dechert LLP, counsel for the Company, the Adviser and the Administrator, and of Venable LLP, counsel for the Company, in form and substance reasonably satisfactory to counsel for the Sales Agent. Such counsels may state that insofar as such opinions involve factual matters, they have relied, to the extent they deem proper, upon certificates of officers of the Company and the Subsidiaries, the Adviser and the Administrator and certificates of public officials.</w:t>
      </w:r>
    </w:p>
    <w:p>
      <w:pPr>
        <w:spacing w:after="0" w:line="188" w:lineRule="exact"/>
        <w:rPr>
          <w:rFonts w:ascii="Times New Roman" w:cs="Times New Roman" w:eastAsia="Times New Roman" w:hAnsi="Times New Roman"/>
          <w:sz w:val="18"/>
          <w:szCs w:val="18"/>
          <w:color w:val="auto"/>
        </w:rPr>
      </w:pPr>
    </w:p>
    <w:p>
      <w:pPr>
        <w:jc w:val="both"/>
        <w:ind w:right="100" w:firstLine="987"/>
        <w:spacing w:after="0" w:line="261" w:lineRule="auto"/>
        <w:tabs>
          <w:tab w:leader="none" w:pos="12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the Sales Agent</w:t>
      </w:r>
      <w:r>
        <w:rPr>
          <w:rFonts w:ascii="Times New Roman" w:cs="Times New Roman" w:eastAsia="Times New Roman" w:hAnsi="Times New Roman"/>
          <w:sz w:val="18"/>
          <w:szCs w:val="18"/>
          <w:color w:val="auto"/>
        </w:rPr>
        <w:t>. Within five business days after each Representation Date, the Sales Agent shall have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favorable opinion, dated the Representation Date, of Kirkland &amp; Ellis LLP, counsel for the Sales Agent. Such counsel may also state that, insofar as such opinion involves factual matters, they have relied, to the extent they deem proper, upon certificates of officers and other representatives of the Company, the Subsidiaries, the Adviser and the Administrator and certificates of public officials.</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0" w:right="20" w:firstLine="948"/>
        <w:spacing w:after="0" w:line="255" w:lineRule="auto"/>
        <w:tabs>
          <w:tab w:leader="none" w:pos="160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five business days after each Representation Date, there shall not have been, since the date hereof or since the respective dates as of which information is given in the Registration Statement, or the Prospectus, any material adverse change in the business, properties, management, financial condition, prospects or results of operations of the Company and the Subsidiaries considered as one enterprise, whether or not arising in the ordinary course of business, and the Sales Agent shall have received a certificate of the chief executive officer or the president of the Company and of the chief financial or chief accounting officer of the Company, dated the Representation Date, to the effect that (A) there has been no such material adverse change, (B) the representations and warranties of the Company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of this Agreement are true and correct with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8" w:right="459" w:bottom="1440" w:gutter="0" w:footer="0" w:header="0"/>
        </w:sectPr>
      </w:pPr>
    </w:p>
    <w:bookmarkStart w:id="33" w:name="page34"/>
    <w:bookmarkEnd w:id="33"/>
    <w:p>
      <w:pPr>
        <w:ind w:left="440"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same force and effect as though expressly made at and as of the Representation Date, (C) the Company has complied with all agreements and satisfied all conditions on its part to be performed or satisfied at or prior to the Representation Date, and (D) no stop order suspending the effectiveness of the Registration Statement under the 1933 Act has been issued, no order preventing or suspending the use of the Prospectus has been issued and no proceedings for any of those purposes have been instituted or are pending or, to their knowledge, contemplated by the Commission.</w:t>
      </w:r>
    </w:p>
    <w:p>
      <w:pPr>
        <w:spacing w:after="0" w:line="75" w:lineRule="exact"/>
        <w:rPr>
          <w:sz w:val="20"/>
          <w:szCs w:val="20"/>
          <w:color w:val="auto"/>
        </w:rPr>
      </w:pPr>
    </w:p>
    <w:p>
      <w:pPr>
        <w:ind w:left="440" w:right="100" w:firstLine="948"/>
        <w:spacing w:after="0" w:line="272" w:lineRule="auto"/>
        <w:tabs>
          <w:tab w:leader="none" w:pos="1657" w:val="left"/>
        </w:tabs>
        <w:numPr>
          <w:ilvl w:val="2"/>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five business days after each Representation Date, there shall not have been, since the date hereof or since the respective dates as of which information is given in the Prospectus, an Adviser/Administrator Material Adverse Effect, and the Sales Agent shall have received certificates of the managing member of each of the Adviser and the Administrator, dated the Representation Date, to the effect that</w:t>
      </w:r>
    </w:p>
    <w:p>
      <w:pPr>
        <w:spacing w:after="0" w:line="1" w:lineRule="exact"/>
        <w:rPr>
          <w:rFonts w:ascii="Times New Roman" w:cs="Times New Roman" w:eastAsia="Times New Roman" w:hAnsi="Times New Roman"/>
          <w:sz w:val="17"/>
          <w:szCs w:val="17"/>
          <w:color w:val="auto"/>
        </w:rPr>
      </w:pPr>
    </w:p>
    <w:p>
      <w:pPr>
        <w:ind w:left="440" w:right="40" w:hanging="4"/>
        <w:spacing w:after="0" w:line="253" w:lineRule="auto"/>
        <w:tabs>
          <w:tab w:leader="none" w:pos="7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has been no such Adviser/Administrator Material Adverse Effect with respect to the Adviser or the Administrator, as applicable, (B) the representations and warranties of the Adviser or the Administrator, as applicable, in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of this Agreement are true and correct with the same force and effect as though expressly made at and as of the Representation Date and (C) the Adviser or the Administrator, as applicable, has complied with all agreements and satisfied all conditions on their part to be performed or satisfied at or prior to the Representation Date.</w:t>
      </w:r>
    </w:p>
    <w:p>
      <w:pPr>
        <w:spacing w:after="0" w:line="186"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Accountant’s Comfort Letter</w:t>
      </w:r>
      <w:r>
        <w:rPr>
          <w:rFonts w:ascii="Times New Roman" w:cs="Times New Roman" w:eastAsia="Times New Roman" w:hAnsi="Times New Roman"/>
          <w:sz w:val="18"/>
          <w:szCs w:val="18"/>
          <w:color w:val="auto"/>
        </w:rPr>
        <w:t>. Within five business days after each Representation Date, the Sales Agent shall have received from RSM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LLP a letter, dated such date, in form and substance satisfactory to the Sales Agent, containing statements and information of the type ordinarily included in accountants’ “comfort letters” to underwriters with respect to the Company’s financial statements and certain financial information included or incorporated by reference in the Registration Statement and the Prospectus.</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21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Within five business days after each Representation Date, counsel for the Sales Agent shall have been furnished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the Adviser and the Administrator in connection with the issuance and sale of the Securities as herein contemplated shall be satisfactory in form and substance to the Sales Agent and counsel for the Sales Agent.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40" w:firstLine="987"/>
        <w:spacing w:after="0" w:line="273" w:lineRule="auto"/>
        <w:tabs>
          <w:tab w:leader="none" w:pos="123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Indemnification of the Sales Agent by the Company, the Adviser and the Administrator</w:t>
      </w:r>
      <w:r>
        <w:rPr>
          <w:rFonts w:ascii="Times New Roman" w:cs="Times New Roman" w:eastAsia="Times New Roman" w:hAnsi="Times New Roman"/>
          <w:sz w:val="17"/>
          <w:szCs w:val="17"/>
          <w:color w:val="auto"/>
        </w:rPr>
        <w:t>. The Company, the Adviser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Administrator, severally and not jointly, agree to indemnify and hold harmless the Sales Agent, its affiliates (as such term is defined in Rule 405 under the 1933 Act (each, an “Affiliate”)), its selling agents and each person, if any, who controls the Sales Agent within the meaning of Section 15 of the</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1933 Act or Section 20 of the 1934 Act as follows: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40" w:top="270" w:right="499" w:bottom="1440" w:gutter="0" w:footer="0" w:header="0"/>
        </w:sectPr>
      </w:pPr>
    </w:p>
    <w:bookmarkStart w:id="34" w:name="page35"/>
    <w:bookmarkEnd w:id="34"/>
    <w:p>
      <w:pPr>
        <w:ind w:left="420" w:firstLine="948"/>
        <w:spacing w:after="0" w:line="254" w:lineRule="auto"/>
        <w:tabs>
          <w:tab w:leader="none" w:pos="158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against any and all loss, liability, claim, damage and expense whatsoever, as incurred, arising out of any untrue statement or alleged untrue statement of a material fact contained in the Registration Statement (or any amendment thereto), including any Rule 430B Information, or the omission or alleged omission therefrom of a material fact required to be stated therein or necessary to make the statements therein not misleading or arising out of any untrue statement or alleged untrue statement of a material fact included (A) in any Issuer Free Writing Prospectus or the Prospectus (or any amendment or supplement thereto), or (B) in any materials or information provided to investors by, or with the approval of, the Company in connection with the marketing of the offering of the Securities (“Marketing Materials”), including any road show as defined in Rule 433(h) under the 1933 Act (a “road show”) or investor presentations made to investors by the Company (whether in person or electronically), or the omission or alleged omission in any Issuer Free Writing Prospectus, the Prospectus or any Marketing Materials of a material fact necessary in order to make the statements therein, in the light of the circumstances under which they were made, not misleading;</w:t>
      </w:r>
    </w:p>
    <w:p>
      <w:pPr>
        <w:spacing w:after="0" w:line="80" w:lineRule="exact"/>
        <w:rPr>
          <w:rFonts w:ascii="Times New Roman" w:cs="Times New Roman" w:eastAsia="Times New Roman" w:hAnsi="Times New Roman"/>
          <w:sz w:val="18"/>
          <w:szCs w:val="18"/>
          <w:color w:val="auto"/>
        </w:rPr>
      </w:pPr>
    </w:p>
    <w:p>
      <w:pPr>
        <w:jc w:val="both"/>
        <w:ind w:left="420" w:right="20" w:firstLine="948"/>
        <w:spacing w:after="0" w:line="261" w:lineRule="auto"/>
        <w:tabs>
          <w:tab w:leader="none" w:pos="163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below) any such settlement is effected with the written consent of the Company; and</w:t>
      </w:r>
    </w:p>
    <w:p>
      <w:pPr>
        <w:spacing w:after="0" w:line="71" w:lineRule="exact"/>
        <w:rPr>
          <w:rFonts w:ascii="Times New Roman" w:cs="Times New Roman" w:eastAsia="Times New Roman" w:hAnsi="Times New Roman"/>
          <w:sz w:val="18"/>
          <w:szCs w:val="18"/>
          <w:color w:val="auto"/>
        </w:rPr>
      </w:pPr>
    </w:p>
    <w:p>
      <w:pPr>
        <w:ind w:left="420" w:right="100" w:firstLine="948"/>
        <w:spacing w:after="0" w:line="254" w:lineRule="auto"/>
        <w:tabs>
          <w:tab w:leader="none" w:pos="168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reasonably incurred and documented fees and disbursements of counsel chosen by the Sales Agent),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Rule 430B Information or the Prospectus (or any amendment or supplement thereto) in reliance upon and in conformity with the Sales Agent Information; and provided, further the Adviser’s indemnity shall only apply to statements described in (i) above regarding the Adviser and the Administrator’s indemnity shall apply only statements described in (i) above regarding the Administrator.</w:t>
      </w:r>
    </w:p>
    <w:p>
      <w:pPr>
        <w:spacing w:after="0" w:line="186" w:lineRule="exact"/>
        <w:rPr>
          <w:sz w:val="20"/>
          <w:szCs w:val="20"/>
          <w:color w:val="auto"/>
        </w:rPr>
      </w:pPr>
    </w:p>
    <w:p>
      <w:pPr>
        <w:jc w:val="both"/>
        <w:ind w:left="-20" w:right="120" w:firstLine="987"/>
        <w:spacing w:after="0" w:line="261" w:lineRule="auto"/>
        <w:tabs>
          <w:tab w:leader="none" w:pos="12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Company, Directors, Officers, Adviser and Administrator</w:t>
      </w:r>
      <w:r>
        <w:rPr>
          <w:rFonts w:ascii="Times New Roman" w:cs="Times New Roman" w:eastAsia="Times New Roman" w:hAnsi="Times New Roman"/>
          <w:sz w:val="18"/>
          <w:szCs w:val="18"/>
          <w:color w:val="auto"/>
        </w:rPr>
        <w:t>. The Sales Agent agrees to indemnify and hold harmless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the Adviser, the Administrator their directors, each of the Company’s officers who signed the Registration Statement and each person, if any, who controls the Company, the Adviser or the Administrator within the meaning of Section 15 of the 1933 Act or Section 20 of the 1934 Act against any and all loss, liability, claim, damage and expense described in the indemnity contained in subsection (a)</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0"/>
          </w:cols>
          <w:pgMar w:left="460" w:top="270" w:right="479" w:bottom="1440" w:gutter="0" w:footer="0" w:header="0"/>
        </w:sectPr>
      </w:pPr>
    </w:p>
    <w:bookmarkStart w:id="35" w:name="page36"/>
    <w:bookmarkEnd w:id="35"/>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this Section, as incurred, but only with respect to untrue statements or omissions, or alleged untrue statements or omissions, made in the Registration Statement (or any amendment thereto), including any Rule 430B Information, any Issuer Free Writing Prospectus or the Prospectus (or any amendment or supplement thereto) in reliance upon and in conformity with the Sales Agent Information.</w:t>
      </w:r>
    </w:p>
    <w:p>
      <w:pPr>
        <w:spacing w:after="0" w:line="174" w:lineRule="exact"/>
        <w:rPr>
          <w:sz w:val="20"/>
          <w:szCs w:val="20"/>
          <w:color w:val="auto"/>
        </w:rPr>
      </w:pPr>
    </w:p>
    <w:p>
      <w:pPr>
        <w:ind w:right="20" w:firstLine="987"/>
        <w:spacing w:after="0" w:line="252" w:lineRule="auto"/>
        <w:tabs>
          <w:tab w:leader="none" w:pos="12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Each indemnified party shall give notice as promptly as reasonably practicable to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indemnifying party of any action commenced against it in respect of which indemnity may be sought hereunder, but failure to so notify an indemnifying party shall not relieve such indemnifying party from any liability hereunder to the extent it is not materially prejudiced (through the forfeiture of substantive rights and defenses) as a result thereof and in any event shall not relieve it from any liability which it may have otherwise than on account of this indemnity agreement. In the case of parties indemnified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above, counsel to the indemnified parties shall be selected by the Sales Agent, and, in the case of parties indemnified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94" w:lineRule="exact"/>
        <w:rPr>
          <w:rFonts w:ascii="Times New Roman" w:cs="Times New Roman" w:eastAsia="Times New Roman" w:hAnsi="Times New Roman"/>
          <w:sz w:val="18"/>
          <w:szCs w:val="18"/>
          <w:color w:val="auto"/>
        </w:rPr>
      </w:pPr>
    </w:p>
    <w:p>
      <w:pPr>
        <w:ind w:firstLine="987"/>
        <w:spacing w:after="0" w:line="257" w:lineRule="auto"/>
        <w:tabs>
          <w:tab w:leader="none" w:pos="12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reimburse the indemnified party for fees and expenses of counsel, such indemnifying party agrees that it shall be liable for any settlement of the nature contemplated by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 xml:space="preserve">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36" w:name="page37"/>
    <w:bookmarkEnd w:id="36"/>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incurred by such indemnified party, as incurred, (i) in such proportion as is appropriate to reflect the relative benefits received by the Company, the Adviser and the Administrator, on the one hand, and the Sales Agent,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the Adviser and the Administrator, on the one hand, and of the Sales Agent, on the other hand, in connection with the statements or omissions which resulted in such losses, liabilities, claims, damages or expenses, as well as any other relevant equitable considerations. For the avoidance of doubt, the Adviser’s and the Administrator’s contribution agreement shall only apply to instances in which the Adviser or the Administrator has an indemnity obligation as described above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relative benefits received by the Company, the Adviser and the Administrator, on the one hand, and the Sales Agent,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commissions received by the Sales Agent, on the other hand, in each case as set forth on the cover of the Prospectus, bear to the aggregate Net Proceeds.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relative fault of the Company, the Adviser and the Administrator, on the one hand, and the Sales Agent, on the other hand, shall be determined by reference to, among other things, whether any such untrue or alleged untrue statement of a material fact or omission or alleged omission to state a material fact relates to information supplied by the Company, the Adviser and the Administrator or by the Sales Agent and the parties’ relative intent, knowledge, access to information and opportunity to correct or prevent such statement or omission.</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the Adviser, the Administrator and the Sales Agent agree that it would not be just and equitable if contribution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above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aggregate amount of losses, liabilities, claims, damages and expenses incurred by an indemnified party and referred to above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provisions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Sales Agent shall not be required to contribute any amount in excess of the commissions received by the Sales Agent in connection with the Securities sold by it.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40"/>
          </w:cols>
          <w:pgMar w:left="440" w:top="270" w:right="519" w:bottom="1440" w:gutter="0" w:footer="0" w:header="0"/>
        </w:sectPr>
      </w:pPr>
    </w:p>
    <w:bookmarkStart w:id="37" w:name="page38"/>
    <w:bookmarkEnd w:id="37"/>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this Agreement to the contrary, any indemnification and contribution by the Company shall be subject to the requirements and limitations of Section 17(i) of the 1940 Act and any applicable guidance from the Commission or its staff thereunder.</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each person, if any, who controls the Sales Agent within the meaning of Section 15 of the 1933 Act or Section 20 of the 1934 Act and the Sales Agent’s Affiliates and selling agents shall have the same rights to contribution as the Sales Agent, and each director of the Company, each officer of the Company who signed the Registration Statement, and each person, if any, who controls the Company, the Adviser or the Administrator within the meaning of Section 15 of the 1933 Act or Section 20 of the 1934 Act shall have the same rights to contribution as the Company, the Adviser or the Administrator, as the case may be.</w:t>
      </w:r>
    </w:p>
    <w:p>
      <w:pPr>
        <w:spacing w:after="0" w:line="183"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u w:val="single" w:color="auto"/>
          <w:color w:val="auto"/>
        </w:rPr>
        <w:t>Representations, Warranties and Agreements to Survive</w:t>
      </w:r>
      <w:r>
        <w:rPr>
          <w:rFonts w:ascii="Times New Roman" w:cs="Times New Roman" w:eastAsia="Times New Roman" w:hAnsi="Times New Roman"/>
          <w:sz w:val="17"/>
          <w:szCs w:val="17"/>
          <w:color w:val="auto"/>
        </w:rPr>
        <w:t>. All representations, warranties and agreements contained in this Agreement or in certificates of officers of the Company, any of the Subsidiaries, the Adviser or the Administrator submitted pursuant hereto, shall remain operative and in full force and effect regardless of (i) any investigation made by or on behalf of the Sales Agent or its Affiliates or selling agents, any person controlling the Sales Agent, its officers or directors or any person controlling the Company and (ii) delivery of and payment for the Securities.</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00" w:firstLine="987"/>
        <w:spacing w:after="0" w:line="284" w:lineRule="auto"/>
        <w:tabs>
          <w:tab w:leader="none" w:pos="12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by the Company, the Adviser and the Administrator</w:t>
      </w:r>
      <w:r>
        <w:rPr>
          <w:rFonts w:ascii="Times New Roman" w:cs="Times New Roman" w:eastAsia="Times New Roman" w:hAnsi="Times New Roman"/>
          <w:sz w:val="18"/>
          <w:szCs w:val="18"/>
          <w:color w:val="auto"/>
        </w:rPr>
        <w:t>. The Company, the Adviser and the Administrator may terminate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by giving one day advance notice to the Sales Agent, at any time.</w:t>
      </w:r>
    </w:p>
    <w:p>
      <w:pPr>
        <w:spacing w:after="0" w:line="158"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by the Sales Agent</w:t>
      </w:r>
      <w:r>
        <w:rPr>
          <w:rFonts w:ascii="Times New Roman" w:cs="Times New Roman" w:eastAsia="Times New Roman" w:hAnsi="Times New Roman"/>
          <w:sz w:val="18"/>
          <w:szCs w:val="18"/>
          <w:color w:val="auto"/>
        </w:rPr>
        <w:t>. The Sales Agent may terminate this Agreement, by giving one day advance notice to the Company,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time (i) if there has been, in the judgment of the Sales Agent, since the time of execution of this Agreement or since the respective dates as of which information is given in the Registration Statement or the Prospectus, any material adverse change in the business, properties, management, financial condition, prospects or results of operations of the Company and the Subsidiaries taken as one enterprise or the Adviser or the Administrator, whether or not arising in the ordinary course of business, which would make it impracticable or inadvisable to proceed with the public offering or the delivery of the Securities on the terms and in the manner contemplated in the Registration Statement and the Prospectus,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Sales Agent, impracticable or inadvisable to proceed with the completion of the offering or to enforce contracts for the sale of the Securities, (iii) if trading in any securities of the Company has been suspended or materially limited by the Commission or New York Stock Exchange, (iv) if trading generally on the NYSE Amex or The New York Stock Exchange or The Nasdaq Stock Market has been suspended or materially limited, or minimum or maximum prices for trading have been fixed, or maximum ranges for prices have been required, by any of said exchanges or by order of the Commission, FINRA or any other governmental authority,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70" w:right="479" w:bottom="1440" w:gutter="0" w:footer="0" w:header="0"/>
        </w:sectPr>
      </w:pPr>
    </w:p>
    <w:bookmarkStart w:id="38" w:name="page39"/>
    <w:bookmarkEnd w:id="38"/>
    <w:p>
      <w:pPr>
        <w:ind w:left="4" w:right="40" w:firstLine="987"/>
        <w:spacing w:after="0" w:line="267" w:lineRule="auto"/>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Liabilities</w:t>
      </w:r>
      <w:r>
        <w:rPr>
          <w:rFonts w:ascii="Times New Roman" w:cs="Times New Roman" w:eastAsia="Times New Roman" w:hAnsi="Times New Roman"/>
          <w:sz w:val="18"/>
          <w:szCs w:val="18"/>
          <w:color w:val="auto"/>
        </w:rPr>
        <w:t>. If this Agreement is terminated pursuant to this Section, such termination shall be without liability of any party to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party except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provided that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14, 15 and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shall survive such termination and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-176530</wp:posOffset>
            </wp:positionV>
            <wp:extent cx="314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15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 Joint Venture</w:t>
      </w:r>
      <w:r>
        <w:rPr>
          <w:rFonts w:ascii="Times New Roman" w:cs="Times New Roman" w:eastAsia="Times New Roman" w:hAnsi="Times New Roman"/>
          <w:sz w:val="18"/>
          <w:szCs w:val="18"/>
          <w:color w:val="auto"/>
        </w:rPr>
        <w:t>. The Company, the Adviser, the Administrator and the Sales Agent expressly acknowledge, understand and agree that the Sales Agent and the Other Agents are not, and shall not be deemed for any purpose, to be acting as an joint venture or partner of one another and that neither the Sales Agent nor the Other Agents assume responsibility or liability, express or implied, for any actions or omissions of, or the performance of services by the Sales Agent or the Other Agents, respectively, in connection with the offering of the shares of Common Stock pursuant to this Agreement or the Sales Agreement, or otherwise. The obligations of the Sales Agent hereunder and of the Other Agents under the Sales Agreement shall be several and not joint.</w:t>
      </w:r>
    </w:p>
    <w:p>
      <w:pPr>
        <w:spacing w:after="0" w:line="187"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 by any standard form of telecommunication. Notices to the Sales Agent shall be directed to Truist Securities, Inc., 3333 Peachtree Road NE, Atlanta, Georgia 30326, Attention: Global Head of Syndicate, with a copy (which shall not constitute notice) to Kirkland &amp; Ellis LLP at 1301 Pennsylvania Ave., NW, Washington, D.C. 20004, Attention: William J. Tuttle, P.C. Notices to the Company, the Adviser and the Administrator shall be directed to them at 1691 Michigan Avenue, Miami Beach, Florida 33139, facsimile No. (212) 905-1075, Attention: Arthur Penn.</w:t>
      </w:r>
    </w:p>
    <w:p>
      <w:pPr>
        <w:spacing w:after="0" w:line="183"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No Advisory or Fiduciary Relationship</w:t>
      </w:r>
      <w:r>
        <w:rPr>
          <w:rFonts w:ascii="Times New Roman" w:cs="Times New Roman" w:eastAsia="Times New Roman" w:hAnsi="Times New Roman"/>
          <w:sz w:val="17"/>
          <w:szCs w:val="17"/>
          <w:color w:val="auto"/>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Sales Agent, on the other hand, (b) in connection with the offering of the Securities and the process leading thereto, the Sales Agent is and has been acting solely as a principal and is not the agent or fiduciary of the Company, any of the Subsidiaries or their respective stockholders, creditors, employees or any other party, (c) the Sales Agent has not assumed or will assume an advisory or fiduciary responsibility in favor of the Company with respect to the offering of the Securities or the process leading thereto (irrespective of whether the Sales Agent has advised or is currently advising the Company or any of its subsidiaries on other matters) and the Sales Agent has no obligation to the Company with respect to the offering of the Securities except the obligations expressly set forth in this Agreement, (d) the Sales Agent and its respective affiliates may be engaged in a broad range of transactions that involve interests that differ from those of the Company and</w:t>
      </w:r>
    </w:p>
    <w:p>
      <w:pPr>
        <w:spacing w:after="0" w:line="5" w:lineRule="exact"/>
        <w:rPr>
          <w:sz w:val="20"/>
          <w:szCs w:val="20"/>
          <w:color w:val="auto"/>
        </w:rPr>
      </w:pPr>
    </w:p>
    <w:p>
      <w:pPr>
        <w:ind w:left="4" w:right="200" w:hanging="4"/>
        <w:spacing w:after="0" w:line="260" w:lineRule="auto"/>
        <w:tabs>
          <w:tab w:leader="none" w:pos="2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Agent has not provided any legal, accounting, regulatory or tax advice with respect to the offering of the Securities and the Company has consulted its own respective legal, accounting, regulatory and tax advisors to the extent it deemed appropriate.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68" w:right="459" w:bottom="1440" w:gutter="0" w:footer="0" w:header="0"/>
        </w:sectPr>
      </w:pPr>
    </w:p>
    <w:bookmarkStart w:id="39" w:name="page40"/>
    <w:bookmarkEnd w:id="39"/>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This Agreement shall each inure to the benefit of and be binding upon the Sales Agent, the Company, the Adviser, the Administrator and their respective successors. Nothing expressed or mentioned in this Agreement is intended or shall be construed to give any person, firm or corporation, other than the Sales Agent, the Company, the Adviser and the Administrator and their respective successors and the controlling persons and officers and directors referred to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and their heirs and legal representatives, any legal or equitable right, remedy or claim under or in respect of this Agreement or any provision herein contained. This Agreement and all conditions and provisions hereof are intended to be for the sole and exclusive benefit of the Sales Agent, the Company, the Adviser and the Administrator and their respective successors, and said controlling persons and officers and directors and their heirs and legal representatives, and for the benefit of no other person, firm or corporation. No purchaser of Securities from the Sales Agent shall be deemed to be a successor by reason merely of such purchase.</w:t>
      </w:r>
    </w:p>
    <w:p>
      <w:pPr>
        <w:spacing w:after="0" w:line="19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Trial by Jury</w:t>
      </w:r>
      <w:r>
        <w:rPr>
          <w:rFonts w:ascii="Times New Roman" w:cs="Times New Roman" w:eastAsia="Times New Roman" w:hAnsi="Times New Roman"/>
          <w:sz w:val="18"/>
          <w:szCs w:val="18"/>
          <w:color w:val="auto"/>
        </w:rPr>
        <w:t>. The Company (on its behalf and, to the extent permitted by applicable law, on behalf of its stockholders and affiliates), the Adviser, the Administrator and the Sales Agent hereby irrevocably waives, to the fullest extent permitted by applicable law, any and all right to trial by jury in any legal proceeding arising out of or relating to this Agreement or the transactions contemplated hereby.</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 CONTROVERSY OR DISPUTE ARISING UNDER OR RELATED TO THIS AGREEMENT SHALL BE GOVERNED BY, AND CONSTRUED IN ACCORDANCE WITH THE LAWS OF, THE STATE OF NEW YORK.</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Consent to Jurisdiction; Waiver of Immunity</w:t>
      </w:r>
      <w:r>
        <w:rPr>
          <w:rFonts w:ascii="Times New Roman" w:cs="Times New Roman" w:eastAsia="Times New Roman" w:hAnsi="Times New Roman"/>
          <w:sz w:val="18"/>
          <w:szCs w:val="18"/>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40" w:name="page41"/>
    <w:bookmarkEnd w:id="40"/>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17.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TIME SHALL BE OF THE ESSENCE OF THIS AGREEMENT. EXCEPT AS OTHERWISE SET FORTH HEREIN, SPECIFIED TIMES OF DAY REFER TO NEW YORK CITY TIME.</w:t>
      </w:r>
    </w:p>
    <w:p>
      <w:pPr>
        <w:spacing w:after="0" w:line="162"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61" w:lineRule="auto"/>
        <w:tabs>
          <w:tab w:leader="none" w:pos="12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Sales Agent that is a Covered Entity becomes subject to a proceeding under a U.S. Special Resolution Regime, the transfer from the Sales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4" w:right="180" w:firstLine="987"/>
        <w:spacing w:after="0" w:line="261" w:lineRule="auto"/>
        <w:tabs>
          <w:tab w:leader="none" w:pos="125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Sales Agent that is a Covered Entity or a BHC Act Affiliate of the Sales Agent becomes subject to a proceeding under a U.S. Special Resolution Regime, Default Rights under this Agreement that may be exercised against the Sales Agent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4" w:firstLine="987"/>
        <w:spacing w:after="0" w:line="254" w:lineRule="auto"/>
        <w:tabs>
          <w:tab w:leader="none" w:pos="12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w:t>
      </w:r>
    </w:p>
    <w:p>
      <w:pPr>
        <w:spacing w:after="0" w:line="3" w:lineRule="exact"/>
        <w:rPr>
          <w:rFonts w:ascii="Times New Roman" w:cs="Times New Roman" w:eastAsia="Times New Roman" w:hAnsi="Times New Roman"/>
          <w:sz w:val="18"/>
          <w:szCs w:val="18"/>
          <w:color w:val="auto"/>
        </w:rPr>
      </w:pPr>
    </w:p>
    <w:p>
      <w:pPr>
        <w:ind w:left="4" w:right="120" w:hanging="4"/>
        <w:spacing w:after="0" w:line="260" w:lineRule="auto"/>
        <w:tabs>
          <w:tab w:leader="none" w:pos="21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70" w:right="459" w:bottom="1440" w:gutter="0" w:footer="0" w:header="0"/>
        </w:sectPr>
      </w:pPr>
    </w:p>
    <w:bookmarkStart w:id="41" w:name="page42"/>
    <w:bookmarkEnd w:id="41"/>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Sales Agent, the Company, the Adviser and the Administrator in accordance with its terms.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PENNANTPARK INVESTMENT ADVISERS,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PENNANTPARK INVESTMENT ADMINISTRATION,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LLC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to Sales Agreement – Truist]</w:t>
      </w:r>
    </w:p>
    <w:p>
      <w:pPr>
        <w:sectPr>
          <w:pgSz w:w="11900" w:h="16838" w:orient="portrait"/>
          <w:cols w:equalWidth="0" w:num="1">
            <w:col w:w="10960"/>
          </w:cols>
          <w:pgMar w:left="440" w:top="270"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CONFIRMED AND ACCEPTED,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Geoffrey Fennel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Geoffrey Fennel</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[Signature Page to Sales Agreement – Truist]</w:t>
      </w:r>
    </w:p>
    <w:p>
      <w:pPr>
        <w:sectPr>
          <w:pgSz w:w="11900" w:h="16838" w:orient="portrait"/>
          <w:cols w:equalWidth="0" w:num="1">
            <w:col w:w="10019"/>
          </w:cols>
          <w:pgMar w:left="440" w:top="270" w:right="1440" w:bottom="1440" w:gutter="0" w:footer="0" w:header="0"/>
        </w:sectPr>
      </w:pPr>
    </w:p>
    <w:bookmarkStart w:id="43" w:name="page44"/>
    <w:bookmarkEnd w:id="43"/>
    <w:p>
      <w:pPr>
        <w:jc w:val="right"/>
        <w:ind w:right="39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subsidiaries of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PNNT Alabama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PNNT Investment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PNNT Investment Holdings II, LLC</w:t>
      </w:r>
    </w:p>
    <w:p>
      <w:pPr>
        <w:sectPr>
          <w:pgSz w:w="11900" w:h="16838" w:orient="portrait"/>
          <w:cols w:equalWidth="0" w:num="1">
            <w:col w:w="10019"/>
          </w:cols>
          <w:pgMar w:left="440" w:top="266" w:right="1440" w:bottom="1440" w:gutter="0" w:footer="0" w:header="0"/>
        </w:sectPr>
      </w:pPr>
    </w:p>
    <w:bookmarkStart w:id="44" w:name="page45"/>
    <w:bookmarkEnd w:id="44"/>
    <w:p>
      <w:pPr>
        <w:jc w:val="right"/>
        <w:ind w:right="39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Authorized Representatives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Arthur H. Penn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Allorto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Agent Authorized Representatives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Carpenter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 Fennel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dl.atm.offering@truist.com</w:t>
      </w:r>
    </w:p>
    <w:p>
      <w:pPr>
        <w:sectPr>
          <w:pgSz w:w="11900" w:h="16838" w:orient="portrait"/>
          <w:cols w:equalWidth="0" w:num="1">
            <w:col w:w="10019"/>
          </w:cols>
          <w:pgMar w:left="440" w:top="266" w:right="1440"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208280</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PENNANTPARK INVESTMENT CORPORATION</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2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u w:val="single" w:color="auto"/>
          <w:color w:val="auto"/>
        </w:rPr>
        <w:t>EQUITY DISTRIBUTION AGREEMENT</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Dated: June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205740</wp:posOffset>
            </wp:positionV>
            <wp:extent cx="6995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PENNANTPARK INVESTMENT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EQUITY DISTRIBUTION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 Seventh Avenue,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Investment Corporation, a Maryland corporation (the “Company”), PennantPark Investment Advisers, LLC, a Delaware limited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(the “Adviser”), and PennantPark Investment Administration, LLC, a Delaware limited liability company (the “Administrator”), each confirms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agreement with Keefe, Bruyette &amp; Woods, Inc. (the “Sales Agent”) with respect to the sale by the Company of shares of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$0.001 per share, of the Company (“Common Stock”), having an aggregate offering price of up to $100 million. The shares of Common Stock to be sold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Sales Agent are herein called, collectively, the “Securities.” The Company, the Adviser and the Administrator have also entered into an agreement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“Sales Agreement”) in substantially similar form to this Agreement, dated of even date herewith, with Truist Securities, Inc. (each,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Agent”). The aggregate amount of Securities that may be sold collectively pursuant to this Agreement and the Sales Agreement shall not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lesser of $100 million and the dollar amount of Securities permitted to be sold under the Registration Statement (as defined below).</w:t>
      </w:r>
    </w:p>
    <w:p>
      <w:pPr>
        <w:spacing w:after="0" w:line="20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“Commission”) a shelf registration statement on Form N-2 (File No. 333-263564), relating to the registration of the Securities and certain of the Company’s other securities under the Securities Act of 1933, as amended (the “1933 Act”), which registration statement was declared effective by the Commission on April 28, 2022. The Company has also filed with the Commission a prospectus supplement, dated the date hereof, as such prospectus supplement may be amended (the “Prospectus”), which contains a base prospectus, dated April 28, 2022, in accordance with the provisions of Rule 430B (“Rule 430B”) of the rules and regulations of the Commission promulgated under the 1933 Act (such provisions, the “1933 Act Regulations”) and Rule 424(b) (“Rule 424(b)”) of the 1933 Act Regulations. The information, if any, included or incorporated by reference in such prospectus that was omitted from such registration statement at the time it became effective but that is deemed to be a part of such registration statement pursuant to Rule 430B is referred to as “Rule 430B Information.” Unless the context otherwise requires, such registration statement, including all documents filed as part thereof and any Rule 430B Information contained in a prospectus subsequently filed with the Commission pursuant to Rule 424(b) and deemed to be part of the registration statement and also including any registration statement filed pursuant to Rule 462(b) of the 1933 Act Regulations, is herein called the “Registration Statement.” All references in this Agreement to amendments or supplements to the Registration Statement or the Prospectus,</w:t>
      </w:r>
    </w:p>
    <w:p>
      <w:pPr>
        <w:sectPr>
          <w:pgSz w:w="11900" w:h="16838" w:orient="portrait"/>
          <w:cols w:equalWidth="0" w:num="1">
            <w:col w:w="11000"/>
          </w:cols>
          <w:pgMar w:left="440" w:top="270" w:right="459" w:bottom="1440" w:gutter="0" w:footer="0" w:header="0"/>
        </w:sectPr>
      </w:pPr>
    </w:p>
    <w:bookmarkStart w:id="47" w:name="page48"/>
    <w:bookmarkEnd w:id="47"/>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those made pursuant to Rule 424(b) under the 1933 Act or such other rule under the 1933 Act as may be applicable to the Company, shall be deemed to mean and include, without limitation the filing of any document under the Securities Exchange Act of 1934, as amended (the “1934 Act”), which is or is deemed to be incorporated by reference in or otherwise to be a part of or included in the Registration Statement or the Prospectus, as the case may be, as of any specified date. For purposes of this Agreement, all references to the Registration Statement, the Prospectus or any amendment or supplement to any of the foregoing shall be deemed to include the copy filed with the Commission pursuant to its Electronic Data Gathering, Analysis and Retrieval system or any successor system (“EDGAR”).</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 Form N-54A Notification of Election to be Subject to Sections 55 through 65 of the Investment Company Act of 1940 Filed Pursuant to Section 54(a) of the Investment Company Act (File No. 814-00743) was filed with the Commission on April 19, 2007 under the Investment Company Act of 1940, as amended (the “1940 Act”), and the rules and regulations and any applicable guidance and/or interpretation of the Commission or its staff thereunder (the “1940 Act Regulations”).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has entered into that certain Fourth Amended and Restated Investment Advisory Agreement, dated as of May 20, 2024 (the “Investment Management Agreement”), with the Adviser. The Company has entered into that certain Administration Agreement, dated as of May 20, 2024 (the “Administration Agreement”), with the Administrator.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Agreement, “Applicable Time” means the time of each sale of the applicable Securities pursuant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right="60" w:firstLine="987"/>
        <w:spacing w:after="0" w:line="261"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by the Company</w:t>
      </w:r>
      <w:r>
        <w:rPr>
          <w:rFonts w:ascii="Times New Roman" w:cs="Times New Roman" w:eastAsia="Times New Roman" w:hAnsi="Times New Roman"/>
          <w:sz w:val="18"/>
          <w:szCs w:val="18"/>
          <w:color w:val="auto"/>
        </w:rPr>
        <w:t>. The Company represents and warrants to the Sales Agent as of the date hereof,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Time, each Representation Date (as defined below) and any Date of Delivery (as defined below) and agrees with the Sales Agent, and the Adviser and the Administrator, jointly and severally, represent and warrant to and agree with the Sales Agent as of the date hereof, the Applicable Time, each Representation Date (as defined below) and any Date of Delivery Time (as defined below), as follows:</w:t>
      </w:r>
    </w:p>
    <w:p>
      <w:pPr>
        <w:spacing w:after="0" w:line="73" w:lineRule="exact"/>
        <w:rPr>
          <w:rFonts w:ascii="Times New Roman" w:cs="Times New Roman" w:eastAsia="Times New Roman" w:hAnsi="Times New Roman"/>
          <w:sz w:val="18"/>
          <w:szCs w:val="18"/>
          <w:color w:val="auto"/>
        </w:rPr>
      </w:pPr>
    </w:p>
    <w:p>
      <w:pPr>
        <w:ind w:left="440" w:firstLine="948"/>
        <w:spacing w:after="0" w:line="256" w:lineRule="auto"/>
        <w:tabs>
          <w:tab w:leader="none" w:pos="160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Prospectuses</w:t>
      </w:r>
      <w:r>
        <w:rPr>
          <w:rFonts w:ascii="Times New Roman" w:cs="Times New Roman" w:eastAsia="Times New Roman" w:hAnsi="Times New Roman"/>
          <w:sz w:val="18"/>
          <w:szCs w:val="18"/>
          <w:color w:val="auto"/>
        </w:rPr>
        <w:t>. The Company is eligible to use Form N-2. Each of the Registration Statement and any amendment thereto have been declared effective by the Commission under the 1933 Act or have become effective pursuant to Rule 462 under the 1933 Act. No stop order suspending the effectiveness of the Registration Statement or any post-effective amendment thereto has been issued under the 1933 Act, no order preventing or suspending the use of the Prospectus has been issued and no proceedings for any of those purposes have been instituted or are pending or, to the Company’s knowledge, contemplated. The Company has complied with each request (if any) from the Commission for additional information in connection with the Registration Statement.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8" w:name="page49"/>
    <w:bookmarkEnd w:id="48"/>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Registration Statement and any post-effective amendment thereto, at the time it became effective, complied in all material respects with the requirements of the 1933 Act, the 1933 Act Regulations, the 1940 Act and the 1940 Act Regulations. The Prospectus and any amendment or supplement thereto, at the time each was filed with the Commission, complied in all material respects with the requirements of the 1933 Act, the 1933 Act Regulations, the 1940 Act and the 1940 Act Regulations. The Prospectus delivered to the Sales Agent for use in connection with this offering was or will be identical to the electronically transmitted copies thereof filed with the Commission pursuant to EDGAR, except to the extent permitted by Regulation S-T.</w:t>
      </w:r>
    </w:p>
    <w:p>
      <w:pPr>
        <w:spacing w:after="0" w:line="79" w:lineRule="exact"/>
        <w:rPr>
          <w:sz w:val="20"/>
          <w:szCs w:val="20"/>
          <w:color w:val="auto"/>
        </w:rPr>
      </w:pPr>
    </w:p>
    <w:p>
      <w:pPr>
        <w:ind w:left="4" w:right="60" w:firstLine="948"/>
        <w:spacing w:after="0" w:line="270" w:lineRule="auto"/>
        <w:tabs>
          <w:tab w:leader="none" w:pos="122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Issuer Free Writing Prospectus</w:t>
      </w:r>
      <w:r>
        <w:rPr>
          <w:rFonts w:ascii="Times New Roman" w:cs="Times New Roman" w:eastAsia="Times New Roman" w:hAnsi="Times New Roman"/>
          <w:sz w:val="17"/>
          <w:szCs w:val="17"/>
          <w:color w:val="auto"/>
        </w:rPr>
        <w:t>. The Company (including its agents and representatives, other than the Sales Agent in its capacity as such) has not made, used, prepared, authorized, approved or referred to and will not prepare, make, use, authorize, approve or refer to any “written communication” (as defined in Rule 405 under the 1933 Act) that constitutes an offer to sell or solicitation of an offer to buy the Securities (each such communication by the Company or its agents and representatives (other than a communication referred to in clauses (i), (ii),</w:t>
      </w:r>
    </w:p>
    <w:p>
      <w:pPr>
        <w:spacing w:after="0" w:line="2" w:lineRule="exact"/>
        <w:rPr>
          <w:rFonts w:ascii="Times New Roman" w:cs="Times New Roman" w:eastAsia="Times New Roman" w:hAnsi="Times New Roman"/>
          <w:sz w:val="17"/>
          <w:szCs w:val="17"/>
          <w:color w:val="auto"/>
        </w:rPr>
      </w:pPr>
    </w:p>
    <w:p>
      <w:pPr>
        <w:ind w:left="4" w:right="20" w:hanging="4"/>
        <w:spacing w:after="0" w:line="252" w:lineRule="auto"/>
        <w:tabs>
          <w:tab w:leader="none" w:pos="3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(iv) below) an “Issuer Free Writing Prospectus”) other than (i) any document not constituting a prospectus pursuant to Section 2(a)(10)(a) of the 1933 Act or Rule 134 under the 1933 Act, (ii) the Registration Statement, (iii) the Prospectus, and (iv) any electronic road show or other written communications, in each case approved in writing in advance by the Sales Agent, such approval not to be unreasonably withheld. Each such Issuer Free Writing Prospectus, if any, complies in all material respects with the 1933 Act, has been or will be (within the time period specified in Rule 433) filed in accordance with the 1933 Act (to the extent required thereby). No Issuer Free Writing Prospectus conflicts or will conflict with the information contained in the Registration Statement or the Prospectus that has not been superseded or modified.</w:t>
      </w:r>
    </w:p>
    <w:p>
      <w:pPr>
        <w:spacing w:after="0" w:line="81" w:lineRule="exact"/>
        <w:rPr>
          <w:rFonts w:ascii="Times New Roman" w:cs="Times New Roman" w:eastAsia="Times New Roman" w:hAnsi="Times New Roman"/>
          <w:sz w:val="18"/>
          <w:szCs w:val="18"/>
          <w:color w:val="auto"/>
        </w:rPr>
      </w:pPr>
    </w:p>
    <w:p>
      <w:pPr>
        <w:ind w:left="4" w:right="180" w:firstLine="948"/>
        <w:spacing w:after="0" w:line="266" w:lineRule="auto"/>
        <w:tabs>
          <w:tab w:leader="none" w:pos="127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Incorporated by Reference</w:t>
      </w:r>
      <w:r>
        <w:rPr>
          <w:rFonts w:ascii="Times New Roman" w:cs="Times New Roman" w:eastAsia="Times New Roman" w:hAnsi="Times New Roman"/>
          <w:sz w:val="18"/>
          <w:szCs w:val="18"/>
          <w:color w:val="auto"/>
        </w:rPr>
        <w:t>. The documents incorporated by reference in each of the Registration Statement, the Prospectus, when they were filed or when they will be filed with the Commission, as the case may be, conformed or will conform in all material respects to the requirements of the 1934 Act.</w:t>
      </w:r>
    </w:p>
    <w:p>
      <w:pPr>
        <w:spacing w:after="0" w:line="67" w:lineRule="exact"/>
        <w:rPr>
          <w:rFonts w:ascii="Times New Roman" w:cs="Times New Roman" w:eastAsia="Times New Roman" w:hAnsi="Times New Roman"/>
          <w:sz w:val="18"/>
          <w:szCs w:val="18"/>
          <w:color w:val="auto"/>
        </w:rPr>
      </w:pPr>
    </w:p>
    <w:p>
      <w:pPr>
        <w:ind w:left="4" w:firstLine="948"/>
        <w:spacing w:after="0" w:line="256" w:lineRule="auto"/>
        <w:tabs>
          <w:tab w:leader="none" w:pos="12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Accurate Disclosure</w:t>
      </w:r>
      <w:r>
        <w:rPr>
          <w:rFonts w:ascii="Times New Roman" w:cs="Times New Roman" w:eastAsia="Times New Roman" w:hAnsi="Times New Roman"/>
          <w:sz w:val="18"/>
          <w:szCs w:val="18"/>
          <w:color w:val="auto"/>
        </w:rPr>
        <w:t>. Neither the Registration Statement nor any amendment thereto, at its effective time, at the Applicable Time or at any Date of Delivery, contained, contains or will contain an untrue statement of a material fact or omitted, omits or will omit to state a material fact required to be stated therein or necessary to make the statements therein, not misleading. Neither the Prospectus nor any amendment or supplement thereto, as of their respective date(s), at the time of any filing with the Commission pursuant to Rule 424(b)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79"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The representations and warranties in this subsection shall not apply to statements in or omissions from the Registration Statement (or any amendment thereto) or the Prospectus (or any amendment or supplement thereto) made in reliance upon and in conformity with written information furnished to the Company by the Sales Agent expressly for use therein (collectively, the “Sales Agent Information”). For purposes of this Agreement, the only Sales Agent Information shall be the final paragraph of the “Plan of Distribution” in the Prospectus.</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4"/>
          </w:cols>
          <w:pgMar w:left="876" w:top="270" w:right="459" w:bottom="1440" w:gutter="0" w:footer="0" w:header="0"/>
        </w:sectPr>
      </w:pPr>
    </w:p>
    <w:bookmarkStart w:id="49" w:name="page50"/>
    <w:bookmarkEnd w:id="49"/>
    <w:p>
      <w:pPr>
        <w:ind w:right="20" w:firstLine="948"/>
        <w:spacing w:after="0" w:line="258" w:lineRule="auto"/>
        <w:tabs>
          <w:tab w:leader="none" w:pos="120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Not Ineligible Issuer</w:t>
      </w:r>
      <w:r>
        <w:rPr>
          <w:rFonts w:ascii="Times New Roman" w:cs="Times New Roman" w:eastAsia="Times New Roman" w:hAnsi="Times New Roman"/>
          <w:sz w:val="18"/>
          <w:szCs w:val="18"/>
          <w:color w:val="auto"/>
        </w:rPr>
        <w:t>.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75" w:lineRule="exact"/>
        <w:rPr>
          <w:rFonts w:ascii="Times New Roman" w:cs="Times New Roman" w:eastAsia="Times New Roman" w:hAnsi="Times New Roman"/>
          <w:sz w:val="18"/>
          <w:szCs w:val="18"/>
          <w:color w:val="auto"/>
        </w:rPr>
      </w:pPr>
    </w:p>
    <w:p>
      <w:pPr>
        <w:ind w:right="320" w:firstLine="948"/>
        <w:spacing w:after="0" w:line="261" w:lineRule="auto"/>
        <w:tabs>
          <w:tab w:leader="none" w:pos="125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 of the Company</w:t>
      </w:r>
      <w:r>
        <w:rPr>
          <w:rFonts w:ascii="Times New Roman" w:cs="Times New Roman" w:eastAsia="Times New Roman" w:hAnsi="Times New Roman"/>
          <w:sz w:val="18"/>
          <w:szCs w:val="18"/>
          <w:color w:val="auto"/>
        </w:rPr>
        <w:t>. The accountants who audited or reviewed the financial statements and supporting schedules of the Company included or incorporated by reference in the Registration Statement and the Prospectus are independent registered public accountants with respect to the Company within the applicable rules and regulations of the Commission and the Public Company Accounting Oversight Board (United States) and as required by the 1933 Act.</w:t>
      </w:r>
    </w:p>
    <w:p>
      <w:pPr>
        <w:spacing w:after="0" w:line="71" w:lineRule="exact"/>
        <w:rPr>
          <w:rFonts w:ascii="Times New Roman" w:cs="Times New Roman" w:eastAsia="Times New Roman" w:hAnsi="Times New Roman"/>
          <w:sz w:val="18"/>
          <w:szCs w:val="18"/>
          <w:color w:val="auto"/>
        </w:rPr>
      </w:pPr>
    </w:p>
    <w:p>
      <w:pPr>
        <w:ind w:firstLine="948"/>
        <w:spacing w:after="0" w:line="253" w:lineRule="auto"/>
        <w:tabs>
          <w:tab w:leader="none" w:pos="130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included or incorporated by reference in the Registration Statement and the Prospectus, together with the related schedules and notes, present fairly in all material respects the financial position of the Company and the Subsidiaries (as defined below) at the dates indicated and the results of their operations and the changes in the cash flows of the Company and the Subsidiaries for the periods specified (except that the unaudited financial statements were or are subject to normal year-end adjustments which were not, or are not expected to be, material in amount to the Company); said financial statements have been prepared in conformity with U.S. generally accepted accounting principles (“GAAP”) applied on a consistent basis throughout the periods involved (except, in each case, as may be permitted by the rules and regulations of the Commission). The supporting schedules, if any, included or incorporated by reference in the Registration Statement and the Prospectus present fairly in all material respects in accordance with GAAP the information required to be stated therein. The selected financial data and the summary financial information of the Company and the Subsidiaries included or incorporated by reference in the Registration Statement and the Prospectus have been derived from the accounting records and other books and records of the Company and the Subsidiaries and present fairly in all material respects the information shown therein. Except as included therein, no historical or pro forma financial statements or supporting schedules are required to be included in the Registration Statement or the Prospectus under the 1933 Act or the 1933 Act Regulations.</w:t>
      </w:r>
    </w:p>
    <w:p>
      <w:pPr>
        <w:spacing w:after="0" w:line="79" w:lineRule="exact"/>
        <w:rPr>
          <w:rFonts w:ascii="Times New Roman" w:cs="Times New Roman" w:eastAsia="Times New Roman" w:hAnsi="Times New Roman"/>
          <w:sz w:val="18"/>
          <w:szCs w:val="18"/>
          <w:color w:val="auto"/>
        </w:rPr>
      </w:pPr>
    </w:p>
    <w:p>
      <w:pPr>
        <w:ind w:firstLine="948"/>
        <w:spacing w:after="0" w:line="255" w:lineRule="auto"/>
        <w:tabs>
          <w:tab w:leader="none" w:pos="135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Except as otherwise stated therein, since the respective dates as of which information is given in the Registration Statement or the Prospectus, (A) there has been no material adverse change in the business, management, financial condition, results of operations or prospects of the Company and the Subsidiaries considered as one enterprise, whether or not arising in the ordinary course of business (a “Material Adverse Effect”), (B) there have been no transactions entered into by the Company or any of the Subsidiaries, other than those in the ordinary course of business, which are material with respect to the Company and the Subsidiaries considered as one enterprise and (C) there has been no dividend or distribution of any kind declared, paid or made by the Company on any class of its capital stock.</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50" w:name="page51"/>
    <w:bookmarkEnd w:id="50"/>
    <w:p>
      <w:pPr>
        <w:ind w:right="40" w:firstLine="948"/>
        <w:spacing w:after="0" w:line="255" w:lineRule="auto"/>
        <w:tabs>
          <w:tab w:leader="none" w:pos="125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Good Standing of the Company</w:t>
      </w:r>
      <w:r>
        <w:rPr>
          <w:rFonts w:ascii="Times New Roman" w:cs="Times New Roman" w:eastAsia="Times New Roman" w:hAnsi="Times New Roman"/>
          <w:sz w:val="18"/>
          <w:szCs w:val="18"/>
          <w:color w:val="auto"/>
        </w:rPr>
        <w:t>.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and the Prospectus and to enter into this Agreement and perform its obligations under this Agreement, the Investment Management Agreement, the Administration Agreement and the Securities;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w:t>
      </w:r>
    </w:p>
    <w:p>
      <w:pPr>
        <w:spacing w:after="0" w:line="80" w:lineRule="exact"/>
        <w:rPr>
          <w:rFonts w:ascii="Times New Roman" w:cs="Times New Roman" w:eastAsia="Times New Roman" w:hAnsi="Times New Roman"/>
          <w:sz w:val="18"/>
          <w:szCs w:val="18"/>
          <w:color w:val="auto"/>
        </w:rPr>
      </w:pPr>
    </w:p>
    <w:p>
      <w:pPr>
        <w:ind w:firstLine="948"/>
        <w:spacing w:after="0" w:line="252" w:lineRule="auto"/>
        <w:tabs>
          <w:tab w:leader="none" w:pos="120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 of the Company; Portfolio Companies</w:t>
      </w:r>
      <w:r>
        <w:rPr>
          <w:rFonts w:ascii="Times New Roman" w:cs="Times New Roman" w:eastAsia="Times New Roman" w:hAnsi="Times New Roman"/>
          <w:sz w:val="18"/>
          <w:szCs w:val="18"/>
          <w:color w:val="auto"/>
        </w:rPr>
        <w:t xml:space="preserve">. The Company’s only subsidiaries that were consolidated with the Company for financial reporting purposes under GAAP as of March 31, 2024 are those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a “Subsidiary” and, collectively, the “Subsidiaries”). 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Prospectus and is duly qualified as a foreign corporation, limited liability company or limited partnership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except as disclosed in the Prospectus, all of the issued and outstanding capital stock of each such Subsidiary has been duly authorized and validly issued and is fully paid and non-assessable; none of the outstanding shares of capital stock of any of the Subsidiaries was issued in violation of the preemptive or other similar rights of any securityholder of such Subsidiary. Except for any investments made in the ordinary course of business since the most recent quarter end, the Company does not own, directly or indirectly, any investments or shares of stock or any other equity or long-term debt securities of any corporation or other entity other than (A) the Subsidiaries and (B) those corporations or other entities described in the Registration Statement and the Prospectus under the caption “Portfolio Companies” (each a “Portfolio Company” and collectively the “Portfolio Companies”). Except as otherwise disclosed in the Prospectus, the Company does not control (as such term is defined in Section 2(a)(9) of the 1940 Act), any of the Portfolio Companies or any corporation or other entity in which it invested since the most recent quarter end.</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880" w:top="270" w:right="479" w:bottom="1440" w:gutter="0" w:footer="0" w:header="0"/>
        </w:sectPr>
      </w:pPr>
    </w:p>
    <w:bookmarkStart w:id="51" w:name="page52"/>
    <w:bookmarkEnd w:id="51"/>
    <w:p>
      <w:pPr>
        <w:ind w:right="200" w:firstLine="948"/>
        <w:spacing w:after="0" w:line="273" w:lineRule="auto"/>
        <w:tabs>
          <w:tab w:leader="none" w:pos="125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Capitalization</w:t>
      </w:r>
      <w:r>
        <w:rPr>
          <w:rFonts w:ascii="Times New Roman" w:cs="Times New Roman" w:eastAsia="Times New Roman" w:hAnsi="Times New Roman"/>
          <w:sz w:val="17"/>
          <w:szCs w:val="17"/>
          <w:color w:val="auto"/>
        </w:rPr>
        <w:t>. The authorized shares of capital stock of the Company are as set forth in the Registration Statement and the Prospectus under the caption “Description of Our Capital Stock.” The total issued and outstanding shares of capital stock of the Company as of March 31, 2024 are as set forth in the Prospectus Supplement under the caption “The Offering.”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Except as set forth in the Registration Statement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63" w:lineRule="exact"/>
        <w:rPr>
          <w:rFonts w:ascii="Times New Roman" w:cs="Times New Roman" w:eastAsia="Times New Roman" w:hAnsi="Times New Roman"/>
          <w:sz w:val="17"/>
          <w:szCs w:val="17"/>
          <w:color w:val="auto"/>
        </w:rPr>
      </w:pPr>
    </w:p>
    <w:p>
      <w:pPr>
        <w:ind w:left="1300" w:hanging="352"/>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right="20" w:firstLine="948"/>
        <w:spacing w:after="0" w:line="255" w:lineRule="auto"/>
        <w:tabs>
          <w:tab w:leader="none" w:pos="135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Description of Securities</w:t>
      </w:r>
      <w:r>
        <w:rPr>
          <w:rFonts w:ascii="Times New Roman" w:cs="Times New Roman" w:eastAsia="Times New Roman" w:hAnsi="Times New Roman"/>
          <w:sz w:val="18"/>
          <w:szCs w:val="18"/>
          <w:color w:val="auto"/>
        </w:rPr>
        <w:t>. The Securities to be issued and sold by the Company hereunder have been duly authorized and when issued and paid for as contemplated herein will be validly issued, fully paid and non-assessable; and no preemptive rights of stockholders exist with respect to any of the Securities or the issue and sale thereof. The Common Stock conforms to all statements relating thereto contained in the Registration Statement and the Prospectus and such description conforms to the rights set forth in the instruments defining the same. No holder of the Common Stock will be subject to personal liability by reason of being such a holder. The Company acknowledges and agrees that all stock-related numbers contained in this Agreement shall be adjusted to take into account any stock split, stock dividend or similar event effected with respect to the Securities.</w:t>
      </w:r>
    </w:p>
    <w:p>
      <w:pPr>
        <w:spacing w:after="0" w:line="80" w:lineRule="exact"/>
        <w:rPr>
          <w:rFonts w:ascii="Times New Roman" w:cs="Times New Roman" w:eastAsia="Times New Roman" w:hAnsi="Times New Roman"/>
          <w:sz w:val="18"/>
          <w:szCs w:val="18"/>
          <w:color w:val="auto"/>
        </w:rPr>
      </w:pPr>
    </w:p>
    <w:p>
      <w:pPr>
        <w:ind w:firstLine="948"/>
        <w:spacing w:after="0" w:line="312" w:lineRule="auto"/>
        <w:tabs>
          <w:tab w:leader="none" w:pos="134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Rights</w:t>
      </w:r>
      <w:r>
        <w:rPr>
          <w:rFonts w:ascii="Times New Roman" w:cs="Times New Roman" w:eastAsia="Times New Roman" w:hAnsi="Times New Roman"/>
          <w:sz w:val="17"/>
          <w:szCs w:val="17"/>
          <w:color w:val="auto"/>
        </w:rPr>
        <w:t>. There are no persons with registration rights or other similar rights to have any securities registered for sale pursuant to the Registration Statement or otherwise registered for sale or sold by the Company under the 1933 Act pursuant to this Agreement.</w:t>
      </w:r>
    </w:p>
    <w:p>
      <w:pPr>
        <w:spacing w:after="0" w:line="31" w:lineRule="exact"/>
        <w:rPr>
          <w:rFonts w:ascii="Times New Roman" w:cs="Times New Roman" w:eastAsia="Times New Roman" w:hAnsi="Times New Roman"/>
          <w:sz w:val="17"/>
          <w:szCs w:val="17"/>
          <w:color w:val="auto"/>
        </w:rPr>
      </w:pPr>
    </w:p>
    <w:p>
      <w:pPr>
        <w:ind w:right="20" w:firstLine="948"/>
        <w:spacing w:after="0" w:line="254" w:lineRule="auto"/>
        <w:tabs>
          <w:tab w:leader="none" w:pos="129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Violations and Defaults</w:t>
      </w:r>
      <w:r>
        <w:rPr>
          <w:rFonts w:ascii="Times New Roman" w:cs="Times New Roman" w:eastAsia="Times New Roman" w:hAnsi="Times New Roman"/>
          <w:sz w:val="18"/>
          <w:szCs w:val="18"/>
          <w:color w:val="auto"/>
        </w:rPr>
        <w:t>. Neither the Company nor any of the Subsidiaries is (A) in violation of its charter, bylaws or similar organizational document, each as amended or supplemented from time to time, (B) in default under any contract, indenture, mortgage, deed of trust, loan or credit agreement, note, lease or other agreement or instrument to which the Company or any of the Subsidiaries is a party or by which it or any of them may be bound or to which any of the properties or assets of the Company or any of the Subsidiaries is subject (collectively, “Agreements and Instruments”),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the Subsidiaries or any of their respective properties, assets or operations (each, a “Governmental Entity”), except for such violations that would not reasonably be expected, singly or in the aggregate, to result in a Material Adverse Effect.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52" w:name="page53"/>
    <w:bookmarkEnd w:id="52"/>
    <w:p>
      <w:pPr>
        <w:ind w:firstLine="948"/>
        <w:spacing w:after="0" w:line="252" w:lineRule="auto"/>
        <w:tabs>
          <w:tab w:leader="none" w:pos="13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Conflicts</w:t>
      </w:r>
      <w:r>
        <w:rPr>
          <w:rFonts w:ascii="Times New Roman" w:cs="Times New Roman" w:eastAsia="Times New Roman" w:hAnsi="Times New Roman"/>
          <w:sz w:val="18"/>
          <w:szCs w:val="18"/>
          <w:color w:val="auto"/>
        </w:rPr>
        <w:t>.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the Subsidiaries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(a) the charter, bylaws or similar organizational document of the Company or any of the Subsidiaries or (b) any law, statute, rule, regulation, judgment, order, writ or decree of any Governmental Entity, except, in the case of (b) above, for any violation that would not reasonably be expected, singly or in the aggregate,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the Subsidiaries.</w:t>
      </w:r>
    </w:p>
    <w:p>
      <w:pPr>
        <w:spacing w:after="0" w:line="89" w:lineRule="exact"/>
        <w:rPr>
          <w:rFonts w:ascii="Times New Roman" w:cs="Times New Roman" w:eastAsia="Times New Roman" w:hAnsi="Times New Roman"/>
          <w:sz w:val="18"/>
          <w:szCs w:val="18"/>
          <w:color w:val="auto"/>
        </w:rPr>
      </w:pPr>
    </w:p>
    <w:p>
      <w:pPr>
        <w:ind w:left="1400" w:hanging="452"/>
        <w:spacing w:after="0"/>
        <w:tabs>
          <w:tab w:leader="none" w:pos="1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Neither the Company nor any of the Subsidiaries has any employees.</w:t>
      </w:r>
    </w:p>
    <w:p>
      <w:pPr>
        <w:spacing w:after="0" w:line="117" w:lineRule="exact"/>
        <w:rPr>
          <w:rFonts w:ascii="Times New Roman" w:cs="Times New Roman" w:eastAsia="Times New Roman" w:hAnsi="Times New Roman"/>
          <w:sz w:val="18"/>
          <w:szCs w:val="18"/>
          <w:color w:val="auto"/>
        </w:rPr>
      </w:pPr>
    </w:p>
    <w:p>
      <w:pPr>
        <w:ind w:firstLine="948"/>
        <w:spacing w:after="0" w:line="256" w:lineRule="auto"/>
        <w:tabs>
          <w:tab w:leader="none" w:pos="14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Except as disclosed in the Registration Statement and the Prospectus, there is no action, suit, proceeding or, to the knowledge of the Company, inquiry or investigation before or brought by any Governmental Entity now pending or, to the knowledge of the Company, threatened, against or affecting the Company or any of the Subsidiaries, which would reasonably be expected to result in a Material Adverse Effect, or which would reasonably be expected to materially and adversely affect the consummation of the transactions contemplated in this Agreement, the Investment Management Agreement, the Administration Agreement or the performance by the Company of its obligations hereunder or thereunder.</w:t>
      </w:r>
    </w:p>
    <w:p>
      <w:pPr>
        <w:spacing w:after="0" w:line="79" w:lineRule="exact"/>
        <w:rPr>
          <w:rFonts w:ascii="Times New Roman" w:cs="Times New Roman" w:eastAsia="Times New Roman" w:hAnsi="Times New Roman"/>
          <w:sz w:val="18"/>
          <w:szCs w:val="18"/>
          <w:color w:val="auto"/>
        </w:rPr>
      </w:pPr>
    </w:p>
    <w:p>
      <w:pPr>
        <w:ind w:right="120" w:firstLine="948"/>
        <w:spacing w:after="0" w:line="282" w:lineRule="auto"/>
        <w:tabs>
          <w:tab w:leader="none" w:pos="13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Exhibits</w:t>
      </w:r>
      <w:r>
        <w:rPr>
          <w:rFonts w:ascii="Times New Roman" w:cs="Times New Roman" w:eastAsia="Times New Roman" w:hAnsi="Times New Roman"/>
          <w:sz w:val="18"/>
          <w:szCs w:val="18"/>
          <w:color w:val="auto"/>
        </w:rPr>
        <w:t>. There are no contracts or documents which are required to be described in the Registration Statement or the Prospectus or to be filed as exhibits to the Registration Statement which have not been so described and filed as required.</w:t>
      </w:r>
    </w:p>
    <w:p>
      <w:pPr>
        <w:spacing w:after="0" w:line="53" w:lineRule="exact"/>
        <w:rPr>
          <w:rFonts w:ascii="Times New Roman" w:cs="Times New Roman" w:eastAsia="Times New Roman" w:hAnsi="Times New Roman"/>
          <w:sz w:val="18"/>
          <w:szCs w:val="18"/>
          <w:color w:val="auto"/>
        </w:rPr>
      </w:pPr>
    </w:p>
    <w:p>
      <w:pPr>
        <w:ind w:right="180" w:firstLine="948"/>
        <w:spacing w:after="0" w:line="266" w:lineRule="auto"/>
        <w:tabs>
          <w:tab w:leader="none" w:pos="12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53" w:name="page54"/>
    <w:bookmarkEnd w:id="5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 except (A) such as have been already made or obtained, including under the 1933 Act, the 1933 Act Regulations, the 1940 Act, the 1940 Act Regulations, state securities laws or the rules of the Financial Industry Regulatory Authority, Inc. (“FINRA”), (B) the filing of the Notifications of Election under the 1940 Act, which has been effected and (C) where the failure to obtain any such filing, authorization, approval, consent, license, order, registration, qualification or decree would not reasonably be expected, singly or in the aggregate, to have a Material Adverse Effect.</w:t>
      </w:r>
    </w:p>
    <w:p>
      <w:pPr>
        <w:spacing w:after="0" w:line="81" w:lineRule="exact"/>
        <w:rPr>
          <w:sz w:val="20"/>
          <w:szCs w:val="20"/>
          <w:color w:val="auto"/>
        </w:rPr>
      </w:pPr>
    </w:p>
    <w:p>
      <w:pPr>
        <w:ind w:right="60" w:firstLine="948"/>
        <w:spacing w:after="0" w:line="253" w:lineRule="auto"/>
        <w:tabs>
          <w:tab w:leader="none" w:pos="13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The Company and the Subsidiaries possess such permits, licenses, approvals, consents and other authorizations (collectively, “Governmental Licenses”) issued by the appropriate Governmental Entities necessary to conduct the business now operated by them, except where the failure so to possess would not reasonably be expected, singly or in the aggregate, to result in a Material Adverse Effect. The Company and the Subsidiaries are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Neither the Company nor any of the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w:t>
      </w:r>
    </w:p>
    <w:p>
      <w:pPr>
        <w:spacing w:after="0" w:line="86" w:lineRule="exact"/>
        <w:rPr>
          <w:rFonts w:ascii="Times New Roman" w:cs="Times New Roman" w:eastAsia="Times New Roman" w:hAnsi="Times New Roman"/>
          <w:sz w:val="18"/>
          <w:szCs w:val="18"/>
          <w:color w:val="auto"/>
        </w:rPr>
      </w:pPr>
    </w:p>
    <w:p>
      <w:pPr>
        <w:ind w:right="60" w:firstLine="948"/>
        <w:spacing w:after="0" w:line="256" w:lineRule="auto"/>
        <w:tabs>
          <w:tab w:leader="none" w:pos="139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The Company and the Subsidiaries do not own any real property; and all of the leases and subleases material to the business of the Company and the Subsidiaries, considered as one enterprise, and under which the Company or any of the Subsidiaries holds properties,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79" w:lineRule="exact"/>
        <w:rPr>
          <w:rFonts w:ascii="Times New Roman" w:cs="Times New Roman" w:eastAsia="Times New Roman" w:hAnsi="Times New Roman"/>
          <w:sz w:val="18"/>
          <w:szCs w:val="18"/>
          <w:color w:val="auto"/>
        </w:rPr>
      </w:pPr>
    </w:p>
    <w:p>
      <w:pPr>
        <w:ind w:right="40" w:firstLine="948"/>
        <w:spacing w:after="0" w:line="258" w:lineRule="auto"/>
        <w:tabs>
          <w:tab w:leader="none" w:pos="14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Intellectual Property</w:t>
      </w:r>
      <w:r>
        <w:rPr>
          <w:rFonts w:ascii="Times New Roman" w:cs="Times New Roman" w:eastAsia="Times New Roman" w:hAnsi="Times New Roman"/>
          <w:sz w:val="18"/>
          <w:szCs w:val="18"/>
          <w:color w:val="auto"/>
        </w:rPr>
        <w:t>. Except as would not reasonably be expected, singly or in the aggregate, to have a Material Adverse Effect, 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54" w:name="page55"/>
    <w:bookmarkEnd w:id="54"/>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operated by them, and neither the Company nor any of the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w:t>
      </w:r>
    </w:p>
    <w:p>
      <w:pPr>
        <w:spacing w:after="0" w:line="75" w:lineRule="exact"/>
        <w:rPr>
          <w:sz w:val="20"/>
          <w:szCs w:val="20"/>
          <w:color w:val="auto"/>
        </w:rPr>
      </w:pPr>
    </w:p>
    <w:p>
      <w:pPr>
        <w:ind w:firstLine="948"/>
        <w:spacing w:after="0" w:line="253" w:lineRule="auto"/>
        <w:tabs>
          <w:tab w:leader="none" w:pos="14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Controls</w:t>
      </w:r>
      <w:r>
        <w:rPr>
          <w:rFonts w:ascii="Times New Roman" w:cs="Times New Roman" w:eastAsia="Times New Roman" w:hAnsi="Times New Roman"/>
          <w:sz w:val="18"/>
          <w:szCs w:val="18"/>
          <w:color w:val="auto"/>
        </w:rPr>
        <w:t>. The Company, on a consolidated basis, maintains a system of internal control over financial reporting (as defined under Rule 13a-15(f) and 15d-15(f) under the rules and regulations of the Commission under the 1934 Act (such rules and regulations,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not as of the date hereof required to comply with the auditor attestation requirements under Section 404 of the Sarbanes Oxley Act of 2002, as amended).</w:t>
      </w:r>
    </w:p>
    <w:p>
      <w:pPr>
        <w:spacing w:after="0" w:line="81" w:lineRule="exact"/>
        <w:rPr>
          <w:rFonts w:ascii="Times New Roman" w:cs="Times New Roman" w:eastAsia="Times New Roman" w:hAnsi="Times New Roman"/>
          <w:sz w:val="18"/>
          <w:szCs w:val="18"/>
          <w:color w:val="auto"/>
        </w:rPr>
      </w:pPr>
    </w:p>
    <w:p>
      <w:pPr>
        <w:ind w:right="20" w:firstLine="948"/>
        <w:spacing w:after="0" w:line="253" w:lineRule="auto"/>
        <w:tabs>
          <w:tab w:leader="none" w:pos="138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 All United States federal income tax returns of the Company and the Subsidiaries required by law to have been filed by them (taking into account any applicable extensions) have been filed and all taxes shown by such returns or otherwise assessed, which are due and payable, have been paid, in each case, except assessments against which appeals have been or will be promptly taken and as to which adequate reserves have been provided or insofar as the failure to do so would not reasonably be expected, singly or in the aggregate, to result in a Material Adverse Effect. The United States federal income tax returns of the Company through the fiscal year ended September 30, 2023 have been filed, and no assessment in connection therewith has been made against the Company. The Company and the Subsidiaries have filed all other tax returns that are required to have been filed by them (taking into account any applicable extensions) pursuant to applicable foreign, state, local or other law and have paid all taxes due pursuant to such returns or pursuant to any assessment received by the Company and the Subsidiaries, except for such taxes, if any, as are being contested in good faith and as to which adequate reserves have been established by the Company or, in each case, insofar as the failure to pay such taxes or file such returns would not reasonably be expected to 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years not finally determined, except to the extent of any inadequacy that would not reasonably be expected to result in a Material Adverse Effect.</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55" w:name="page56"/>
    <w:bookmarkEnd w:id="55"/>
    <w:p>
      <w:pPr>
        <w:ind w:right="20" w:firstLine="948"/>
        <w:spacing w:after="0" w:line="258" w:lineRule="auto"/>
        <w:tabs>
          <w:tab w:leader="none" w:pos="14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Insurance</w:t>
      </w:r>
      <w:r>
        <w:rPr>
          <w:rFonts w:ascii="Times New Roman" w:cs="Times New Roman" w:eastAsia="Times New Roman" w:hAnsi="Times New Roman"/>
          <w:sz w:val="18"/>
          <w:szCs w:val="18"/>
          <w:color w:val="auto"/>
        </w:rPr>
        <w:t>. The Company and the Subsidiaries carry or are entitled to the benefits of insurance, with financially sound and reputable insurers, in such amounts and covering such risks as the Company reasonably believes is prudent, and all such insurance is in full force and effect. The Company has no reason to believe that it or any of the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w:t>
      </w:r>
    </w:p>
    <w:p>
      <w:pPr>
        <w:spacing w:after="0" w:line="75" w:lineRule="exact"/>
        <w:rPr>
          <w:rFonts w:ascii="Times New Roman" w:cs="Times New Roman" w:eastAsia="Times New Roman" w:hAnsi="Times New Roman"/>
          <w:sz w:val="18"/>
          <w:szCs w:val="18"/>
          <w:color w:val="auto"/>
        </w:rPr>
      </w:pPr>
    </w:p>
    <w:p>
      <w:pPr>
        <w:ind w:right="200" w:firstLine="948"/>
        <w:spacing w:after="0" w:line="266" w:lineRule="auto"/>
        <w:tabs>
          <w:tab w:leader="none" w:pos="148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required and, upon the issuance and sale of the Securities as herein contemplated and the application of the net proceeds therefrom as described in the Prospectus, will not be required to register as an “investment company” as such term is used in the 1940 Act.</w:t>
      </w:r>
    </w:p>
    <w:p>
      <w:pPr>
        <w:spacing w:after="0" w:line="67" w:lineRule="exact"/>
        <w:rPr>
          <w:rFonts w:ascii="Times New Roman" w:cs="Times New Roman" w:eastAsia="Times New Roman" w:hAnsi="Times New Roman"/>
          <w:sz w:val="18"/>
          <w:szCs w:val="18"/>
          <w:color w:val="auto"/>
        </w:rPr>
      </w:pPr>
    </w:p>
    <w:p>
      <w:pPr>
        <w:ind w:right="180" w:firstLine="948"/>
        <w:spacing w:after="0" w:line="266" w:lineRule="auto"/>
        <w:tabs>
          <w:tab w:leader="none" w:pos="15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Stabilization and Manipulation</w:t>
      </w:r>
      <w:r>
        <w:rPr>
          <w:rFonts w:ascii="Times New Roman" w:cs="Times New Roman" w:eastAsia="Times New Roman" w:hAnsi="Times New Roman"/>
          <w:sz w:val="18"/>
          <w:szCs w:val="18"/>
          <w:color w:val="auto"/>
        </w:rPr>
        <w:t>. The Company has not taken, nor will it take, directly or indirectly, without giving effect to any activities by the Sales Agent, any action designed, or that would reasonably be expected, to cause or result in, or that constitutes, any stabilization or manipulation of the price of the Securities, other than activity permitted pursuant to Rule 10b-18 under the 1934 Act.</w:t>
      </w:r>
    </w:p>
    <w:p>
      <w:pPr>
        <w:spacing w:after="0" w:line="67" w:lineRule="exact"/>
        <w:rPr>
          <w:rFonts w:ascii="Times New Roman" w:cs="Times New Roman" w:eastAsia="Times New Roman" w:hAnsi="Times New Roman"/>
          <w:sz w:val="18"/>
          <w:szCs w:val="18"/>
          <w:color w:val="auto"/>
        </w:rPr>
      </w:pPr>
    </w:p>
    <w:p>
      <w:pPr>
        <w:ind w:firstLine="948"/>
        <w:spacing w:after="0" w:line="253" w:lineRule="auto"/>
        <w:tabs>
          <w:tab w:leader="none" w:pos="14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aware of, has taken or will take any action, directly or indirectly, that would result in a violation by such persons of the Foreign Corrupt Practices Act of 1977, as amended, and the rules and regulations thereunder (the “FCPA”),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Company, the Company and its Subsidiaries have conducted their businesses in compliance with the FCPA and have instituted and maintain policies and procedures designed to ensure, and which are reasonably expected to continue to ensure, continued compliance therewith.</w:t>
      </w:r>
    </w:p>
    <w:p>
      <w:pPr>
        <w:spacing w:after="0" w:line="86" w:lineRule="exact"/>
        <w:rPr>
          <w:rFonts w:ascii="Times New Roman" w:cs="Times New Roman" w:eastAsia="Times New Roman" w:hAnsi="Times New Roman"/>
          <w:sz w:val="18"/>
          <w:szCs w:val="18"/>
          <w:color w:val="auto"/>
        </w:rPr>
      </w:pPr>
    </w:p>
    <w:p>
      <w:pPr>
        <w:ind w:firstLine="948"/>
        <w:spacing w:after="0" w:line="266" w:lineRule="auto"/>
        <w:tabs>
          <w:tab w:leader="none" w:pos="138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the Company and the Subsidiaries are and have been conducted at all times in compliance with applicable financial recordkeeping and reporting requirements of the Currency and Foreign Transactions Reporting Act of 1970, as amended, the applicable anti-money laundering statutes of the jurisdictions in which the Company and the Subsidiaries conduct business,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56" w:name="page57"/>
    <w:bookmarkEnd w:id="56"/>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rules and regulations thereunder and any other relevant laws, rules, regulations or guidelines, issued, administered or enforced by any Governmental Entity (collectively, the “Anti-Money Laundering Laws”); and no action, suit or proceeding by or before any Governmental Entity involving the Company or any of the Subsidiaries with respect to the Anti-Money Laundering Laws is pending or, to the best knowledge of the Company, threatened.</w:t>
      </w:r>
    </w:p>
    <w:p>
      <w:pPr>
        <w:spacing w:after="0" w:line="72" w:lineRule="exact"/>
        <w:rPr>
          <w:sz w:val="20"/>
          <w:szCs w:val="20"/>
          <w:color w:val="auto"/>
        </w:rPr>
      </w:pPr>
    </w:p>
    <w:p>
      <w:pPr>
        <w:ind w:firstLine="948"/>
        <w:spacing w:after="0" w:line="254" w:lineRule="auto"/>
        <w:tabs>
          <w:tab w:leader="none" w:pos="14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an individual or entity (“Person”), or is controlled by a Person that is, (i) currently the subject or target of any sanctions administered or enforced by the United States Government, including the U.S. Department of the Treasury’s Office of Foreign Assets Control (“OFAC”), the United Nations Security Council, the European Union, His Majesty’s Treasury, or other relevant sanctions authority (collectively, “Sanctions”), or (ii) located, organized or resident in a country or territory that is itself the subject of Sanctions. In the past five (5) years, the Company and the Subsidiaries have not knowingly engaged in, and are not now knowingly engaged in, any unauthorized dealings or transactions with any Person that at the time of the dealing or transaction is or was the subject or target of Sanctions.</w:t>
      </w:r>
    </w:p>
    <w:p>
      <w:pPr>
        <w:spacing w:after="0" w:line="83" w:lineRule="exact"/>
        <w:rPr>
          <w:rFonts w:ascii="Times New Roman" w:cs="Times New Roman" w:eastAsia="Times New Roman" w:hAnsi="Times New Roman"/>
          <w:sz w:val="18"/>
          <w:szCs w:val="18"/>
          <w:color w:val="auto"/>
        </w:rPr>
      </w:pPr>
    </w:p>
    <w:p>
      <w:pPr>
        <w:jc w:val="both"/>
        <w:ind w:right="100" w:firstLine="948"/>
        <w:spacing w:after="0" w:line="266" w:lineRule="auto"/>
        <w:tabs>
          <w:tab w:leader="none" w:pos="148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Lending Relationship</w:t>
      </w:r>
      <w:r>
        <w:rPr>
          <w:rFonts w:ascii="Times New Roman" w:cs="Times New Roman" w:eastAsia="Times New Roman" w:hAnsi="Times New Roman"/>
          <w:sz w:val="18"/>
          <w:szCs w:val="18"/>
          <w:color w:val="auto"/>
        </w:rPr>
        <w:t>. Except as disclosed in the Registration Statement and the Prospectus, the Company (i) does not have any material lending or other relationship with any bank or lending affiliate of the Sales Agent and (ii) does not intend to use any of the proceeds from the sale of the Securities to repay any outstanding debt owed to any affiliate of the Sales Agent.</w:t>
      </w:r>
    </w:p>
    <w:p>
      <w:pPr>
        <w:spacing w:after="0" w:line="67" w:lineRule="exact"/>
        <w:rPr>
          <w:rFonts w:ascii="Times New Roman" w:cs="Times New Roman" w:eastAsia="Times New Roman" w:hAnsi="Times New Roman"/>
          <w:sz w:val="18"/>
          <w:szCs w:val="18"/>
          <w:color w:val="auto"/>
        </w:rPr>
      </w:pPr>
    </w:p>
    <w:p>
      <w:pPr>
        <w:ind w:right="200" w:firstLine="948"/>
        <w:spacing w:after="0" w:line="266" w:lineRule="auto"/>
        <w:tabs>
          <w:tab w:leader="none" w:pos="15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Any statistical and market-related data included or incorporated by reference in the Registration Statement or the Prospectus are based on or derived from sources that the Company believes to be reliable and accurate and, to the extent required, the Company has obtained the written consent to the use of such data from such sources.</w:t>
      </w:r>
    </w:p>
    <w:p>
      <w:pPr>
        <w:spacing w:after="0" w:line="67" w:lineRule="exact"/>
        <w:rPr>
          <w:rFonts w:ascii="Times New Roman" w:cs="Times New Roman" w:eastAsia="Times New Roman" w:hAnsi="Times New Roman"/>
          <w:sz w:val="18"/>
          <w:szCs w:val="18"/>
          <w:color w:val="auto"/>
        </w:rPr>
      </w:pPr>
    </w:p>
    <w:p>
      <w:pPr>
        <w:ind w:right="120" w:firstLine="948"/>
        <w:spacing w:after="0" w:line="266" w:lineRule="auto"/>
        <w:tabs>
          <w:tab w:leader="none" w:pos="152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business relationships or related party transactions involving the Company, any of the Subsidiaries or any other person required to be described in the Registration Statement or the Prospectus which have not been described as required.</w:t>
      </w:r>
    </w:p>
    <w:p>
      <w:pPr>
        <w:spacing w:after="0" w:line="67" w:lineRule="exact"/>
        <w:rPr>
          <w:rFonts w:ascii="Times New Roman" w:cs="Times New Roman" w:eastAsia="Times New Roman" w:hAnsi="Times New Roman"/>
          <w:sz w:val="18"/>
          <w:szCs w:val="18"/>
          <w:color w:val="auto"/>
        </w:rPr>
      </w:pPr>
    </w:p>
    <w:p>
      <w:pPr>
        <w:ind w:right="60" w:firstLine="948"/>
        <w:spacing w:after="0" w:line="261" w:lineRule="auto"/>
        <w:tabs>
          <w:tab w:leader="none" w:pos="147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Election</w:t>
      </w:r>
      <w:r>
        <w:rPr>
          <w:rFonts w:ascii="Times New Roman" w:cs="Times New Roman" w:eastAsia="Times New Roman" w:hAnsi="Times New Roman"/>
          <w:sz w:val="18"/>
          <w:szCs w:val="18"/>
          <w:color w:val="auto"/>
        </w:rPr>
        <w:t>. When the Notification of Election was filed with the Commission, it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20"/>
          </w:cols>
          <w:pgMar w:left="880" w:top="270" w:right="499" w:bottom="1440" w:gutter="0" w:footer="0" w:header="0"/>
        </w:sectPr>
      </w:pPr>
    </w:p>
    <w:bookmarkStart w:id="57" w:name="page58"/>
    <w:bookmarkEnd w:id="57"/>
    <w:p>
      <w:pPr>
        <w:ind w:left="4" w:right="40" w:firstLine="948"/>
        <w:spacing w:after="0" w:line="253" w:lineRule="auto"/>
        <w:tabs>
          <w:tab w:leader="none" w:pos="153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Management Agreement and Administration Agreement</w:t>
      </w:r>
      <w:r>
        <w:rPr>
          <w:rFonts w:ascii="Times New Roman" w:cs="Times New Roman" w:eastAsia="Times New Roman" w:hAnsi="Times New Roman"/>
          <w:sz w:val="18"/>
          <w:szCs w:val="18"/>
          <w:color w:val="auto"/>
        </w:rPr>
        <w:t>. (A) The terms of the Investment Management Agreement and the Administration Agreement, including compensation terms, comply in all material respects with all applicable provisions of the 1940 Act, the 1940 Act Regulations and the Investment Advisers Act of 1940, as amended, and the rules and regulations thereunder (collectively, the “Advisers Act”) and (B) the approvals by the board of directors and the stockholders of the Company of the Investment Management Agreement and the Administration Agreement have been made in accordance with the requirements of Section 15(a) and (c) of the 1940 Act and the 1940 Act Regulations applicable to companies that have elected to be regulated as business development companies under the 1940 Act. Each of the Investment Management Agreement and the Administration Agreement has been duly authorized, executed and delivered by the Company and is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83" w:lineRule="exact"/>
        <w:rPr>
          <w:rFonts w:ascii="Times New Roman" w:cs="Times New Roman" w:eastAsia="Times New Roman" w:hAnsi="Times New Roman"/>
          <w:sz w:val="18"/>
          <w:szCs w:val="18"/>
          <w:color w:val="auto"/>
        </w:rPr>
      </w:pPr>
    </w:p>
    <w:p>
      <w:pPr>
        <w:jc w:val="both"/>
        <w:ind w:left="4" w:right="140" w:firstLine="948"/>
        <w:spacing w:after="0" w:line="276" w:lineRule="auto"/>
        <w:tabs>
          <w:tab w:leader="none" w:pos="158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Interested Persons</w:t>
      </w:r>
      <w:r>
        <w:rPr>
          <w:rFonts w:ascii="Times New Roman" w:cs="Times New Roman" w:eastAsia="Times New Roman" w:hAnsi="Times New Roman"/>
          <w:sz w:val="17"/>
          <w:szCs w:val="17"/>
          <w:color w:val="auto"/>
        </w:rPr>
        <w:t>. Except as disclosed in the Registration Statement and the Prospectus (A) no person is serving or acting as an officer, director or investment adviser of the Company, except in accordance with the provisions of the 1940 Act and the Advisers Act, and</w:t>
      </w:r>
    </w:p>
    <w:p>
      <w:pPr>
        <w:ind w:left="4" w:right="280" w:hanging="4"/>
        <w:spacing w:after="0" w:line="260" w:lineRule="auto"/>
        <w:tabs>
          <w:tab w:leader="none" w:pos="28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director of the Company is an “interested person” (as defined in the 1940 Act) of the Company or an “affiliated person” (as defined in the 1940 Act) of the Sales Agent.</w:t>
      </w:r>
    </w:p>
    <w:p>
      <w:pPr>
        <w:spacing w:after="0" w:line="73" w:lineRule="exact"/>
        <w:rPr>
          <w:rFonts w:ascii="Times New Roman" w:cs="Times New Roman" w:eastAsia="Times New Roman" w:hAnsi="Times New Roman"/>
          <w:sz w:val="18"/>
          <w:szCs w:val="18"/>
          <w:color w:val="auto"/>
        </w:rPr>
      </w:pPr>
    </w:p>
    <w:p>
      <w:pPr>
        <w:ind w:left="4" w:firstLine="948"/>
        <w:spacing w:after="0" w:line="256" w:lineRule="auto"/>
        <w:tabs>
          <w:tab w:leader="none" w:pos="163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Development Company</w:t>
      </w:r>
      <w:r>
        <w:rPr>
          <w:rFonts w:ascii="Times New Roman" w:cs="Times New Roman" w:eastAsia="Times New Roman" w:hAnsi="Times New Roman"/>
          <w:sz w:val="18"/>
          <w:szCs w:val="18"/>
          <w:color w:val="auto"/>
        </w:rPr>
        <w:t>. (A) The Company has duly elected to be treated by the Commission under the 1940 Act as a business development company, such election is effective and all required action has been taken by the Company under the 1933 Act and the 1940 Act to make the public offering and consummate the sale of the Securities as provided in this Agreement; (B) the provisions of the charter and bylaws of the Company, and the investment objectives, policies and restrictions described in the Prospectus comply in all material respects with the requirements of the 1940 Act applicable to business development companies; and (C) the operations of the Company are in compliance in all material respects with the provisions of the 1940 Act and the 1940 Act Regulations applicable to business development companies.</w:t>
      </w:r>
    </w:p>
    <w:p>
      <w:pPr>
        <w:spacing w:after="0" w:line="79" w:lineRule="exact"/>
        <w:rPr>
          <w:rFonts w:ascii="Times New Roman" w:cs="Times New Roman" w:eastAsia="Times New Roman" w:hAnsi="Times New Roman"/>
          <w:sz w:val="18"/>
          <w:szCs w:val="18"/>
          <w:color w:val="auto"/>
        </w:rPr>
      </w:pPr>
    </w:p>
    <w:p>
      <w:pPr>
        <w:ind w:left="4" w:right="120" w:firstLine="948"/>
        <w:spacing w:after="0" w:line="289" w:lineRule="auto"/>
        <w:tabs>
          <w:tab w:leader="none" w:pos="153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Extension of Credit</w:t>
      </w:r>
      <w:r>
        <w:rPr>
          <w:rFonts w:ascii="Times New Roman" w:cs="Times New Roman" w:eastAsia="Times New Roman" w:hAnsi="Times New Roman"/>
          <w:sz w:val="17"/>
          <w:szCs w:val="17"/>
          <w:color w:val="auto"/>
        </w:rPr>
        <w:t>. The Company has not, directly or indirectly, extended credit, agreed to extend credit, arranged to extend credit or renewed any extension of credit, in the form of a personal loan, to or for any director or executive officer of the Company or any of the Subsidiaries, or to or for any family member or affiliate of any director or executive officer of the Company or any of the Subsidiaries.</w:t>
      </w:r>
    </w:p>
    <w:p>
      <w:pPr>
        <w:spacing w:after="0" w:line="50" w:lineRule="exact"/>
        <w:rPr>
          <w:sz w:val="20"/>
          <w:szCs w:val="20"/>
          <w:color w:val="auto"/>
        </w:rPr>
      </w:pPr>
    </w:p>
    <w:p>
      <w:pPr>
        <w:ind w:left="4" w:right="20" w:firstLine="952"/>
        <w:spacing w:after="0" w:line="261" w:lineRule="auto"/>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u w:val="single" w:color="auto"/>
          <w:color w:val="auto"/>
        </w:rPr>
        <w:t>Regulated Investment Company</w:t>
      </w:r>
      <w:r>
        <w:rPr>
          <w:rFonts w:ascii="Times New Roman" w:cs="Times New Roman" w:eastAsia="Times New Roman" w:hAnsi="Times New Roman"/>
          <w:sz w:val="18"/>
          <w:szCs w:val="18"/>
          <w:color w:val="auto"/>
        </w:rPr>
        <w:t>. The Company has elected to be treated, and has operated, and intends to continue to operate, its business in such a manner as to enable the Company to continue to qualify as a regulated investment company under Subchapter M of U.S. Internal Revenue Code of 1986, as amended (the “Code”). The Company intends to direct the investment of the proceeds of the offering of the Securities in a manner as to comply with the requirements of Subchapter M of the Code.</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4"/>
          </w:cols>
          <w:pgMar w:left="876" w:top="270" w:right="459" w:bottom="1440" w:gutter="0" w:footer="0" w:header="0"/>
        </w:sectPr>
      </w:pPr>
    </w:p>
    <w:bookmarkStart w:id="58" w:name="page59"/>
    <w:bookmarkEnd w:id="58"/>
    <w:p>
      <w:pPr>
        <w:ind w:left="440" w:right="120" w:firstLine="952"/>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(xli)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To the extent applicable to the Company on the date hereof,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w:t>
      </w:r>
    </w:p>
    <w:p>
      <w:pPr>
        <w:spacing w:after="0" w:line="7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(xlii) </w:t>
      </w: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forward-looking statement (within the meaning of Section 27A of the 1933 Act and</w:t>
      </w: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21E of the 1934 Act) contained in the Registration Statement or the Prospectus has been made or reaffirmed without a reasonable basis 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has been disclosed other than in good faith.</w:t>
      </w:r>
    </w:p>
    <w:p>
      <w:pPr>
        <w:spacing w:after="0" w:line="99" w:lineRule="exact"/>
        <w:rPr>
          <w:sz w:val="20"/>
          <w:szCs w:val="20"/>
          <w:color w:val="auto"/>
        </w:rPr>
      </w:pPr>
    </w:p>
    <w:p>
      <w:pPr>
        <w:ind w:left="440" w:firstLine="952"/>
        <w:spacing w:after="0" w:line="252" w:lineRule="auto"/>
        <w:rPr>
          <w:sz w:val="20"/>
          <w:szCs w:val="20"/>
          <w:color w:val="auto"/>
        </w:rPr>
      </w:pPr>
      <w:r>
        <w:rPr>
          <w:rFonts w:ascii="Times New Roman" w:cs="Times New Roman" w:eastAsia="Times New Roman" w:hAnsi="Times New Roman"/>
          <w:sz w:val="18"/>
          <w:szCs w:val="18"/>
          <w:color w:val="auto"/>
        </w:rPr>
        <w:t xml:space="preserve">(xliii)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The Company and the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the Subsidiaries as currently conducted, free and clear of all material bugs, errors, defects, Trojan horses, time bombs, malware and other corruptants, except, in each case, as would not reasonably be expected to, individually or in the aggregate, have a Material Adverse Effect. The Company and the Subsidiaries have implemented and maintained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(“Personal Data”)) used in connection with their businesses, and there have been no breaches, violations, outages or unauthorized uses of or accesses to same, 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Material Adverse Effect.</w:t>
      </w:r>
    </w:p>
    <w:p>
      <w:pPr>
        <w:spacing w:after="0" w:line="195" w:lineRule="exact"/>
        <w:rPr>
          <w:sz w:val="20"/>
          <w:szCs w:val="20"/>
          <w:color w:val="auto"/>
        </w:rPr>
      </w:pPr>
    </w:p>
    <w:p>
      <w:pPr>
        <w:jc w:val="both"/>
        <w:ind w:right="480" w:firstLine="987"/>
        <w:spacing w:after="0" w:line="267" w:lineRule="auto"/>
        <w:tabs>
          <w:tab w:leader="none" w:pos="12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by the Adviser and the Administrator</w:t>
      </w:r>
      <w:r>
        <w:rPr>
          <w:rFonts w:ascii="Times New Roman" w:cs="Times New Roman" w:eastAsia="Times New Roman" w:hAnsi="Times New Roman"/>
          <w:sz w:val="18"/>
          <w:szCs w:val="18"/>
          <w:color w:val="auto"/>
        </w:rPr>
        <w:t>. The Adviser and the Administrator, jointly and severally,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 to the Sales Agent as of the date hereof, the Applicable Time, each Representation Date (as defined below) and any Date of Delivery (as defined below), and agrees with the Sales Agent, as follows:</w:t>
      </w:r>
    </w:p>
    <w:p>
      <w:pPr>
        <w:spacing w:after="0" w:line="67" w:lineRule="exact"/>
        <w:rPr>
          <w:rFonts w:ascii="Times New Roman" w:cs="Times New Roman" w:eastAsia="Times New Roman" w:hAnsi="Times New Roman"/>
          <w:sz w:val="18"/>
          <w:szCs w:val="18"/>
          <w:color w:val="auto"/>
        </w:rPr>
      </w:pPr>
    </w:p>
    <w:p>
      <w:pPr>
        <w:ind w:left="440" w:firstLine="948"/>
        <w:spacing w:after="0" w:line="256" w:lineRule="auto"/>
        <w:tabs>
          <w:tab w:leader="none" w:pos="160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Except as otherwise stated therein, since the respective dates as of which information is given or incorporated by reference in the Registration Statement or the Prospectus, there has been no material adverse change in the condition, financial or otherwise, or in the business, financial condition, capitalization, prospects or regulatory status of the Adviser or the Administrator, whether or not arising in the ordinary course of business, or on the ability of the Adviser or the Administrator to carry out its obligations under this Agreement, the Investment Management Agreement or the Administration Agreement (collectively, an “Adviser/Administrator Material Adverse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59" w:name="page60"/>
    <w:bookmarkEnd w:id="59"/>
    <w:p>
      <w:pPr>
        <w:ind w:right="100" w:firstLine="948"/>
        <w:spacing w:after="0" w:line="255" w:lineRule="auto"/>
        <w:tabs>
          <w:tab w:leader="none" w:pos="121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Good Standing</w:t>
      </w:r>
      <w:r>
        <w:rPr>
          <w:rFonts w:ascii="Times New Roman" w:cs="Times New Roman" w:eastAsia="Times New Roman" w:hAnsi="Times New Roman"/>
          <w:sz w:val="18"/>
          <w:szCs w:val="18"/>
          <w:color w:val="auto"/>
        </w:rPr>
        <w:t>. Each of the Adviser and the Administrator has been duly organized and is validly existing as a limited liability company, in good standing under the laws of its state of organization and has limited liability company power and authority to own, lease and operate its properties and to conduct its business as described in the Registration Statement and the Prospectus and to enter into this Agreement and perform its obligations under this Agreement and the Investment Management Agreement; and each of the Adviser and the Administrator is duly qualified as a foreign entity to transact business and is in good standing in each other jurisdiction in which such qualification is required, whether by reason of the ownership or leasing of property or the conduct of business, except where the failure so to qualify or to be in good standing would not otherwise reasonably be expected to result in an Adviser/Administrator Material Adverse Effect.</w:t>
      </w:r>
    </w:p>
    <w:p>
      <w:pPr>
        <w:spacing w:after="0" w:line="80" w:lineRule="exact"/>
        <w:rPr>
          <w:rFonts w:ascii="Times New Roman" w:cs="Times New Roman" w:eastAsia="Times New Roman" w:hAnsi="Times New Roman"/>
          <w:sz w:val="18"/>
          <w:szCs w:val="18"/>
          <w:color w:val="auto"/>
        </w:rPr>
      </w:pPr>
    </w:p>
    <w:p>
      <w:pPr>
        <w:ind w:firstLine="948"/>
        <w:spacing w:after="0" w:line="258" w:lineRule="auto"/>
        <w:tabs>
          <w:tab w:leader="none" w:pos="126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Under Advisers Act</w:t>
      </w:r>
      <w:r>
        <w:rPr>
          <w:rFonts w:ascii="Times New Roman" w:cs="Times New Roman" w:eastAsia="Times New Roman" w:hAnsi="Times New Roman"/>
          <w:sz w:val="18"/>
          <w:szCs w:val="18"/>
          <w:color w:val="auto"/>
        </w:rPr>
        <w:t>. The Adviser is duly registered with the Commission as an investment adviser under the Advisers Act and is not prohibited by the Advisers Act or the 1940 Act from acting under the Investment Management Agreement for the Company as contemplated by the Registration Statement and the Prospectus. There does not exist any proceeding or, to the Adviser’s knowledge, any facts or circumstances the existence of which could lead to any proceeding which might adversely affect the registration of the Adviser with the Commission.</w:t>
      </w:r>
    </w:p>
    <w:p>
      <w:pPr>
        <w:spacing w:after="0" w:line="75" w:lineRule="exact"/>
        <w:rPr>
          <w:rFonts w:ascii="Times New Roman" w:cs="Times New Roman" w:eastAsia="Times New Roman" w:hAnsi="Times New Roman"/>
          <w:sz w:val="18"/>
          <w:szCs w:val="18"/>
          <w:color w:val="auto"/>
        </w:rPr>
      </w:pPr>
    </w:p>
    <w:p>
      <w:pPr>
        <w:ind w:right="160" w:firstLine="948"/>
        <w:spacing w:after="0" w:line="272" w:lineRule="auto"/>
        <w:tabs>
          <w:tab w:leader="none" w:pos="125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Absence of Proceedings</w:t>
      </w:r>
      <w:r>
        <w:rPr>
          <w:rFonts w:ascii="Times New Roman" w:cs="Times New Roman" w:eastAsia="Times New Roman" w:hAnsi="Times New Roman"/>
          <w:sz w:val="17"/>
          <w:szCs w:val="17"/>
          <w:color w:val="auto"/>
        </w:rPr>
        <w:t>. Except as disclosed in the Registration Statement and the Prospectus, there is no action, suit, proceeding or, to the knowledge of the Adviser or the Administrator, inquiry or investigation before or brought by any arbitrator, court, governmental body, regulatory body, administrative agency or other authority, body or agency having jurisdiction over the Adviser or the Administrator or any of their properties, assets or operations now pending or, to the knowledge of the Adviser or the Administrator, threatened, against or affecting the Adviser or the Administrator, which is required to be disclosed in the Registration Statement (other than as disclosed therein) or which would reasonably be expected to result in an Adviser/Administrator Material Adverse Effect, or which would reasonably be expected to materially and adversely affect the consummation of the transactions contemplated in this Agreement, the Investment Management Agreement or the Administration Agreement or the performance by the Adviser or the Administrator of its obligations hereunder or thereunder.</w:t>
      </w:r>
    </w:p>
    <w:p>
      <w:pPr>
        <w:spacing w:after="0" w:line="63" w:lineRule="exact"/>
        <w:rPr>
          <w:rFonts w:ascii="Times New Roman" w:cs="Times New Roman" w:eastAsia="Times New Roman" w:hAnsi="Times New Roman"/>
          <w:sz w:val="17"/>
          <w:szCs w:val="17"/>
          <w:color w:val="auto"/>
        </w:rPr>
      </w:pPr>
    </w:p>
    <w:p>
      <w:pPr>
        <w:ind w:firstLine="948"/>
        <w:spacing w:after="0" w:line="261" w:lineRule="auto"/>
        <w:tabs>
          <w:tab w:leader="none" w:pos="120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Violations and Defaults</w:t>
      </w:r>
      <w:r>
        <w:rPr>
          <w:rFonts w:ascii="Times New Roman" w:cs="Times New Roman" w:eastAsia="Times New Roman" w:hAnsi="Times New Roman"/>
          <w:sz w:val="18"/>
          <w:szCs w:val="18"/>
          <w:color w:val="auto"/>
        </w:rPr>
        <w:t>. Neither the Adviser nor the Administrator is (A) in violation of its limited liability company agreement, (B) in default under any contract, indenture, mortgage, deed of trust, loan or credit agreement, note, lease or other agreement or instrument to which the Adviser or the Administrator is a party or by which it may be bound or to which any of its properties or assets is subject (collectively, the “Adviser/Administrator Agreements and Instruments”), except for such defaults that</w:t>
      </w:r>
    </w:p>
    <w:p>
      <w:pPr>
        <w:spacing w:after="0" w:line="11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480"/>
          </w:cols>
          <w:pgMar w:left="880" w:top="270" w:right="539" w:bottom="1440" w:gutter="0" w:footer="0" w:header="0"/>
        </w:sectPr>
      </w:pPr>
    </w:p>
    <w:bookmarkStart w:id="60" w:name="page61"/>
    <w:bookmarkEnd w:id="60"/>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would not reasonably be expected, singly or in the aggregate, to result in an Adviser/Administrator Material Adverse Effect, or (C) in violation of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for such violations that would not reasonably be expected, singly or in the aggregate, to result in an Adviser/Administrator Material Adverse Effect.</w:t>
      </w:r>
    </w:p>
    <w:p>
      <w:pPr>
        <w:spacing w:after="0" w:line="75" w:lineRule="exact"/>
        <w:rPr>
          <w:sz w:val="20"/>
          <w:szCs w:val="20"/>
          <w:color w:val="auto"/>
        </w:rPr>
      </w:pPr>
    </w:p>
    <w:p>
      <w:pPr>
        <w:ind w:left="4" w:right="40" w:firstLine="948"/>
        <w:spacing w:after="0" w:line="267" w:lineRule="auto"/>
        <w:tabs>
          <w:tab w:leader="none" w:pos="126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Absence of Conflicts</w:t>
      </w:r>
      <w:r>
        <w:rPr>
          <w:rFonts w:ascii="Times New Roman" w:cs="Times New Roman" w:eastAsia="Times New Roman" w:hAnsi="Times New Roman"/>
          <w:sz w:val="17"/>
          <w:szCs w:val="17"/>
          <w:color w:val="auto"/>
        </w:rPr>
        <w:t>.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Adviser and the Administrator with their obligations hereunder and thereunder do not and will not, whether with or without the giving of notice of passage of time or both, conflict with or constitute a breach of, or default under, or result in the creation or imposition of any lien, charge or encumbrance upon any properties or assets of the Adviser or the Administrator or pursuant to, the Adviser/Administrator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the Administrator, or liens, charges or encumbrances that would not reasonably be expected, singly or in the aggregate, to result in an Adviser/Administrator Material Adverse Effect), nor will such action result in any violation of the provisions of (a) the limited liability company agreement of the Adviser or the Administrator, or</w:t>
      </w:r>
    </w:p>
    <w:p>
      <w:pPr>
        <w:spacing w:after="0" w:line="2" w:lineRule="exact"/>
        <w:rPr>
          <w:rFonts w:ascii="Times New Roman" w:cs="Times New Roman" w:eastAsia="Times New Roman" w:hAnsi="Times New Roman"/>
          <w:sz w:val="17"/>
          <w:szCs w:val="17"/>
          <w:color w:val="auto"/>
        </w:rPr>
      </w:pPr>
    </w:p>
    <w:p>
      <w:pPr>
        <w:jc w:val="both"/>
        <w:ind w:left="4" w:hanging="4"/>
        <w:spacing w:after="0" w:line="253" w:lineRule="auto"/>
        <w:tabs>
          <w:tab w:leader="none" w:pos="25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in the case of (b) above, for any violation that would not reasonably be expected, singly or in the aggregate, to result in an Adviser/Administrator Material Adverse Effect.</w:t>
      </w:r>
    </w:p>
    <w:p>
      <w:pPr>
        <w:spacing w:after="0" w:line="80" w:lineRule="exact"/>
        <w:rPr>
          <w:rFonts w:ascii="Times New Roman" w:cs="Times New Roman" w:eastAsia="Times New Roman" w:hAnsi="Times New Roman"/>
          <w:sz w:val="18"/>
          <w:szCs w:val="18"/>
          <w:color w:val="auto"/>
        </w:rPr>
      </w:pPr>
    </w:p>
    <w:p>
      <w:pPr>
        <w:ind w:left="4" w:right="100" w:firstLine="948"/>
        <w:spacing w:after="0" w:line="282" w:lineRule="auto"/>
        <w:tabs>
          <w:tab w:leader="none" w:pos="131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this Agreement</w:t>
      </w:r>
      <w:r>
        <w:rPr>
          <w:rFonts w:ascii="Times New Roman" w:cs="Times New Roman" w:eastAsia="Times New Roman" w:hAnsi="Times New Roman"/>
          <w:sz w:val="18"/>
          <w:szCs w:val="18"/>
          <w:color w:val="auto"/>
        </w:rPr>
        <w:t>. This Agreement has been duly authorized, executed and delivered by each of the Adviser and the Administrator.</w:t>
      </w:r>
    </w:p>
    <w:p>
      <w:pPr>
        <w:spacing w:after="0" w:line="53" w:lineRule="exact"/>
        <w:rPr>
          <w:rFonts w:ascii="Times New Roman" w:cs="Times New Roman" w:eastAsia="Times New Roman" w:hAnsi="Times New Roman"/>
          <w:sz w:val="18"/>
          <w:szCs w:val="18"/>
          <w:color w:val="auto"/>
        </w:rPr>
      </w:pPr>
    </w:p>
    <w:p>
      <w:pPr>
        <w:ind w:left="4" w:right="40" w:firstLine="948"/>
        <w:spacing w:after="0" w:line="256" w:lineRule="auto"/>
        <w:tabs>
          <w:tab w:leader="none" w:pos="13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Management Agreement and Administration Agreement</w:t>
      </w:r>
      <w:r>
        <w:rPr>
          <w:rFonts w:ascii="Times New Roman" w:cs="Times New Roman" w:eastAsia="Times New Roman" w:hAnsi="Times New Roman"/>
          <w:sz w:val="18"/>
          <w:szCs w:val="18"/>
          <w:color w:val="auto"/>
        </w:rPr>
        <w:t>. Each of the Investment Management Agreement and Administration Agreement has been duly authorized, executed and delivered by the Adviser or the Administrator, as applicable, and is a valid and binding obligation of the Adviser or the Administrator, as applicable, enforceable against it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4"/>
          </w:cols>
          <w:pgMar w:left="876" w:top="270" w:right="459" w:bottom="1440" w:gutter="0" w:footer="0" w:header="0"/>
        </w:sectPr>
      </w:pPr>
    </w:p>
    <w:bookmarkStart w:id="61" w:name="page62"/>
    <w:bookmarkEnd w:id="61"/>
    <w:p>
      <w:pPr>
        <w:ind w:right="20" w:firstLine="948"/>
        <w:spacing w:after="0" w:line="254" w:lineRule="auto"/>
        <w:tabs>
          <w:tab w:leader="none" w:pos="125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court or governmental authority or agency is necessary or required for the performance by the Adviser or the Administrator of their obligations hereunder or, in connection with the offering, the issuance or sale of the Securities 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 except (A) such as have been already made or obtained, including under the 1933 Act, the 1933 Act Regulations, state securities laws or the rules of FINRA and (B) where the failure to obtain any such filing, authorization, approval, consent, license, order, registration, qualification or decree would not reasonably be expected, singly or in the aggregate, to result in an Adviser/Administrator Material Adverse Effect.</w:t>
      </w:r>
    </w:p>
    <w:p>
      <w:pPr>
        <w:spacing w:after="0" w:line="80" w:lineRule="exact"/>
        <w:rPr>
          <w:rFonts w:ascii="Times New Roman" w:cs="Times New Roman" w:eastAsia="Times New Roman" w:hAnsi="Times New Roman"/>
          <w:sz w:val="18"/>
          <w:szCs w:val="18"/>
          <w:color w:val="auto"/>
        </w:rPr>
      </w:pPr>
    </w:p>
    <w:p>
      <w:pPr>
        <w:jc w:val="both"/>
        <w:ind w:right="160" w:firstLine="948"/>
        <w:spacing w:after="0" w:line="266" w:lineRule="auto"/>
        <w:tabs>
          <w:tab w:leader="none" w:pos="120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Descriptions of Adviser and Administrator</w:t>
      </w:r>
      <w:r>
        <w:rPr>
          <w:rFonts w:ascii="Times New Roman" w:cs="Times New Roman" w:eastAsia="Times New Roman" w:hAnsi="Times New Roman"/>
          <w:sz w:val="18"/>
          <w:szCs w:val="18"/>
          <w:color w:val="auto"/>
        </w:rPr>
        <w:t>. The descriptions of the Adviser and the Administrator contained in the Registration Statement and the Prospectus does not contain any untrue statement of a material fact or omit to state a material fact required to be stated therein or necessary to make the statements therein, in the light of the circumstances under which they were made, not misleading.</w:t>
      </w:r>
    </w:p>
    <w:p>
      <w:pPr>
        <w:spacing w:after="0" w:line="67" w:lineRule="exact"/>
        <w:rPr>
          <w:rFonts w:ascii="Times New Roman" w:cs="Times New Roman" w:eastAsia="Times New Roman" w:hAnsi="Times New Roman"/>
          <w:sz w:val="18"/>
          <w:szCs w:val="18"/>
          <w:color w:val="auto"/>
        </w:rPr>
      </w:pPr>
    </w:p>
    <w:p>
      <w:pPr>
        <w:jc w:val="both"/>
        <w:ind w:firstLine="948"/>
        <w:spacing w:after="0" w:line="272" w:lineRule="auto"/>
        <w:tabs>
          <w:tab w:leader="none" w:pos="1256"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Possession of Licenses and Permits</w:t>
      </w:r>
      <w:r>
        <w:rPr>
          <w:rFonts w:ascii="Times New Roman" w:cs="Times New Roman" w:eastAsia="Times New Roman" w:hAnsi="Times New Roman"/>
          <w:sz w:val="17"/>
          <w:szCs w:val="17"/>
          <w:color w:val="auto"/>
        </w:rPr>
        <w:t>. Each of the Adviser and the Administrator possesses such Governmental Licenses issued by the appropriate federal, state, local or foreign regulatory agencies or bodies necessary to conduct the business now operated by it, except where the failure so to possess would not reasonably be expected, singly or in the aggregate, to result in an Adviser/Administrator Material Adverse Effect.</w:t>
      </w:r>
    </w:p>
    <w:p>
      <w:pPr>
        <w:spacing w:after="0" w:line="1" w:lineRule="exact"/>
        <w:rPr>
          <w:rFonts w:ascii="Times New Roman" w:cs="Times New Roman" w:eastAsia="Times New Roman" w:hAnsi="Times New Roman"/>
          <w:sz w:val="17"/>
          <w:szCs w:val="17"/>
          <w:color w:val="auto"/>
        </w:rPr>
      </w:pPr>
    </w:p>
    <w:p>
      <w:pPr>
        <w:ind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of the Adviser and the Administrator is in compliance with the terms and conditions of all such Governmental Licenses, except where the failure so to comply would not reasonably be expected, singly or in the aggregate, to result in an Adviser/Administrator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Adviser/Administrator Material Adverse Effect. Each of the Adviser and the Administrator has not received any notice of proceedings relating to the revocation or modification of any such Governmental Licenses which, singly or in the aggregate, if the subject of an unfavorable decision, ruling or finding, would reasonably be expected to result in an Adviser/Administrator Material Adverse Effect.</w:t>
      </w:r>
    </w:p>
    <w:p>
      <w:pPr>
        <w:spacing w:after="0" w:line="80" w:lineRule="exact"/>
        <w:rPr>
          <w:rFonts w:ascii="Times New Roman" w:cs="Times New Roman" w:eastAsia="Times New Roman" w:hAnsi="Times New Roman"/>
          <w:sz w:val="17"/>
          <w:szCs w:val="17"/>
          <w:color w:val="auto"/>
        </w:rPr>
      </w:pPr>
    </w:p>
    <w:p>
      <w:pPr>
        <w:ind w:firstLine="948"/>
        <w:spacing w:after="0" w:line="261" w:lineRule="auto"/>
        <w:tabs>
          <w:tab w:leader="none" w:pos="130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Stabilization and Manipulation</w:t>
      </w:r>
      <w:r>
        <w:rPr>
          <w:rFonts w:ascii="Times New Roman" w:cs="Times New Roman" w:eastAsia="Times New Roman" w:hAnsi="Times New Roman"/>
          <w:sz w:val="18"/>
          <w:szCs w:val="18"/>
          <w:color w:val="auto"/>
        </w:rPr>
        <w:t>. Neither the Adviser nor the Administrator has taken, nor will take, directly or indirectly, without giving effect to any activities by the Sales Agent, any action designed, or that would reasonably be expected, to cause or result in, or which constitutes, the stabilization or manipulation of the price of the Securities, other than activity permitted pursuant to Rule 10b-18 under the 1934 Act.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62" w:name="page63"/>
    <w:bookmarkEnd w:id="62"/>
    <w:p>
      <w:pPr>
        <w:ind w:firstLine="948"/>
        <w:spacing w:after="0" w:line="253" w:lineRule="auto"/>
        <w:tabs>
          <w:tab w:leader="none" w:pos="135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Foreign Corrupt Practices Act</w:t>
      </w:r>
      <w:r>
        <w:rPr>
          <w:rFonts w:ascii="Times New Roman" w:cs="Times New Roman" w:eastAsia="Times New Roman" w:hAnsi="Times New Roman"/>
          <w:sz w:val="18"/>
          <w:szCs w:val="18"/>
          <w:color w:val="auto"/>
        </w:rPr>
        <w:t>. None of the Adviser, the Administrator or, to the knowledge of the Adviser or the Administrator, any director, officer or employee of the Adviser or the Administrator or any agent, controlled affiliate or other person acting on behalf of the Adviser or the Administrator is aware of, has taken or will take any action, directly or indirectly, that would result in a violation by such persons of the FCPA, in connection with the business of the Company,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Adviser or the Administrator, the Adviser and the Administrator have conducted its business, in relation to the Company, in compliance with the FCPA and has instituted and maintain policies and procedures designed to ensure, and which are reasonably expected to continue to ensure, continued compliance therewith.</w:t>
      </w:r>
    </w:p>
    <w:p>
      <w:pPr>
        <w:spacing w:after="0" w:line="86" w:lineRule="exact"/>
        <w:rPr>
          <w:rFonts w:ascii="Times New Roman" w:cs="Times New Roman" w:eastAsia="Times New Roman" w:hAnsi="Times New Roman"/>
          <w:sz w:val="18"/>
          <w:szCs w:val="18"/>
          <w:color w:val="auto"/>
        </w:rPr>
      </w:pPr>
    </w:p>
    <w:p>
      <w:pPr>
        <w:ind w:right="20" w:firstLine="948"/>
        <w:spacing w:after="0" w:line="256" w:lineRule="auto"/>
        <w:tabs>
          <w:tab w:leader="none" w:pos="13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the Adviser and the Administrator are and have been conducted at all times in compliance with applicable financial recordkeeping and reporting requirements of the Anti-Money Laundering Laws; and no action, suit or proceeding by or before any arbitrator, court, governmental body, regulatory body, administrative agency or other authority, body or agency having jurisdiction over the Adviser and the Administrator or any of their properties, assets or operations involving the Adviser or the Administrator with respect to the Anti-Money Laundering Laws is pending or, to the best knowledge of the Adviser or the Administrator, threatened.</w:t>
      </w:r>
    </w:p>
    <w:p>
      <w:pPr>
        <w:spacing w:after="0" w:line="79" w:lineRule="exact"/>
        <w:rPr>
          <w:rFonts w:ascii="Times New Roman" w:cs="Times New Roman" w:eastAsia="Times New Roman" w:hAnsi="Times New Roman"/>
          <w:sz w:val="18"/>
          <w:szCs w:val="18"/>
          <w:color w:val="auto"/>
        </w:rPr>
      </w:pPr>
    </w:p>
    <w:p>
      <w:pPr>
        <w:ind w:firstLine="948"/>
        <w:spacing w:after="0" w:line="255" w:lineRule="auto"/>
        <w:tabs>
          <w:tab w:leader="none" w:pos="12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the Adviser, the Administrator or, to the knowledge of the Adviser or the Administrator, any director, officer or employee of the Adviser or the Administrator or any agent, controlled affiliate or other person acting on behalf of the Adviser or the Administrator is a Person, or is controlled by a Person that is, (i) currently the subject or target of Sanctions, or (ii) located, organized or resident in a country or territory that is itself the subject of comprehensive Sanctions (currently Belarus, Cuba, Iran, North Korea, Russia, Syria and Crimea, Donetsk and Luhansk regions of Ukraine). During the last five years, neither the Adviser nor the Administrator has knowingly engaged in, and is not now knowingly engaged in, any unauthorized dealings or transactions with any Person that at the time of the dealing or transaction is or was the subject or target of Sanctions.</w:t>
      </w:r>
    </w:p>
    <w:p>
      <w:pPr>
        <w:spacing w:after="0" w:line="80" w:lineRule="exact"/>
        <w:rPr>
          <w:rFonts w:ascii="Times New Roman" w:cs="Times New Roman" w:eastAsia="Times New Roman" w:hAnsi="Times New Roman"/>
          <w:sz w:val="18"/>
          <w:szCs w:val="18"/>
          <w:color w:val="auto"/>
        </w:rPr>
      </w:pPr>
    </w:p>
    <w:p>
      <w:pPr>
        <w:ind w:firstLine="948"/>
        <w:spacing w:after="0" w:line="258" w:lineRule="auto"/>
        <w:tabs>
          <w:tab w:leader="none" w:pos="13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Key Employees</w:t>
      </w:r>
      <w:r>
        <w:rPr>
          <w:rFonts w:ascii="Times New Roman" w:cs="Times New Roman" w:eastAsia="Times New Roman" w:hAnsi="Times New Roman"/>
          <w:sz w:val="18"/>
          <w:szCs w:val="18"/>
          <w:color w:val="auto"/>
        </w:rPr>
        <w:t>. Neither the Adviser nor the Administrator is aware that (i) any of its executives, key employees or significant group of employees plans to terminate employment with the Adviser or the Administrator or (ii) any such executive or key employee is subject to any noncompete, nondisclosure, confidentiality, employment, consulting or similar agreement that would be violated by either the Adviser’s or the Administrator’s present or proposed business activities, except, in each case, as would not reasonably be expected, singly or in the aggregate, to result in an Adviser/Administrator Material Adverse Effect.</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70" w:right="459" w:bottom="1440" w:gutter="0" w:footer="0" w:header="0"/>
        </w:sectPr>
      </w:pPr>
    </w:p>
    <w:bookmarkStart w:id="63" w:name="page64"/>
    <w:bookmarkEnd w:id="63"/>
    <w:p>
      <w:pPr>
        <w:ind w:left="440" w:right="140" w:firstLine="948"/>
        <w:spacing w:after="0" w:line="258" w:lineRule="auto"/>
        <w:tabs>
          <w:tab w:leader="none" w:pos="1836"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Labor Disputes</w:t>
      </w:r>
      <w:r>
        <w:rPr>
          <w:rFonts w:ascii="Times New Roman" w:cs="Times New Roman" w:eastAsia="Times New Roman" w:hAnsi="Times New Roman"/>
          <w:sz w:val="18"/>
          <w:szCs w:val="18"/>
          <w:color w:val="auto"/>
        </w:rPr>
        <w:t>. No labor disturbance by or dispute with employees of the Adviser or the Administrator or any of their subsidiaries exists or, to the knowledge of the Adviser or the Administrator, is contemplated or threatened, and neither the Adviser nor the Administrator is aware of any existing or imminent labor disturbance by, or dispute with, the employees or any of its or its subsidiaries’ principal suppliers, contractors or customers, except in each case as would not reasonably be expected to result in an Adviser/Administrator Material Adverse Effect.</w:t>
      </w:r>
    </w:p>
    <w:p>
      <w:pPr>
        <w:spacing w:after="0" w:line="75" w:lineRule="exact"/>
        <w:rPr>
          <w:rFonts w:ascii="Times New Roman" w:cs="Times New Roman" w:eastAsia="Times New Roman" w:hAnsi="Times New Roman"/>
          <w:sz w:val="18"/>
          <w:szCs w:val="18"/>
          <w:color w:val="auto"/>
        </w:rPr>
      </w:pPr>
    </w:p>
    <w:p>
      <w:pPr>
        <w:ind w:left="440" w:right="280" w:firstLine="948"/>
        <w:spacing w:after="0" w:line="270" w:lineRule="auto"/>
        <w:tabs>
          <w:tab w:leader="none" w:pos="1886" w:val="left"/>
        </w:tabs>
        <w:numPr>
          <w:ilvl w:val="2"/>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Accounting Controls</w:t>
      </w:r>
      <w:r>
        <w:rPr>
          <w:rFonts w:ascii="Times New Roman" w:cs="Times New Roman" w:eastAsia="Times New Roman" w:hAnsi="Times New Roman"/>
          <w:sz w:val="17"/>
          <w:szCs w:val="17"/>
          <w:color w:val="auto"/>
        </w:rPr>
        <w:t>. The Adviser and the Administrator maintain systems of internal accounting controls sufficient to provide reasonable assurance that (A) transactions effectuated by them under the Investment Management Agreement and the Administration Agreement, as applicable, are executed in accordance with its management’s general or specific authorization; (B) access to the Company’s consolidated assets that are in its possession or control is permitted only in accordance with its management’s general or specific authorization;</w:t>
      </w:r>
    </w:p>
    <w:p>
      <w:pPr>
        <w:spacing w:after="0" w:line="2" w:lineRule="exact"/>
        <w:rPr>
          <w:rFonts w:ascii="Times New Roman" w:cs="Times New Roman" w:eastAsia="Times New Roman" w:hAnsi="Times New Roman"/>
          <w:sz w:val="17"/>
          <w:szCs w:val="17"/>
          <w:color w:val="auto"/>
        </w:rPr>
      </w:pPr>
    </w:p>
    <w:p>
      <w:pPr>
        <w:ind w:left="440" w:right="180" w:hanging="4"/>
        <w:spacing w:after="0" w:line="253" w:lineRule="auto"/>
        <w:tabs>
          <w:tab w:leader="none" w:pos="72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for which it has bookkeeping and record-keeping responsibility under the Investment Management Agreement and the Administration Agreement are recorded as necessary to permit preparation of the Company’s financial statements in conformity with GAAP and to maintain financial statements in conformity with GAAP and to maintain accountability for the Company’s assets and (D) the recorded accountability for such assets is compared with existing assets at reasonable intervals and appropriate action is taken with respect to any differences.</w:t>
      </w:r>
    </w:p>
    <w:p>
      <w:pPr>
        <w:spacing w:after="0" w:line="78" w:lineRule="exact"/>
        <w:rPr>
          <w:rFonts w:ascii="Times New Roman" w:cs="Times New Roman" w:eastAsia="Times New Roman" w:hAnsi="Times New Roman"/>
          <w:sz w:val="18"/>
          <w:szCs w:val="18"/>
          <w:color w:val="auto"/>
        </w:rPr>
      </w:pPr>
    </w:p>
    <w:p>
      <w:pPr>
        <w:ind w:left="440" w:right="400" w:firstLine="948"/>
        <w:spacing w:after="0" w:line="266" w:lineRule="auto"/>
        <w:tabs>
          <w:tab w:leader="none" w:pos="1786"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Resources</w:t>
      </w:r>
      <w:r>
        <w:rPr>
          <w:rFonts w:ascii="Times New Roman" w:cs="Times New Roman" w:eastAsia="Times New Roman" w:hAnsi="Times New Roman"/>
          <w:sz w:val="18"/>
          <w:szCs w:val="18"/>
          <w:color w:val="auto"/>
        </w:rPr>
        <w:t>. Each of the Adviser and the Administrator has the financial resources available to it necessary for the performance of its services and obligations as contemplated by the Registration Statement, the Prospectus and the Investment Management Agreement.</w:t>
      </w:r>
    </w:p>
    <w:p>
      <w:pPr>
        <w:spacing w:after="0" w:line="173" w:lineRule="exact"/>
        <w:rPr>
          <w:rFonts w:ascii="Times New Roman" w:cs="Times New Roman" w:eastAsia="Times New Roman" w:hAnsi="Times New Roman"/>
          <w:sz w:val="18"/>
          <w:szCs w:val="18"/>
          <w:color w:val="auto"/>
        </w:rPr>
      </w:pPr>
    </w:p>
    <w:p>
      <w:pPr>
        <w:ind w:right="160" w:firstLine="987"/>
        <w:spacing w:after="0" w:line="267" w:lineRule="auto"/>
        <w:tabs>
          <w:tab w:leader="none" w:pos="123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Certificates</w:t>
      </w:r>
      <w:r>
        <w:rPr>
          <w:rFonts w:ascii="Times New Roman" w:cs="Times New Roman" w:eastAsia="Times New Roman" w:hAnsi="Times New Roman"/>
          <w:sz w:val="18"/>
          <w:szCs w:val="18"/>
          <w:color w:val="auto"/>
        </w:rPr>
        <w:t>. Any certificate signed by any officer of the Company, any of the Subsidiaries, the Adviser or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to the Sales Agent or to counsel for the Sales Agent shall be deemed a representation and warranty by the Company, the Adviser or the Administrator, as applicable, to the Sales Agent as to the matters covered thereby.</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Sale and Delivery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6" w:lineRule="auto"/>
        <w:tabs>
          <w:tab w:leader="none" w:pos="12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warranties and agreements herein contained, but subject to the terms and conditions herein set forth, the Company agrees to sell Securities from time to time through the Sales Agent, and the Sales Agent agrees to use its commercially reasonable efforts to sell, as sales agent for the Company, the Securities on the following terms.</w:t>
      </w:r>
    </w:p>
    <w:p>
      <w:pPr>
        <w:spacing w:after="0" w:line="67" w:lineRule="exact"/>
        <w:rPr>
          <w:rFonts w:ascii="Times New Roman" w:cs="Times New Roman" w:eastAsia="Times New Roman" w:hAnsi="Times New Roman"/>
          <w:sz w:val="18"/>
          <w:szCs w:val="18"/>
          <w:color w:val="auto"/>
        </w:rPr>
      </w:pPr>
    </w:p>
    <w:p>
      <w:pPr>
        <w:ind w:left="440" w:right="40" w:firstLine="948"/>
        <w:spacing w:after="0" w:line="261" w:lineRule="auto"/>
        <w:tabs>
          <w:tab w:leader="none" w:pos="160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time that the Company wishes to sell Securities on any day that is a trading day for the New York Stock Exchange (a “Trading Day”) (other than a Trading Day on which the New York Stock Exchange is scheduled to close prior to its regular weekday closing time) pursuant to this Agreement (each, a “Placement”), the Company will instruct the Sales Agent in writing of the parameters in accordance with which it desires Securities to be sold, which shall at a minimum include the number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64" w:name="page65"/>
    <w:bookmarkEnd w:id="64"/>
    <w:p>
      <w:pPr>
        <w:ind w:left="4" w:right="6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Securities to be offered, the time period during which sales are requested to be made, the minimum price below which sales may not be made and any limitation on the number of Securities that may be sold in any one day (a “Placement Notice”). The Sales Agent will, prior to 4:30 p.m. (New York City time) or, if later, within three hours after receipt of the Placement Notice, on the same business day (as defined below) on which such Placement Notice is delivered to the Sales Agent, issue to the Company a notice by email addressed to all of the Authorized Representatives (as defined below) confirming all of the parameters of the Placement. The Placement Notice shall be effective upon receipt by any of the Authorized Representatives of the email notice from the Sales Agent, unless and until (i) the entire amount of the Securities covered by the Placement Notice have been sold, (ii) in accordance with </w:t>
      </w:r>
      <w:r>
        <w:rPr>
          <w:rFonts w:ascii="Times New Roman" w:cs="Times New Roman" w:eastAsia="Times New Roman" w:hAnsi="Times New Roman"/>
          <w:sz w:val="17"/>
          <w:szCs w:val="17"/>
          <w:u w:val="single" w:color="auto"/>
          <w:color w:val="auto"/>
        </w:rPr>
        <w:t>Section 2(a)(ii)</w:t>
      </w:r>
      <w:r>
        <w:rPr>
          <w:rFonts w:ascii="Times New Roman" w:cs="Times New Roman" w:eastAsia="Times New Roman" w:hAnsi="Times New Roman"/>
          <w:sz w:val="17"/>
          <w:szCs w:val="17"/>
          <w:color w:val="auto"/>
        </w:rPr>
        <w:t xml:space="preserve"> hereof, the Company or the Sales Agent suspends or terminates the Placement Notice,</w:t>
      </w:r>
    </w:p>
    <w:p>
      <w:pPr>
        <w:spacing w:after="0" w:line="2" w:lineRule="exact"/>
        <w:rPr>
          <w:sz w:val="20"/>
          <w:szCs w:val="20"/>
          <w:color w:val="auto"/>
        </w:rPr>
      </w:pPr>
    </w:p>
    <w:p>
      <w:pPr>
        <w:ind w:left="4" w:hanging="4"/>
        <w:spacing w:after="0" w:line="251" w:lineRule="auto"/>
        <w:tabs>
          <w:tab w:leader="none" w:pos="31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issues a subsequent Placement Notice with parameters superseding those on the earlier dated Placement Notice, or (iv) this Agreement has been terminated under the provisions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Subject to the terms and conditions hereof, the Sales Agent shall use its commercially reasonable efforts to offer and sell all of the Securities designated in the Placement Notice; provided, however, that the Sales Agent shall have no obligation to offer or sell any Securities, and the Company acknowledges and agrees that the Sales Agent shall have no such obligation in the event an offer or sale of the Securities on behalf of the Company may in the judgment of the Sales Agent constitute the sale of a “block” under Rule 10b-18(a)(5) under the 1934 Act, or a “distribution” within the meaning of Rule 100 of Regulation M under the 1934 Act or the Sales Agent reasonably believes it may be deemed an “underwriter” under the 1933 Act in a transaction that is other than (A) by means of ordinary brokers’ transactions between members of the New York Stock Exchange that qualify for delivery of a Prospectus to the New York Stock Exchange in accordance with Rule 153 under the 1933 Act or (B) directly on or through an electronic communication network, a “dark pool” or any similar market venue (the transactions described in (A) and (B) are hereinafter referred to as “At the Market Offerings”). In the event of a conflict between the terms of this Agreement and the terms of any Placement Notice, the terms of such Placement Notice will control.</w:t>
      </w:r>
    </w:p>
    <w:p>
      <w:pPr>
        <w:spacing w:after="0" w:line="84" w:lineRule="exact"/>
        <w:rPr>
          <w:rFonts w:ascii="Times New Roman" w:cs="Times New Roman" w:eastAsia="Times New Roman" w:hAnsi="Times New Roman"/>
          <w:sz w:val="18"/>
          <w:szCs w:val="18"/>
          <w:color w:val="auto"/>
        </w:rPr>
      </w:pPr>
    </w:p>
    <w:p>
      <w:pPr>
        <w:ind w:left="4" w:right="180" w:firstLine="948"/>
        <w:spacing w:after="0" w:line="256" w:lineRule="auto"/>
        <w:tabs>
          <w:tab w:leader="none" w:pos="12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Company or the Sales Agent may, upon notice to the other party by telephone (confirmed promptly by electronic mail from such party), suspend the offering of the Securities pursuant to this Agreement or suspend or terminate a previously issued Placement Notice; provided, however, that such suspension or termination shall not affect or impair the parties’ respective obligations with respect to the Securities sold hereunder prior to the giving of such notice. Each of the parties agrees that no such notice shall be effective against the other unless it is made to one of its authorized representatives as set forth on Schedule B hereto (the “Authorized Representatives”), as such Schedule may be amended from time to time.</w:t>
      </w:r>
    </w:p>
    <w:p>
      <w:pPr>
        <w:spacing w:after="0" w:line="79" w:lineRule="exact"/>
        <w:rPr>
          <w:rFonts w:ascii="Times New Roman" w:cs="Times New Roman" w:eastAsia="Times New Roman" w:hAnsi="Times New Roman"/>
          <w:sz w:val="18"/>
          <w:szCs w:val="18"/>
          <w:color w:val="auto"/>
        </w:rPr>
      </w:pPr>
    </w:p>
    <w:p>
      <w:pPr>
        <w:ind w:left="4" w:right="60" w:firstLine="948"/>
        <w:spacing w:after="0" w:line="266" w:lineRule="auto"/>
        <w:tabs>
          <w:tab w:leader="none" w:pos="127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Sales Agent hereby covenants and agrees not to make any sales of the Securities on behalf of the Company,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other than (A) by means of At the Market Offerings and (B) such other sales of the Securities on behalf of the Company in its capacity as agent of the Company as shall be agreed by the Company and the Sales Agent.</w:t>
      </w:r>
    </w:p>
    <w:p>
      <w:pPr>
        <w:spacing w:after="0" w:line="10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44"/>
          </w:cols>
          <w:pgMar w:left="876" w:top="270" w:right="479" w:bottom="1440" w:gutter="0" w:footer="0" w:header="0"/>
        </w:sectPr>
      </w:pPr>
    </w:p>
    <w:bookmarkStart w:id="65" w:name="page66"/>
    <w:bookmarkEnd w:id="65"/>
    <w:p>
      <w:pPr>
        <w:ind w:right="20" w:firstLine="948"/>
        <w:spacing w:after="0" w:line="253" w:lineRule="auto"/>
        <w:tabs>
          <w:tab w:leader="none" w:pos="125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gross sales price of any Securities sold pursuant to this Agreement by the Sales Agent, as an agent of the Company, shall be the market price prevailing at the time of sale for Securities sold by the Sales Agent on the New York Stock Exchange or otherwise, at prices related to prevailing market prices or, subject to specific instructions of the Company, at negotiated prices. The compensation to the Sales Agent, as an agent of the Company, for sales of the Securities shall be at a mutually agreed rate up to 2.0% of the gross sales price of the Securities sold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The foregoing rate of compensation shall not apply when the Sales Agent acts as principal, in which case the Company may sell Securities to the Sales Agent as principal at a price agreed upon at the relevant applicable time pursuant to a separate agreement (each, a “Terms Agreement”) relating to such sale. The remaining proceeds, after further deduction for any transaction fees imposed by any governmental or self-regulatory organization in connection with such sales, shall constitute the net proceeds to the Company for such Securities (the “Net Proceeds”). The Sales Agent shall notify the Company as promptly as practicable if any deduction referenced in the preceding sentence will be made.</w:t>
      </w:r>
    </w:p>
    <w:p>
      <w:pPr>
        <w:spacing w:after="0" w:line="86" w:lineRule="exact"/>
        <w:rPr>
          <w:rFonts w:ascii="Times New Roman" w:cs="Times New Roman" w:eastAsia="Times New Roman" w:hAnsi="Times New Roman"/>
          <w:sz w:val="18"/>
          <w:szCs w:val="18"/>
          <w:color w:val="auto"/>
        </w:rPr>
      </w:pPr>
    </w:p>
    <w:p>
      <w:pPr>
        <w:jc w:val="both"/>
        <w:ind w:right="160" w:firstLine="948"/>
        <w:spacing w:after="0" w:line="261" w:lineRule="auto"/>
        <w:tabs>
          <w:tab w:leader="none" w:pos="120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Sales Agent shall provide written confirmation to the Company as soon as practicable following the close of trading on the New York Stock Exchange each day on which the Securities are sold under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setting forth the aggregate amount of the Securities sold on such day, the aggregate Net Proceeds to the Company, and the aggregate compensation payable by the Company to the Sales Agent with respect to such sales.</w:t>
      </w:r>
    </w:p>
    <w:p>
      <w:pPr>
        <w:spacing w:after="0" w:line="71" w:lineRule="exact"/>
        <w:rPr>
          <w:rFonts w:ascii="Times New Roman" w:cs="Times New Roman" w:eastAsia="Times New Roman" w:hAnsi="Times New Roman"/>
          <w:sz w:val="18"/>
          <w:szCs w:val="18"/>
          <w:color w:val="auto"/>
        </w:rPr>
      </w:pPr>
    </w:p>
    <w:p>
      <w:pPr>
        <w:ind w:firstLine="948"/>
        <w:spacing w:after="0" w:line="252" w:lineRule="auto"/>
        <w:tabs>
          <w:tab w:leader="none" w:pos="125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Settlement for sales of the Securities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will occur on the first Trading Day following the date on which such sales are made, unless another date shall be agreed upon by the Company and the Sales Agent (provided that, if such Trading Day is not a business day, then settlement will occur on the next succeeding Trading Day that is also a business day) (each such date, a “Settlement Date”). As used herein, the term “business day” means any day other than a Saturday, Sunday or other day on which commercial banks in The City of New York are authorized or required by law, regulation or executive order to close. On each Settlement Date, the Securities sold through the Sales Agent for settlement on such date shall be delivered by the Company (through its transfer agent) to the Sales Agent against payment of the Net Proceeds for the sale of such Securities. Settlement for all such Securities shall be effected by electronically transferring the Securities by the Company to the Sales Agent’s account, or to the account of the Sales Agent’s designee, at DTC through its Deposit and Withdrawal at Custodian System (“DWAC”) or by such other means of delivery as may be mutually agreed upon by the Company and the Sales Agent, which in all cases shall be freely tradable, transferable, registered shares eligible for delivery through DTC, in return for payments in same day funds delivered to the account designated by the Company. If the Company (or its transfer agent) shall default on its obligation to deliver the Securities on any Settlement Date, the Company shall (A) indemnify and hold the Sales Agent harmless against any loss, claim or damage arising from or as a result of such default by the Company and (B) pay the Sales Agent any commission to which it would otherwise be entitled absent such default. The Authorized Representatives, or any designees thereof as notified to the Sales Agent in writing, shall be the contact persons for the Company for all matters related to the settlement of the transfer of the Securities through DWAC for purposes of this </w:t>
      </w:r>
      <w:r>
        <w:rPr>
          <w:rFonts w:ascii="Times New Roman" w:cs="Times New Roman" w:eastAsia="Times New Roman" w:hAnsi="Times New Roman"/>
          <w:sz w:val="18"/>
          <w:szCs w:val="18"/>
          <w:u w:val="single" w:color="auto"/>
          <w:color w:val="auto"/>
        </w:rPr>
        <w:t>Section 2(a)(vi)</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0"/>
          </w:cols>
          <w:pgMar w:left="880" w:top="270" w:right="459" w:bottom="1440" w:gutter="0" w:footer="0" w:header="0"/>
        </w:sectPr>
      </w:pPr>
    </w:p>
    <w:bookmarkStart w:id="66" w:name="page67"/>
    <w:bookmarkEnd w:id="66"/>
    <w:p>
      <w:pPr>
        <w:ind w:left="440" w:right="40" w:firstLine="948"/>
        <w:spacing w:after="0" w:line="261" w:lineRule="auto"/>
        <w:tabs>
          <w:tab w:leader="none" w:pos="174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obligation of the Sales Agent to use its commercially reasonable efforts to sell the Securities on behalf of the Company shall be subject to the continuing accuracy of the representations and warranties of the Company, the Adviser and the Administrator, to the performance by the Company, the Adviser and the Administrator of their obligations hereunder and to the continuing satisfaction of the additional conditions specified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w:t>
      </w:r>
    </w:p>
    <w:p>
      <w:pPr>
        <w:spacing w:after="0" w:line="179"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wishes to sell the Securities other than as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of this Agreement, it may elect, in its sole discretion, to notify the Sales Agent of the proposed terms of such sale. If the Sales Agent, acting as principal, wishes to accept such proposed terms (which it may decline to do for any reason in its sole discretion) or, following discussions with the Company, wishes to accept amended terms, the Company will enter into a Terms Agreement setting forth the terms of such Placement. In the event of a conflict between the terms of this Agreement and the terms of any Terms Agreement, the terms of such Terms Agreement will control. For avoidance of doubt, nothing contained in this Agreement shall be construed to require the Company to engage the Sales Agent in connection with the offer and sale of any of its securities, including shares of the Common Stock, whether in connection with an underwritten offering or otherwise.</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engages the Sales Agent for a sale of Securities that would constitute the sale of a “block” under</w:t>
      </w:r>
    </w:p>
    <w:p>
      <w:pPr>
        <w:spacing w:after="0" w:line="2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Rule 10b-18(a)(5) under the 1934 Act, or a “distribution,” within the meaning of Rule 100 of Regulation M under the 1934 Act, the Company and the Sales Agent will agree to compensation that is customary for the Sales Agent with respect to such transactions.</w:t>
      </w:r>
    </w:p>
    <w:p>
      <w:pPr>
        <w:spacing w:after="0" w:line="181" w:lineRule="exact"/>
        <w:rPr>
          <w:sz w:val="20"/>
          <w:szCs w:val="20"/>
          <w:color w:val="auto"/>
        </w:rPr>
      </w:pPr>
    </w:p>
    <w:p>
      <w:pPr>
        <w:ind w:right="100" w:firstLine="987"/>
        <w:spacing w:after="0" w:line="266" w:lineRule="auto"/>
        <w:tabs>
          <w:tab w:leader="none" w:pos="12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the Company cause or request the offer or sale of any Securities if, after giving effect to the sale of such Securities, the aggregate gross sales proceeds or the aggregate number of the Securities sold pursuant to this Agreement would exceed the amount available for offer and sale under the currently effective Registration Statement.</w:t>
      </w:r>
    </w:p>
    <w:p>
      <w:pPr>
        <w:spacing w:after="0" w:line="175"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has reason to believe that the exemptive provisions set forth in Rule 101(c)(1) of Regulation M under the 1934 Act are not satisfied with respect to the Securities, it shall promptly notify the other parties and sales of the Securities under this Agreement shall be suspended until that or other exemptive provisions have been satisfied in the judgment of each party. Upon the reasonable request of the Company in writing to the Sales Agent (which such request may be by electronic mail), the Sales Agent shall promptly calculate and provide in writing to the Company a report setting forth, for the prior week, the average daily trading volume (as defined in Rule 100 of Regulation M under the 1934 Act) of the Common Stock.</w:t>
      </w:r>
    </w:p>
    <w:p>
      <w:pPr>
        <w:spacing w:after="0" w:line="183" w:lineRule="exact"/>
        <w:rPr>
          <w:rFonts w:ascii="Times New Roman" w:cs="Times New Roman" w:eastAsia="Times New Roman" w:hAnsi="Times New Roman"/>
          <w:sz w:val="18"/>
          <w:szCs w:val="18"/>
          <w:color w:val="auto"/>
        </w:rPr>
      </w:pPr>
    </w:p>
    <w:p>
      <w:pPr>
        <w:ind w:firstLine="987"/>
        <w:spacing w:after="0" w:line="261" w:lineRule="auto"/>
        <w:tabs>
          <w:tab w:leader="none" w:pos="121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sale of the Securities to or through the Sales Agent shall be made in accordance with the terms of this Agreement or, if applicable, a Terms Agreement. The commitment of the Sales Agent to purchase the Securities pursuant to any Terms Agreement shall be deemed to have been made on the basis of the representations and warranties of the parties herein contained and shall be subject to the terms and conditions herein set forth. Each Terms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67" w:name="page68"/>
    <w:bookmarkEnd w:id="6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 shall specify the number of the Securities to be purchased by the Sales Agent pursuant thereto, the price to be paid to the Company for such Securities, any provisions relating to rights of, and default by, underwriters acting together with the Sales Agent in the reoffering of the Securities, any provisions relating to the granting of an option to purchase additional Securities for the purpose of covering over-allotments, and the time and date (each such time and date being referred to herein as a “Date of Delivery”) and place of delivery of and payment for such Securities. Such Terms Agreement shall also specify any requirements for opinions of counsel, accountants’ letters and officers’ certificates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and any other information or documents required by the Sales Agent.</w:t>
      </w:r>
    </w:p>
    <w:p>
      <w:pPr>
        <w:spacing w:after="0" w:line="187" w:lineRule="exact"/>
        <w:rPr>
          <w:sz w:val="20"/>
          <w:szCs w:val="20"/>
          <w:color w:val="auto"/>
        </w:rPr>
      </w:pPr>
    </w:p>
    <w:p>
      <w:pPr>
        <w:ind w:right="20" w:firstLine="987"/>
        <w:spacing w:after="0" w:line="261" w:lineRule="auto"/>
        <w:tabs>
          <w:tab w:leader="none" w:pos="12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such further limitations on offers and sales of Securities or delivery of instructions to offer and sell Securities as are set forth herein and as may be mutually agreed upon by the Company and the Sales Agent offers and sales of Securities pursuant to this Agreement shall not be requested by the Company and need not be made by the Sales Agent at any time when or during any period in which the Company is in possession of material non-public information.</w:t>
      </w:r>
    </w:p>
    <w:p>
      <w:pPr>
        <w:spacing w:after="0" w:line="179" w:lineRule="exact"/>
        <w:rPr>
          <w:rFonts w:ascii="Times New Roman" w:cs="Times New Roman" w:eastAsia="Times New Roman" w:hAnsi="Times New Roman"/>
          <w:sz w:val="18"/>
          <w:szCs w:val="18"/>
          <w:color w:val="auto"/>
        </w:rPr>
      </w:pPr>
    </w:p>
    <w:p>
      <w:pPr>
        <w:ind w:right="100" w:firstLine="987"/>
        <w:spacing w:after="0" w:line="254" w:lineRule="auto"/>
        <w:tabs>
          <w:tab w:leader="none" w:pos="12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(A) there can be no assurance that the Sales Agent will be successful in selling the Securities, (B) the Sales Agent will not incur liability or obligation to the Company or any other person or entity if such Sales Agent does not sell Securities for any reason other than a failure by the Sales Agent to use its commercially reasonable efforts consistent with its normal trading and sales practices and applicable law and regulations to sell such Securities in accordance with the terms of this Agreement and (C) the Sales Agent shall not be under any obligation to purchase Securities on a principal basis pursuant to this Agreement, except as otherwise specifically agreed in writing by the Sales Agent and the Company. For purposes of clarification, the Sales Agent shall only be deemed to be acting as a sales agent under this Agreement during the period beginning with the delivery of a Placement Notice from the Company to the Sales Agent and ending upon the suspension or termination of such Placement Notice.</w:t>
      </w:r>
    </w:p>
    <w:p>
      <w:pPr>
        <w:spacing w:after="0" w:line="191" w:lineRule="exact"/>
        <w:rPr>
          <w:rFonts w:ascii="Times New Roman" w:cs="Times New Roman" w:eastAsia="Times New Roman" w:hAnsi="Times New Roman"/>
          <w:sz w:val="18"/>
          <w:szCs w:val="18"/>
          <w:color w:val="auto"/>
        </w:rPr>
      </w:pPr>
    </w:p>
    <w:p>
      <w:pPr>
        <w:ind w:right="100" w:firstLine="987"/>
        <w:spacing w:after="0" w:line="255" w:lineRule="auto"/>
        <w:tabs>
          <w:tab w:leader="none" w:pos="120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during the term of this Agreement, any offer to sell, any solicitation of an offer to buy, or any sales of Securities or sales of Common Stock pursuant to any At the Market Offering (as defined herein and within the meaning of Rule 415(a)(4) under the 1933 Act) shall only be effected by or through the Sales Agent or any Other Agent. Notwithstanding the foregoing or anything to the contrary in this Agreement, during the term of this Agreement, any offer to sell, any solicitation of an offer to buy, or any sales of Securities or sales of Common Stock that do not constitute an At the Market Offering (as defined herein and within the meaning of Rule 415(a)(4) under the 1933 Act), including any underwritten offering or private placement transaction exempt from the requirements of the 1933 Act, may be effected by the Company by or through any person or entity in the Company’s sole discretion.</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68" w:name="page69"/>
    <w:bookmarkEnd w:id="6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with the Sales Agent as follows:</w:t>
      </w:r>
    </w:p>
    <w:p>
      <w:pPr>
        <w:spacing w:after="0" w:line="115" w:lineRule="exact"/>
        <w:rPr>
          <w:sz w:val="20"/>
          <w:szCs w:val="20"/>
          <w:color w:val="auto"/>
        </w:rPr>
      </w:pPr>
    </w:p>
    <w:p>
      <w:pPr>
        <w:jc w:val="both"/>
        <w:ind w:left="4" w:right="560" w:firstLine="987"/>
        <w:spacing w:after="0" w:line="277" w:lineRule="auto"/>
        <w:tabs>
          <w:tab w:leader="none" w:pos="124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Compliance with Securities Regulations and Commission Requests</w:t>
      </w:r>
      <w:r>
        <w:rPr>
          <w:rFonts w:ascii="Times New Roman" w:cs="Times New Roman" w:eastAsia="Times New Roman" w:hAnsi="Times New Roman"/>
          <w:sz w:val="17"/>
          <w:szCs w:val="17"/>
          <w:color w:val="auto"/>
        </w:rPr>
        <w:t>. The Company,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3(c)</w:t>
      </w:r>
      <w:r>
        <w:rPr>
          <w:rFonts w:ascii="Times New Roman" w:cs="Times New Roman" w:eastAsia="Times New Roman" w:hAnsi="Times New Roman"/>
          <w:sz w:val="17"/>
          <w:szCs w:val="17"/>
          <w:color w:val="auto"/>
        </w:rPr>
        <w:t>, will comply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requirements of Rule 415, Rule 430B, Rule 497 and Rule 424(b), and will notify the Sales Agent immediately, and confirm the notice in writing,</w:t>
      </w:r>
    </w:p>
    <w:p>
      <w:pPr>
        <w:spacing w:after="0" w:line="1" w:lineRule="exact"/>
        <w:rPr>
          <w:rFonts w:ascii="Times New Roman" w:cs="Times New Roman" w:eastAsia="Times New Roman" w:hAnsi="Times New Roman"/>
          <w:sz w:val="17"/>
          <w:szCs w:val="17"/>
          <w:color w:val="auto"/>
        </w:rPr>
      </w:pPr>
    </w:p>
    <w:p>
      <w:pPr>
        <w:ind w:left="4" w:right="20" w:hanging="4"/>
        <w:spacing w:after="0" w:line="265" w:lineRule="auto"/>
        <w:tabs>
          <w:tab w:leader="none" w:pos="219"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w:t>
      </w:r>
    </w:p>
    <w:p>
      <w:pPr>
        <w:ind w:left="4" w:hanging="4"/>
        <w:spacing w:after="0" w:line="252" w:lineRule="auto"/>
        <w:tabs>
          <w:tab w:leader="none" w:pos="25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becomes the subject of a proceeding under Section 8A of the 1933 Act in connection with the offering of the Securities. The Company will effect all filings required under Rule 424(b) and Rule 497 within the time period required by Rule 424(b) or Rule 497, as applicable, and will take such steps as it deems necessary to ascertain promptly whether the form of prospectus transmitted for filing under Rule 424(b) was received for filing by the Commission and, in the event that it was not, it will promptly file such prospectus. The Company will use its commercially reasonable efforts to prevent the issuance of any stop order, prevention or suspension and, if any such order is issued, to obtain the lifting thereof at the earliest possible moment.</w:t>
      </w:r>
    </w:p>
    <w:p>
      <w:pPr>
        <w:spacing w:after="0" w:line="187"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5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of Amendments</w:t>
      </w:r>
      <w:r>
        <w:rPr>
          <w:rFonts w:ascii="Times New Roman" w:cs="Times New Roman" w:eastAsia="Times New Roman" w:hAnsi="Times New Roman"/>
          <w:sz w:val="18"/>
          <w:szCs w:val="18"/>
          <w:color w:val="auto"/>
        </w:rPr>
        <w:t>. The Company will give the Sales Agent notice of its intention to file or prepare any amendment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(including any filing under Rule 462(b)) or to the Prospectus and will furnish the Sales Agent with copies of any such documents within a reasonable amount of time prior to such proposed filing or use, as the case may be, and will not file or use any such document to which the Sales Agent or counsel for the Sales Agent shall object. The Company shall give the Sales Agent notice of its intention to make any filings pursuant to the 1934 Act or the 1934 Rules and Regulations within 48 hours prior to the Applicable Time and will furnish the Sales Agent with copies of any such documents a reasonable amount of time prior to such proposed filing, as the case may be, and will not file or use any such document to which the Sales Agent or counsel for the Sales Agent shall reasonably object.</w:t>
      </w:r>
    </w:p>
    <w:p>
      <w:pPr>
        <w:spacing w:after="0" w:line="182" w:lineRule="exact"/>
        <w:rPr>
          <w:rFonts w:ascii="Times New Roman" w:cs="Times New Roman" w:eastAsia="Times New Roman" w:hAnsi="Times New Roman"/>
          <w:sz w:val="18"/>
          <w:szCs w:val="18"/>
          <w:color w:val="auto"/>
        </w:rPr>
      </w:pPr>
    </w:p>
    <w:p>
      <w:pPr>
        <w:ind w:left="4" w:right="60" w:firstLine="987"/>
        <w:spacing w:after="0" w:line="254" w:lineRule="auto"/>
        <w:tabs>
          <w:tab w:leader="none" w:pos="12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The Company will use its commercially reasonable efforts to comply with the 1933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1933 Act Regulations so as to permit the completion of the distribution of the Securities as contemplated in this Agreement and in the Registration Statement and the Prospectus. If at any time when a prospectus relating to the Securities is required by the 1933 Act to be delivered in connection with sales of the Securities, any event shall occur or condition shall exist as a result of which it is necessary, in the opinion of counsel for the Sales Agent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Prospectus in order that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Prospectus, as the case may be, in order to comply with the requirements of the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69" w:name="page70"/>
    <w:bookmarkEnd w:id="69"/>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1933 Act or the 1933 Act Regulations, the Company will promptly (A) give the Sales Agent notice of such event, (B) prepare any amendment or supplement as may be necessary to correct such statement or omission or to make the Registration Statement or the Prospectus comply with such requirements and, a reasonable amount of time prior to any proposed filing or use, furnish the Sales Agent with copies of any such amendment or supplement and (C) file with the Commission any such amendment or supplement. The Company will furnish to the Sales Agent such number of copies of such amendment or supplement as the Sales Agent may reasonably request. The Company has given the Sales Agent notice of any filings made pursuant to the 1934 Act or 1934 Act Regulations within 48 hours prior to the Applicable Time; the Company shall give the Sales Agent notice of its intention to make any such filing and shall furnish the Sales Agent with copies of any such documents a reasonable amount of time prior to such proposed filing or use, as the case may be.</w:t>
      </w:r>
    </w:p>
    <w:p>
      <w:pPr>
        <w:spacing w:after="0" w:line="190" w:lineRule="exact"/>
        <w:rPr>
          <w:sz w:val="20"/>
          <w:szCs w:val="20"/>
          <w:color w:val="auto"/>
        </w:rPr>
      </w:pPr>
    </w:p>
    <w:p>
      <w:pPr>
        <w:ind w:right="360" w:firstLine="987"/>
        <w:spacing w:after="0" w:line="257"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Commission Filings</w:t>
      </w:r>
      <w:r>
        <w:rPr>
          <w:rFonts w:ascii="Times New Roman" w:cs="Times New Roman" w:eastAsia="Times New Roman" w:hAnsi="Times New Roman"/>
          <w:sz w:val="18"/>
          <w:szCs w:val="18"/>
          <w:color w:val="auto"/>
        </w:rPr>
        <w:t>. The Company has furnished or, upon written request of the Sales Agent, shall deliver to the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and counsel for the Sales Agent, without charge, conformed copies of the Registration Statement, as originally filed, and of each amendment thereto (including exhibits filed therewith) and conformed copies of all consents and certificates of experts, and will also deliver to the Sales Agent, without charge, a conformed copy of the Registration Statement as originally filed and of each amendment thereto (without exhibits) for the Sales Agent. The copies of the Registration Statement and each amendment thereto furnished to the Sales Agent will be identical to the electronically transmitted copies thereof filed with the Commission pursuant to EDGAR, except to the extent permitted by Regulation S-T.</w:t>
      </w:r>
    </w:p>
    <w:p>
      <w:pPr>
        <w:spacing w:after="0" w:line="182" w:lineRule="exact"/>
        <w:rPr>
          <w:rFonts w:ascii="Times New Roman" w:cs="Times New Roman" w:eastAsia="Times New Roman" w:hAnsi="Times New Roman"/>
          <w:sz w:val="18"/>
          <w:szCs w:val="18"/>
          <w:color w:val="auto"/>
        </w:rPr>
      </w:pPr>
    </w:p>
    <w:p>
      <w:pPr>
        <w:ind w:right="160" w:firstLine="987"/>
        <w:spacing w:after="0" w:line="261"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Prospectuses</w:t>
      </w:r>
      <w:r>
        <w:rPr>
          <w:rFonts w:ascii="Times New Roman" w:cs="Times New Roman" w:eastAsia="Times New Roman" w:hAnsi="Times New Roman"/>
          <w:sz w:val="18"/>
          <w:szCs w:val="18"/>
          <w:color w:val="auto"/>
        </w:rPr>
        <w:t>. The Company will furnish to the Sales Agent, without charge, during the period when a prospectus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Securities is required to be delivered under the 1933 Act, such number of copies of the Prospectus (as amended or supplemented) as the Sales Agent may reasonably request. The Prospectus and any amendments or supplements thereto furnished to the Sales Agent will be identical to the electronically transmitted copies thereof filed with the Commission pursuant to EDGAR, except to the extent permitted by Regulation S-T.</w:t>
      </w:r>
    </w:p>
    <w:p>
      <w:pPr>
        <w:spacing w:after="0" w:line="179" w:lineRule="exact"/>
        <w:rPr>
          <w:rFonts w:ascii="Times New Roman" w:cs="Times New Roman" w:eastAsia="Times New Roman" w:hAnsi="Times New Roman"/>
          <w:sz w:val="18"/>
          <w:szCs w:val="18"/>
          <w:color w:val="auto"/>
        </w:rPr>
      </w:pPr>
    </w:p>
    <w:p>
      <w:pPr>
        <w:ind w:firstLine="987"/>
        <w:spacing w:after="0" w:line="257" w:lineRule="auto"/>
        <w:tabs>
          <w:tab w:leader="none" w:pos="121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use its commercially reasonable efforts, in cooperation with the Sales Agent, to qualify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for offering and sale under the applicable securities laws of such states and other jurisdictions (domestic or foreign) as the Sales Agent may designate and to maintain such qualifications in effect so long as reasonably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2" w:lineRule="exact"/>
        <w:rPr>
          <w:rFonts w:ascii="Times New Roman" w:cs="Times New Roman" w:eastAsia="Times New Roman" w:hAnsi="Times New Roman"/>
          <w:sz w:val="18"/>
          <w:szCs w:val="18"/>
          <w:color w:val="auto"/>
        </w:rPr>
      </w:pPr>
    </w:p>
    <w:p>
      <w:pPr>
        <w:ind w:right="140" w:firstLine="987"/>
        <w:spacing w:after="0" w:line="261"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The Company will make generally available to its securityholders as soon as practicable an earnings statement that satisfies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provisions of Section 11(a) of the 1933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such request by filing such an earnings statement on EDGAR.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70" w:name="page71"/>
    <w:bookmarkEnd w:id="70"/>
    <w:p>
      <w:pPr>
        <w:ind w:right="320" w:firstLine="987"/>
        <w:spacing w:after="0" w:line="284"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Listing</w:t>
      </w:r>
      <w:r>
        <w:rPr>
          <w:rFonts w:ascii="Times New Roman" w:cs="Times New Roman" w:eastAsia="Times New Roman" w:hAnsi="Times New Roman"/>
          <w:sz w:val="18"/>
          <w:szCs w:val="18"/>
          <w:color w:val="auto"/>
        </w:rPr>
        <w:t>. The Company will use its commercially reasonable best efforts to maintain the listing of the Common Stock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on the New York Stock Exchange.</w:t>
      </w:r>
    </w:p>
    <w:p>
      <w:pPr>
        <w:spacing w:after="0" w:line="158" w:lineRule="exact"/>
        <w:rPr>
          <w:rFonts w:ascii="Times New Roman" w:cs="Times New Roman" w:eastAsia="Times New Roman" w:hAnsi="Times New Roman"/>
          <w:sz w:val="18"/>
          <w:szCs w:val="18"/>
          <w:color w:val="auto"/>
        </w:rPr>
      </w:pPr>
    </w:p>
    <w:p>
      <w:pPr>
        <w:ind w:right="100" w:firstLine="987"/>
        <w:spacing w:after="0" w:line="284" w:lineRule="auto"/>
        <w:tabs>
          <w:tab w:leader="none" w:pos="120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DTC. </w:t>
      </w:r>
      <w:r>
        <w:rPr>
          <w:rFonts w:ascii="Times New Roman" w:cs="Times New Roman" w:eastAsia="Times New Roman" w:hAnsi="Times New Roman"/>
          <w:sz w:val="18"/>
          <w:szCs w:val="18"/>
          <w:color w:val="auto"/>
        </w:rPr>
        <w:t>The Company will cooperate with the Sales Agent and use its commercially reasonable efforts to permit the offered Securities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eligible for clearance and settlement through the facilities of DTC.</w:t>
      </w:r>
    </w:p>
    <w:p>
      <w:pPr>
        <w:spacing w:after="0" w:line="158" w:lineRule="exact"/>
        <w:rPr>
          <w:rFonts w:ascii="Times New Roman" w:cs="Times New Roman" w:eastAsia="Times New Roman" w:hAnsi="Times New Roman"/>
          <w:sz w:val="18"/>
          <w:szCs w:val="18"/>
          <w:color w:val="auto"/>
        </w:rPr>
      </w:pPr>
    </w:p>
    <w:p>
      <w:pPr>
        <w:ind w:firstLine="987"/>
        <w:spacing w:after="0" w:line="256" w:lineRule="auto"/>
        <w:tabs>
          <w:tab w:leader="none" w:pos="120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 OFAC</w:t>
      </w:r>
      <w:r>
        <w:rPr>
          <w:rFonts w:ascii="Times New Roman" w:cs="Times New Roman" w:eastAsia="Times New Roman" w:hAnsi="Times New Roman"/>
          <w:sz w:val="18"/>
          <w:szCs w:val="18"/>
          <w:color w:val="auto"/>
        </w:rPr>
        <w:t>. The Company will use the net proceeds received by it from the sale of the Securities in the manner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Registration Statement and the Prospectus under “Use of Proceeds.” The Company will not directly or, to its knowledge,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(to the extent that such action would result in the violation by any person (including any person participating in the transaction, whether as underwriter, adviser, investor or otherwise) of Sanctions) or in any other manner that will result in a violation by any Person (including any Person participating in the transaction, whether as underwriter, advisor, investor or otherwise) of Sanctions.</w:t>
      </w:r>
    </w:p>
    <w:p>
      <w:pPr>
        <w:spacing w:after="0" w:line="182" w:lineRule="exact"/>
        <w:rPr>
          <w:rFonts w:ascii="Times New Roman" w:cs="Times New Roman" w:eastAsia="Times New Roman" w:hAnsi="Times New Roman"/>
          <w:sz w:val="18"/>
          <w:szCs w:val="18"/>
          <w:color w:val="auto"/>
        </w:rPr>
      </w:pPr>
    </w:p>
    <w:p>
      <w:pPr>
        <w:jc w:val="both"/>
        <w:ind w:firstLine="987"/>
        <w:spacing w:after="0" w:line="267"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The Company, during the period when a Prospectus relating to the Securities is required to be delivered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1933 Act, will file all documents required to be filed with the Commission pursuant to the 1934 Act within the time periods required by the 1934 Act and 1934 Act Regulations.</w:t>
      </w:r>
    </w:p>
    <w:p>
      <w:pPr>
        <w:spacing w:after="0" w:line="173" w:lineRule="exact"/>
        <w:rPr>
          <w:rFonts w:ascii="Times New Roman" w:cs="Times New Roman" w:eastAsia="Times New Roman" w:hAnsi="Times New Roman"/>
          <w:sz w:val="18"/>
          <w:szCs w:val="18"/>
          <w:color w:val="auto"/>
        </w:rPr>
      </w:pPr>
    </w:p>
    <w:p>
      <w:pPr>
        <w:ind w:right="160" w:firstLine="987"/>
        <w:spacing w:after="0" w:line="267" w:lineRule="auto"/>
        <w:tabs>
          <w:tab w:leader="none" w:pos="120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Development Company Status</w:t>
      </w:r>
      <w:r>
        <w:rPr>
          <w:rFonts w:ascii="Times New Roman" w:cs="Times New Roman" w:eastAsia="Times New Roman" w:hAnsi="Times New Roman"/>
          <w:sz w:val="18"/>
          <w:szCs w:val="18"/>
          <w:color w:val="auto"/>
        </w:rPr>
        <w:t>. The Company will use its commercially reasonable efforts to maintain its status as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company; provided, however, the Company may cease to be, or withdraw its election as, a business development company, with the approval of the board of directors and a vote of stockholders as required by Section 58 of the 1940 Act or any successor provision.</w:t>
      </w:r>
    </w:p>
    <w:p>
      <w:pPr>
        <w:spacing w:after="0" w:line="173" w:lineRule="exact"/>
        <w:rPr>
          <w:rFonts w:ascii="Times New Roman" w:cs="Times New Roman" w:eastAsia="Times New Roman" w:hAnsi="Times New Roman"/>
          <w:sz w:val="18"/>
          <w:szCs w:val="18"/>
          <w:color w:val="auto"/>
        </w:rPr>
      </w:pPr>
    </w:p>
    <w:p>
      <w:pPr>
        <w:ind w:right="200" w:firstLine="987"/>
        <w:spacing w:after="0" w:line="267" w:lineRule="auto"/>
        <w:tabs>
          <w:tab w:leader="none" w:pos="129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Regulated Investment Company Status</w:t>
      </w:r>
      <w:r>
        <w:rPr>
          <w:rFonts w:ascii="Times New Roman" w:cs="Times New Roman" w:eastAsia="Times New Roman" w:hAnsi="Times New Roman"/>
          <w:sz w:val="18"/>
          <w:szCs w:val="18"/>
          <w:color w:val="auto"/>
        </w:rPr>
        <w:t>. The Company will use its commercially reasonable efforts to maintain its qualification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regulated investment company under Subchapter M of the Code for each full fiscal year during which it is a business development company under the 1940 Act.</w:t>
      </w:r>
    </w:p>
    <w:p>
      <w:pPr>
        <w:spacing w:after="0" w:line="173"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Compliance Reviews</w:t>
      </w:r>
      <w:r>
        <w:rPr>
          <w:rFonts w:ascii="Times New Roman" w:cs="Times New Roman" w:eastAsia="Times New Roman" w:hAnsi="Times New Roman"/>
          <w:sz w:val="18"/>
          <w:szCs w:val="18"/>
          <w:color w:val="auto"/>
        </w:rPr>
        <w:t>. The Company will retain qualified accountants and qualified tax experts to (i) test procedures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annual compliance reviews designed to determine compliance with the regulated investment company provisions of the Code and (ii) otherwise assist the Company in monitoring appropriate accounting systems and procedures designed to determine compliance with the regulated investment company provisions of the Code.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8" w:right="459" w:bottom="1440" w:gutter="0" w:footer="0" w:header="0"/>
        </w:sectPr>
      </w:pPr>
    </w:p>
    <w:bookmarkStart w:id="71" w:name="page72"/>
    <w:bookmarkEnd w:id="71"/>
    <w:p>
      <w:pPr>
        <w:ind w:right="40" w:firstLine="987"/>
        <w:spacing w:after="0" w:line="254" w:lineRule="auto"/>
        <w:tabs>
          <w:tab w:leader="none" w:pos="12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Accounting Controls</w:t>
      </w:r>
      <w:r>
        <w:rPr>
          <w:rFonts w:ascii="Times New Roman" w:cs="Times New Roman" w:eastAsia="Times New Roman" w:hAnsi="Times New Roman"/>
          <w:sz w:val="18"/>
          <w:szCs w:val="18"/>
          <w:color w:val="auto"/>
        </w:rPr>
        <w:t>. The Company will use commercially reasonable efforts to establish and maintain a system of internal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controls sufficient to provide reasonable assurances that (A) transactions are executed in accordance with management’s authorization; (B) transactions are recorded as necessary to permit preparation of financial statements in conformity with GAAP and to maintain accountability for assets; (C) access to the Company’s consolidated assets is permitted only in accordance with management’s authorization; (D) the recorded accountability for assets is compared with the existing assets at reasonable intervals and appropriate action is taken with respect to any differences; (E) material information relating to the Company and the assets managed by the Adviser is promptly made known to the officers responsible for establishing and maintaining the system of internal accounting controls; and (F) any significant deficiencies or weaknesses in the design or operation of internal accounting controls that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w:t>
      </w:r>
    </w:p>
    <w:p>
      <w:pPr>
        <w:spacing w:after="0" w:line="185"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will use commercially reasonable efforts to establish and employ disclosure controls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183" w:lineRule="exact"/>
        <w:rPr>
          <w:rFonts w:ascii="Times New Roman" w:cs="Times New Roman" w:eastAsia="Times New Roman" w:hAnsi="Times New Roman"/>
          <w:sz w:val="18"/>
          <w:szCs w:val="18"/>
          <w:color w:val="auto"/>
        </w:rPr>
      </w:pPr>
    </w:p>
    <w:p>
      <w:pPr>
        <w:ind w:right="100" w:firstLine="987"/>
        <w:spacing w:after="0" w:line="275" w:lineRule="auto"/>
        <w:tabs>
          <w:tab w:leader="none" w:pos="124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Issuer Free Writing Prospectus</w:t>
      </w:r>
      <w:r>
        <w:rPr>
          <w:rFonts w:ascii="Times New Roman" w:cs="Times New Roman" w:eastAsia="Times New Roman" w:hAnsi="Times New Roman"/>
          <w:sz w:val="17"/>
          <w:szCs w:val="17"/>
          <w:color w:val="auto"/>
        </w:rPr>
        <w:t>. The Company represents and agrees that, without the prior consent of the Sales Agent (i) it will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distribute any offering material other than the Registration Statement or the Prospectus, and (ii) it has not made and will not make any offer relating to the Securities that would constitute a “free writing prospectus” as defined in Rule 405 under the 1933 Act,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68" w:lineRule="exact"/>
        <w:rPr>
          <w:rFonts w:ascii="Times New Roman" w:cs="Times New Roman" w:eastAsia="Times New Roman" w:hAnsi="Times New Roman"/>
          <w:sz w:val="17"/>
          <w:szCs w:val="17"/>
          <w:color w:val="auto"/>
        </w:rPr>
      </w:pPr>
    </w:p>
    <w:p>
      <w:pPr>
        <w:ind w:firstLine="987"/>
        <w:spacing w:after="0" w:line="256" w:lineRule="auto"/>
        <w:tabs>
          <w:tab w:leader="none" w:pos="121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Diligence Matters. </w:t>
      </w:r>
      <w:r>
        <w:rPr>
          <w:rFonts w:ascii="Times New Roman" w:cs="Times New Roman" w:eastAsia="Times New Roman" w:hAnsi="Times New Roman"/>
          <w:sz w:val="18"/>
          <w:szCs w:val="18"/>
          <w:color w:val="auto"/>
        </w:rPr>
        <w:t>The Company will cooperate with any reasonable due diligence review conducted by the Sales Agent 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agents in connection with the transactions contemplated hereby, including, without limitation, providing information and making available documents and senior officers, during regular business hours and at the Company’s principal offices, as either Agent may reasonably request. The parties acknowledge that the due diligence review contemplated by this Section 2(r) will include, without limitation, during the term of this Agreement a quarterly diligence conference to occur within five business days after each 10-Q filing or 10-K filing whereby the Company will make its senior corporate officers available to address diligence inquiries of the Sales Agent and will provide such additional information and documents as the Sales Agent may reasonably request.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68" w:right="439" w:bottom="1440" w:gutter="0" w:footer="0" w:header="0"/>
        </w:sectPr>
      </w:pPr>
    </w:p>
    <w:bookmarkStart w:id="72" w:name="page73"/>
    <w:bookmarkEnd w:id="72"/>
    <w:p>
      <w:pPr>
        <w:ind w:left="4" w:right="440" w:firstLine="987"/>
        <w:spacing w:after="0" w:line="284" w:lineRule="auto"/>
        <w:tabs>
          <w:tab w:leader="none" w:pos="123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Stabilization. </w:t>
      </w:r>
      <w:r>
        <w:rPr>
          <w:rFonts w:ascii="Times New Roman" w:cs="Times New Roman" w:eastAsia="Times New Roman" w:hAnsi="Times New Roman"/>
          <w:sz w:val="18"/>
          <w:szCs w:val="18"/>
          <w:color w:val="auto"/>
        </w:rPr>
        <w:t>The Company will not take, directly or indirectly, any action designed to or that could reasonably be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or result in any stabilization or manipulation of the price of the Securities.</w:t>
      </w:r>
    </w:p>
    <w:p>
      <w:pPr>
        <w:spacing w:after="0" w:line="160" w:lineRule="exact"/>
        <w:rPr>
          <w:rFonts w:ascii="Times New Roman" w:cs="Times New Roman" w:eastAsia="Times New Roman" w:hAnsi="Times New Roman"/>
          <w:sz w:val="18"/>
          <w:szCs w:val="18"/>
          <w:color w:val="auto"/>
        </w:rPr>
      </w:pPr>
    </w:p>
    <w:p>
      <w:pPr>
        <w:ind w:left="4" w:firstLine="987"/>
        <w:spacing w:after="0" w:line="261" w:lineRule="auto"/>
        <w:tabs>
          <w:tab w:leader="none" w:pos="121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any offer to sell, any solicitation of an offer to buy, or any sales of Securities pursuant to this Agreement, the Sales Agreement or any Terms Agreement shall only be effected by or through only one of Agent or any Other Agent, as applicable, at any given time as determined by the Company, but in no event by more than one of them, and the Company shall in no event request that more than one of Agent or any Other Agent sell Securities during such time period.</w:t>
      </w:r>
    </w:p>
    <w:p>
      <w:pPr>
        <w:spacing w:after="0" w:line="180"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Payment of Expenses</w:t>
      </w:r>
      <w:r>
        <w:rPr>
          <w:rFonts w:ascii="Times New Roman" w:cs="Times New Roman" w:eastAsia="Times New Roman" w:hAnsi="Times New Roman"/>
          <w:sz w:val="17"/>
          <w:szCs w:val="17"/>
          <w:color w:val="auto"/>
        </w:rPr>
        <w:t>. The Company shall pay or cause to be paid all expenses incident to the performance of its obligations under this Agreement, including (i) the preparation and filing of the Registration Statement, the Prospectus and any amendments or supplements thereto, and the printing and furnishing of copies of each thereof to the Sales Agent (including costs of mailing and shipment), (ii) the printing and delivery to the Sales Agent of this Agreement and such other documents as may be required in connection with the offering, purchase, sale or delivery of the Securities,</w:t>
      </w:r>
    </w:p>
    <w:p>
      <w:pPr>
        <w:spacing w:after="0" w:line="3" w:lineRule="exact"/>
        <w:rPr>
          <w:sz w:val="20"/>
          <w:szCs w:val="20"/>
          <w:color w:val="auto"/>
        </w:rPr>
      </w:pPr>
    </w:p>
    <w:p>
      <w:pPr>
        <w:ind w:left="4" w:right="20" w:hanging="4"/>
        <w:spacing w:after="0" w:line="251" w:lineRule="auto"/>
        <w:tabs>
          <w:tab w:leader="none" w:pos="31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Securities to the Sales Agent, including any stock or other transfer taxes and any stamp or other duties payable upon the sale or delivery of the Securities to the Sales Agent, (iv) the fees and disbursements of the Company’s counsel, accountants and other advisors, (v) the qualification of the Securities under securities laws in accordance with the provisions of this Agreement, including filing fees and the reasonable fees and disbursements of counsel for the Sales Agent in connection therewith and in connection with the preparation of blue sky surveys and any supplement thereto, (vi) the printing and delivery to the Sales Agent of copies of the Prospectus and any amendments or supplements thereto, (vii) the preparation and delivery to the Sales Agent of copies of the blue sky survey, if any, and any supplement thereto, (viii) the fees and expenses of any transfer agent or registrar for the Securities, (ix) the reasonable legal fees and expenses of counsel to the Sales Agent in connection with their performance under this Agreement, in an aggregate amount of $50,000 in connection with the entry into this Agreement and the Sales Agreement and up to $10,000 per fiscal quarter during the term of this Agreement and the Sales Agreement, which amount shall include legal fees and expenses relating to the review by FINRA of the terms of the sale of the Securities, if applicable, and (x) the filing fees incident to the review by FINRA of the terms of the sale of the Securities, if any. Except as set forth herein, the Sales Agent will pay all of its other out-of-pocket costs and expenses incurred in connection with entering into this Agreement and the transactions contemplated by this Agreement, including, without limitation, travel and similar expenses, whether or not the transactions contemplated hereby are consummated or this Agreement is terminated.</w:t>
      </w:r>
    </w:p>
    <w:p>
      <w:pPr>
        <w:spacing w:after="0" w:line="192"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Conditions of the Sales Agent’s Obligations</w:t>
      </w:r>
      <w:r>
        <w:rPr>
          <w:rFonts w:ascii="Times New Roman" w:cs="Times New Roman" w:eastAsia="Times New Roman" w:hAnsi="Times New Roman"/>
          <w:sz w:val="18"/>
          <w:szCs w:val="18"/>
          <w:color w:val="auto"/>
        </w:rPr>
        <w:t>. The obligations of the Sales Agent hereunder are subject to the accuracy of the representations and warranties of the Company, the Adviser and the Administrator contained herein or in certificates of any officer of the Company, any of the Subsidiaries, the Adviser or the Administrator delivered pursuant to the provisions hereof, to the performance by the Company, the Adviser and the Administrator of their respective covenants and other obligations hereunder, and to the following further conditions: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68" w:right="459" w:bottom="1440" w:gutter="0" w:footer="0" w:header="0"/>
        </w:sectPr>
      </w:pPr>
    </w:p>
    <w:bookmarkStart w:id="73" w:name="page74"/>
    <w:bookmarkEnd w:id="73"/>
    <w:p>
      <w:pPr>
        <w:ind w:right="80" w:firstLine="987"/>
        <w:spacing w:after="0" w:line="255" w:lineRule="auto"/>
        <w:tabs>
          <w:tab w:leader="none" w:pos="123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Statement</w:t>
      </w:r>
      <w:r>
        <w:rPr>
          <w:rFonts w:ascii="Times New Roman" w:cs="Times New Roman" w:eastAsia="Times New Roman" w:hAnsi="Times New Roman"/>
          <w:sz w:val="18"/>
          <w:szCs w:val="18"/>
          <w:color w:val="auto"/>
        </w:rPr>
        <w:t>. No stop order suspending the effectiveness of the Registration Statement or any post-effective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thereto has been issued under the 1933 Act, no order preventing or suspending the use of any Issuer Free Writing Prospectus or the Prospectus has been issued and no proceedings for any of those purposes have been instituted or are pending or, to the Company’s knowledge, contemplated; and the Company has complied with each request (if any) from the Commission for additional information in connection with the Registration Statement. Any required filing of each Issuer Free Writing Prospectus pursuant to Rule 433 has been made in the manner and within the time period required by</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433(d).</w:t>
      </w:r>
    </w:p>
    <w:p>
      <w:pPr>
        <w:spacing w:after="0" w:line="204"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Opinions of Counsel for the Company, the Adviser and the Administrator</w:t>
      </w:r>
      <w:r>
        <w:rPr>
          <w:rFonts w:ascii="Times New Roman" w:cs="Times New Roman" w:eastAsia="Times New Roman" w:hAnsi="Times New Roman"/>
          <w:sz w:val="18"/>
          <w:szCs w:val="18"/>
          <w:color w:val="auto"/>
        </w:rPr>
        <w:t>. Within five business days after (i) each date on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files a quarterly report on Form 10-Q or an annual report on Form 10-K, (ii) each date on which Securities are delivered to the Sales Agent pursuant to a Terms Agreement, or (iii) such date as the Sales Agent may reasonably request (the date of commencement of the offering of the Securities under this Agreement, the date of commencement of the offering of the Securities under this Agreement following the termination of a Suspension Period and each date referred to in subclauses (i), (ii) and (iii) above, each a “Representation Date”), the Sales Agent shall have received the favorable opinions, dated the Representation Date, of Dechert LLP, counsel for the Company, the Adviser and the Administrator, and of Venable LLP, counsel for the Company, in form and substance reasonably satisfactory to counsel for the Sales Agent. Such counsels may state that insofar as such opinions involve factual matters, they have relied, to the extent they deem proper, upon certificates of officers of the Company and the Subsidiaries, the Adviser and the Administrator and certificates of public officials.</w:t>
      </w:r>
    </w:p>
    <w:p>
      <w:pPr>
        <w:spacing w:after="0" w:line="188" w:lineRule="exact"/>
        <w:rPr>
          <w:rFonts w:ascii="Times New Roman" w:cs="Times New Roman" w:eastAsia="Times New Roman" w:hAnsi="Times New Roman"/>
          <w:sz w:val="18"/>
          <w:szCs w:val="18"/>
          <w:color w:val="auto"/>
        </w:rPr>
      </w:pPr>
    </w:p>
    <w:p>
      <w:pPr>
        <w:jc w:val="both"/>
        <w:ind w:right="100" w:firstLine="987"/>
        <w:spacing w:after="0" w:line="261" w:lineRule="auto"/>
        <w:tabs>
          <w:tab w:leader="none" w:pos="123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the Sales Agent</w:t>
      </w:r>
      <w:r>
        <w:rPr>
          <w:rFonts w:ascii="Times New Roman" w:cs="Times New Roman" w:eastAsia="Times New Roman" w:hAnsi="Times New Roman"/>
          <w:sz w:val="18"/>
          <w:szCs w:val="18"/>
          <w:color w:val="auto"/>
        </w:rPr>
        <w:t>. Within five business days after each Representation Date, the Sales Agent shall have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favorable opinion, dated the Representation Date, of Kirkland &amp; Ellis LLP, counsel for the Sales Agent. Such counsel may also state that, insofar as such opinion involves factual matters, they have relied, to the extent they deem proper, upon certificates of officers and other representatives of the Company, the Subsidiaries, the Adviser and the Administrator and certificates of public officials.</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0" w:right="20" w:firstLine="948"/>
        <w:spacing w:after="0" w:line="255" w:lineRule="auto"/>
        <w:tabs>
          <w:tab w:leader="none" w:pos="160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five business days after each Representation Date, there shall not have been, since the date hereof or since the respective dates as of which information is given in the Registration Statement, or the Prospectus, any material adverse change in the business, properties, management, financial condition, prospects or results of operations of the Company and the Subsidiaries considered as one enterprise, whether or not arising in the ordinary course of business, and the Sales Agent shall have received a certificate of the chief executive officer or the president of the Company and of the chief financial or chief accounting officer of the Company, dated the Representation Date, to the effect that (A) there has been no such material adverse change, (B) the representations and warranties of the Company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of this Agreement are true and correct with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8" w:right="459" w:bottom="1440" w:gutter="0" w:footer="0" w:header="0"/>
        </w:sectPr>
      </w:pPr>
    </w:p>
    <w:bookmarkStart w:id="74" w:name="page75"/>
    <w:bookmarkEnd w:id="74"/>
    <w:p>
      <w:pPr>
        <w:ind w:left="440"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same force and effect as though expressly made at and as of the Representation Date, (C) the Company has complied with all agreements and satisfied all conditions on its part to be performed or satisfied at or prior to the Representation Date, and (D) no stop order suspending the effectiveness of the Registration Statement under the 1933 Act has been issued, no order preventing or suspending the use of the Prospectus has been issued and no proceedings for any of those purposes have been instituted or are pending or, to their knowledge, contemplated by the Commission.</w:t>
      </w:r>
    </w:p>
    <w:p>
      <w:pPr>
        <w:spacing w:after="0" w:line="75" w:lineRule="exact"/>
        <w:rPr>
          <w:sz w:val="20"/>
          <w:szCs w:val="20"/>
          <w:color w:val="auto"/>
        </w:rPr>
      </w:pPr>
    </w:p>
    <w:p>
      <w:pPr>
        <w:ind w:left="440" w:right="100" w:firstLine="948"/>
        <w:spacing w:after="0" w:line="272" w:lineRule="auto"/>
        <w:tabs>
          <w:tab w:leader="none" w:pos="1657" w:val="left"/>
        </w:tabs>
        <w:numPr>
          <w:ilvl w:val="2"/>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five business days after each Representation Date, there shall not have been, since the date hereof or since the respective dates as of which information is given in the Prospectus, an Adviser/Administrator Material Adverse Effect, and the Sales Agent shall have received certificates of the managing member of each of the Adviser and the Administrator, dated the Representation Date, to the effect that</w:t>
      </w:r>
    </w:p>
    <w:p>
      <w:pPr>
        <w:spacing w:after="0" w:line="1" w:lineRule="exact"/>
        <w:rPr>
          <w:rFonts w:ascii="Times New Roman" w:cs="Times New Roman" w:eastAsia="Times New Roman" w:hAnsi="Times New Roman"/>
          <w:sz w:val="17"/>
          <w:szCs w:val="17"/>
          <w:color w:val="auto"/>
        </w:rPr>
      </w:pPr>
    </w:p>
    <w:p>
      <w:pPr>
        <w:ind w:left="440" w:right="40" w:hanging="4"/>
        <w:spacing w:after="0" w:line="253" w:lineRule="auto"/>
        <w:tabs>
          <w:tab w:leader="none" w:pos="73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has been no such Adviser/Administrator Material Adverse Effect with respect to the Adviser or the Administrator, as applicable, (B) the representations and warranties of the Adviser or the Administrator, as applicable, in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of this Agreement are true and correct with the same force and effect as though expressly made at and as of the Representation Date and (C) the Adviser or the Administrator, as applicable, has complied with all agreements and satisfied all conditions on their part to be performed or satisfied at or prior to the Representation Date.</w:t>
      </w:r>
    </w:p>
    <w:p>
      <w:pPr>
        <w:spacing w:after="0" w:line="186"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Accountant’s Comfort Letter</w:t>
      </w:r>
      <w:r>
        <w:rPr>
          <w:rFonts w:ascii="Times New Roman" w:cs="Times New Roman" w:eastAsia="Times New Roman" w:hAnsi="Times New Roman"/>
          <w:sz w:val="18"/>
          <w:szCs w:val="18"/>
          <w:color w:val="auto"/>
        </w:rPr>
        <w:t>. Within five business days after each Representation Date, the Sales Agent shall have received from RSM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LLP a letter, dated such date, in form and substance satisfactory to the Sales Agent, containing statements and information of the type ordinarily included in accountants’ “comfort letters” to underwriters with respect to the Company’s financial statements and certain financial information included or incorporated by reference in the Registration Statement and the Prospectus.</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21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Within five business days after each Representation Date, counsel for the Sales Agent shall have been furnished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the Adviser and the Administrator in connection with the issuance and sale of the Securities as herein contemplated shall be satisfactory in form and substance to the Sales Agent and counsel for the Sales Agent.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40" w:firstLine="987"/>
        <w:spacing w:after="0" w:line="273" w:lineRule="auto"/>
        <w:tabs>
          <w:tab w:leader="none" w:pos="1236"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Indemnification of the Sales Agent by the Company, the Adviser and the Administrator</w:t>
      </w:r>
      <w:r>
        <w:rPr>
          <w:rFonts w:ascii="Times New Roman" w:cs="Times New Roman" w:eastAsia="Times New Roman" w:hAnsi="Times New Roman"/>
          <w:sz w:val="17"/>
          <w:szCs w:val="17"/>
          <w:color w:val="auto"/>
        </w:rPr>
        <w:t>. The Company, the Adviser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Administrator, severally and not jointly, agree to indemnify and hold harmless the Sales Agent, its affiliates (as such term is defined in Rule 405 under the 1933 Act (each, an “Affiliate”)), its selling agents and each person, if any, who controls the Sales Agent within the meaning of Section 15 of the</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1933 Act or Section 20 of the 1934 Act as follows: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40" w:top="270" w:right="499" w:bottom="1440" w:gutter="0" w:footer="0" w:header="0"/>
        </w:sectPr>
      </w:pPr>
    </w:p>
    <w:bookmarkStart w:id="75" w:name="page76"/>
    <w:bookmarkEnd w:id="75"/>
    <w:p>
      <w:pPr>
        <w:ind w:left="420" w:firstLine="948"/>
        <w:spacing w:after="0" w:line="254" w:lineRule="auto"/>
        <w:tabs>
          <w:tab w:leader="none" w:pos="158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against any and all loss, liability, claim, damage and expense whatsoever, as incurred, arising out of any untrue statement or alleged untrue statement of a material fact contained in the Registration Statement (or any amendment thereto), including any Rule 430B Information, or the omission or alleged omission therefrom of a material fact required to be stated therein or necessary to make the statements therein not misleading or arising out of any untrue statement or alleged untrue statement of a material fact included (A) in any Issuer Free Writing Prospectus or the Prospectus (or any amendment or supplement thereto), or (B) in any materials or information provided to investors by, or with the approval of, the Company in connection with the marketing of the offering of the Securities (“Marketing Materials”), including any road show as defined in Rule 433(h) under the 1933 Act (a “road show”) or investor presentations made to investors by the Company (whether in person or electronically), or the omission or alleged omission in any Issuer Free Writing Prospectus, the Prospectus or any Marketing Materials of a material fact necessary in order to make the statements therein, in the light of the circumstances under which they were made, not misleading;</w:t>
      </w:r>
    </w:p>
    <w:p>
      <w:pPr>
        <w:spacing w:after="0" w:line="80" w:lineRule="exact"/>
        <w:rPr>
          <w:rFonts w:ascii="Times New Roman" w:cs="Times New Roman" w:eastAsia="Times New Roman" w:hAnsi="Times New Roman"/>
          <w:sz w:val="18"/>
          <w:szCs w:val="18"/>
          <w:color w:val="auto"/>
        </w:rPr>
      </w:pPr>
    </w:p>
    <w:p>
      <w:pPr>
        <w:jc w:val="both"/>
        <w:ind w:left="420" w:right="20" w:firstLine="948"/>
        <w:spacing w:after="0" w:line="261" w:lineRule="auto"/>
        <w:tabs>
          <w:tab w:leader="none" w:pos="163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below) any such settlement is effected with the written consent of the Company; and</w:t>
      </w:r>
    </w:p>
    <w:p>
      <w:pPr>
        <w:spacing w:after="0" w:line="71" w:lineRule="exact"/>
        <w:rPr>
          <w:rFonts w:ascii="Times New Roman" w:cs="Times New Roman" w:eastAsia="Times New Roman" w:hAnsi="Times New Roman"/>
          <w:sz w:val="18"/>
          <w:szCs w:val="18"/>
          <w:color w:val="auto"/>
        </w:rPr>
      </w:pPr>
    </w:p>
    <w:p>
      <w:pPr>
        <w:ind w:left="420" w:right="100" w:firstLine="948"/>
        <w:spacing w:after="0" w:line="254" w:lineRule="auto"/>
        <w:tabs>
          <w:tab w:leader="none" w:pos="168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reasonably incurred and documented fees and disbursements of counsel chosen by the Sales Agent),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Rule 430B Information or the Prospectus (or any amendment or supplement thereto) in reliance upon and in conformity with the Sales Agent Information; and provided, further the Adviser’s indemnity shall only apply to statements described in (i) above regarding the Adviser and the Administrator’s indemnity shall apply only statements described in (i) above regarding the Administrator.</w:t>
      </w:r>
    </w:p>
    <w:p>
      <w:pPr>
        <w:spacing w:after="0" w:line="186" w:lineRule="exact"/>
        <w:rPr>
          <w:rFonts w:ascii="Times New Roman" w:cs="Times New Roman" w:eastAsia="Times New Roman" w:hAnsi="Times New Roman"/>
          <w:sz w:val="18"/>
          <w:szCs w:val="18"/>
          <w:color w:val="auto"/>
        </w:rPr>
      </w:pPr>
    </w:p>
    <w:p>
      <w:pPr>
        <w:jc w:val="both"/>
        <w:ind w:left="-20" w:right="120" w:firstLine="987"/>
        <w:spacing w:after="0" w:line="261" w:lineRule="auto"/>
        <w:tabs>
          <w:tab w:leader="none" w:pos="122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Company, Directors, Officers, Adviser and Administrator</w:t>
      </w:r>
      <w:r>
        <w:rPr>
          <w:rFonts w:ascii="Times New Roman" w:cs="Times New Roman" w:eastAsia="Times New Roman" w:hAnsi="Times New Roman"/>
          <w:sz w:val="18"/>
          <w:szCs w:val="18"/>
          <w:color w:val="auto"/>
        </w:rPr>
        <w:t>. The Sales Agent agrees to indemnify and hold harmless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the Adviser, the Administrator their directors, each of the Company’s officers who signed the Registration Statement and each person, if any, who controls the Company, the Adviser or the Administrator within the meaning of Section 15 of the 1933 Act or Section 20 of the 1934 Act against any and all loss, liability, claim, damage and expense described in the indemnity contained in subsection (a)</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0"/>
          </w:cols>
          <w:pgMar w:left="460" w:top="270" w:right="479" w:bottom="1440" w:gutter="0" w:footer="0" w:header="0"/>
        </w:sectPr>
      </w:pPr>
    </w:p>
    <w:bookmarkStart w:id="76" w:name="page77"/>
    <w:bookmarkEnd w:id="76"/>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this Section, as incurred, but only with respect to untrue statements or omissions, or alleged untrue statements or omissions, made in the Registration Statement (or any amendment thereto), including any Rule 430B Information, any Issuer Free Writing Prospectus or the Prospectus (or any amendment or supplement thereto) in reliance upon and in conformity with the Sales Agent Information.</w:t>
      </w:r>
    </w:p>
    <w:p>
      <w:pPr>
        <w:spacing w:after="0" w:line="174" w:lineRule="exact"/>
        <w:rPr>
          <w:sz w:val="20"/>
          <w:szCs w:val="20"/>
          <w:color w:val="auto"/>
        </w:rPr>
      </w:pPr>
    </w:p>
    <w:p>
      <w:pPr>
        <w:ind w:right="20" w:firstLine="987"/>
        <w:spacing w:after="0" w:line="252" w:lineRule="auto"/>
        <w:tabs>
          <w:tab w:leader="none" w:pos="12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Each indemnified party shall give notice as promptly as reasonably practicable to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indemnifying party of any action commenced against it in respect of which indemnity may be sought hereunder, but failure to so notify an indemnifying party shall not relieve such indemnifying party from any liability hereunder to the extent it is not materially prejudiced (through the forfeiture of substantive rights and defenses) as a result thereof and in any event shall not relieve it from any liability which it may have otherwise than on account of this indemnity agreement. In the case of parties indemnified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above, counsel to the indemnified parties shall be selected by the Sales Agent, and, in the case of parties indemnified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94" w:lineRule="exact"/>
        <w:rPr>
          <w:rFonts w:ascii="Times New Roman" w:cs="Times New Roman" w:eastAsia="Times New Roman" w:hAnsi="Times New Roman"/>
          <w:sz w:val="18"/>
          <w:szCs w:val="18"/>
          <w:color w:val="auto"/>
        </w:rPr>
      </w:pPr>
    </w:p>
    <w:p>
      <w:pPr>
        <w:ind w:firstLine="987"/>
        <w:spacing w:after="0" w:line="257" w:lineRule="auto"/>
        <w:tabs>
          <w:tab w:leader="none" w:pos="12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reimburse the indemnified party for fees and expenses of counsel, such indemnifying party agrees that it shall be liable for any settlement of the nature contemplated by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 xml:space="preserve">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77" w:name="page78"/>
    <w:bookmarkEnd w:id="77"/>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incurred by such indemnified party, as incurred, (i) in such proportion as is appropriate to reflect the relative benefits received by the Company, the Adviser and the Administrator, on the one hand, and the Sales Agent,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the Adviser and the Administrator, on the one hand, and of the Sales Agent, on the other hand, in connection with the statements or omissions which resulted in such losses, liabilities, claims, damages or expenses, as well as any other relevant equitable considerations. For the avoidance of doubt, the Adviser’s and the Administrator’s contribution agreement shall only apply to instances in which the Adviser or the Administrator has an indemnity obligation as described above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relative benefits received by the Company, the Adviser and the Administrator, on the one hand, and the Sales Agent,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commissions received by the Sales Agent, on the other hand, in each case as set forth on the cover of the Prospectus, bear to the aggregate Net Proceeds.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relative fault of the Company, the Adviser and the Administrator, on the one hand, and the Sales Agent, on the other hand, shall be determined by reference to, among other things, whether any such untrue or alleged untrue statement of a material fact or omission or alleged omission to state a material fact relates to information supplied by the Company, the Adviser and the Administrator or by the Sales Agent and the parties’ relative intent, knowledge, access to information and opportunity to correct or prevent such statement or omission.</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the Adviser, the Administrator and the Sales Agent agree that it would not be just and equitable if contribution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above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aggregate amount of losses, liabilities, claims, damages and expenses incurred by an indemnified party and referred to above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provisions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Sales Agent shall not be required to contribute any amount in excess of the commissions received by the Sales Agent in connection with the Securities sold by it.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40"/>
          </w:cols>
          <w:pgMar w:left="440" w:top="270" w:right="519" w:bottom="1440" w:gutter="0" w:footer="0" w:header="0"/>
        </w:sectPr>
      </w:pPr>
    </w:p>
    <w:bookmarkStart w:id="78" w:name="page79"/>
    <w:bookmarkEnd w:id="78"/>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in this Agreement to the contrary, any indemnification and contribution by the Company shall be subject to the requirements and limitations of Section 17(i) of the 1940 Act and any applicable guidance from the Commission or its staff thereunder.</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each person, if any, who controls the Sales Agent within the meaning of Section 15 of the 1933 Act or Section 20 of the 1934 Act and the Sales Agent’s Affiliates and selling agents shall have the same rights to contribution as the Sales Agent, and each director of the Company, each officer of the Company who signed the Registration Statement, and each person, if any, who controls the Company, the Adviser or the Administrator within the meaning of Section 15 of the 1933 Act or Section 20 of the 1934 Act shall have the same rights to contribution as the Company, the Adviser or the Administrator, as the case may be.</w:t>
      </w:r>
    </w:p>
    <w:p>
      <w:pPr>
        <w:spacing w:after="0" w:line="183"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u w:val="single" w:color="auto"/>
          <w:color w:val="auto"/>
        </w:rPr>
        <w:t>Representations, Warranties and Agreements to Survive</w:t>
      </w:r>
      <w:r>
        <w:rPr>
          <w:rFonts w:ascii="Times New Roman" w:cs="Times New Roman" w:eastAsia="Times New Roman" w:hAnsi="Times New Roman"/>
          <w:sz w:val="17"/>
          <w:szCs w:val="17"/>
          <w:color w:val="auto"/>
        </w:rPr>
        <w:t>. All representations, warranties and agreements contained in this Agreement or in certificates of officers of the Company, any of the Subsidiaries, the Adviser or the Administrator submitted pursuant hereto, shall remain operative and in full force and effect regardless of (i) any investigation made by or on behalf of the Sales Agent or its Affiliates or selling agents, any person controlling the Sales Agent, its officers or directors or any person controlling the Company and (ii) delivery of and payment for the Securities.</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00" w:firstLine="987"/>
        <w:spacing w:after="0" w:line="284" w:lineRule="auto"/>
        <w:tabs>
          <w:tab w:leader="none" w:pos="12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by the Company, the Adviser and the Administrator</w:t>
      </w:r>
      <w:r>
        <w:rPr>
          <w:rFonts w:ascii="Times New Roman" w:cs="Times New Roman" w:eastAsia="Times New Roman" w:hAnsi="Times New Roman"/>
          <w:sz w:val="18"/>
          <w:szCs w:val="18"/>
          <w:color w:val="auto"/>
        </w:rPr>
        <w:t>. The Company, the Adviser and the Administrator may terminate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by giving one day advance notice to the Sales Agent, at any time.</w:t>
      </w:r>
    </w:p>
    <w:p>
      <w:pPr>
        <w:spacing w:after="0" w:line="158"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by the Sales Agent</w:t>
      </w:r>
      <w:r>
        <w:rPr>
          <w:rFonts w:ascii="Times New Roman" w:cs="Times New Roman" w:eastAsia="Times New Roman" w:hAnsi="Times New Roman"/>
          <w:sz w:val="18"/>
          <w:szCs w:val="18"/>
          <w:color w:val="auto"/>
        </w:rPr>
        <w:t>. The Sales Agent may terminate this Agreement, by giving one day advance notice to the Company,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time (i) if there has been, in the judgment of the Sales Agent, since the time of execution of this Agreement or since the respective dates as of which information is given in the Registration Statement or the Prospectus, any material adverse change in the business, properties, management, financial condition, prospects or results of operations of the Company and the Subsidiaries taken as one enterprise or the Adviser or the Administrator, whether or not arising in the ordinary course of business, which would make it impracticable or inadvisable to proceed with the public offering or the delivery of the Securities on the terms and in the manner contemplated in the Registration Statement and the Prospectus,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Sales Agent, impracticable or inadvisable to proceed with the completion of the offering or to enforce contracts for the sale of the Securities, (iii) if trading in any securities of the Company has been suspended or materially limited by the Commission or New York Stock Exchange, (iv) if trading generally on the NYSE Amex or The New York Stock Exchange or The Nasdaq Stock Market has been suspended or materially limited, or minimum or maximum prices for trading have been fixed, or maximum ranges for prices have been required, by any of said exchanges or by order of the Commission, FINRA or any other governmental authority,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70" w:right="479" w:bottom="1440" w:gutter="0" w:footer="0" w:header="0"/>
        </w:sectPr>
      </w:pPr>
    </w:p>
    <w:bookmarkStart w:id="79" w:name="page80"/>
    <w:bookmarkEnd w:id="79"/>
    <w:p>
      <w:pPr>
        <w:ind w:left="4" w:right="40" w:firstLine="987"/>
        <w:spacing w:after="0" w:line="267" w:lineRule="auto"/>
        <w:tabs>
          <w:tab w:leader="none" w:pos="12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Liabilities</w:t>
      </w:r>
      <w:r>
        <w:rPr>
          <w:rFonts w:ascii="Times New Roman" w:cs="Times New Roman" w:eastAsia="Times New Roman" w:hAnsi="Times New Roman"/>
          <w:sz w:val="18"/>
          <w:szCs w:val="18"/>
          <w:color w:val="auto"/>
        </w:rPr>
        <w:t>. If this Agreement is terminated pursuant to this Section, such termination shall be without liability of any party to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party except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provided that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14, 15 and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shall survive such termination and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-176530</wp:posOffset>
            </wp:positionV>
            <wp:extent cx="314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pacing w:after="0" w:line="15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 Joint Venture</w:t>
      </w:r>
      <w:r>
        <w:rPr>
          <w:rFonts w:ascii="Times New Roman" w:cs="Times New Roman" w:eastAsia="Times New Roman" w:hAnsi="Times New Roman"/>
          <w:sz w:val="18"/>
          <w:szCs w:val="18"/>
          <w:color w:val="auto"/>
        </w:rPr>
        <w:t>. The Company, the Adviser, the Administrator and the Sales Agent expressly acknowledge, understand and agree that the Sales Agent and the Other Agents are not, and shall not be deemed for any purpose, to be acting as an joint venture or partner of one another and that neither the Sales Agent nor the Other Agents assume responsibility or liability, express or implied, for any actions or omissions of, or the performance of services by the Sales Agent or the Other Agents, respectively, in connection with the offering of the shares of Common Stock pursuant to this Agreement or the Sales Agreement, or otherwise. The obligations of the Sales Agent hereunder and of the Other Agents under the Sales Agreement shall be several and not joint.</w:t>
      </w:r>
    </w:p>
    <w:p>
      <w:pPr>
        <w:spacing w:after="0" w:line="187" w:lineRule="exact"/>
        <w:rPr>
          <w:sz w:val="20"/>
          <w:szCs w:val="20"/>
          <w:color w:val="auto"/>
        </w:rPr>
      </w:pPr>
    </w:p>
    <w:p>
      <w:pPr>
        <w:ind w:left="4" w:right="40" w:firstLine="440"/>
        <w:spacing w:after="0" w:line="247"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hereunder shall be in writing and shall be deemed to have been duly given if mailed or transmitted by any standard form of telecommunication. Notices to the Sales Agent shall be directed to Keefe, Bruyette &amp; Woods, Inc., 787 Seventh Avenue, 5</w:t>
      </w:r>
      <w:r>
        <w:rPr>
          <w:rFonts w:ascii="Times New Roman" w:cs="Times New Roman" w:eastAsia="Times New Roman" w:hAnsi="Times New Roman"/>
          <w:sz w:val="25"/>
          <w:szCs w:val="25"/>
          <w:u w:val="single" w:color="auto"/>
          <w:color w:val="auto"/>
          <w:vertAlign w:val="superscript"/>
        </w:rPr>
        <w:t>th</w:t>
      </w:r>
      <w:r>
        <w:rPr>
          <w:rFonts w:ascii="Times New Roman" w:cs="Times New Roman" w:eastAsia="Times New Roman" w:hAnsi="Times New Roman"/>
          <w:sz w:val="17"/>
          <w:szCs w:val="17"/>
          <w:color w:val="auto"/>
        </w:rPr>
        <w:t xml:space="preserve"> Floor, New York, New York 10019, Attention: Transaction Management, with a copy (which shall not constitute notice) to Kirkland &amp; Ellis LLP at 1301 Pennsylvania Ave., NW, Washington, D.C. 20004, Attention: William J. Tuttle, P.C. Notices to the Company, the Adviser and the Administrator shall be directed to them at 1691 Michigan Avenue, Miami Beach, Florida 33139, facsimile No. (212) 905-1075, Attention: Arthur Penn.</w:t>
      </w:r>
    </w:p>
    <w:p>
      <w:pPr>
        <w:spacing w:after="0" w:line="195"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No Advisory or Fiduciary Relationship</w:t>
      </w:r>
      <w:r>
        <w:rPr>
          <w:rFonts w:ascii="Times New Roman" w:cs="Times New Roman" w:eastAsia="Times New Roman" w:hAnsi="Times New Roman"/>
          <w:sz w:val="17"/>
          <w:szCs w:val="17"/>
          <w:color w:val="auto"/>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Sales Agent, on the other hand, (b) in connection with the offering of the Securities and the process leading thereto, the Sales Agent is and has been acting solely as a principal and is not the agent or fiduciary of the Company, any of the Subsidiaries or their respective stockholders, creditors, employees or any other party, (c) the Sales Agent has not assumed or will assume an advisory or fiduciary responsibility in favor of the Company with respect to the offering of the Securities or the process leading thereto (irrespective of whether the Sales Agent has advised or is currently advising the Company or any of its subsidiaries on other matters) and the Sales Agent has no obligation to the Company with respect to the offering of the Securities except the obligations expressly set forth in this Agreement, (d) the Sales Agent and its respective affiliates may be engaged in a broad range of transactions that involve interests that differ from those of the Company and</w:t>
      </w:r>
    </w:p>
    <w:p>
      <w:pPr>
        <w:spacing w:after="0" w:line="5" w:lineRule="exact"/>
        <w:rPr>
          <w:sz w:val="20"/>
          <w:szCs w:val="20"/>
          <w:color w:val="auto"/>
        </w:rPr>
      </w:pPr>
    </w:p>
    <w:p>
      <w:pPr>
        <w:ind w:left="4" w:right="200" w:hanging="4"/>
        <w:spacing w:after="0" w:line="260" w:lineRule="auto"/>
        <w:tabs>
          <w:tab w:leader="none" w:pos="24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Agent has not provided any legal, accounting, regulatory or tax advice with respect to the offering of the Securities and the Company has consulted its own respective legal, accounting, regulatory and tax advisors to the extent it deemed appropriate.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68" w:right="459" w:bottom="1440" w:gutter="0" w:footer="0" w:header="0"/>
        </w:sectPr>
      </w:pPr>
    </w:p>
    <w:bookmarkStart w:id="80" w:name="page81"/>
    <w:bookmarkEnd w:id="80"/>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This Agreement shall each inure to the benefit of and be binding upon the Sales Agent, the Company, the Adviser, the Administrator and their respective successors. Nothing expressed or mentioned in this Agreement is intended or shall be construed to give any person, firm or corporation, other than the Sales Agent, the Company, the Adviser and the Administrator and their respective successors and the controlling persons and officers and directors referred to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and their heirs and legal representatives, any legal or equitable right, remedy or claim under or in respect of this Agreement or any provision herein contained. This Agreement and all conditions and provisions hereof are intended to be for the sole and exclusive benefit of the Sales Agent, the Company, the Adviser and the Administrator and their respective successors, and said controlling persons and officers and directors and their heirs and legal representatives, and for the benefit of no other person, firm or corporation. No purchaser of Securities from the Sales Agent shall be deemed to be a successor by reason merely of such purchase.</w:t>
      </w:r>
    </w:p>
    <w:p>
      <w:pPr>
        <w:spacing w:after="0" w:line="19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Trial by Jury</w:t>
      </w:r>
      <w:r>
        <w:rPr>
          <w:rFonts w:ascii="Times New Roman" w:cs="Times New Roman" w:eastAsia="Times New Roman" w:hAnsi="Times New Roman"/>
          <w:sz w:val="18"/>
          <w:szCs w:val="18"/>
          <w:color w:val="auto"/>
        </w:rPr>
        <w:t>. The Company (on its behalf and, to the extent permitted by applicable law, on behalf of its stockholders and affiliates), the Adviser, the Administrator and the Sales Agent hereby irrevocably waives, to the fullest extent permitted by applicable law, any and all right to trial by jury in any legal proceeding arising out of or relating to this Agreement or the transactions contemplated hereby.</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 CONTROVERSY OR DISPUTE ARISING UNDER OR RELATED TO THIS AGREEMENT SHALL BE GOVERNED BY, AND CONSTRUED IN ACCORDANCE WITH THE LAWS OF, THE STATE OF NEW YORK.</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Consent to Jurisdiction; Waiver of Immunity</w:t>
      </w:r>
      <w:r>
        <w:rPr>
          <w:rFonts w:ascii="Times New Roman" w:cs="Times New Roman" w:eastAsia="Times New Roman" w:hAnsi="Times New Roman"/>
          <w:sz w:val="18"/>
          <w:szCs w:val="18"/>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81" w:name="page82"/>
    <w:bookmarkEnd w:id="81"/>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17.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TIME SHALL BE OF THE ESSENCE OF THIS AGREEMENT. EXCEPT AS OTHERWISE SET FORTH HEREIN, SPECIFIED TIMES OF DAY REFER TO NEW YORK CITY TIME.</w:t>
      </w:r>
    </w:p>
    <w:p>
      <w:pPr>
        <w:spacing w:after="0" w:line="162"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61" w:lineRule="auto"/>
        <w:tabs>
          <w:tab w:leader="none" w:pos="12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Sales Agent that is a Covered Entity becomes subject to a proceeding under a U.S. Special Resolution Regime, the transfer from the Sales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4" w:right="180" w:firstLine="987"/>
        <w:spacing w:after="0" w:line="261" w:lineRule="auto"/>
        <w:tabs>
          <w:tab w:leader="none" w:pos="125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Sales Agent that is a Covered Entity or a BHC Act Affiliate of the Sales Agent becomes subject to a proceeding under a U.S. Special Resolution Regime, Default Rights under this Agreement that may be exercised against the Sales Agent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4" w:firstLine="987"/>
        <w:spacing w:after="0" w:line="254" w:lineRule="auto"/>
        <w:tabs>
          <w:tab w:leader="none" w:pos="12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w:t>
      </w:r>
    </w:p>
    <w:p>
      <w:pPr>
        <w:spacing w:after="0" w:line="3" w:lineRule="exact"/>
        <w:rPr>
          <w:rFonts w:ascii="Times New Roman" w:cs="Times New Roman" w:eastAsia="Times New Roman" w:hAnsi="Times New Roman"/>
          <w:sz w:val="18"/>
          <w:szCs w:val="18"/>
          <w:color w:val="auto"/>
        </w:rPr>
      </w:pPr>
    </w:p>
    <w:p>
      <w:pPr>
        <w:ind w:left="4" w:right="120" w:hanging="4"/>
        <w:spacing w:after="0" w:line="260" w:lineRule="auto"/>
        <w:tabs>
          <w:tab w:leader="none" w:pos="21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70" w:right="459" w:bottom="1440" w:gutter="0" w:footer="0" w:header="0"/>
        </w:sectPr>
      </w:pPr>
    </w:p>
    <w:bookmarkStart w:id="82" w:name="page83"/>
    <w:bookmarkEnd w:id="8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Sales Agent, the Company, the Adviser and the Administrator in accordance with its terms.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PENNANTPARK INVESTMENT ADVISERS,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PENNANTPARK INVESTMENT ADMINISTRATION,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LLC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13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[Signature Page to Sales Agreement – KBW]</w:t>
      </w:r>
    </w:p>
    <w:p>
      <w:pPr>
        <w:sectPr>
          <w:pgSz w:w="11900" w:h="16838" w:orient="portrait"/>
          <w:cols w:equalWidth="0" w:num="1">
            <w:col w:w="10960"/>
          </w:cols>
          <w:pgMar w:left="440" w:top="270"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CONFIRMED AND ACCEPTED,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Al Laufenberg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Al Laufenberg</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[Signature Page to Sales Agreement – KBW]</w:t>
      </w:r>
    </w:p>
    <w:p>
      <w:pPr>
        <w:sectPr>
          <w:pgSz w:w="11900" w:h="16838" w:orient="portrait"/>
          <w:cols w:equalWidth="0" w:num="1">
            <w:col w:w="10019"/>
          </w:cols>
          <w:pgMar w:left="440" w:top="270" w:right="1440" w:bottom="1440" w:gutter="0" w:footer="0" w:header="0"/>
        </w:sectPr>
      </w:pPr>
    </w:p>
    <w:bookmarkStart w:id="84" w:name="page85"/>
    <w:bookmarkEnd w:id="84"/>
    <w:p>
      <w:pPr>
        <w:jc w:val="right"/>
        <w:ind w:right="39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subsidiaries of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PNNT Alabama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PNNT Investment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PNNT Investment Holdings II, LLC</w:t>
      </w:r>
    </w:p>
    <w:p>
      <w:pPr>
        <w:sectPr>
          <w:pgSz w:w="11900" w:h="16838" w:orient="portrait"/>
          <w:cols w:equalWidth="0" w:num="1">
            <w:col w:w="10019"/>
          </w:cols>
          <w:pgMar w:left="440" w:top="266" w:right="1440" w:bottom="1440" w:gutter="0" w:footer="0" w:header="0"/>
        </w:sectPr>
      </w:pPr>
    </w:p>
    <w:bookmarkStart w:id="85" w:name="page86"/>
    <w:bookmarkEnd w:id="85"/>
    <w:p>
      <w:pPr>
        <w:jc w:val="right"/>
        <w:ind w:right="39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Authorized Representatives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Arthur H. Penn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Allorto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Agent Authorized Representatives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Jaffe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Fenwick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 Sack</w:t>
      </w:r>
    </w:p>
    <w:p>
      <w:pPr>
        <w:sectPr>
          <w:pgSz w:w="11900" w:h="16838" w:orient="portrait"/>
          <w:cols w:equalWidth="0" w:num="1">
            <w:col w:w="10019"/>
          </w:cols>
          <w:pgMar w:left="440" w:top="266" w:right="1440"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7012305" cy="643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1230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4, 2024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 33139</w:t>
      </w:r>
    </w:p>
    <w:p>
      <w:pPr>
        <w:spacing w:after="0" w:line="23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Registration Statement on Form N-2:</w:t>
            </w:r>
          </w:p>
        </w:tc>
      </w:tr>
      <w:tr>
        <w:trPr>
          <w:trHeight w:val="194"/>
        </w:trPr>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 xml:space="preserve">1933 Act File No. 333-263564       </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We have served as Maryland counsel to PennantPark Investment Corporation, a Maryland corporation (the “Company”) and a business development company under the Investment Company Act of 1940, as amended (the “1940 Act”), in connection with certain matters of Maryland law arising out of the issuance of shares (the “Shares”) of common stock, $0.001 par value per share, of the Company having an aggregate offering price of $100,000,000 to be issued in an at-the-market public offering (the “Offering”), covered by the Registration Statement, and all amendments thereto (the “Registration Statement”), filed by the Company with the United States Securities and Exchange Commission (the “Commission”) under the Securities Act of 1933, as amended (the “1933 Act”).</w:t>
      </w:r>
    </w:p>
    <w:p>
      <w:pPr>
        <w:spacing w:after="0" w:line="18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76"/>
              </w:rPr>
              <w:t>1. 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Registration Statement, and the related form of prospectus included therein;</w:t>
            </w:r>
          </w:p>
        </w:tc>
      </w:tr>
      <w:tr>
        <w:trPr>
          <w:trHeight w:val="414"/>
        </w:trPr>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76"/>
              </w:rPr>
              <w:t>2. 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The Prospectus Supplement, dated June 4, 2024, in the form to be filed by the Company with the Commission pursuant to</w:t>
            </w:r>
          </w:p>
        </w:tc>
      </w:tr>
      <w:tr>
        <w:trPr>
          <w:trHeight w:val="234"/>
        </w:trPr>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Rule 424(b) under the 1933 Act;</w:t>
            </w:r>
          </w:p>
        </w:tc>
      </w:tr>
      <w:tr>
        <w:trPr>
          <w:trHeight w:val="432"/>
        </w:trPr>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76"/>
              </w:rPr>
              <w:t>3. 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charter of the Company, certified by the State Department of Assessments and Taxation of Maryland (the “SDAT”);</w:t>
            </w:r>
          </w:p>
        </w:tc>
      </w:tr>
      <w:tr>
        <w:trPr>
          <w:trHeight w:val="432"/>
        </w:trPr>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76"/>
              </w:rPr>
              <w:t>4. 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Bylaws of the Company, certified as of the date hereof by an officer of the Company;</w:t>
            </w:r>
          </w:p>
        </w:tc>
      </w:tr>
      <w:tr>
        <w:trPr>
          <w:trHeight w:val="432"/>
        </w:trPr>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76"/>
              </w:rPr>
              <w:t>5. 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certificate of the SDAT as to the good standing of the Company, dated as of a recent date;</w:t>
            </w:r>
          </w:p>
        </w:tc>
      </w:tr>
    </w:tbl>
    <w:p>
      <w:pPr>
        <w:sectPr>
          <w:pgSz w:w="11900" w:h="16838" w:orient="portrait"/>
          <w:cols w:equalWidth="0" w:num="1">
            <w:col w:w="11020"/>
          </w:cols>
          <w:pgMar w:left="440" w:top="117"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26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762635"/>
                    </a:xfrm>
                    <a:prstGeom prst="rect">
                      <a:avLst/>
                    </a:prstGeom>
                    <a:noFill/>
                  </pic:spPr>
                </pic:pic>
              </a:graphicData>
            </a:graphic>
          </wp:anchor>
        </w:drawing>
        <w:t>PennantPark Investment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328"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6.    Resolutions (the “Resolutions”) adopted by the Board of Directors of the Company, relating to, among other things, the authorization of (a) the registration, sale and issuance of the Shares, (b) the execution, delivery and performance by the Company of the Distribution Agreements (as defined below) and (c) the delegation to designated officers of the Company of the power to determine the number and price of the Shares and certain other matters in connection with the Offering, subject to the Resolutions, certified as of the date hereof by an officer of the Company;</w:t>
      </w:r>
    </w:p>
    <w:p>
      <w:pPr>
        <w:spacing w:after="0" w:line="164"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7.    The Equity Distribution Agreement, dated as of June 4, 2024 (the “KBW Distribution Agreement”), by and among the Company, PennantPark Investment Advisers, LLC, a Delaware limited liability company (the “Adviser”), PennantPark Investment Administration, LLC, a Delaware limited liability company (the “Administrator”), and Keefe, Bruyette &amp; Woods, Inc.;</w:t>
      </w:r>
    </w:p>
    <w:p>
      <w:pPr>
        <w:spacing w:after="0" w:line="176"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8.    The Equity Distribution Agreement, dated as of June 4, 2024 (the “Truist Distribution Agreement” and, together with the KBW Distribution Agreement, the “Distribution Agreements”), by and among the Company, the Adviser, the Administrator and Truist Securities, Inc.;</w:t>
      </w:r>
    </w:p>
    <w:p>
      <w:pPr>
        <w:spacing w:after="0" w:line="162" w:lineRule="exact"/>
        <w:rPr>
          <w:sz w:val="20"/>
          <w:szCs w:val="20"/>
          <w:color w:val="auto"/>
        </w:rPr>
      </w:pPr>
    </w:p>
    <w:p>
      <w:pPr>
        <w:ind w:left="980"/>
        <w:spacing w:after="0"/>
        <w:tabs>
          <w:tab w:leader="none" w:pos="1500" w:val="left"/>
        </w:tabs>
        <w:rPr>
          <w:sz w:val="20"/>
          <w:szCs w:val="20"/>
          <w:color w:val="auto"/>
        </w:rPr>
      </w:pPr>
      <w:r>
        <w:rPr>
          <w:rFonts w:ascii="Times New Roman" w:cs="Times New Roman" w:eastAsia="Times New Roman" w:hAnsi="Times New Roman"/>
          <w:sz w:val="18"/>
          <w:szCs w:val="18"/>
          <w:color w:val="auto"/>
        </w:rPr>
        <w:t xml:space="preserve">9.    </w:t>
      </w:r>
      <w:r>
        <w:rPr>
          <w:sz w:val="20"/>
          <w:szCs w:val="20"/>
          <w:color w:val="auto"/>
        </w:rPr>
        <w:tab/>
      </w:r>
      <w:r>
        <w:rPr>
          <w:rFonts w:ascii="Times New Roman" w:cs="Times New Roman" w:eastAsia="Times New Roman" w:hAnsi="Times New Roman"/>
          <w:sz w:val="17"/>
          <w:szCs w:val="17"/>
          <w:color w:val="auto"/>
        </w:rPr>
        <w:t>A certificate executed by an officer of the Company, dated as of the date hereof; and</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10.     Such other documents and matters as we have deemed necessary or appropriate to express the opinion set forth below, subject to the assumptions, limitations and qualifications stated herein.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expressing the opinion set forth below, we have assumed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76"/>
              </w:rPr>
              <w:t>1. 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Each individual executing any of the Documents, whether on behalf of such individual or any other person, is legally competent to</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do so.</w:t>
            </w:r>
          </w:p>
        </w:tc>
        <w:tc>
          <w:tcPr>
            <w:tcW w:w="200" w:type="dxa"/>
            <w:vAlign w:val="bottom"/>
          </w:tcPr>
          <w:p>
            <w:pPr>
              <w:spacing w:after="0"/>
              <w:rPr>
                <w:sz w:val="20"/>
                <w:szCs w:val="20"/>
                <w:color w:val="auto"/>
              </w:rPr>
            </w:pPr>
          </w:p>
        </w:tc>
        <w:tc>
          <w:tcPr>
            <w:tcW w:w="9500" w:type="dxa"/>
            <w:vAlign w:val="bottom"/>
          </w:tcPr>
          <w:p>
            <w:pPr>
              <w:spacing w:after="0"/>
              <w:rPr>
                <w:sz w:val="20"/>
                <w:szCs w:val="20"/>
                <w:color w:val="auto"/>
              </w:rPr>
            </w:pPr>
          </w:p>
        </w:tc>
      </w:tr>
      <w:tr>
        <w:trPr>
          <w:trHeight w:val="432"/>
        </w:trPr>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76"/>
              </w:rPr>
              <w:t>2. 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Each individual executing any of the Documents on behalf of a party (other than the Company) is duly authorized to do so.</w:t>
            </w:r>
          </w:p>
        </w:tc>
      </w:tr>
      <w:tr>
        <w:trPr>
          <w:trHeight w:val="432"/>
        </w:trPr>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76"/>
              </w:rPr>
              <w:t>3. 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Each of the parties (other than the Company) executing any of the Documents has duly and validly executed and delivered each of</w:t>
            </w:r>
          </w:p>
        </w:tc>
      </w:tr>
    </w:tbl>
    <w:p>
      <w:pPr>
        <w:ind w:right="500"/>
        <w:spacing w:after="0" w:line="260" w:lineRule="auto"/>
        <w:rPr>
          <w:sz w:val="20"/>
          <w:szCs w:val="20"/>
          <w:color w:val="auto"/>
        </w:rPr>
      </w:pPr>
      <w:r>
        <w:rPr>
          <w:rFonts w:ascii="Times New Roman" w:cs="Times New Roman" w:eastAsia="Times New Roman" w:hAnsi="Times New Roman"/>
          <w:sz w:val="18"/>
          <w:szCs w:val="18"/>
          <w:color w:val="auto"/>
        </w:rPr>
        <w:t>the Documents to which such party is a signatory, and such party’s obligations set forth therein are legal, valid and binding and are enforceable in accordance with all stated terms.</w:t>
      </w:r>
    </w:p>
    <w:p>
      <w:pPr>
        <w:sectPr>
          <w:pgSz w:w="11900" w:h="16838" w:orient="portrait"/>
          <w:cols w:equalWidth="0" w:num="1">
            <w:col w:w="10960"/>
          </w:cols>
          <w:pgMar w:left="440" w:top="1431"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26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762635"/>
                    </a:xfrm>
                    <a:prstGeom prst="rect">
                      <a:avLst/>
                    </a:prstGeom>
                    <a:noFill/>
                  </pic:spPr>
                </pic:pic>
              </a:graphicData>
            </a:graphic>
          </wp:anchor>
        </w:drawing>
        <w:t>PennantPark Investment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328"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4.    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87"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5.    Upon the issuance of any of the Shares, the total number of shares of Common Stock issued and outstanding will not exceed the total number of shares of Common Stock that the Company is then authorized to issue under the Charter.</w:t>
      </w:r>
    </w:p>
    <w:p>
      <w:pPr>
        <w:spacing w:after="0" w:line="1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Based upon the foregoing, and subject to the assumptions, limitations and qualifications stated herein, it is our opinion that: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jc w:val="center"/>
              <w:ind w:left="825"/>
              <w:spacing w:after="0"/>
              <w:rPr>
                <w:sz w:val="20"/>
                <w:szCs w:val="20"/>
                <w:color w:val="auto"/>
              </w:rPr>
            </w:pPr>
            <w:r>
              <w:rPr>
                <w:rFonts w:ascii="Times New Roman" w:cs="Times New Roman" w:eastAsia="Times New Roman" w:hAnsi="Times New Roman"/>
                <w:sz w:val="13"/>
                <w:szCs w:val="13"/>
                <w:color w:val="auto"/>
                <w:w w:val="78"/>
              </w:rPr>
              <w:t>1. 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Company is a corporation duly incorporated and existing under and by virtue of the laws of the State of Maryland and is in</w:t>
            </w:r>
          </w:p>
        </w:tc>
      </w:tr>
      <w:tr>
        <w:trPr>
          <w:trHeight w:val="234"/>
        </w:trPr>
        <w:tc>
          <w:tcPr>
            <w:tcW w:w="10840" w:type="dxa"/>
            <w:vAlign w:val="bottom"/>
            <w:gridSpan w:val="3"/>
          </w:tcPr>
          <w:p>
            <w:pPr>
              <w:jc w:val="center"/>
              <w:ind w:right="8590"/>
              <w:spacing w:after="0"/>
              <w:rPr>
                <w:sz w:val="20"/>
                <w:szCs w:val="20"/>
                <w:color w:val="auto"/>
              </w:rPr>
            </w:pPr>
            <w:r>
              <w:rPr>
                <w:rFonts w:ascii="Times New Roman" w:cs="Times New Roman" w:eastAsia="Times New Roman" w:hAnsi="Times New Roman"/>
                <w:sz w:val="18"/>
                <w:szCs w:val="18"/>
                <w:color w:val="auto"/>
                <w:w w:val="97"/>
              </w:rPr>
              <w:t>good standing with the SDAT.</w:t>
            </w:r>
          </w:p>
        </w:tc>
      </w:tr>
      <w:tr>
        <w:trPr>
          <w:trHeight w:val="432"/>
        </w:trPr>
        <w:tc>
          <w:tcPr>
            <w:tcW w:w="1240" w:type="dxa"/>
            <w:vAlign w:val="bottom"/>
          </w:tcPr>
          <w:p>
            <w:pPr>
              <w:jc w:val="center"/>
              <w:ind w:left="825"/>
              <w:spacing w:after="0"/>
              <w:rPr>
                <w:sz w:val="20"/>
                <w:szCs w:val="20"/>
                <w:color w:val="auto"/>
              </w:rPr>
            </w:pPr>
            <w:r>
              <w:rPr>
                <w:rFonts w:ascii="Times New Roman" w:cs="Times New Roman" w:eastAsia="Times New Roman" w:hAnsi="Times New Roman"/>
                <w:sz w:val="13"/>
                <w:szCs w:val="13"/>
                <w:color w:val="auto"/>
                <w:w w:val="78"/>
              </w:rPr>
              <w:t>2. 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The issuance of the Shares has been duly authorized and, when issued and delivered by the Company pursuant to the Distribution</w:t>
            </w:r>
          </w:p>
        </w:tc>
      </w:tr>
    </w:tbl>
    <w:p>
      <w:pPr>
        <w:ind w:right="380"/>
        <w:spacing w:after="0" w:line="260" w:lineRule="auto"/>
        <w:rPr>
          <w:sz w:val="20"/>
          <w:szCs w:val="20"/>
          <w:color w:val="auto"/>
        </w:rPr>
      </w:pPr>
      <w:r>
        <w:rPr>
          <w:rFonts w:ascii="Times New Roman" w:cs="Times New Roman" w:eastAsia="Times New Roman" w:hAnsi="Times New Roman"/>
          <w:sz w:val="18"/>
          <w:szCs w:val="18"/>
          <w:color w:val="auto"/>
        </w:rPr>
        <w:t>Agreements, the Prospectus Supplement, the Resolutions and the Registration Statement against payment of the consideration set forth therein, the Shares will be validly issued, fully paid and nonassessable.</w:t>
      </w:r>
    </w:p>
    <w:p>
      <w:pPr>
        <w:spacing w:after="0" w:line="181"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foregoing opinion is limited to the laws of the State of Maryland, and we do not express any opinion herein concerning any other law. We express no opinion as to compliance with the 1940 Act or other federal securities laws, or state securities laws, including the securities laws of the State of Maryland. To the extent that any matter as to which our opinion is expressed herein would be governed by the laws of any jurisdiction other than the State of Maryland, we do not express any opinion on such matter.</w:t>
      </w:r>
    </w:p>
    <w:p>
      <w:pPr>
        <w:spacing w:after="0" w:line="180"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Commission as an exhibit to the Company’s Current Report on Form 8-K relating to the issuance of the Shares (the “Current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1933 Act.</w:t>
      </w:r>
    </w:p>
    <w:p>
      <w:pPr>
        <w:spacing w:after="0" w:line="28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Venable LLP</w:t>
      </w:r>
    </w:p>
    <w:sectPr>
      <w:pgSz w:w="11900" w:h="16838" w:orient="portrait"/>
      <w:cols w:equalWidth="0" w:num="1">
        <w:col w:w="10940"/>
      </w:cols>
      <w:pgMar w:left="440" w:top="14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
      <w:numFmt w:val="bullet"/>
      <w:start w:val="1"/>
    </w:lvl>
  </w:abstractNum>
  <w:abstractNum w:abstractNumId="2">
    <w:nsid w:val="1BA026FA"/>
    <w:multiLevelType w:val="hybridMultilevel"/>
    <w:lvl w:ilvl="0">
      <w:lvlJc w:val="left"/>
      <w:lvlText w:val="(%1)"/>
      <w:numFmt w:val="lowerLetter"/>
      <w:start w:val="1"/>
    </w:lvl>
    <w:lvl w:ilvl="1">
      <w:lvlJc w:val="left"/>
      <w:lvlText w:val="(%2)"/>
      <w:numFmt w:val="lowerLetter"/>
      <w:start w:val="9"/>
    </w:lvl>
  </w:abstractNum>
  <w:abstractNum w:abstractNumId="3">
    <w:nsid w:val="79A1DEAA"/>
    <w:multiLevelType w:val="hybridMultilevel"/>
    <w:lvl w:ilvl="0">
      <w:lvlJc w:val="left"/>
      <w:lvlText w:val="%1"/>
      <w:numFmt w:val="lowerRoman"/>
      <w:start w:val="1"/>
    </w:lvl>
    <w:lvl w:ilvl="1">
      <w:lvlJc w:val="left"/>
      <w:lvlText w:val="(%2)"/>
      <w:numFmt w:val="lowerRoman"/>
      <w:start w:val="2"/>
    </w:lvl>
  </w:abstractNum>
  <w:abstractNum w:abstractNumId="4">
    <w:nsid w:val="75C6C33A"/>
    <w:multiLevelType w:val="hybridMultilevel"/>
    <w:lvl w:ilvl="0">
      <w:lvlJc w:val="left"/>
      <w:lvlText w:val="(%1)"/>
      <w:numFmt w:val="lowerRoman"/>
      <w:start w:val="3"/>
    </w:lvl>
    <w:lvl w:ilvl="1">
      <w:lvlJc w:val="left"/>
      <w:lvlText w:val="(%2)"/>
      <w:numFmt w:val="lowerRoman"/>
      <w:start w:val="3"/>
    </w:lvl>
  </w:abstractNum>
  <w:abstractNum w:abstractNumId="5">
    <w:nsid w:val="12E685FB"/>
    <w:multiLevelType w:val="hybridMultilevel"/>
    <w:lvl w:ilvl="0">
      <w:lvlJc w:val="left"/>
      <w:lvlText w:val="(%1)"/>
      <w:numFmt w:val="lowerRoman"/>
      <w:start w:val="5"/>
    </w:lvl>
  </w:abstractNum>
  <w:abstractNum w:abstractNumId="6">
    <w:nsid w:val="70C6A529"/>
    <w:multiLevelType w:val="hybridMultilevel"/>
    <w:lvl w:ilvl="0">
      <w:lvlJc w:val="left"/>
      <w:lvlText w:val="(%1)"/>
      <w:numFmt w:val="lowerRoman"/>
      <w:start w:val="9"/>
    </w:lvl>
  </w:abstractNum>
  <w:abstractNum w:abstractNumId="7">
    <w:nsid w:val="520EEDD1"/>
    <w:multiLevelType w:val="hybridMultilevel"/>
    <w:lvl w:ilvl="0">
      <w:lvlJc w:val="left"/>
      <w:lvlText w:val="(%1)"/>
      <w:numFmt w:val="lowerRoman"/>
      <w:start w:val="11"/>
    </w:lvl>
  </w:abstractNum>
  <w:abstractNum w:abstractNumId="8">
    <w:nsid w:val="374A3FE6"/>
    <w:multiLevelType w:val="hybridMultilevel"/>
    <w:lvl w:ilvl="0">
      <w:lvlJc w:val="left"/>
      <w:lvlText w:val="(%1)"/>
      <w:numFmt w:val="lowerRoman"/>
      <w:start w:val="16"/>
    </w:lvl>
  </w:abstractNum>
  <w:abstractNum w:abstractNumId="9">
    <w:nsid w:val="4F4EF005"/>
    <w:multiLevelType w:val="hybridMultilevel"/>
    <w:lvl w:ilvl="0">
      <w:lvlJc w:val="left"/>
      <w:lvlText w:val="(%1)"/>
      <w:numFmt w:val="lowerRoman"/>
      <w:start w:val="21"/>
    </w:lvl>
  </w:abstractNum>
  <w:abstractNum w:abstractNumId="10">
    <w:nsid w:val="23F9C13C"/>
    <w:multiLevelType w:val="hybridMultilevel"/>
    <w:lvl w:ilvl="0">
      <w:lvlJc w:val="left"/>
      <w:lvlText w:val="(%1)"/>
      <w:numFmt w:val="lowerRoman"/>
      <w:start w:val="24"/>
    </w:lvl>
  </w:abstractNum>
  <w:abstractNum w:abstractNumId="11">
    <w:nsid w:val="649BB77C"/>
    <w:multiLevelType w:val="hybridMultilevel"/>
    <w:lvl w:ilvl="0">
      <w:lvlJc w:val="left"/>
      <w:lvlText w:val="(%1)"/>
      <w:numFmt w:val="lowerRoman"/>
      <w:start w:val="26"/>
    </w:lvl>
  </w:abstractNum>
  <w:abstractNum w:abstractNumId="12">
    <w:nsid w:val="275AC794"/>
    <w:multiLevelType w:val="hybridMultilevel"/>
    <w:lvl w:ilvl="0">
      <w:lvlJc w:val="left"/>
      <w:lvlText w:val="(%1)"/>
      <w:numFmt w:val="lowerRoman"/>
      <w:start w:val="31"/>
    </w:lvl>
  </w:abstractNum>
  <w:abstractNum w:abstractNumId="13">
    <w:nsid w:val="39386575"/>
    <w:multiLevelType w:val="hybridMultilevel"/>
    <w:lvl w:ilvl="0">
      <w:lvlJc w:val="left"/>
      <w:lvlText w:val="%1"/>
      <w:numFmt w:val="upperLetter"/>
      <w:start w:val="1"/>
    </w:lvl>
    <w:lvl w:ilvl="1">
      <w:lvlJc w:val="left"/>
      <w:lvlText w:val="(%2)"/>
      <w:numFmt w:val="lowerRoman"/>
      <w:start w:val="36"/>
    </w:lvl>
  </w:abstractNum>
  <w:abstractNum w:abstractNumId="14">
    <w:nsid w:val="1CF10FD8"/>
    <w:multiLevelType w:val="hybridMultilevel"/>
    <w:lvl w:ilvl="0">
      <w:lvlJc w:val="left"/>
      <w:lvlText w:val="(%1)"/>
      <w:numFmt w:val="upperLetter"/>
      <w:start w:val="2"/>
    </w:lvl>
    <w:lvl w:ilvl="1">
      <w:lvlJc w:val="left"/>
      <w:lvlText w:val="(%2)"/>
      <w:numFmt w:val="lowerRoman"/>
      <w:start w:val="38"/>
    </w:lvl>
  </w:abstractNum>
  <w:abstractNum w:abstractNumId="15">
    <w:nsid w:val="180115BE"/>
    <w:multiLevelType w:val="hybridMultilevel"/>
    <w:lvl w:ilvl="0">
      <w:lvlJc w:val="left"/>
      <w:lvlText w:val="(%1)"/>
      <w:numFmt w:val="lowerLetter"/>
      <w:start w:val="2"/>
    </w:lvl>
    <w:lvl w:ilvl="1">
      <w:lvlJc w:val="left"/>
      <w:lvlText w:val="(%2)"/>
      <w:numFmt w:val="lowerLetter"/>
      <w:start w:val="9"/>
    </w:lvl>
  </w:abstractNum>
  <w:abstractNum w:abstractNumId="16">
    <w:nsid w:val="235BA861"/>
    <w:multiLevelType w:val="hybridMultilevel"/>
    <w:lvl w:ilvl="0">
      <w:lvlJc w:val="left"/>
      <w:lvlText w:val="(%1)"/>
      <w:numFmt w:val="lowerRoman"/>
      <w:start w:val="2"/>
    </w:lvl>
  </w:abstractNum>
  <w:abstractNum w:abstractNumId="17">
    <w:nsid w:val="47398C89"/>
    <w:multiLevelType w:val="hybridMultilevel"/>
    <w:lvl w:ilvl="0">
      <w:lvlJc w:val="left"/>
      <w:lvlText w:val="%1"/>
      <w:numFmt w:val="lowerLetter"/>
      <w:start w:val="1"/>
    </w:lvl>
    <w:lvl w:ilvl="1">
      <w:lvlJc w:val="left"/>
      <w:lvlText w:val="(%2)"/>
      <w:numFmt w:val="lowerRoman"/>
      <w:start w:val="6"/>
    </w:lvl>
  </w:abstractNum>
  <w:abstractNum w:abstractNumId="18">
    <w:nsid w:val="354FE9F9"/>
    <w:multiLevelType w:val="hybridMultilevel"/>
    <w:lvl w:ilvl="0">
      <w:lvlJc w:val="left"/>
      <w:lvlText w:val="(%1)"/>
      <w:numFmt w:val="lowerLetter"/>
      <w:start w:val="2"/>
    </w:lvl>
    <w:lvl w:ilvl="1">
      <w:lvlJc w:val="left"/>
      <w:lvlText w:val="(%2)"/>
      <w:numFmt w:val="lowerRoman"/>
      <w:start w:val="7"/>
    </w:lvl>
  </w:abstractNum>
  <w:abstractNum w:abstractNumId="19">
    <w:nsid w:val="15B5AF5C"/>
    <w:multiLevelType w:val="hybridMultilevel"/>
    <w:lvl w:ilvl="0">
      <w:lvlJc w:val="left"/>
      <w:lvlText w:val="(%1)"/>
      <w:numFmt w:val="lowerRoman"/>
      <w:start w:val="9"/>
    </w:lvl>
  </w:abstractNum>
  <w:abstractNum w:abstractNumId="20">
    <w:nsid w:val="741226BB"/>
    <w:multiLevelType w:val="hybridMultilevel"/>
    <w:lvl w:ilvl="0">
      <w:lvlJc w:val="left"/>
      <w:lvlText w:val="(%1)"/>
      <w:numFmt w:val="lowerRoman"/>
      <w:start w:val="13"/>
    </w:lvl>
  </w:abstractNum>
  <w:abstractNum w:abstractNumId="21">
    <w:nsid w:val="D34B6A8"/>
    <w:multiLevelType w:val="hybridMultilevel"/>
    <w:lvl w:ilvl="0">
      <w:lvlJc w:val="left"/>
      <w:lvlText w:val="%1"/>
      <w:numFmt w:val="upperLetter"/>
      <w:start w:val="1"/>
    </w:lvl>
    <w:lvl w:ilvl="1">
      <w:lvlJc w:val="left"/>
      <w:lvlText w:val="(%2)"/>
      <w:numFmt w:val="lowerRoman"/>
      <w:start w:val="17"/>
    </w:lvl>
  </w:abstractNum>
  <w:abstractNum w:abstractNumId="22">
    <w:nsid w:val="10233C99"/>
    <w:multiLevelType w:val="hybridMultilevel"/>
    <w:lvl w:ilvl="0">
      <w:lvlJc w:val="left"/>
      <w:lvlText w:val="(%1)"/>
      <w:numFmt w:val="upperLetter"/>
      <w:start w:val="3"/>
    </w:lvl>
    <w:lvl w:ilvl="1">
      <w:lvlJc w:val="left"/>
      <w:lvlText w:val="(%2)"/>
      <w:numFmt w:val="lowerRoman"/>
      <w:start w:val="19"/>
    </w:lvl>
  </w:abstractNum>
  <w:abstractNum w:abstractNumId="23">
    <w:nsid w:val="3F6AB60F"/>
    <w:multiLevelType w:val="hybridMultilevel"/>
    <w:lvl w:ilvl="0">
      <w:lvlJc w:val="left"/>
      <w:lvlText w:val="(%1)"/>
      <w:numFmt w:val="lowerLetter"/>
      <w:start w:val="3"/>
    </w:lvl>
  </w:abstractNum>
  <w:abstractNum w:abstractNumId="24">
    <w:nsid w:val="61574095"/>
    <w:multiLevelType w:val="hybridMultilevel"/>
    <w:lvl w:ilvl="0">
      <w:lvlJc w:val="left"/>
      <w:lvlText w:val="(%1)"/>
      <w:numFmt w:val="lowerLetter"/>
      <w:start w:val="1"/>
    </w:lvl>
    <w:lvl w:ilvl="1">
      <w:lvlJc w:val="left"/>
      <w:lvlText w:val="(%2)"/>
      <w:numFmt w:val="lowerLetter"/>
      <w:start w:val="9"/>
    </w:lvl>
  </w:abstractNum>
  <w:abstractNum w:abstractNumId="25">
    <w:nsid w:val="7E0C57B1"/>
    <w:multiLevelType w:val="hybridMultilevel"/>
    <w:lvl w:ilvl="0">
      <w:lvlJc w:val="left"/>
      <w:lvlText w:val="(%1)"/>
      <w:numFmt w:val="lowerRoman"/>
      <w:start w:val="3"/>
    </w:lvl>
    <w:lvl w:ilvl="1">
      <w:lvlJc w:val="left"/>
      <w:lvlText w:val="(%2)"/>
      <w:numFmt w:val="lowerRoman"/>
      <w:start w:val="2"/>
    </w:lvl>
  </w:abstractNum>
  <w:abstractNum w:abstractNumId="26">
    <w:nsid w:val="77AE35EB"/>
    <w:multiLevelType w:val="hybridMultilevel"/>
    <w:lvl w:ilvl="0">
      <w:lvlJc w:val="left"/>
      <w:lvlText w:val="(%1)"/>
      <w:numFmt w:val="lowerRoman"/>
      <w:start w:val="4"/>
    </w:lvl>
  </w:abstractNum>
  <w:abstractNum w:abstractNumId="27">
    <w:nsid w:val="579BE4F1"/>
    <w:multiLevelType w:val="hybridMultilevel"/>
    <w:lvl w:ilvl="0">
      <w:lvlJc w:val="left"/>
      <w:lvlText w:val="%1"/>
      <w:numFmt w:val="lowerLetter"/>
      <w:start w:val="1"/>
    </w:lvl>
    <w:lvl w:ilvl="1">
      <w:lvlJc w:val="left"/>
      <w:lvlText w:val="(%2)"/>
      <w:numFmt w:val="lowerRoman"/>
      <w:start w:val="7"/>
    </w:lvl>
  </w:abstractNum>
  <w:abstractNum w:abstractNumId="28">
    <w:nsid w:val="310C50B3"/>
    <w:multiLevelType w:val="hybridMultilevel"/>
    <w:lvl w:ilvl="0">
      <w:lvlJc w:val="left"/>
      <w:lvlText w:val="(%1)"/>
      <w:numFmt w:val="lowerLetter"/>
      <w:start w:val="2"/>
    </w:lvl>
    <w:lvl w:ilvl="1">
      <w:lvlJc w:val="left"/>
      <w:lvlText w:val="%2"/>
      <w:numFmt w:val="lowerRoman"/>
      <w:start w:val="1"/>
    </w:lvl>
  </w:abstractNum>
  <w:abstractNum w:abstractNumId="29">
    <w:nsid w:val="5FF87E05"/>
    <w:multiLevelType w:val="hybridMultilevel"/>
    <w:lvl w:ilvl="0">
      <w:lvlJc w:val="left"/>
      <w:lvlText w:val="(%1)"/>
      <w:numFmt w:val="lowerLetter"/>
      <w:start w:val="4"/>
    </w:lvl>
  </w:abstractNum>
  <w:abstractNum w:abstractNumId="30">
    <w:nsid w:val="2F305DEF"/>
    <w:multiLevelType w:val="hybridMultilevel"/>
    <w:lvl w:ilvl="0">
      <w:lvlJc w:val="left"/>
      <w:lvlText w:val="(%1)"/>
      <w:numFmt w:val="lowerLetter"/>
      <w:start w:val="7"/>
    </w:lvl>
  </w:abstractNum>
  <w:abstractNum w:abstractNumId="31">
    <w:nsid w:val="25A70BF7"/>
    <w:multiLevelType w:val="hybridMultilevel"/>
    <w:lvl w:ilvl="0">
      <w:lvlJc w:val="left"/>
      <w:lvlText w:val="%1"/>
      <w:numFmt w:val="lowerLetter"/>
      <w:start w:val="1"/>
    </w:lvl>
    <w:lvl w:ilvl="1">
      <w:lvlJc w:val="left"/>
      <w:lvlText w:val="(%2)"/>
      <w:numFmt w:val="lowerLetter"/>
      <w:start w:val="1"/>
    </w:lvl>
  </w:abstractNum>
  <w:abstractNum w:abstractNumId="32">
    <w:nsid w:val="1DBABF00"/>
    <w:multiLevelType w:val="hybridMultilevel"/>
    <w:lvl w:ilvl="0">
      <w:lvlJc w:val="left"/>
      <w:lvlText w:val="(%1)"/>
      <w:numFmt w:val="lowerLetter"/>
      <w:start w:val="9"/>
    </w:lvl>
    <w:lvl w:ilvl="1">
      <w:lvlJc w:val="left"/>
      <w:lvlText w:val="%2"/>
      <w:numFmt w:val="lowerLetter"/>
      <w:start w:val="1"/>
    </w:lvl>
  </w:abstractNum>
  <w:abstractNum w:abstractNumId="33">
    <w:nsid w:val="4AD084E9"/>
    <w:multiLevelType w:val="hybridMultilevel"/>
    <w:lvl w:ilvl="0">
      <w:lvlJc w:val="left"/>
      <w:lvlText w:val="(%1)"/>
      <w:numFmt w:val="lowerLetter"/>
      <w:start w:val="22"/>
    </w:lvl>
    <w:lvl w:ilvl="1">
      <w:lvlJc w:val="left"/>
      <w:lvlText w:val="(%2)"/>
      <w:numFmt w:val="lowerLetter"/>
      <w:start w:val="2"/>
    </w:lvl>
  </w:abstractNum>
  <w:abstractNum w:abstractNumId="34">
    <w:nsid w:val="1F48EAA1"/>
    <w:multiLevelType w:val="hybridMultilevel"/>
    <w:lvl w:ilvl="0">
      <w:lvlJc w:val="left"/>
      <w:lvlText w:val="(%1)"/>
      <w:numFmt w:val="lowerLetter"/>
      <w:start w:val="4"/>
    </w:lvl>
  </w:abstractNum>
  <w:abstractNum w:abstractNumId="35">
    <w:nsid w:val="1381823A"/>
    <w:multiLevelType w:val="hybridMultilevel"/>
    <w:lvl w:ilvl="0">
      <w:lvlJc w:val="left"/>
      <w:lvlText w:val="(%1)"/>
      <w:numFmt w:val="lowerLetter"/>
      <w:start w:val="8"/>
    </w:lvl>
  </w:abstractNum>
  <w:abstractNum w:abstractNumId="36">
    <w:nsid w:val="5DB70AE5"/>
    <w:multiLevelType w:val="hybridMultilevel"/>
    <w:lvl w:ilvl="0">
      <w:lvlJc w:val="left"/>
      <w:lvlText w:val="(%1)"/>
      <w:numFmt w:val="lowerLetter"/>
      <w:start w:val="15"/>
    </w:lvl>
  </w:abstractNum>
  <w:abstractNum w:abstractNumId="37">
    <w:nsid w:val="100F8FCA"/>
    <w:multiLevelType w:val="hybridMultilevel"/>
    <w:lvl w:ilvl="0">
      <w:lvlJc w:val="left"/>
      <w:lvlText w:val="(%1)"/>
      <w:numFmt w:val="lowerLetter"/>
      <w:start w:val="19"/>
    </w:lvl>
  </w:abstractNum>
  <w:abstractNum w:abstractNumId="38">
    <w:nsid w:val="6590700B"/>
    <w:multiLevelType w:val="hybridMultilevel"/>
    <w:lvl w:ilvl="0">
      <w:lvlJc w:val="left"/>
      <w:lvlText w:val="(%1)"/>
      <w:numFmt w:val="lowerRoman"/>
      <w:start w:val="3"/>
    </w:lvl>
  </w:abstractNum>
  <w:abstractNum w:abstractNumId="39">
    <w:nsid w:val="15014ACB"/>
    <w:multiLevelType w:val="hybridMultilevel"/>
    <w:lvl w:ilvl="0">
      <w:lvlJc w:val="left"/>
      <w:lvlText w:val="(%1)"/>
      <w:numFmt w:val="lowerLetter"/>
      <w:start w:val="1"/>
    </w:lvl>
    <w:lvl w:ilvl="1">
      <w:lvlJc w:val="left"/>
      <w:lvlText w:val="(%2)"/>
      <w:numFmt w:val="lowerLetter"/>
      <w:start w:val="9"/>
    </w:lvl>
  </w:abstractNum>
  <w:abstractNum w:abstractNumId="40">
    <w:nsid w:val="5F5E7FD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41">
    <w:nsid w:val="98A3148"/>
    <w:multiLevelType w:val="hybridMultilevel"/>
    <w:lvl w:ilvl="0">
      <w:lvlJc w:val="left"/>
      <w:lvlText w:val="(%1)"/>
      <w:numFmt w:val="upperLetter"/>
      <w:start w:val="1"/>
    </w:lvl>
    <w:lvl w:ilvl="1">
      <w:lvlJc w:val="left"/>
      <w:lvlText w:val="(%2)"/>
      <w:numFmt w:val="lowerLetter"/>
      <w:start w:val="5"/>
    </w:lvl>
    <w:lvl w:ilvl="2">
      <w:lvlJc w:val="left"/>
      <w:lvlText w:val="%3"/>
      <w:numFmt w:val="lowerLetter"/>
      <w:start w:val="1"/>
    </w:lvl>
  </w:abstractNum>
  <w:abstractNum w:abstractNumId="42">
    <w:nsid w:val="799D0247"/>
    <w:multiLevelType w:val="hybridMultilevel"/>
    <w:lvl w:ilvl="0">
      <w:lvlJc w:val="left"/>
      <w:lvlText w:val="(%1)"/>
      <w:numFmt w:val="lowerLetter"/>
      <w:start w:val="1"/>
    </w:lvl>
  </w:abstractNum>
  <w:abstractNum w:abstractNumId="43">
    <w:nsid w:val="6B94764"/>
    <w:multiLevelType w:val="hybridMultilevel"/>
    <w:lvl w:ilvl="0">
      <w:lvlJc w:val="left"/>
      <w:lvlText w:val="(%1)"/>
      <w:numFmt w:val="lowerRoman"/>
      <w:start w:val="1"/>
    </w:lvl>
  </w:abstractNum>
  <w:abstractNum w:abstractNumId="44">
    <w:nsid w:val="42C296BD"/>
    <w:multiLevelType w:val="hybridMultilevel"/>
    <w:lvl w:ilvl="0">
      <w:lvlJc w:val="left"/>
      <w:lvlText w:val="(%1)"/>
      <w:numFmt w:val="lowerLetter"/>
      <w:start w:val="2"/>
    </w:lvl>
  </w:abstractNum>
  <w:abstractNum w:abstractNumId="45">
    <w:nsid w:val="168E121F"/>
    <w:multiLevelType w:val="hybridMultilevel"/>
    <w:lvl w:ilvl="0">
      <w:lvlJc w:val="left"/>
      <w:lvlText w:val="(%1)"/>
      <w:numFmt w:val="lowerLetter"/>
      <w:start w:val="3"/>
    </w:lvl>
  </w:abstractNum>
  <w:abstractNum w:abstractNumId="46">
    <w:nsid w:val="1EBA5D23"/>
    <w:multiLevelType w:val="hybridMultilevel"/>
    <w:lvl w:ilvl="0">
      <w:lvlJc w:val="left"/>
      <w:lvlText w:val="(%1)"/>
      <w:numFmt w:val="lowerLetter"/>
      <w:start w:val="1"/>
    </w:lvl>
  </w:abstractNum>
  <w:abstractNum w:abstractNumId="47">
    <w:nsid w:val="661E3F1E"/>
    <w:multiLevelType w:val="hybridMultilevel"/>
    <w:lvl w:ilvl="0">
      <w:lvlJc w:val="left"/>
      <w:lvlText w:val="(%1)"/>
      <w:numFmt w:val="lowerLetter"/>
      <w:start w:val="3"/>
    </w:lvl>
  </w:abstractNum>
  <w:abstractNum w:abstractNumId="48">
    <w:nsid w:val="5DC79EA8"/>
    <w:multiLevelType w:val="hybridMultilevel"/>
    <w:lvl w:ilvl="0">
      <w:lvlJc w:val="left"/>
      <w:lvlText w:val="(%1)"/>
      <w:numFmt w:val="lowerLetter"/>
      <w:start w:val="5"/>
    </w:lvl>
  </w:abstractNum>
  <w:abstractNum w:abstractNumId="49">
    <w:nsid w:val="540A471C"/>
    <w:multiLevelType w:val="hybridMultilevel"/>
    <w:lvl w:ilvl="0">
      <w:lvlJc w:val="left"/>
      <w:lvlText w:val="%1"/>
      <w:numFmt w:val="lowerLetter"/>
      <w:start w:val="1"/>
    </w:lvl>
    <w:lvl w:ilvl="1">
      <w:lvlJc w:val="left"/>
      <w:lvlText w:val="(%2)"/>
      <w:numFmt w:val="lowerLetter"/>
      <w:start w:val="1"/>
    </w:lvl>
  </w:abstractNum>
  <w:abstractNum w:abstractNumId="50">
    <w:nsid w:val="7BD3EE7B"/>
    <w:multiLevelType w:val="hybridMultilevel"/>
    <w:lvl w:ilvl="0">
      <w:lvlJc w:val="left"/>
      <w:lvlText w:val="(%1)"/>
      <w:numFmt w:val="lowerLetter"/>
      <w:start w:val="9"/>
    </w:lvl>
    <w:lvl w:ilvl="1">
      <w:lvlJc w:val="left"/>
      <w:lvlText w:val="%2"/>
      <w:numFmt w:val="lowerLetter"/>
      <w:start w:val="1"/>
    </w:lvl>
  </w:abstractNum>
  <w:abstractNum w:abstractNumId="51">
    <w:nsid w:val="51D9C564"/>
    <w:multiLevelType w:val="hybridMultilevel"/>
    <w:lvl w:ilvl="0">
      <w:lvlJc w:val="left"/>
      <w:lvlText w:val="(%1)"/>
      <w:numFmt w:val="lowerLetter"/>
      <w:start w:val="1"/>
    </w:lvl>
    <w:lvl w:ilvl="1">
      <w:lvlJc w:val="left"/>
      <w:lvlText w:val="(%2)"/>
      <w:numFmt w:val="lowerLetter"/>
      <w:start w:val="9"/>
    </w:lvl>
  </w:abstractNum>
  <w:abstractNum w:abstractNumId="52">
    <w:nsid w:val="613EFDC5"/>
    <w:multiLevelType w:val="hybridMultilevel"/>
    <w:lvl w:ilvl="0">
      <w:lvlJc w:val="left"/>
      <w:lvlText w:val="%1"/>
      <w:numFmt w:val="lowerRoman"/>
      <w:start w:val="1"/>
    </w:lvl>
    <w:lvl w:ilvl="1">
      <w:lvlJc w:val="left"/>
      <w:lvlText w:val="(%2)"/>
      <w:numFmt w:val="lowerRoman"/>
      <w:start w:val="2"/>
    </w:lvl>
  </w:abstractNum>
  <w:abstractNum w:abstractNumId="53">
    <w:nsid w:val="BF72B14"/>
    <w:multiLevelType w:val="hybridMultilevel"/>
    <w:lvl w:ilvl="0">
      <w:lvlJc w:val="left"/>
      <w:lvlText w:val="(%1)"/>
      <w:numFmt w:val="lowerRoman"/>
      <w:start w:val="3"/>
    </w:lvl>
    <w:lvl w:ilvl="1">
      <w:lvlJc w:val="left"/>
      <w:lvlText w:val="(%2)"/>
      <w:numFmt w:val="lowerRoman"/>
      <w:start w:val="3"/>
    </w:lvl>
  </w:abstractNum>
  <w:abstractNum w:abstractNumId="54">
    <w:nsid w:val="11447B73"/>
    <w:multiLevelType w:val="hybridMultilevel"/>
    <w:lvl w:ilvl="0">
      <w:lvlJc w:val="left"/>
      <w:lvlText w:val="(%1)"/>
      <w:numFmt w:val="lowerRoman"/>
      <w:start w:val="5"/>
    </w:lvl>
  </w:abstractNum>
  <w:abstractNum w:abstractNumId="55">
    <w:nsid w:val="42963E5A"/>
    <w:multiLevelType w:val="hybridMultilevel"/>
    <w:lvl w:ilvl="0">
      <w:lvlJc w:val="left"/>
      <w:lvlText w:val="(%1)"/>
      <w:numFmt w:val="lowerRoman"/>
      <w:start w:val="9"/>
    </w:lvl>
  </w:abstractNum>
  <w:abstractNum w:abstractNumId="56">
    <w:nsid w:val="A0382C5"/>
    <w:multiLevelType w:val="hybridMultilevel"/>
    <w:lvl w:ilvl="0">
      <w:lvlJc w:val="left"/>
      <w:lvlText w:val="(%1)"/>
      <w:numFmt w:val="lowerRoman"/>
      <w:start w:val="11"/>
    </w:lvl>
  </w:abstractNum>
  <w:abstractNum w:abstractNumId="57">
    <w:nsid w:val="8F2B15E"/>
    <w:multiLevelType w:val="hybridMultilevel"/>
    <w:lvl w:ilvl="0">
      <w:lvlJc w:val="left"/>
      <w:lvlText w:val="(%1)"/>
      <w:numFmt w:val="lowerRoman"/>
      <w:start w:val="16"/>
    </w:lvl>
  </w:abstractNum>
  <w:abstractNum w:abstractNumId="58">
    <w:nsid w:val="1A32234B"/>
    <w:multiLevelType w:val="hybridMultilevel"/>
    <w:lvl w:ilvl="0">
      <w:lvlJc w:val="left"/>
      <w:lvlText w:val="(%1)"/>
      <w:numFmt w:val="lowerRoman"/>
      <w:start w:val="21"/>
    </w:lvl>
  </w:abstractNum>
  <w:abstractNum w:abstractNumId="59">
    <w:nsid w:val="3B0FD379"/>
    <w:multiLevelType w:val="hybridMultilevel"/>
    <w:lvl w:ilvl="0">
      <w:lvlJc w:val="left"/>
      <w:lvlText w:val="(%1)"/>
      <w:numFmt w:val="lowerRoman"/>
      <w:start w:val="24"/>
    </w:lvl>
  </w:abstractNum>
  <w:abstractNum w:abstractNumId="60">
    <w:nsid w:val="68EB2F63"/>
    <w:multiLevelType w:val="hybridMultilevel"/>
    <w:lvl w:ilvl="0">
      <w:lvlJc w:val="left"/>
      <w:lvlText w:val="(%1)"/>
      <w:numFmt w:val="lowerRoman"/>
      <w:start w:val="26"/>
    </w:lvl>
  </w:abstractNum>
  <w:abstractNum w:abstractNumId="61">
    <w:nsid w:val="4962813B"/>
    <w:multiLevelType w:val="hybridMultilevel"/>
    <w:lvl w:ilvl="0">
      <w:lvlJc w:val="left"/>
      <w:lvlText w:val="(%1)"/>
      <w:numFmt w:val="lowerRoman"/>
      <w:start w:val="31"/>
    </w:lvl>
  </w:abstractNum>
  <w:abstractNum w:abstractNumId="62">
    <w:nsid w:val="60B6DF70"/>
    <w:multiLevelType w:val="hybridMultilevel"/>
    <w:lvl w:ilvl="0">
      <w:lvlJc w:val="left"/>
      <w:lvlText w:val="%1"/>
      <w:numFmt w:val="upperLetter"/>
      <w:start w:val="1"/>
    </w:lvl>
    <w:lvl w:ilvl="1">
      <w:lvlJc w:val="left"/>
      <w:lvlText w:val="(%2)"/>
      <w:numFmt w:val="lowerRoman"/>
      <w:start w:val="36"/>
    </w:lvl>
  </w:abstractNum>
  <w:abstractNum w:abstractNumId="63">
    <w:nsid w:val="6A5EE64"/>
    <w:multiLevelType w:val="hybridMultilevel"/>
    <w:lvl w:ilvl="0">
      <w:lvlJc w:val="left"/>
      <w:lvlText w:val="(%1)"/>
      <w:numFmt w:val="upperLetter"/>
      <w:start w:val="2"/>
    </w:lvl>
    <w:lvl w:ilvl="1">
      <w:lvlJc w:val="left"/>
      <w:lvlText w:val="(%2)"/>
      <w:numFmt w:val="lowerRoman"/>
      <w:start w:val="38"/>
    </w:lvl>
  </w:abstractNum>
  <w:abstractNum w:abstractNumId="64">
    <w:nsid w:val="14330624"/>
    <w:multiLevelType w:val="hybridMultilevel"/>
    <w:lvl w:ilvl="0">
      <w:lvlJc w:val="left"/>
      <w:lvlText w:val="(%1)"/>
      <w:numFmt w:val="lowerLetter"/>
      <w:start w:val="2"/>
    </w:lvl>
    <w:lvl w:ilvl="1">
      <w:lvlJc w:val="left"/>
      <w:lvlText w:val="(%2)"/>
      <w:numFmt w:val="lowerLetter"/>
      <w:start w:val="9"/>
    </w:lvl>
  </w:abstractNum>
  <w:abstractNum w:abstractNumId="65">
    <w:nsid w:val="7FFFCA11"/>
    <w:multiLevelType w:val="hybridMultilevel"/>
    <w:lvl w:ilvl="0">
      <w:lvlJc w:val="left"/>
      <w:lvlText w:val="(%1)"/>
      <w:numFmt w:val="lowerRoman"/>
      <w:start w:val="2"/>
    </w:lvl>
  </w:abstractNum>
  <w:abstractNum w:abstractNumId="66">
    <w:nsid w:val="1A27709E"/>
    <w:multiLevelType w:val="hybridMultilevel"/>
    <w:lvl w:ilvl="0">
      <w:lvlJc w:val="left"/>
      <w:lvlText w:val="%1"/>
      <w:numFmt w:val="lowerLetter"/>
      <w:start w:val="1"/>
    </w:lvl>
    <w:lvl w:ilvl="1">
      <w:lvlJc w:val="left"/>
      <w:lvlText w:val="(%2)"/>
      <w:numFmt w:val="lowerRoman"/>
      <w:start w:val="6"/>
    </w:lvl>
  </w:abstractNum>
  <w:abstractNum w:abstractNumId="67">
    <w:nsid w:val="71EA1109"/>
    <w:multiLevelType w:val="hybridMultilevel"/>
    <w:lvl w:ilvl="0">
      <w:lvlJc w:val="left"/>
      <w:lvlText w:val="(%1)"/>
      <w:numFmt w:val="lowerLetter"/>
      <w:start w:val="2"/>
    </w:lvl>
    <w:lvl w:ilvl="1">
      <w:lvlJc w:val="left"/>
      <w:lvlText w:val="(%2)"/>
      <w:numFmt w:val="lowerRoman"/>
      <w:start w:val="7"/>
    </w:lvl>
  </w:abstractNum>
  <w:abstractNum w:abstractNumId="68">
    <w:nsid w:val="100F59DC"/>
    <w:multiLevelType w:val="hybridMultilevel"/>
    <w:lvl w:ilvl="0">
      <w:lvlJc w:val="left"/>
      <w:lvlText w:val="(%1)"/>
      <w:numFmt w:val="lowerRoman"/>
      <w:start w:val="9"/>
    </w:lvl>
  </w:abstractNum>
  <w:abstractNum w:abstractNumId="69">
    <w:nsid w:val="7FB7E0AA"/>
    <w:multiLevelType w:val="hybridMultilevel"/>
    <w:lvl w:ilvl="0">
      <w:lvlJc w:val="left"/>
      <w:lvlText w:val="(%1)"/>
      <w:numFmt w:val="lowerRoman"/>
      <w:start w:val="13"/>
    </w:lvl>
  </w:abstractNum>
  <w:abstractNum w:abstractNumId="70">
    <w:nsid w:val="6EB5BD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7"/>
    </w:lvl>
  </w:abstractNum>
  <w:abstractNum w:abstractNumId="71">
    <w:nsid w:val="6F6DD9AC"/>
    <w:multiLevelType w:val="hybridMultilevel"/>
    <w:lvl w:ilvl="0">
      <w:lvlJc w:val="left"/>
      <w:lvlText w:val="(%1)"/>
      <w:numFmt w:val="upperLetter"/>
      <w:start w:val="3"/>
    </w:lvl>
    <w:lvl w:ilvl="1">
      <w:lvlJc w:val="left"/>
      <w:lvlText w:val="(%2)"/>
      <w:numFmt w:val="lowerLetter"/>
      <w:start w:val="2"/>
    </w:lvl>
    <w:lvl w:ilvl="2">
      <w:lvlJc w:val="left"/>
      <w:lvlText w:val="(%3)"/>
      <w:numFmt w:val="lowerRoman"/>
      <w:start w:val="19"/>
    </w:lvl>
  </w:abstractNum>
  <w:abstractNum w:abstractNumId="72">
    <w:nsid w:val="94211F2"/>
    <w:multiLevelType w:val="hybridMultilevel"/>
    <w:lvl w:ilvl="0">
      <w:lvlJc w:val="left"/>
      <w:lvlText w:val="(%1)"/>
      <w:numFmt w:val="lowerLetter"/>
      <w:start w:val="1"/>
    </w:lvl>
    <w:lvl w:ilvl="1">
      <w:lvlJc w:val="left"/>
      <w:lvlText w:val="(%2)"/>
      <w:numFmt w:val="lowerLetter"/>
      <w:start w:val="9"/>
    </w:lvl>
  </w:abstractNum>
  <w:abstractNum w:abstractNumId="73">
    <w:nsid w:val="885E1B"/>
    <w:multiLevelType w:val="hybridMultilevel"/>
    <w:lvl w:ilvl="0">
      <w:lvlJc w:val="left"/>
      <w:lvlText w:val="(%1)"/>
      <w:numFmt w:val="lowerRoman"/>
      <w:start w:val="3"/>
    </w:lvl>
    <w:lvl w:ilvl="1">
      <w:lvlJc w:val="left"/>
      <w:lvlText w:val="(%2)"/>
      <w:numFmt w:val="lowerRoman"/>
      <w:start w:val="2"/>
    </w:lvl>
  </w:abstractNum>
  <w:abstractNum w:abstractNumId="74">
    <w:nsid w:val="76272110"/>
    <w:multiLevelType w:val="hybridMultilevel"/>
    <w:lvl w:ilvl="0">
      <w:lvlJc w:val="left"/>
      <w:lvlText w:val="(%1)"/>
      <w:numFmt w:val="lowerRoman"/>
      <w:start w:val="4"/>
    </w:lvl>
  </w:abstractNum>
  <w:abstractNum w:abstractNumId="75">
    <w:nsid w:val="4C04A8AF"/>
    <w:multiLevelType w:val="hybridMultilevel"/>
    <w:lvl w:ilvl="0">
      <w:lvlJc w:val="left"/>
      <w:lvlText w:val="%1"/>
      <w:numFmt w:val="lowerLetter"/>
      <w:start w:val="1"/>
    </w:lvl>
    <w:lvl w:ilvl="1">
      <w:lvlJc w:val="left"/>
      <w:lvlText w:val="(%2)"/>
      <w:numFmt w:val="lowerRoman"/>
      <w:start w:val="7"/>
    </w:lvl>
  </w:abstractNum>
  <w:abstractNum w:abstractNumId="76">
    <w:nsid w:val="1716703B"/>
    <w:multiLevelType w:val="hybridMultilevel"/>
    <w:lvl w:ilvl="0">
      <w:lvlJc w:val="left"/>
      <w:lvlText w:val="(%1)"/>
      <w:numFmt w:val="lowerLetter"/>
      <w:start w:val="2"/>
    </w:lvl>
    <w:lvl w:ilvl="1">
      <w:lvlJc w:val="left"/>
      <w:lvlText w:val="%2"/>
      <w:numFmt w:val="lowerRoman"/>
      <w:start w:val="1"/>
    </w:lvl>
  </w:abstractNum>
  <w:abstractNum w:abstractNumId="77">
    <w:nsid w:val="14E17E33"/>
    <w:multiLevelType w:val="hybridMultilevel"/>
    <w:lvl w:ilvl="0">
      <w:lvlJc w:val="left"/>
      <w:lvlText w:val="(%1)"/>
      <w:numFmt w:val="lowerLetter"/>
      <w:start w:val="4"/>
    </w:lvl>
  </w:abstractNum>
  <w:abstractNum w:abstractNumId="78">
    <w:nsid w:val="3222E7CD"/>
    <w:multiLevelType w:val="hybridMultilevel"/>
    <w:lvl w:ilvl="0">
      <w:lvlJc w:val="left"/>
      <w:lvlText w:val="(%1)"/>
      <w:numFmt w:val="lowerLetter"/>
      <w:start w:val="7"/>
    </w:lvl>
  </w:abstractNum>
  <w:abstractNum w:abstractNumId="79">
    <w:nsid w:val="74DE0EE3"/>
    <w:multiLevelType w:val="hybridMultilevel"/>
    <w:lvl w:ilvl="0">
      <w:lvlJc w:val="left"/>
      <w:lvlText w:val="%1"/>
      <w:numFmt w:val="lowerLetter"/>
      <w:start w:val="1"/>
    </w:lvl>
    <w:lvl w:ilvl="1">
      <w:lvlJc w:val="left"/>
      <w:lvlText w:val="(%2)"/>
      <w:numFmt w:val="lowerLetter"/>
      <w:start w:val="1"/>
    </w:lvl>
  </w:abstractNum>
  <w:abstractNum w:abstractNumId="80">
    <w:nsid w:val="68EBC550"/>
    <w:multiLevelType w:val="hybridMultilevel"/>
    <w:lvl w:ilvl="0">
      <w:lvlJc w:val="left"/>
      <w:lvlText w:val="(%1)"/>
      <w:numFmt w:val="lowerLetter"/>
      <w:start w:val="9"/>
    </w:lvl>
    <w:lvl w:ilvl="1">
      <w:lvlJc w:val="left"/>
      <w:lvlText w:val="%2"/>
      <w:numFmt w:val="lowerLetter"/>
      <w:start w:val="1"/>
    </w:lvl>
  </w:abstractNum>
  <w:abstractNum w:abstractNumId="81">
    <w:nsid w:val="2DF6D648"/>
    <w:multiLevelType w:val="hybridMultilevel"/>
    <w:lvl w:ilvl="0">
      <w:lvlJc w:val="left"/>
      <w:lvlText w:val="(%1)"/>
      <w:numFmt w:val="lowerLetter"/>
      <w:start w:val="22"/>
    </w:lvl>
    <w:lvl w:ilvl="1">
      <w:lvlJc w:val="left"/>
      <w:lvlText w:val="(%2)"/>
      <w:numFmt w:val="lowerLetter"/>
      <w:start w:val="2"/>
    </w:lvl>
  </w:abstractNum>
  <w:abstractNum w:abstractNumId="82">
    <w:nsid w:val="46B7D447"/>
    <w:multiLevelType w:val="hybridMultilevel"/>
    <w:lvl w:ilvl="0">
      <w:lvlJc w:val="left"/>
      <w:lvlText w:val="(%1)"/>
      <w:numFmt w:val="lowerLetter"/>
      <w:start w:val="4"/>
    </w:lvl>
  </w:abstractNum>
  <w:abstractNum w:abstractNumId="83">
    <w:nsid w:val="4A2AC315"/>
    <w:multiLevelType w:val="hybridMultilevel"/>
    <w:lvl w:ilvl="0">
      <w:lvlJc w:val="left"/>
      <w:lvlText w:val="(%1)"/>
      <w:numFmt w:val="lowerLetter"/>
      <w:start w:val="8"/>
    </w:lvl>
  </w:abstractNum>
  <w:abstractNum w:abstractNumId="84">
    <w:nsid w:val="39EE015C"/>
    <w:multiLevelType w:val="hybridMultilevel"/>
    <w:lvl w:ilvl="0">
      <w:lvlJc w:val="left"/>
      <w:lvlText w:val="(%1)"/>
      <w:numFmt w:val="lowerLetter"/>
      <w:start w:val="15"/>
    </w:lvl>
  </w:abstractNum>
  <w:abstractNum w:abstractNumId="85">
    <w:nsid w:val="57FC4FBB"/>
    <w:multiLevelType w:val="hybridMultilevel"/>
    <w:lvl w:ilvl="0">
      <w:lvlJc w:val="left"/>
      <w:lvlText w:val="(%1)"/>
      <w:numFmt w:val="lowerLetter"/>
      <w:start w:val="19"/>
    </w:lvl>
  </w:abstractNum>
  <w:abstractNum w:abstractNumId="86">
    <w:nsid w:val="CC1016F"/>
    <w:multiLevelType w:val="hybridMultilevel"/>
    <w:lvl w:ilvl="0">
      <w:lvlJc w:val="left"/>
      <w:lvlText w:val="(%1)"/>
      <w:numFmt w:val="lowerRoman"/>
      <w:start w:val="3"/>
    </w:lvl>
  </w:abstractNum>
  <w:abstractNum w:abstractNumId="87">
    <w:nsid w:val="43F18422"/>
    <w:multiLevelType w:val="hybridMultilevel"/>
    <w:lvl w:ilvl="0">
      <w:lvlJc w:val="left"/>
      <w:lvlText w:val="(%1)"/>
      <w:numFmt w:val="lowerLetter"/>
      <w:start w:val="1"/>
    </w:lvl>
    <w:lvl w:ilvl="1">
      <w:lvlJc w:val="left"/>
      <w:lvlText w:val="(%2)"/>
      <w:numFmt w:val="lowerLetter"/>
      <w:start w:val="9"/>
    </w:lvl>
  </w:abstractNum>
  <w:abstractNum w:abstractNumId="88">
    <w:nsid w:val="60EF011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89">
    <w:nsid w:val="26F324BA"/>
    <w:multiLevelType w:val="hybridMultilevel"/>
    <w:lvl w:ilvl="0">
      <w:lvlJc w:val="left"/>
      <w:lvlText w:val="(%1)"/>
      <w:numFmt w:val="upperLetter"/>
      <w:start w:val="1"/>
    </w:lvl>
    <w:lvl w:ilvl="1">
      <w:lvlJc w:val="left"/>
      <w:lvlText w:val="(%2)"/>
      <w:numFmt w:val="lowerLetter"/>
      <w:start w:val="5"/>
    </w:lvl>
    <w:lvl w:ilvl="2">
      <w:lvlJc w:val="left"/>
      <w:lvlText w:val="%3"/>
      <w:numFmt w:val="lowerLetter"/>
      <w:start w:val="1"/>
    </w:lvl>
  </w:abstractNum>
  <w:abstractNum w:abstractNumId="90">
    <w:nsid w:val="7F01579B"/>
    <w:multiLevelType w:val="hybridMultilevel"/>
    <w:lvl w:ilvl="0">
      <w:lvlJc w:val="left"/>
      <w:lvlText w:val="(%1)"/>
      <w:numFmt w:val="lowerLetter"/>
      <w:start w:val="1"/>
    </w:lvl>
  </w:abstractNum>
  <w:abstractNum w:abstractNumId="91">
    <w:nsid w:val="49DA307D"/>
    <w:multiLevelType w:val="hybridMultilevel"/>
    <w:lvl w:ilvl="0">
      <w:lvlJc w:val="left"/>
      <w:lvlText w:val="%1"/>
      <w:numFmt w:val="lowerLetter"/>
      <w:start w:val="1"/>
    </w:lvl>
    <w:lvl w:ilvl="1">
      <w:lvlJc w:val="left"/>
      <w:lvlText w:val="(%2)"/>
      <w:numFmt w:val="lowerRoman"/>
      <w:start w:val="1"/>
    </w:lvl>
  </w:abstractNum>
  <w:abstractNum w:abstractNumId="92">
    <w:nsid w:val="7055A5F5"/>
    <w:multiLevelType w:val="hybridMultilevel"/>
    <w:lvl w:ilvl="0">
      <w:lvlJc w:val="left"/>
      <w:lvlText w:val="(%1)"/>
      <w:numFmt w:val="lowerLetter"/>
      <w:start w:val="2"/>
    </w:lvl>
    <w:lvl w:ilvl="1">
      <w:lvlJc w:val="left"/>
      <w:lvlText w:val="%2"/>
      <w:numFmt w:val="lowerRoman"/>
      <w:start w:val="1"/>
    </w:lvl>
  </w:abstractNum>
  <w:abstractNum w:abstractNumId="93">
    <w:nsid w:val="5FB8370B"/>
    <w:multiLevelType w:val="hybridMultilevel"/>
    <w:lvl w:ilvl="0">
      <w:lvlJc w:val="left"/>
      <w:lvlText w:val="(%1)"/>
      <w:numFmt w:val="lowerLetter"/>
      <w:start w:val="3"/>
    </w:lvl>
  </w:abstractNum>
  <w:abstractNum w:abstractNumId="94">
    <w:nsid w:val="50801EE1"/>
    <w:multiLevelType w:val="hybridMultilevel"/>
    <w:lvl w:ilvl="0">
      <w:lvlJc w:val="left"/>
      <w:lvlText w:val="(%1)"/>
      <w:numFmt w:val="lowerLetter"/>
      <w:start w:val="1"/>
    </w:lvl>
  </w:abstractNum>
  <w:abstractNum w:abstractNumId="95">
    <w:nsid w:val="488AC1A"/>
    <w:multiLevelType w:val="hybridMultilevel"/>
    <w:lvl w:ilvl="0">
      <w:lvlJc w:val="left"/>
      <w:lvlText w:val="(%1)"/>
      <w:numFmt w:val="lowerLetter"/>
      <w:start w:val="3"/>
    </w:lvl>
  </w:abstractNum>
  <w:abstractNum w:abstractNumId="96">
    <w:nsid w:val="5FB8011C"/>
    <w:multiLevelType w:val="hybridMultilevel"/>
    <w:lvl w:ilvl="0">
      <w:lvlJc w:val="left"/>
      <w:lvlText w:val="(%1)"/>
      <w:numFmt w:val="lowerLetter"/>
      <w:start w:val="5"/>
    </w:lvl>
  </w:abstractNum>
  <w:abstractNum w:abstractNumId="97">
    <w:nsid w:val="6AA78F7F"/>
    <w:multiLevelType w:val="hybridMultilevel"/>
    <w:lvl w:ilvl="0">
      <w:lvlJc w:val="left"/>
      <w:lvlText w:val="%1"/>
      <w:numFmt w:val="lowerLetter"/>
      <w:start w:val="1"/>
    </w:lvl>
    <w:lvl w:ilvl="1">
      <w:lvlJc w:val="left"/>
      <w:lvlText w:val="(%2)"/>
      <w:numFmt w:val="lowerLetter"/>
      <w:start w:val="1"/>
    </w:lvl>
  </w:abstractNum>
  <w:abstractNum w:abstractNumId="98">
    <w:nsid w:val="7672BD23"/>
    <w:multiLevelType w:val="hybridMultilevel"/>
    <w:lvl w:ilvl="0">
      <w:lvlJc w:val="left"/>
      <w:lvlText w:val="(%1)"/>
      <w:numFmt w:val="lowerLetter"/>
      <w:start w:val="9"/>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2024-06-04T16:39:23Z</dcterms:created>
  <dcterms:modified xsi:type="dcterms:W3CDTF">2024-06-04T16:39:23Z</dcterms:modified>
</cp:coreProperties>
</file>